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3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2017, 61,272,199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0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2017 and December 31, 2016</w:t>
              </w:r>
            </w:hyperlink>
          </w:p>
        </w:tc>
        <w:tc>
          <w:tcPr>
            <w:tcW w:w="34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2017 and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Months ended March 31, 2017 and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8340" w:type="dxa"/>
            <w:vAlign w:val="bottom"/>
            <w:tcBorders>
              <w:top w:val="single" w:sz="8" w:color="0000EE"/>
            </w:tcBorders>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Three Months Ended March 31, 2017 and 2016</w:t>
              </w:r>
            </w:hyperlink>
          </w:p>
        </w:tc>
        <w:tc>
          <w:tcPr>
            <w:tcW w:w="1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2017 and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700" w:type="dxa"/>
            <w:vAlign w:val="bottom"/>
            <w:tcBorders>
              <w:top w:val="single" w:sz="8" w:color="0000EE"/>
            </w:tcBorders>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Signature</w:t>
              </w:r>
            </w:hyperlink>
          </w:p>
        </w:tc>
        <w:tc>
          <w:tcPr>
            <w:tcW w:w="8720" w:type="dxa"/>
            <w:vAlign w:val="bottom"/>
            <w:gridSpan w:val="2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 Index</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6,895</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292,121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419,268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80,781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 term debt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646,099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7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Common stock—$.0001 par value; 90,000 authorized, 61,550 and 61,240 shares issued; 61,272 and</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60,962 shares outstanding at March 31, 2017 and December 31, 2016, respectively.</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877,627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3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170,586</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154,404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Loss from continuing operations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(13,065)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(16,788)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23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Basic loss per share</w:t>
            </w:r>
          </w:p>
        </w:tc>
        <w:tc>
          <w:tcPr>
            <w:tcW w:w="1360" w:type="dxa"/>
            <w:vAlign w:val="bottom"/>
          </w:tcPr>
          <w:p>
            <w:pPr>
              <w:spacing w:after="0"/>
              <w:rPr>
                <w:sz w:val="19"/>
                <w:szCs w:val="19"/>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23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1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61,065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1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(16,788)</w:t>
            </w: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2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 (2)</w:t>
            </w:r>
          </w:p>
        </w:tc>
        <w:tc>
          <w:tcPr>
            <w:tcW w:w="2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21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(17,550)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$39 and $(271) for the three months ended March 31, 2017 and 2016,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of $479 for the three months ended March 31,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83" w:lineRule="exact"/>
        <w:rPr>
          <w:sz w:val="20"/>
          <w:szCs w:val="20"/>
          <w:color w:val="auto"/>
        </w:rPr>
      </w:pPr>
    </w:p>
    <w:tbl>
      <w:tblPr>
        <w:tblLayout w:type="fixed"/>
        <w:tblInd w:w="378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760" w:type="dxa"/>
            <w:vAlign w:val="bottom"/>
          </w:tcPr>
          <w:p>
            <w:pPr>
              <w:spacing w:after="0"/>
              <w:rPr>
                <w:sz w:val="14"/>
                <w:szCs w:val="14"/>
                <w:color w:val="auto"/>
              </w:rPr>
            </w:pPr>
          </w:p>
        </w:tc>
      </w:tr>
      <w:tr>
        <w:trPr>
          <w:trHeight w:val="162"/>
        </w:trPr>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Shares of</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760" w:type="dxa"/>
            <w:vAlign w:val="bottom"/>
          </w:tcPr>
          <w:p>
            <w:pPr>
              <w:spacing w:after="0"/>
              <w:rPr>
                <w:sz w:val="14"/>
                <w:szCs w:val="14"/>
                <w:color w:val="auto"/>
              </w:rPr>
            </w:pPr>
          </w:p>
        </w:tc>
      </w:tr>
      <w:tr>
        <w:trPr>
          <w:trHeight w:val="162"/>
        </w:trPr>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76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4"/>
                <w:szCs w:val="1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Total</w:t>
            </w:r>
          </w:p>
        </w:tc>
      </w:tr>
    </w:tbl>
    <w:p>
      <w:pPr>
        <w:spacing w:after="0" w:line="13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rPr>
          <w:sz w:val="20"/>
          <w:szCs w:val="20"/>
          <w:color w:val="auto"/>
        </w:rPr>
      </w:pPr>
      <w:r>
        <w:rPr>
          <w:rFonts w:ascii="Arial" w:cs="Arial" w:eastAsia="Arial" w:hAnsi="Arial"/>
          <w:sz w:val="14"/>
          <w:szCs w:val="14"/>
          <w:color w:val="auto"/>
        </w:rPr>
        <w:t>BALANCE—January 1,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0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61,240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286,303</w:t>
            </w:r>
          </w:p>
        </w:tc>
        <w:tc>
          <w:tcPr>
            <w:tcW w:w="1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(35,841)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(1,145)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247,890</w:t>
            </w:r>
          </w:p>
        </w:tc>
        <w:tc>
          <w:tcPr>
            <w:tcW w:w="40" w:type="dxa"/>
            <w:vAlign w:val="bottom"/>
          </w:tcPr>
          <w:p>
            <w:pPr>
              <w:spacing w:after="0"/>
              <w:rPr>
                <w:sz w:val="15"/>
                <w:szCs w:val="15"/>
                <w:color w:val="auto"/>
              </w:rPr>
            </w:pPr>
          </w:p>
        </w:tc>
      </w:tr>
      <w:tr>
        <w:trPr>
          <w:trHeight w:val="324"/>
        </w:trPr>
        <w:tc>
          <w:tcPr>
            <w:tcW w:w="60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918</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(164)</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(16,788)</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(16,788)</w:t>
            </w: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(762)</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(762)</w:t>
            </w: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61,550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287,491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(1,907)</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231,528</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right"/>
              <w:ind w:right="248"/>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-1706245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-1397000</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-1002665</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-796925</wp:posOffset>
            </wp:positionV>
            <wp:extent cx="72466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460" w:space="320"/>
            <w:col w:w="76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780" w:type="dxa"/>
            <w:vAlign w:val="bottom"/>
            <w:shd w:val="clear" w:color="auto" w:fill="CFF0FC"/>
          </w:tcPr>
          <w:p>
            <w:pPr>
              <w:spacing w:after="0"/>
              <w:rPr>
                <w:sz w:val="20"/>
                <w:szCs w:val="20"/>
                <w:color w:val="auto"/>
              </w:rPr>
            </w:pPr>
            <w:r>
              <w:rPr>
                <w:rFonts w:ascii="Arial" w:cs="Arial" w:eastAsia="Arial" w:hAnsi="Arial"/>
                <w:sz w:val="14"/>
                <w:szCs w:val="14"/>
                <w:color w:val="auto"/>
              </w:rPr>
              <w:t>BALANCE—January 1, 2016</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60,709</w:t>
            </w:r>
          </w:p>
        </w:tc>
        <w:tc>
          <w:tcPr>
            <w:tcW w:w="5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(278)</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(1,433)</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283,247</w:t>
            </w:r>
          </w:p>
        </w:tc>
        <w:tc>
          <w:tcPr>
            <w:tcW w:w="50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(27,664)</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(1,983)</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Exercise of options and purchases from employee stock</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78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plans</w:t>
            </w:r>
          </w:p>
        </w:tc>
        <w:tc>
          <w:tcPr>
            <w:tcW w:w="60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0" w:type="dxa"/>
            <w:vAlign w:val="bottom"/>
            <w:gridSpan w:val="2"/>
            <w:vMerge w:val="continue"/>
            <w:shd w:val="clear" w:color="auto" w:fill="CFF0FC"/>
          </w:tcPr>
          <w:p>
            <w:pPr>
              <w:spacing w:after="0"/>
              <w:rPr>
                <w:sz w:val="8"/>
                <w:szCs w:val="8"/>
                <w:color w:val="auto"/>
              </w:rPr>
            </w:pPr>
          </w:p>
        </w:tc>
        <w:tc>
          <w:tcPr>
            <w:tcW w:w="86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0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80" w:type="dxa"/>
            <w:vAlign w:val="bottom"/>
            <w:gridSpan w:val="2"/>
            <w:vMerge w:val="continue"/>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920" w:type="dxa"/>
            <w:vAlign w:val="bottom"/>
            <w:gridSpan w:val="2"/>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5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78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(4,035)</w:t>
            </w:r>
          </w:p>
        </w:tc>
        <w:tc>
          <w:tcPr>
            <w:tcW w:w="3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income—net of tax</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color w:val="auto"/>
              </w:rPr>
              <w:t>BALANCE—March 31, 2016</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60,934</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284,589</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(31,699)</w:t>
            </w: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(1,574)</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249,889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7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(16,788)</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(4,035)</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(13,065)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w w:val="99"/>
              </w:rPr>
              <w:t>Adjustments to reconcile net loss to net cash flows provided by (used in)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Cash distributions from joint ventures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(2,108)</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(Gain) loss on sale of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Unrealized net (gain) loss from mark-to-market valuations of derivatives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(7,392)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(3,418)</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(27,610)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(33,322)</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(used in) operating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(17,452)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(14,917)</w:t>
            </w: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Changes in restricted cash</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4"/>
        </w:trPr>
        <w:tc>
          <w:tcPr>
            <w:tcW w:w="7300" w:type="dxa"/>
            <w:vAlign w:val="bottom"/>
          </w:tcPr>
          <w:p>
            <w:pPr>
              <w:ind w:left="26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7"/>
        </w:trPr>
        <w:tc>
          <w:tcPr>
            <w:tcW w:w="7300" w:type="dxa"/>
            <w:vAlign w:val="bottom"/>
          </w:tcPr>
          <w:p>
            <w:pPr>
              <w:ind w:left="56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long term note payable</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term loan facility</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(16,723)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Cash provided by financing activities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tcPr>
          <w:p>
            <w:pPr>
              <w:spacing w:after="0"/>
              <w:rPr>
                <w:sz w:val="22"/>
                <w:szCs w:val="22"/>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11,473</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purchased but not yet paid</w:t>
            </w:r>
          </w:p>
        </w:tc>
        <w:tc>
          <w:tcPr>
            <w:tcW w:w="232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2016.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2017, and its results of operations for the three months ended March 31, 2017 and 2016 and cash flows for the three months ended March 31, 2017 and 2016 have been included.</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cost structure includes significant annual equipment-related costs, including depreciation, maintenance, insurance and long-term rentals. These costs have averaged approximately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The Company has determined that dredging, Terra Contracting Services, LLC (“Terra”) and Great Lakes Environmental &amp; Infrastructure, LLC (“GLEI”) are the Company’s three reporting units.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performed its most recent annual test of impairment as of July 1, 2016 with no indication of impairment as of the test date. The Company will perform its next scheduled annual test of goodwill in the third quarter of 2017 should no triggering events occur which would require a test prior to the next annual test.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January 2017, the Financial Accounting Standards Board (“FASB”) issued Accounting Standard Update No. 2017-04 (“ASU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The amendment removes the requirement to compare the implied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goodwill with its carrying amount as part of step 2 of the goodwill impairment test. The guidance is effective for fiscal years beginning after December 15, 2019. The Company is currently evaluating the impact of ASU 2017-04 on its consolidated financial statements.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November 2016, the FASB issued Accounting Standard Update No. 2016-18 (“ASU 2016-18”), </w:t>
      </w:r>
      <w:r>
        <w:rPr>
          <w:rFonts w:ascii="Arial" w:cs="Arial" w:eastAsia="Arial" w:hAnsi="Arial"/>
          <w:sz w:val="18"/>
          <w:szCs w:val="18"/>
          <w:i w:val="1"/>
          <w:iCs w:val="1"/>
          <w:color w:val="auto"/>
        </w:rPr>
        <w:t>Statement of Cashflows (Topic 230): Restricted Cash</w:t>
      </w:r>
      <w:r>
        <w:rPr>
          <w:rFonts w:ascii="Arial" w:cs="Arial" w:eastAsia="Arial" w:hAnsi="Arial"/>
          <w:sz w:val="18"/>
          <w:szCs w:val="18"/>
          <w:color w:val="auto"/>
        </w:rPr>
        <w:t>. The amendments require that the statement of cash flows explain the changes during the period in the total of cash, 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 of cash flows. The guidance is effective for fiscal years beginning after December 15, 2017. The Company is currently evaluating the impact of ASU 2016-18 on its consolidated financial statements.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August 2016, the FASB issued Accounting Standard Update No. 2016-15 (“ASU 2016-15”), </w:t>
      </w:r>
      <w:r>
        <w:rPr>
          <w:rFonts w:ascii="Arial" w:cs="Arial" w:eastAsia="Arial" w:hAnsi="Arial"/>
          <w:sz w:val="18"/>
          <w:szCs w:val="18"/>
          <w:i w:val="1"/>
          <w:iCs w:val="1"/>
          <w:color w:val="auto"/>
        </w:rPr>
        <w:t>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which amends FASB’s standards for reporting cash flows in general-purpose financial statements. The amendments address the diversity in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related to the classification of certain cash receipts and payments. The guidance is effective for fiscal years beginning after December 15, 2017. The Company is currently evaluating the impact of ASU 2016-15 on its consolidated financial statements.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2016, the FASB issued Accounting Standard Update No. 2016-02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FASB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consolidated financial statements.</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May 2014, the FASB issued Accounting Standard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subsequently issued other Accounting Standard Updates related to Accounting Standards Codification Topic 606 (collectively, “ASC 606”), which supersede the existing revenue recognition requirements. ASC 606 is based on the principle that revenue is recognized to depict the transfer of goods or services to customers in an amount that reflects the consideration to which the entity expects to be entitled in exchange for those goods or services. ASC 606 has been deferred to be effective for fiscal years beginning after December 15, 2017, including interim periods within that reporting period, which will be our first quarter of fiscal 2018. Early adoption is permitted in fiscal 2017. The Company currently expects to adopt ASC 606 as of January 1, 2018, under the modified retrospective method where the cumulative effect is recognized at the date of initial application. The Company’s evaluation of ASC 606 is ongoing and not complete. The Company is currently evaluating the overall impacts that ASC 606 will have on the methods currently used to measure progress toward completion (which affect the timing of recognition of revenue) and the changes necessitated on our financial systems, existing internal controls and processes to comply with the guidance. The FASB has issued and may issue in the future, interpretative guidance, which may cause the Company’s evaluation to change in future periods prior to adoption. In addition, the ongoing assessment may be impacted by implementation guidance specific to the construction industry. Accordingly, the Company is still evaluating the effect of the adoption of ASC 606 on its consolidated financial statements.</w:t>
      </w:r>
    </w:p>
    <w:p>
      <w:pPr>
        <w:spacing w:after="0" w:line="15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three months ended March 31, 2017 and 2016, the dilutive effect of 678 thousand and 359 thousand stock options and restricted stock units, respectively, were excluded from the diluted weighted-average common shares outstanding as the Company incurred a loss during these periods. For the three months ended March 31, 2017 and 2016, 1,580 thousand and 1,812 thousand stock options and restricted stock units, respectively, were excluded from the calculation of diluted earnings per share based on the application of the treasury stock method, as such stock options and restricted stock units were determined to be anti-dilutive.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computations for basic and diluted loss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8"/>
          </w:tcPr>
          <w:p>
            <w:pPr>
              <w:jc w:val="center"/>
              <w:ind w:right="599"/>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160" w:type="dxa"/>
            <w:vAlign w:val="bottom"/>
            <w:gridSpan w:val="4"/>
          </w:tcPr>
          <w:p>
            <w:pPr>
              <w:ind w:left="580"/>
              <w:spacing w:after="0"/>
              <w:rPr>
                <w:sz w:val="20"/>
                <w:szCs w:val="20"/>
                <w:color w:val="auto"/>
              </w:rPr>
            </w:pPr>
            <w:r>
              <w:rPr>
                <w:rFonts w:ascii="Arial" w:cs="Arial" w:eastAsia="Arial" w:hAnsi="Arial"/>
                <w:sz w:val="14"/>
                <w:szCs w:val="14"/>
                <w:b w:val="1"/>
                <w:bCs w:val="1"/>
                <w:color w:val="auto"/>
              </w:rPr>
              <w:t>(shares in thousands)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left="273"/>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(3,723)</w:t>
            </w:r>
          </w:p>
        </w:tc>
        <w:tc>
          <w:tcPr>
            <w:tcW w:w="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(13,065)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5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(16,788)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Borders>
              <w:top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59"/>
        </w:trPr>
        <w:tc>
          <w:tcPr>
            <w:tcW w:w="716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61,065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716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61,065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per share from continuing operations — basic</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Loss per share from continuing operations — diluted</w:t>
            </w: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34"/>
        </w:trPr>
        <w:tc>
          <w:tcPr>
            <w:tcW w:w="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w:t>
            </w:r>
          </w:p>
        </w:tc>
        <w:tc>
          <w:tcPr>
            <w:tcW w:w="632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Accounts receivable and contracts in progress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4"/>
          </w:tcPr>
          <w:p>
            <w:pPr>
              <w:spacing w:after="0"/>
              <w:rPr>
                <w:sz w:val="20"/>
                <w:szCs w:val="20"/>
                <w:color w:val="auto"/>
              </w:rPr>
            </w:pPr>
            <w:r>
              <w:rPr>
                <w:rFonts w:ascii="Arial" w:cs="Arial" w:eastAsia="Arial" w:hAnsi="Arial"/>
                <w:sz w:val="18"/>
                <w:szCs w:val="18"/>
                <w:color w:val="auto"/>
              </w:rPr>
              <w:t>Accounts receivable at March 31, 2017 and December 31, 2016 are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57,039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53,137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18,021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21,399</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96,607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93,263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FF0FC"/>
          </w:tcPr>
          <w:p>
            <w:pPr>
              <w:spacing w:after="0"/>
              <w:rPr>
                <w:sz w:val="19"/>
                <w:szCs w:val="19"/>
                <w:color w:val="auto"/>
              </w:rPr>
            </w:pPr>
          </w:p>
        </w:tc>
        <w:tc>
          <w:tcPr>
            <w:tcW w:w="11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gridSpan w:val="2"/>
          </w:tcPr>
          <w:p>
            <w:pPr>
              <w:ind w:left="880"/>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95,860</w:t>
            </w:r>
          </w:p>
        </w:tc>
        <w:tc>
          <w:tcPr>
            <w:tcW w:w="2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92,516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88,091</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4,475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95,860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92,516</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2017 and December 31, 2016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553,027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587,371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(499,249)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(511,548)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53,778</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75,696</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(341,000)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332,107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$17,860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than our expectations, we could sustain a loss of part or all of the costs incurred related to this project. Additionally, the timing of realization may be impacted by a delay in the sale of these environmental credits, resulting in a longer period to recover our investment.</w:t>
      </w:r>
    </w:p>
    <w:p>
      <w:pPr>
        <w:spacing w:after="0" w:line="15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2017 and December 31, 2016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21,996</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Surety bond claim</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 in joint ventures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completion adjustment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Fuel hedge contracts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Credit Parties are also restricted in the amount of capital expenditures they may make in each of the next three fiscal years.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 provided that the maturity date would be accelerated to November 3, 2018 if the Company fails to refinance its unsecured senior notes that mature February 1, 2019. The refinanced notes must have a maturity on or after March 31, 2020.</w:t>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and a valid perfected lien on all domestic accounts receivable and substantially all other assets of the Credit Parties, subject to the permitted liens and interests of other parties (including the Company’s surety bonding provider).</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March 31, 2017, the Company had $115,500 of borrowings on the revolver and $62,695 of letters of credit outstanding, resulting in $45,121 of availability under the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revolving credit agreement and term loan facility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conjunction with the Credit Agreement entered into on December 30, 2016, the senior revolving credit agreement with an aggregate principal amount of up to $199,000 and the senior secured term loan facility consisting of a term loan in an aggregate principal amount of $50,000 were paid in full. Depending on the Company’s consolidated leverage ratio, previous borrowings under the revolving credit facility beared interest at the option of the Company at either a LIBOR rate plus a margin of between 1.50% to 2.50% per annum or a base rate plus a margin of between 0.50% to 1.50% per annum. The previous borrowings under the senior secured term loan facility beared interest at a fixed rate of 4.655% per annum.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outstanding $275,000 of 7.375% senior notes due February 2019. There is an optional redemption on all notes. The redemption prices are 103.7% in 2015, 101.8% in 2016 and 100% in any year following, until the notes mature in 2019. Interest is paid semi-annually, and principal is due at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 The current portion of all equipment notes is $2,439. The long term portion is $14,021 and is included in notes payable or other long term liabilities.</w:t>
      </w:r>
    </w:p>
    <w:p>
      <w:pPr>
        <w:spacing w:after="0" w:line="148"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does not hold or issue derivatives for speculative or trading purposes. The fair values of these financial instruments are summarized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At March 31, 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At December 31, 2016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2017, the Company was party to various swap arrangements to hedge the price of a portion of its diesel fuel purchase requirements for work in its backlog to be performed through February 2018. As of March 31, 2017, there were 10.6 million gallons remaining on these contracts which represent approximately 80% of the Company’s forecasted domestic fuel purchases through February 2018. Under these swap agreements, the Company will pay fixed prices ranging from $1.49 to $1.76 per gallon.</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March 31, 2017 the fair value liability of the fuel hedge contracts was estimated to be $468 and is recorded in accrued expenses. At December 31, 2016, the fair value asset of the fuel hedge contracts was estimated to be $2,293 and is recorded in prepaid expenses and other current assets. For fuel hedge contracts considered to be highly effective, the losses reclassified to earnings from changes in fair value of derivatives, net of cash settlements and taxes, for the three months ended March 31, 2017 were $40. The remaining gains and losses included in accumulated other comprehensive loss at March 31, 2017 will be reclassified into earnings over the next eleven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fair value of the fuel hedge contracts outstanding as of March 31, 2017 and December 31, 2016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234"/>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80" w:type="dxa"/>
            <w:vAlign w:val="bottom"/>
            <w:gridSpan w:val="2"/>
          </w:tcPr>
          <w:p>
            <w:pPr>
              <w:ind w:left="320"/>
              <w:spacing w:after="0"/>
              <w:rPr>
                <w:sz w:val="20"/>
                <w:szCs w:val="20"/>
                <w:color w:val="auto"/>
              </w:rPr>
            </w:pPr>
            <w:r>
              <w:rPr>
                <w:rFonts w:ascii="Arial" w:cs="Arial" w:eastAsia="Arial" w:hAnsi="Arial"/>
                <w:sz w:val="14"/>
                <w:szCs w:val="14"/>
                <w:b w:val="1"/>
                <w:bCs w:val="1"/>
                <w:color w:val="auto"/>
              </w:rPr>
              <w:t>Balance Sheet Location</w:t>
            </w:r>
          </w:p>
        </w:tc>
        <w:tc>
          <w:tcPr>
            <w:tcW w:w="124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34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current assets</w:t>
            </w:r>
          </w:p>
        </w:tc>
        <w:tc>
          <w:tcPr>
            <w:tcW w:w="124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 derivatives</w:t>
            </w:r>
          </w:p>
        </w:tc>
        <w:tc>
          <w:tcPr>
            <w:tcW w:w="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Liability derivatives: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Derivatives designated as hedging</w:t>
            </w: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1240" w:type="dxa"/>
            <w:vAlign w:val="bottom"/>
            <w:gridSpan w:val="2"/>
          </w:tcPr>
          <w:p>
            <w:pPr>
              <w:jc w:val="right"/>
              <w:ind w:right="90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Derivatives not designated as hedging</w:t>
            </w: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instruments</w:t>
            </w:r>
          </w:p>
        </w:tc>
        <w:tc>
          <w:tcPr>
            <w:tcW w:w="34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Fuel hedge contracts</w:t>
            </w:r>
          </w:p>
        </w:tc>
        <w:tc>
          <w:tcPr>
            <w:tcW w:w="238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liability derivatives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w w:val="99"/>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1000" w:type="dxa"/>
            <w:vAlign w:val="bottom"/>
          </w:tcPr>
          <w:p>
            <w:pPr>
              <w:spacing w:after="0"/>
              <w:rPr>
                <w:sz w:val="13"/>
                <w:szCs w:val="13"/>
                <w:color w:val="auto"/>
              </w:rPr>
            </w:pPr>
          </w:p>
        </w:tc>
        <w:tc>
          <w:tcPr>
            <w:tcW w:w="108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jc w:val="right"/>
              <w:ind w:right="9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Reclassification of derivative losses to earnings—net of tax</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unrealized gain on derivatives—net of tax</w:t>
            </w:r>
          </w:p>
        </w:tc>
        <w:tc>
          <w:tcPr>
            <w:tcW w:w="100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0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Statement of Operations Location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6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300" w:type="dxa"/>
            <w:vAlign w:val="bottom"/>
            <w:tcBorders>
              <w:top w:val="single" w:sz="8" w:color="CFF0FC"/>
            </w:tcBorders>
            <w:shd w:val="clear" w:color="auto" w:fill="CFF0FC"/>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Costs of contract revenues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56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In January 2011 and again in November 2014, the Company issued a total of $275,000 of 7.375% senior notes due February 1, 2019, which were outstanding at March 31, 2017 (See Note 5). The senior notes are senior unsecured obligations of the Company and its subsidiaries that guarantee the senior notes. The fair value of the senior notes was $272,608 at March 31, 2017,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March 2017, the Company granted 612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$918 and $927 for the three months ended March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Beginning in the first quarter of 2017, the Company includes income taxes related to share-based compensation as a component of net income.</w:t>
      </w:r>
    </w:p>
    <w:p>
      <w:pPr>
        <w:spacing w:after="0" w:line="21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Liberty Mutual Insurance Company and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March 31, 2017, the Company had outstanding performance bonds with a notional amount of approximately $1,188,986, of which $44,934 relates to projects from the Company’s historical environmental &amp; infrastructure businesses. The revenue value remaining in backlog related to these projects totaled approximately $429,600.</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We expect that Zurich will draw upon the letter of credit. As the outstanding letters of credit previously reduced our availability under the revolving credit facility, this draw down on our letter of credit will not impact our liquidity or capital availability.</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10.</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6" w:name="page17"/>
    <w:bookmarkEnd w:id="16"/>
    <w:p>
      <w:pPr>
        <w:ind w:right="400"/>
        <w:spacing w:after="0" w:line="277" w:lineRule="auto"/>
        <w:rPr>
          <w:sz w:val="20"/>
          <w:szCs w:val="20"/>
          <w:color w:val="auto"/>
        </w:rPr>
      </w:pPr>
      <w:r>
        <w:rPr>
          <w:rFonts w:ascii="Arial" w:cs="Arial" w:eastAsia="Arial" w:hAnsi="Arial"/>
          <w:sz w:val="18"/>
          <w:szCs w:val="18"/>
          <w:color w:val="auto"/>
        </w:rPr>
        <w:t>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A legal action brought by the Company to enforce the buyer’s obligations under the sale agreement is described below.</w:t>
      </w:r>
    </w:p>
    <w:p>
      <w:pPr>
        <w:spacing w:after="0" w:line="181" w:lineRule="exact"/>
        <w:rPr>
          <w:sz w:val="20"/>
          <w:szCs w:val="20"/>
          <w:color w:val="auto"/>
        </w:rPr>
      </w:pPr>
    </w:p>
    <w:p>
      <w:pPr>
        <w:ind w:right="40" w:firstLine="45"/>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36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owns 50% of TerraSea Environmental Solutions (“TerraSea”) as a joint venture. TerraSea is engaged in the environmental services business through its ability to remediate contaminated soil and dredged sediment treatment. At March 31, 2017 and December 31, 2016, the Company had net advances to TerraSea of $24,703 and $24,696, respectively, which are recorded in prepaid expenses and other current assets. The Company has an accumulated deficit in joint ventures, which represents losses recognized to date in excess of our investment in TerraSea, of $17,016 at March 31, 2017 and December 31, 2016, which is presented in accrued expenses. The Company has commenced the wind down of TerraSea with its joint venture partner. The Company believes its remaining net advances to TerraSea are ultimately recoverable as an obligation of our joint venture partner. The Company accrued $2,634 at December 31, 2016, representing the estimated share of additional losses to be assumed from the joint venture. The joint venture partner and the Company have discussed resolution of the remaining net advances through additional funding of the joint venture. If those discussions do not lead to a resolution satisfactory to both parties, the joint venture partner and the Company will go to binding arbitration as stipulated by the TerraSea operating agreement. To the extent that net advances are not fully recoverable, additional losses may result in future periods. There are no remaining TerraSea projects at March 31, 2017.</w:t>
      </w:r>
    </w:p>
    <w:p>
      <w:pPr>
        <w:spacing w:after="0" w:line="27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The amount and timing of any realization of additional net proceeds has been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discussed in Note 8,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 estimated its exposure to a surety bond claim, including associated expenses, to be $20,900 and has recorded this amount during the first quarter of 2017 in discontinued operations as follows: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7" w:name="page18"/>
    <w:bookmarkEnd w:id="17"/>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6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Magnus Pacific acquisition</w:t>
      </w:r>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4, 2014, the Company acquired Magnus Pacific Corporation (“Magnus”), a California corporation, for an aggregate purchase price of approximately $40 million. Under the terms of the acquisition, the aggregate purchase price is satisfied by payment of $25,000 paid at closing, the issuance of a promissory note and an earnout payment.</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GLEI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GLEI is not expected to reach the minimum Adjusted EBITDA threshold designated in the amended share purchase agreement.</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fourth quarter of 2016, the Company sold assets associated with certain service lines of the environmental &amp; infrastructure segment’s business, excluding assets supporting the remediation service line.</w:t>
      </w:r>
    </w:p>
    <w:p>
      <w:pPr>
        <w:spacing w:after="0" w:line="153"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153,054</w:t>
            </w:r>
          </w:p>
        </w:tc>
        <w:tc>
          <w:tcPr>
            <w:tcW w:w="140" w:type="dxa"/>
            <w:vAlign w:val="bottom"/>
          </w:tcPr>
          <w:p>
            <w:pPr>
              <w:spacing w:after="0"/>
              <w:rPr>
                <w:sz w:val="19"/>
                <w:szCs w:val="19"/>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infrastructure</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(1,692)</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170,586</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Foreign dredging revenue of $19,154 for the three months ended March 31, 2017 was mostly attributable to work done in the Middle East. Foreign dredging revenue for the three months ended March 31, 2016 was $1,509.</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18" w:name="page19"/>
    <w:bookmarkEnd w:id="18"/>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long-term debt at March 31, 2017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38"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sheets as of March 31, 2017 and December 31, 2016;</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three months ended March 31, 2017 and 2016; and</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2017 and 2016.</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19" w:name="page20"/>
    <w:bookmarkEnd w:id="19"/>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MARCH 31, 2017</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6,439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79,838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SALE—Noncurrent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165,214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(178,847)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(537,051)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883,234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704,997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(715,898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877,627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172,375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179,753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(178,847)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345,970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473,469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(178,847)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646,099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(537,051)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704,997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0" w:name="page21"/>
    <w:bookmarkEnd w:id="20"/>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Non-Guarantor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11,037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305,091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307,226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SALE—Noncurrent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(100,747)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(639,911)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899,714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725,509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(740,658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167,129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NOTE PAYABLE</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477,619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(639,911)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899,714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725,509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(740,658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4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LOSS FOR THE THREE MONTHS ENDED MARCH 31,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72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170,451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170,586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(153,173)</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assets—net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(5,571)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joint ventures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99"/>
              </w:rPr>
              <w:t>Loss from continuing operations before income taxes</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w w:val="95"/>
              </w:rPr>
              <w:t>Loss from discontinued operations, net of income taxes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(20,900)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(20,945)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(17,550)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980" w:type="dxa"/>
            <w:vAlign w:val="bottom"/>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163,579</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163,119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(142,183)</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assets—net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Equity in loss of subsidiaries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3" w:name="page24"/>
    <w:bookmarkEnd w:id="23"/>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2017</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(9,535)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(17,452)</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Changes in restricted cash</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(82,783)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Transfer to parent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(81,000)</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Deferred financing fees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(82,783)</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 to parent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(81,000)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(4,598)</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ind w:left="72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4" w:name="page25"/>
    <w:bookmarkEnd w:id="24"/>
    <w:p>
      <w:pPr>
        <w:ind w:right="538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14,147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(14,917)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(26,753)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Cash provided by investing activities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term loan facility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 to parent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(23,000)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Cash provided by (used in)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2016,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42% over the prior three years, including 61%, 39%, 27% and 38% of the domestic capital, coastal protection, maintenance and rivers &amp; lakes sectors,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three months of 2017, the Company’s dredging revenues earned from contracts with federal government agencies, including the Corps as well as other federal entities such as the U.S. Coast Guard and the U.S. Navy were approximately 73% of dredging revenues, above the Company’s prior three year average of 66%.</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environmental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which is comprised of Great Lakes Environmental &amp; Infrastructure, LLC (“GLEI”) and Terra Contracting Services, LLC (“Terra”), accounted for 11% of total revenues in the first three months of 2017.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right="600"/>
        <w:spacing w:after="0" w:line="27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The Company has determined that dredging, GLEI and Terra are the Company’s three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from continuing operations, as defined below, as a percentage of contract revenues for the three months ended March 31, 2017 and 2016:</w:t>
      </w:r>
    </w:p>
    <w:p>
      <w:pPr>
        <w:spacing w:after="0" w:line="243"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540" w:type="dxa"/>
            <w:vAlign w:val="bottom"/>
            <w:gridSpan w:val="2"/>
          </w:tcPr>
          <w:p>
            <w:pPr>
              <w:spacing w:after="0"/>
              <w:rPr>
                <w:sz w:val="13"/>
                <w:szCs w:val="13"/>
                <w:color w:val="auto"/>
              </w:rPr>
            </w:pPr>
          </w:p>
        </w:tc>
        <w:tc>
          <w:tcPr>
            <w:tcW w:w="9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ind w:left="580"/>
              <w:spacing w:after="0"/>
              <w:rPr>
                <w:sz w:val="20"/>
                <w:szCs w:val="20"/>
                <w:color w:val="auto"/>
              </w:rPr>
            </w:pPr>
            <w:r>
              <w:rPr>
                <w:rFonts w:ascii="Arial" w:cs="Arial" w:eastAsia="Arial" w:hAnsi="Arial"/>
                <w:sz w:val="18"/>
                <w:szCs w:val="18"/>
                <w:color w:val="auto"/>
              </w:rPr>
              <w:t>Contract revenues</w:t>
            </w:r>
          </w:p>
        </w:tc>
        <w:tc>
          <w:tcPr>
            <w:tcW w:w="9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(90.5)</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loss on sale of assets—net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w:t>
            </w: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960" w:type="dxa"/>
            <w:vAlign w:val="bottom"/>
            <w:tcBorders>
              <w:top w:val="single" w:sz="8" w:color="CFF0FC"/>
              <w:bottom w:val="single" w:sz="8" w:color="CFF0FC"/>
            </w:tcBorders>
            <w:vMerge w:val="restart"/>
          </w:tcPr>
          <w:p>
            <w:pPr>
              <w:ind w:left="5040"/>
              <w:spacing w:after="0"/>
              <w:rPr>
                <w:sz w:val="20"/>
                <w:szCs w:val="20"/>
                <w:color w:val="auto"/>
              </w:rPr>
            </w:pPr>
            <w:r>
              <w:rPr>
                <w:rFonts w:ascii="Arial" w:cs="Arial" w:eastAsia="Arial" w:hAnsi="Arial"/>
                <w:sz w:val="18"/>
                <w:szCs w:val="18"/>
                <w:color w:val="auto"/>
              </w:rPr>
              <w:t>27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7" w:name="page28"/>
    <w:bookmarkEnd w:id="27"/>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the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5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ind w:right="49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8"/>
                <w:szCs w:val="18"/>
                <w:color w:val="auto"/>
              </w:rPr>
            </w:pPr>
          </w:p>
        </w:tc>
      </w:tr>
      <w:tr>
        <w:trPr>
          <w:trHeight w:val="156"/>
        </w:trPr>
        <w:tc>
          <w:tcPr>
            <w:tcW w:w="5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(in thousands)</w:t>
            </w:r>
          </w:p>
        </w:tc>
        <w:tc>
          <w:tcPr>
            <w:tcW w:w="15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(16,788)</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(4,035)</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9"/>
              </w:rPr>
              <w:t>(13,065)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5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Adjusted for:</w:t>
            </w:r>
          </w:p>
        </w:tc>
        <w:tc>
          <w:tcPr>
            <w:tcW w:w="1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Interest expense—net</w:t>
            </w:r>
          </w:p>
        </w:tc>
        <w:tc>
          <w:tcPr>
            <w:tcW w:w="1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5,721</w:t>
            </w:r>
          </w:p>
        </w:tc>
        <w:tc>
          <w:tcPr>
            <w:tcW w:w="120" w:type="dxa"/>
            <w:vAlign w:val="bottom"/>
          </w:tcPr>
          <w:p>
            <w:pPr>
              <w:spacing w:after="0"/>
              <w:rPr>
                <w:sz w:val="19"/>
                <w:szCs w:val="19"/>
                <w:color w:val="auto"/>
              </w:rPr>
            </w:pP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benefit</w:t>
            </w:r>
          </w:p>
        </w:tc>
        <w:tc>
          <w:tcPr>
            <w:tcW w:w="1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(2,653)</w:t>
            </w:r>
          </w:p>
        </w:tc>
      </w:tr>
      <w:tr>
        <w:trPr>
          <w:trHeight w:val="230"/>
        </w:trPr>
        <w:tc>
          <w:tcPr>
            <w:tcW w:w="5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14,571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12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5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14,156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vMerge w:val="continue"/>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66,601</w:t>
            </w:r>
          </w:p>
        </w:tc>
        <w:tc>
          <w:tcPr>
            <w:tcW w:w="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51,937</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1,169.3%</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47,213</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37,583</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6,771</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145,013</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19,090</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(984)</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170,586</w:t>
            </w:r>
          </w:p>
        </w:tc>
        <w:tc>
          <w:tcPr>
            <w:tcW w:w="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163,119</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the three months ended March 31, 2017, total revenue was $170.6 million, up from $163.1 million for the same period in the prior year, representing an increase of $7.5 million or 5%. For the three months ended March 31, 2017, the Company experienced increases in domestic capital, foreign capital and environmental &amp; infrastructure revenues which were partially offset by decreases in coastal protection, maintenance and rivers &amp; lakes revenues.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ind w:right="40"/>
        <w:spacing w:after="0" w:line="290"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Domestic capital dredging for the three months ended March 31, 2017 was $66.6 million compared to $51.9 million for the same period in 2016. The increase in domestic capital dredging revenues for the three months ended March 31, 2017 was largely attributable to revenue earned on coastal restoration projects in Louisiana and the Savannah Harbor deepening project. The increased revenue from these projects during the first quarter of 2017 was partially offset by greater revenue earned on a liquefied natural gas (“LNG”) project in Texas during the same period of 2016. Further, work on a deepening project on the Delaware River and a project in Florida also contributed to revenue for the three months ended March 31, 2017.</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first quarter of 2017, foreign dredging was $19.2 million, an increase of $17.6 million, as compared to the same period in the prior year. Revenue for the three months ended March 31, 2017 was attributable to a project in Saudi Arabia, two projects in Bahrain and a project in Brazil. In comparison, revenue for the first three months of 2016 was driven by the final stages of demobilization on the Suez Canal project.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Coastal protection projects generally involve moving sand from the ocean floor to shoreline locations where erosion threatens shoreline assets. Coastal protection revenue for the three months ended March 31, 2017 was $40.3 million, down $6.9 million or 15%, from $47.2 million for the first three months of 2016. The decrease in coastal protection revenue for the first three months of 2017 was attributable to a lower amount of revenue earned on large projects in New Jersey and New York for the repair of shorelines damaged as a result of Superstorm Sandy and recent winter storms as compared to the first quarter of 2016. In addition, the prior year included revenue from projects in Florida that were not worked in the current year. This decrease was partially offset by greater revenue earned on a coastal protection project in Virginia. A project in Delaware also contributed to revenue during the first quarter of 2017.</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Maintenance revenue for the first quarter of 2017 was $21.9 million, down $15.7 million, or 42%, from $37.6 million for the same period in the prior year. The decrease in maintenance dredging revenues for the first three months of 2017 was mostly attributable to prior year revenue earned on large projects in Georgia, Florida and Massachusetts that did not repeat during the current year. The decrease was partially offset by a greater amount of maintenance revenue earned in New York and New Jersey as compared to the first quarter of 2016. Maintenance projects in Maryland, North Carolina, Pennsylvania, Florida and Delaware also contributed to revenue during the first three months of 2017.</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Rivers &amp; lakes revenue for the three months ended March 31, 2017 was $5.1 million, down $1.7 million, or 25%, from $6.8 million in the first quarter of 2016. The decrease in rivers &amp; lakes revenue for the first three months of 2017 was driven by a greater amount of revenue earned on a reservoir project in Kansas, which was able to operate during the winter months, in the prior year. This decrease was partially offset by revenue earned on projects in New Jersey, Florida, Mississippi and Illinois.</w:t>
      </w:r>
    </w:p>
    <w:p>
      <w:pPr>
        <w:spacing w:after="0" w:line="17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environmental &amp; infrastructure segment’s services include environmental and geotechnical construction, specifically, slurry wall construction, in-situ stabilization, large scale reclamation and habitat restoration. In addition, the segment provides remediation services which involve the containment, immobilization or removal of contamination from an environment through the use of any combination of isolation, treatment or exhumation techniques, including off-site disposal, based on the quantity and severity of the contamination. For the three months ended March 31, 2017, the environmental &amp; infrastructure segment recorded revenues of $19.2 million, a $0.1 million, or 1%, increase from $19.1 million for the same prior year period. Environmental</w:t>
      </w:r>
    </w:p>
    <w:p>
      <w:pPr>
        <w:spacing w:after="0" w:line="2" w:lineRule="exact"/>
        <w:rPr>
          <w:sz w:val="20"/>
          <w:szCs w:val="20"/>
          <w:color w:val="auto"/>
        </w:rPr>
      </w:pPr>
    </w:p>
    <w:p>
      <w:pPr>
        <w:ind w:firstLine="8"/>
        <w:spacing w:after="0" w:line="253"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infrastructure revenue for the first three months of 2017 included work on remediation projects in Florida, New Jersey and Colorado and a geotechnical project in California. Revenue on these projects was mostly offset by a greater amount of revenue earned in the environmental &amp; infrastructure’s service lines during the first quarter of 2016. During the fourth quarter of 2016, the Company sold assets associated with certain service lines of the environmental &amp; infrastructure segment’s business, excluding assets supporting the remediation service line. Further, a greater amount of revenue was earned on a large mine project in Washington during the prior year period.</w:t>
      </w:r>
    </w:p>
    <w:p>
      <w:pPr>
        <w:spacing w:after="0" w:line="19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Consolidated gross profit for the three months ended March 31, 2017 was $16.2 million, down $3.8 million or 19%, compared to $20.0 million in the same period of the prior year. Gross profit margin for the three months ended March 31, 2017 decreased to 9.5% from 12.3% in the first quarter of 2016. The decrease in gross profit for the three months ended March 31, 2017 was attributable to fewer domestic dredging projects with strong performance and higher maintenance expense, driven by a higher number of dry dockings during the first quarter of 2017 than in the comparable quarter of the prior year. In comparison, the Company experienced strong performance on several coastal protection and maintenance projects during the prior year period. This decrease in gross profit was partially offset by stronger contract margins and lower overhead in the environmental &amp; infrastructure segment, primarily related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9" w:name="page30"/>
    <w:bookmarkEnd w:id="29"/>
    <w:p>
      <w:pPr>
        <w:ind w:right="680"/>
        <w:spacing w:after="0" w:line="308" w:lineRule="auto"/>
        <w:rPr>
          <w:sz w:val="20"/>
          <w:szCs w:val="20"/>
          <w:color w:val="auto"/>
        </w:rPr>
      </w:pPr>
      <w:r>
        <w:rPr>
          <w:rFonts w:ascii="Arial" w:cs="Arial" w:eastAsia="Arial" w:hAnsi="Arial"/>
          <w:sz w:val="17"/>
          <w:szCs w:val="17"/>
          <w:color w:val="auto"/>
        </w:rPr>
        <w:t>to improved absorption of the segment’s downsized fleet of equipment, and stronger margins on foreign capital and certain domestic capital projects, specifically coastal restoration projects in Louisiana, during the first quarter of 2017 as compared to the prior year period.</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2017 and 2016 totaled $16.8 million and $20.1 million, respectively. The $3.3 million change in general and administrative expenses was mostly attributable to a $2.4 million decrease in payroll and benefits primarily related to the service lines of the environmental &amp; infrastructure segment’s business sold in the fourth quarter of 2016 and a $1.3 million decrease in legal and professional fees during the first three months of 2017.</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March 31, 2017, the Company experienced an operating loss of $0.6 million, a change of $0.5 million, from an operating loss of $0.1 million in the same prior year period. The change in the Company’s operating loss for the first three months of 2017 was attributable to a decrease in gross profit partially offset by a decrease in general and administrative expenses, as described above.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interest expense for the three months ended March 31, 2017 was $5.6 million, down $0.1 million, or 2%, from interest expense of $5.7 million for the same period in the prior year. The change in interest expense was mostly attributable to a decrease in expense related to the Company’s senior secured term loan facility, which was paid in full during the fourth quarter of 2016, mostly offset by an increase in expense associated with the Company’s revolving credit facility.</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three months ended March 31, 2017 and 2016, the income tax benefit was $2.3 million and $2.7 million, respectively. The effective tax rate for the three months ended March 31, 2017 was 37.9%, in line with the effective tax rate of 39.7% for the same period of 2016.</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experienced a net loss from continuing operations of $3.7 million and a diluted loss per share attributable to continuing operations of $0.06 for the three months ended March 31, 2017, compared to a net loss from continuing operations of $4.0 million and a diluted loss per share attributable to continuing operations of $0.07 for the same period of 2016. The change in net loss from continuing operations for the first three months of 2017 was driven by the change in operating loss, as described above, partially offset by a $1.1 million improvement in equity in earnings (loss) of joint ventures and other income (expense) during the current year period.</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Adjusted EBITDA from continuing operations (as defined on page 28) for the three months ended March 31, 2017 was $14.2 million, up $1.2 million, or 9%, from Adjusted EBITDA from continuing operations of $13.0 million for the same prior year period. The change in Adjusted EBITDA from continuing operations during the current year period was attributable to the positive change in equity in earnings (loss) of joint ventures and other income (expense) and a decrease in general and administrative expenses partially offset by lower gross profit, as described above, compared to the first quarter of 2016.</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Dredging segment revenues for the three months ended March 31, 2017 were $153.1 million, up $8.0 million, or 6%, compared to revenues of $145.0 million for the same prior year period. For the three months ended March 31, 2017, the dredging segment experienced increases in domestic and foreign capital revenues which were partially offset by decreases in maintenance, coastal protection and rivers &amp; lakes revenues. The increase in current year revenues was driven by coastal restoration projects in Louisiana, the Savannah Harbor deepening project and a foreign capital project in Saudi Arabia. In comparison, revenue during the first three months of 2016 was driven by a greater amount of revenue earned on large coastal protection projects in New Jersey and New York for the repair of shorelines damaged as a result of Superstorm Sandy and recent winter storm events, maintenance work in Georgia, Florida and Massachusetts and a reservoir project in Kansas.</w:t>
      </w:r>
    </w:p>
    <w:p>
      <w:pPr>
        <w:spacing w:after="0" w:line="18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For the three months ended March 31, 2017, the dredging segment gross profit was $14.5 million, down from a gross profit of $23.4 million in the same period of 2016. Further, dredging segment gross profit margin for the three months ended March 31, 2017 decreased to 9.5% from gross profit margin of 16.1% for the first quarter of 2016. The decrease in dredging segment gross profit for the three months ended March 31, 2017 was attributable to fewer domestic dredging projects with strong performance and higher maintenance expense, driven by a higher number of dry dockings during the first quarter of 2017 than in the comparable quarter of the prior year. In comparison, the Company experienced strong performance on several coastal protection and maintenance projects during the prior year period. This decrease in gross profit was partially offset by stronger margins on foreign capital and certain domestic capital projects, specifically coastal restoration projects in Louisiana as compared to the prior year period.</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three months ended March 31, 2017, operating income was $2.1 million, an $8.5 million decrease from $10.6 million in the first three months of 2016. The change in operating income for the first three months of 2017 is the result of lower gross profit,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540"/>
        <w:spacing w:after="0" w:line="277" w:lineRule="auto"/>
        <w:rPr>
          <w:sz w:val="20"/>
          <w:szCs w:val="20"/>
          <w:color w:val="auto"/>
        </w:rPr>
      </w:pPr>
      <w:r>
        <w:rPr>
          <w:rFonts w:ascii="Arial" w:cs="Arial" w:eastAsia="Arial" w:hAnsi="Arial"/>
          <w:sz w:val="18"/>
          <w:szCs w:val="18"/>
          <w:color w:val="auto"/>
        </w:rPr>
        <w:t>described above. The decrease in gross profit was partially offset by a decrease in general and administrative expenses, mostly related to a $0.9 million decrease in legal and professional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Environmental &amp; infrastructure segment revenues for the three months ended March 31, 2017 were $19.2 million, up $0.1 million, or 1%, from revenue of $19.1 million for the first three months of 2016. Environmental &amp; infrastructure revenues for the first three months of 2017 included work on remediation projects in Florida, New Jersey and Colorado and a geotechnical project in California. Revenue on these projects was mostly offset by a greater amount of revenue earned in the environmental &amp; infrastructure’s service lines during the first quarter of 2016. During the fourth quarter of 2016, the Company sold assets associated with certain service lines of the environmental &amp; infrastructure segment’s business, excluding assets supporting the remediation service line. Further, a greater amount of revenue was earned on a large mine project in Washington during the prior year period.</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environmental &amp; infrastructure segment experienced a gross profit of $1.7 million and a negative gross profit of $3.4 million for the three months ended March 31, 2017 and 2016, respectively. For the first three months of 2017, the environmental &amp; remediation segment experienced a gross profit margin of</w:t>
      </w:r>
    </w:p>
    <w:p>
      <w:pPr>
        <w:jc w:val="both"/>
        <w:ind w:right="60"/>
        <w:spacing w:after="0" w:line="255" w:lineRule="auto"/>
        <w:rPr>
          <w:sz w:val="20"/>
          <w:szCs w:val="20"/>
          <w:color w:val="auto"/>
        </w:rPr>
      </w:pPr>
      <w:r>
        <w:rPr>
          <w:rFonts w:ascii="Arial" w:cs="Arial" w:eastAsia="Arial" w:hAnsi="Arial"/>
          <w:sz w:val="18"/>
          <w:szCs w:val="18"/>
          <w:color w:val="auto"/>
        </w:rPr>
        <w:t>8.9% compared to a negative gross profit margin of 17.6% for the same period of the prior year. The change in gross profit during the current year period was driven by stronger contract margins and lower overhead, primarily related to improved absorption of the segment’s downsized fleet of equipment, during the first quarter of 2017 as compared to the prior year period.</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three months ended March 31, 2017, the environmental &amp; infrastructure segment experienced an operating loss of $2.7 million compared to an operating loss of $10.7 million for the same period of the prior year. The $8.0 million change in operating loss for the three months ended March 31, 2017 is mostly attributable to the improved gross profit, as described above, and a decrease in general and administrative expenses, specifically, a $1.9 million decrease in payroll and benefits primarily related to the service lines of the environmental &amp; infrastructure segment’s business which was sold in the fourth quarter of 2016 and $0.3 million decrease in legal and professional fees. Operating loss was also positively impacted by a $0.7 million improvement in other income (expense) during the current year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262,609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234,575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386,638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456,583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633,166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516,290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61% of the Company’s March 31, 2017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line="253" w:lineRule="auto"/>
        <w:rPr>
          <w:sz w:val="20"/>
          <w:szCs w:val="20"/>
          <w:color w:val="auto"/>
        </w:rPr>
      </w:pPr>
      <w:r>
        <w:rPr>
          <w:rFonts w:ascii="Arial" w:cs="Arial" w:eastAsia="Arial" w:hAnsi="Arial"/>
          <w:sz w:val="18"/>
          <w:szCs w:val="18"/>
          <w:color w:val="auto"/>
        </w:rPr>
        <w:t>The domestic dredging bid market for the 2017 quarter ended March 31, 2017 totaled $177.9 million. This represents an increase of $51.7 million compared to the first three months of 2016. Awards during the current year period include a coastal restoration project in the Gulf of Mexico, maintenance projects in Louisiana, Texas, North Carolina and Connecticut and a coastal protection project in New Jersey. The bid market for the three months ended March 31, 2017 was up compared to the prior year primarily due to the award of an $88 million coastal restoration project in the Gulf of Mexico during the first quarter of 2017. For the contracts awarded in the current year, the Company won 100%, or $11.2 million, of the coastal protection projects, 86%, or $88.5 million, of the domestic capital projects, 19%, or $12.0 million, of the maintenance projects and no rivers &amp; lakes projects through March 31, 2017. The Company won 63% of the overall domestic bid market for the first three months of 2017, which is above the Company’s prior three year average of 42%. Variability in contract wins from quarter to quarter is not unusual and one quarter’s win rate is generally not indicative of the win rate the Company is likely to achieve for a full year.</w:t>
      </w:r>
    </w:p>
    <w:p>
      <w:pPr>
        <w:spacing w:after="0" w:line="19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Company’s contracted dredging backlog was $456.6 million at March 31, 2017 compared to $467.7 million of backlog at December 31, 2016. These amounts do not reflect approximately $32.0 million of domestic low bids pending formal award and additional phases (“options”) pending on projects currently in backlog at March 31, 2017. At December 31, 2016 the amount of domestic low bids and options pending award was $24.6 million.</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Domestic capital dredging backlog at March 31, 2017 was $28.0 million higher than at December 31, 2016. During the first three months of 2017, the Company was awarded an $88 million coastal restoration project in the Gulf of Mexico. For the three months ended March 31, 2017, the Company continued to earn revenue on several coastal restoration projects in Louisiana, the Savannah Harbor deepening project and a deepening project on the Delaware River which were in backlog at December 31, 2016. The Company is encouraged by the new administration's focus on repairing and rebuilding America's infrastructure, including our nation's ports and waterways. The Panama Canal expansion was completed during the second quarter of 2016, which continues to put pressure on the ports on the East Coast to continue with their studies and plans to deepen and widen in anticipation of the post-Panamax vessels. The Company anticipates that Jacksonville will likely be the next port that will be let for bid, potentially in the third quarter of 2017. Further, Charleston and Port Everglades continue to look promising to potentially commence their port deepening projects in 2018. In April 2016, the federal court in New Orleans approved the October 2015 settlement, of approximately $20 billion, between the United States, the five Gulf States and BP for damages from the Deepwater Horizon oil spill. Louisiana will receive a minimum of $6.8 billion for claims related to natural resource damages under the Oil Pollution Act, Clean Water Act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Foreign capital dredging backlog at March 31, 2017 was $2.0 million lower than at December 31, 2016. During the first three months of 2017, the Company was awarded a sand supply project in the Middle East.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 Besides the Middle East, the Company is working on projects and continues to pursue ancillary work in South America where we have positioned a clamshell dredge and operate as a reputable regional provider. The Company expects the additional opportunities globally to provide a continued source of future international dredging revenue.</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Coastal protection dredging backlog at March 31, 2017 was $24.6 million lower than at December 31, 2016. In the first three months of 2017, the Company was awarded an option on a coastal protection project in New Jersey. In comparison, the Company was awarded a larger coastal protection project in Virginia during the prior year period. During the first three months of 2017, the Company continued to earn revenue on several large coastal protection projects in New Jersey and New York as well as on the large project in Virginia which were in backlog at December 31, 2016. Funding related to Northeastern U.S. beach replenishment continues to be released and the Company is anticipating these new dredging projects along the coast to extend through 2017. Federal and state government actions continue to support the repair and improvement of America’s coastline through the completion of protective beaches and berms.</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Maintenance dredging backlog was down $8.8 million from December 31, 2016. During the first three months of 2017, the Company was awarded maintenance projects in North Carolina, Maryland and Delaware. During the first three months of 2017, the Company continued to earn revenue on projects in Maryland, Pennsylvania, Florida and Delaware which were in backlog at December 31, 2016. Congressional leaders recently agreed to a budget for fiscal year 2017. The Company expects it to be sent to the President for his signature later this week or next. Despite the delay, the Company believes the budget agreed to by Congressional leaders would be beneficial to the Company because it provides for a record budget for the Corps of $6 billion and exceeds the increase in Harbor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t>Maintenance Trust Fund (“HMTF”) spending for maintenance dredging as required by the 2014 Water Resources and Development Act. Further, the House and the Senate passed the water resources development bill, rebranded as the Water Infrastructure Improvements for the Nation Act (“WIIN”) during the fourth quarter of 2016. WIIN emphasizes previous Water Resources Reform and Development Act (“WRRDA”) language which calls for full use of the HMTF for its intended purpose of maintaining future access to the waterways and ports that support our nation’s economy. Further, WIIN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2017 and beyond.</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Rivers &amp; lakes backlog at March 31, 2017 was down by $3.7 million from backlog at December 31, 2016. For the three months ended March 31, 2017, the Company continued to earn revenue on projects in New Jersey, Florida, Mississippi, Illinois and a reservoir project in Kansas which were in backlog at December 31, 2016. The Corps’ work plan for fiscal year 2017 includes several upper Mississippi River projects to open channels that are often clogged by silt and sediment from upstream, in addition to planned levee repair along the Mississippi River. Additionally, the Company’s rivers &amp; lakes dredges are well suited for inland marsh projects in Louisiana that are expected to be let to bid through the Coastal Protection and Restoration Authority over the next year.</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Environmental &amp; infrastructure services backlog increased $22.1 million from December 31, 2016. During the first three months of 2017, the Company was awarded a levee project in California, remediation projects in New Jersey and South Dakota and two geotechnical projects in California. For the three months ended March 31, 2017, the Company continued to earn revenue on remediation projects in Florida, New Jersey and Colorado which were in backlog at December 31, 2016. As part of the environmental &amp; infrastructure segment’s initiatives, the Company intends to focus on geographical expansion in the geotechnical services business. The Company anticipates an increase in levee work in 2017 due to the recent flooding in the Northwest. Additionally, the Company anticipates additional contracting opportunities arising from the transformation of the U.S. energy infrastructure, specifically related to the remediation requirements as mandated by the Environmental Protection Agency’s rule to regulate the disposal of coal combustion residuals from electric utilities promulgated in June 2015.</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cash provided by (used in) operating activities for the three months ended March 31, 2017 and 2016 totaled $(5.1) million and $3.0 million, respectively. Normal increases or decreases in the level of working capital relative to the level of operational activity impact cash flow from operating activities. The increase in cash used in operating activities in the first three months of 2017 compared to the same period in the prior year was driven by a greater investment in working capital during the current year period.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cash flows used in investing activities for the first three months of 2017 and 2016 totaled $10.2 million and $14.9 million, respectively. Investing activities in both periods primarily relate to normal course upgrades and capital maintenance of the Company’s dredging fleet. During the three months ended March 31, 2017, the Company spent $13.4 million on the construction of a dual mode articulated tug/barge trailing suction hopper dredge (“ATB”), compared to $8.4 million in the same period in the prior year. In connection with the termination of the Company’s former revolving credit facility, the Company was required to issue cash collateral of $7.0 million related to two letters of credit during the fourth quarter of 2016. During the first quarter of 2017, new letters of credit were issued under the Company’s new credit facility and the cash used to collateralize the previous letters of credit was paid back in full to the Company.</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cash flows provided by financing activities for the three months ended March 31, 2017 and 2016 totaled $10.9 million and $13.5 million, respectively. The decrease in net cash flows provided by financing activities is primarily due to net borrowings on the Company’s revolver during the first three months of 2017 of $11 million, compared to net borrowings of $15 million for the same period in the prior year. Further, the Company had a $1.5 million payment on the senior secured term loan facility during the prior year period. The senior secured term loan facility was paid in full during the fourth quarter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right="40"/>
        <w:spacing w:after="0" w:line="289" w:lineRule="auto"/>
        <w:rPr>
          <w:sz w:val="20"/>
          <w:szCs w:val="20"/>
          <w:color w:val="auto"/>
        </w:rPr>
      </w:pPr>
      <w:r>
        <w:rPr>
          <w:rFonts w:ascii="Arial" w:cs="Arial" w:eastAsia="Arial" w:hAnsi="Arial"/>
          <w:sz w:val="16"/>
          <w:szCs w:val="16"/>
          <w:color w:val="auto"/>
        </w:rPr>
        <w:t>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Credit Parties are also restricted in the amount of capital expenditures they may make in each of the next three fiscal years.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 provided that the maturity date would be accelerated to November 3, 2018 if the Company fails to refinance its unsecured senior notes that mature February 1, 2019. The refinanced notes must have a maturity on or after March 31, 2020.</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2017, the Company had $115.5 million of borrowings on the revolver and $62.7 million of letters of credit outstanding, resulting in $45.1 million of availability under the Credit Agreement. Borrowings under the line of credit may be limited based on the Company’s requirements to comply with its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 agreements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Liberty Mutual Insurance Company and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March 31, 2017, the Company had outstanding performance bonds totaling approximately $1,189.0 million, of which $44.9 million relates to projects from the Company’s historical environmental &amp; infrastructure businesses. The revenue value remaining in backlog related to these projects totaled approximately $429.6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We expect that Zurich will draw upon the letter of credit. As the outstanding letters of credit previously reduced our availability under the revolving credit facility, this draw down on our letter of credit will not impact our liquidity or capital availability.</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10 to the Company’s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original issuance of the senior notes were used to prepay all of the Company’s 7.75% senior subordinated notes due December 2013, including prepayment premiums and accrued and unpaid interest. In November 2014, the Company issued an additional $25 million in aggregate principal amount of its 7.375% senior notes due February 1, 2019. The proceeds from this issuance were used to repay indebtedness incurred under our senior secured revolving credit facility in connection with the acquisition of Magnus Pacific Corporation and for general corporate purposes.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to the Company’s December 31, 2016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2016.</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March 31, 2017 has not materially changed since December 31, 2016. The market risk profile of the Company on December 31, 2016 is disclosed in Item 7A. “Quantitative and Qualitative Disclosures about Market Risk” of the Company’s Annual Report on Form 10-K for the year ended December 31, 2016.</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2017.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March 31, 2017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three months ended March 31, 2017 to the risk factors previously disclosed in Item 1A. “Risk Factors”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tcPr>
          <w:p>
            <w:pPr>
              <w:ind w:left="200"/>
              <w:spacing w:after="0"/>
              <w:rPr>
                <w:sz w:val="20"/>
                <w:szCs w:val="20"/>
                <w:color w:val="auto"/>
              </w:rPr>
            </w:pPr>
            <w:r>
              <w:rPr>
                <w:rFonts w:ascii="Arial" w:cs="Arial" w:eastAsia="Arial" w:hAnsi="Arial"/>
                <w:sz w:val="18"/>
                <w:szCs w:val="18"/>
                <w:color w:val="auto"/>
                <w:w w:val="90"/>
              </w:rPr>
              <w:t>Second Amended and Restated Employment Agreement between Great Lakes Dredge &amp; Dock Corporation and Kyle D. Johnson, dated as of</w:t>
            </w:r>
          </w:p>
        </w:tc>
      </w:tr>
      <w:tr>
        <w:trPr>
          <w:trHeight w:val="230"/>
        </w:trPr>
        <w:tc>
          <w:tcPr>
            <w:tcW w:w="900" w:type="dxa"/>
            <w:vAlign w:val="bottom"/>
          </w:tcPr>
          <w:p>
            <w:pPr>
              <w:spacing w:after="0"/>
              <w:rPr>
                <w:sz w:val="20"/>
                <w:szCs w:val="20"/>
                <w:color w:val="auto"/>
              </w:rPr>
            </w:pPr>
          </w:p>
        </w:tc>
        <w:tc>
          <w:tcPr>
            <w:tcW w:w="10360" w:type="dxa"/>
            <w:vAlign w:val="bottom"/>
          </w:tcPr>
          <w:p>
            <w:pPr>
              <w:ind w:left="200"/>
              <w:spacing w:after="0"/>
              <w:rPr>
                <w:sz w:val="20"/>
                <w:szCs w:val="20"/>
                <w:color w:val="auto"/>
              </w:rPr>
            </w:pPr>
            <w:r>
              <w:rPr>
                <w:rFonts w:ascii="Arial" w:cs="Arial" w:eastAsia="Arial" w:hAnsi="Arial"/>
                <w:sz w:val="18"/>
                <w:szCs w:val="18"/>
                <w:color w:val="auto"/>
              </w:rPr>
              <w:t>April 17, 2017.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360" w:type="dxa"/>
            <w:vAlign w:val="bottom"/>
          </w:tcPr>
          <w:p>
            <w:pPr>
              <w:ind w:left="200"/>
              <w:spacing w:after="0"/>
              <w:rPr>
                <w:sz w:val="20"/>
                <w:szCs w:val="20"/>
                <w:color w:val="auto"/>
              </w:rPr>
            </w:pPr>
            <w:r>
              <w:rPr>
                <w:rFonts w:ascii="Arial" w:cs="Arial" w:eastAsia="Arial" w:hAnsi="Arial"/>
                <w:sz w:val="18"/>
                <w:szCs w:val="18"/>
                <w:color w:val="auto"/>
              </w:rPr>
              <w:t>Consulting Agreement between Great Lakes Dredge &amp; Dock Corporation and Lasse Petterson, dated as of March 1, 2017.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360" w:type="dxa"/>
            <w:vAlign w:val="bottom"/>
          </w:tcPr>
          <w:p>
            <w:pPr>
              <w:ind w:left="200"/>
              <w:spacing w:after="0"/>
              <w:rPr>
                <w:sz w:val="20"/>
                <w:szCs w:val="20"/>
                <w:color w:val="auto"/>
              </w:rPr>
            </w:pPr>
            <w:r>
              <w:rPr>
                <w:rFonts w:ascii="Arial" w:cs="Arial" w:eastAsia="Arial" w:hAnsi="Arial"/>
                <w:sz w:val="18"/>
                <w:szCs w:val="18"/>
                <w:color w:val="auto"/>
                <w:w w:val="98"/>
              </w:rPr>
              <w:t>Employment Agreement between Great Lakes Dredge &amp; Dock Corporation and Lasse Petterson, dated as of April 28, 2017. † (1)</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20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0"/>
        </w:trPr>
        <w:tc>
          <w:tcPr>
            <w:tcW w:w="900" w:type="dxa"/>
            <w:vAlign w:val="bottom"/>
          </w:tcPr>
          <w:p>
            <w:pPr>
              <w:spacing w:after="0"/>
              <w:rPr>
                <w:sz w:val="20"/>
                <w:szCs w:val="20"/>
                <w:color w:val="auto"/>
              </w:rPr>
            </w:pPr>
          </w:p>
        </w:tc>
        <w:tc>
          <w:tcPr>
            <w:tcW w:w="1036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20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0"/>
        </w:trPr>
        <w:tc>
          <w:tcPr>
            <w:tcW w:w="900" w:type="dxa"/>
            <w:vAlign w:val="bottom"/>
          </w:tcPr>
          <w:p>
            <w:pPr>
              <w:spacing w:after="0"/>
              <w:rPr>
                <w:sz w:val="20"/>
                <w:szCs w:val="20"/>
                <w:color w:val="auto"/>
              </w:rPr>
            </w:pPr>
          </w:p>
        </w:tc>
        <w:tc>
          <w:tcPr>
            <w:tcW w:w="10360" w:type="dxa"/>
            <w:vAlign w:val="bottom"/>
          </w:tcPr>
          <w:p>
            <w:pPr>
              <w:ind w:left="200"/>
              <w:spacing w:after="0"/>
              <w:rPr>
                <w:sz w:val="20"/>
                <w:szCs w:val="20"/>
                <w:color w:val="auto"/>
              </w:rPr>
            </w:pPr>
            <w:r>
              <w:rPr>
                <w:rFonts w:ascii="Arial" w:cs="Arial" w:eastAsia="Arial" w:hAnsi="Arial"/>
                <w:sz w:val="18"/>
                <w:szCs w:val="18"/>
                <w:color w:val="auto"/>
              </w:rPr>
              <w:t>Sarbanes-Oxley Act of 2002.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00"/>
              <w:spacing w:after="0"/>
              <w:rPr>
                <w:sz w:val="20"/>
                <w:szCs w:val="20"/>
                <w:color w:val="auto"/>
              </w:rPr>
            </w:pPr>
            <w:r>
              <w:rPr>
                <w:rFonts w:ascii="Arial" w:cs="Arial" w:eastAsia="Arial" w:hAnsi="Arial"/>
                <w:sz w:val="18"/>
                <w:szCs w:val="18"/>
                <w:color w:val="auto"/>
              </w:rPr>
              <w:t>XBRL Instance Document.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00"/>
              <w:spacing w:after="0"/>
              <w:rPr>
                <w:sz w:val="20"/>
                <w:szCs w:val="20"/>
                <w:color w:val="auto"/>
              </w:rPr>
            </w:pPr>
            <w:r>
              <w:rPr>
                <w:rFonts w:ascii="Arial" w:cs="Arial" w:eastAsia="Arial" w:hAnsi="Arial"/>
                <w:sz w:val="18"/>
                <w:szCs w:val="18"/>
                <w:color w:val="auto"/>
              </w:rPr>
              <w:t>XBRL Taxonomy Extension Schema.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right="560" w:firstLine="8"/>
        <w:spacing w:after="0" w:line="258"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 2017 (Commission file no. 001-33225).</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513"/>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Number</w:t>
            </w:r>
          </w:p>
        </w:tc>
        <w:tc>
          <w:tcPr>
            <w:tcW w:w="380" w:type="dxa"/>
            <w:vAlign w:val="bottom"/>
          </w:tcPr>
          <w:p>
            <w:pPr>
              <w:spacing w:after="0"/>
              <w:rPr>
                <w:sz w:val="24"/>
                <w:szCs w:val="24"/>
                <w:color w:val="auto"/>
              </w:rPr>
            </w:pPr>
          </w:p>
        </w:tc>
        <w:tc>
          <w:tcPr>
            <w:tcW w:w="10340" w:type="dxa"/>
            <w:vAlign w:val="bottom"/>
            <w:tcBorders>
              <w:bottom w:val="single" w:sz="8" w:color="auto"/>
            </w:tcBorders>
          </w:tcPr>
          <w:p>
            <w:pPr>
              <w:ind w:left="4300"/>
              <w:spacing w:after="0"/>
              <w:rPr>
                <w:sz w:val="20"/>
                <w:szCs w:val="20"/>
                <w:color w:val="auto"/>
              </w:rPr>
            </w:pPr>
            <w:r>
              <w:rPr>
                <w:rFonts w:ascii="Arial" w:cs="Arial" w:eastAsia="Arial" w:hAnsi="Arial"/>
                <w:sz w:val="18"/>
                <w:szCs w:val="18"/>
                <w:b w:val="1"/>
                <w:bCs w:val="1"/>
                <w:color w:val="auto"/>
              </w:rPr>
              <w:t>Document Description</w:t>
            </w:r>
          </w:p>
        </w:tc>
      </w:tr>
      <w:tr>
        <w:trPr>
          <w:trHeight w:val="438"/>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w w:val="91"/>
              </w:rPr>
              <w:t>Second Amended and Restated Employment Agreement between Great Lakes Dredge &amp; Dock Corporation and Kyle D. Johnson, dated as of</w:t>
            </w:r>
          </w:p>
        </w:tc>
      </w:tr>
      <w:tr>
        <w:trPr>
          <w:trHeight w:val="230"/>
        </w:trPr>
        <w:tc>
          <w:tcPr>
            <w:tcW w:w="700" w:type="dxa"/>
            <w:vAlign w:val="bottom"/>
          </w:tcPr>
          <w:p>
            <w:pPr>
              <w:spacing w:after="0"/>
              <w:rPr>
                <w:sz w:val="20"/>
                <w:szCs w:val="20"/>
                <w:color w:val="auto"/>
              </w:rPr>
            </w:pP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April 17, 2017.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Consulting Agreement between Great Lakes Dredge &amp; Dock Corporation and Lasse Petterson, dated as of March 1, 2017.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Employment Agreement between Great Lakes Dredge &amp; Dock Corporation and Lasse Petterson, dated as of April 28, 2017. † (1)</w:t>
            </w:r>
          </w:p>
        </w:tc>
      </w:tr>
      <w:tr>
        <w:trPr>
          <w:trHeight w:val="44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w w:val="94"/>
              </w:rPr>
              <w:t>Certification Pursuant to Rules 13a-14 and 15d-14 under the Securities Exchange Act of 1934, as Adopted Pursuant to Section 302 of the</w:t>
            </w:r>
          </w:p>
        </w:tc>
      </w:tr>
      <w:tr>
        <w:trPr>
          <w:trHeight w:val="230"/>
        </w:trPr>
        <w:tc>
          <w:tcPr>
            <w:tcW w:w="700" w:type="dxa"/>
            <w:vAlign w:val="bottom"/>
          </w:tcPr>
          <w:p>
            <w:pPr>
              <w:spacing w:after="0"/>
              <w:rPr>
                <w:sz w:val="20"/>
                <w:szCs w:val="20"/>
                <w:color w:val="auto"/>
              </w:rPr>
            </w:pP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Sarbanes-Oxley Act of 2002. *</w:t>
            </w:r>
          </w:p>
        </w:tc>
      </w:tr>
      <w:tr>
        <w:trPr>
          <w:trHeight w:val="445"/>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w w:val="94"/>
              </w:rPr>
              <w:t>Certification Pursuant to Rules 13a-14 and 15d-14 under the Securities Exchange Act of 1934, as Adopted Pursuant to Section 302 of the</w:t>
            </w:r>
          </w:p>
        </w:tc>
      </w:tr>
      <w:tr>
        <w:trPr>
          <w:trHeight w:val="230"/>
        </w:trPr>
        <w:tc>
          <w:tcPr>
            <w:tcW w:w="700" w:type="dxa"/>
            <w:vAlign w:val="bottom"/>
          </w:tcPr>
          <w:p>
            <w:pPr>
              <w:spacing w:after="0"/>
              <w:rPr>
                <w:sz w:val="20"/>
                <w:szCs w:val="20"/>
                <w:color w:val="auto"/>
              </w:rPr>
            </w:pP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Sarbanes-Oxley Act of 2002.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101.INS</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Instance Document.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3"/>
              </w:rPr>
              <w:t>101.SCH</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Schema.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7"/>
              </w:rPr>
              <w:t>101.CAL</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Calculation Linkbase.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5"/>
              </w:rPr>
              <w:t>101.DEF</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Definition Linkbase.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8"/>
              </w:rPr>
              <w:t>101.LAB</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Label Linkbase. *</w:t>
            </w:r>
          </w:p>
        </w:tc>
      </w:tr>
      <w:tr>
        <w:trPr>
          <w:trHeight w:val="473"/>
        </w:trPr>
        <w:tc>
          <w:tcPr>
            <w:tcW w:w="700" w:type="dxa"/>
            <w:vAlign w:val="bottom"/>
          </w:tcPr>
          <w:p>
            <w:pPr>
              <w:spacing w:after="0"/>
              <w:rPr>
                <w:sz w:val="20"/>
                <w:szCs w:val="20"/>
                <w:color w:val="auto"/>
              </w:rPr>
            </w:pPr>
            <w:r>
              <w:rPr>
                <w:rFonts w:ascii="Arial" w:cs="Arial" w:eastAsia="Arial" w:hAnsi="Arial"/>
                <w:sz w:val="18"/>
                <w:szCs w:val="18"/>
                <w:color w:val="auto"/>
                <w:w w:val="94"/>
              </w:rPr>
              <w:t>101.PRE</w:t>
            </w:r>
          </w:p>
        </w:tc>
        <w:tc>
          <w:tcPr>
            <w:tcW w:w="1072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42" w:lineRule="exact"/>
        <w:rPr>
          <w:sz w:val="20"/>
          <w:szCs w:val="20"/>
          <w:color w:val="auto"/>
        </w:rPr>
      </w:pPr>
    </w:p>
    <w:p>
      <w:pPr>
        <w:ind w:right="720" w:firstLine="8"/>
        <w:spacing w:after="0" w:line="258"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 2017 (Commission file no. 001-33225).</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AMENDED AND RESTATED EMPLOYMENT AGREEMENT</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AMENDED AND RESTATED EMPLOYMENT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is made as of the 17th day of April, 2017 (the “</w:t>
      </w:r>
      <w:r>
        <w:rPr>
          <w:rFonts w:ascii="Arial" w:cs="Arial" w:eastAsia="Arial" w:hAnsi="Arial"/>
          <w:sz w:val="22"/>
          <w:szCs w:val="22"/>
          <w:b w:val="1"/>
          <w:bCs w:val="1"/>
          <w:color w:val="auto"/>
        </w:rPr>
        <w:t>Agreement Date</w:t>
      </w:r>
      <w:r>
        <w:rPr>
          <w:rFonts w:ascii="Arial" w:cs="Arial" w:eastAsia="Arial" w:hAnsi="Arial"/>
          <w:sz w:val="22"/>
          <w:szCs w:val="22"/>
          <w:color w:val="auto"/>
        </w:rPr>
        <w:t>”), by and between Great Lakes Dredge &amp; Dock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with and on behalf of its wholly-owned subsidiary, Great Lakes Dredge &amp; Dock Company, LLC (“</w:t>
      </w:r>
      <w:r>
        <w:rPr>
          <w:rFonts w:ascii="Arial" w:cs="Arial" w:eastAsia="Arial" w:hAnsi="Arial"/>
          <w:sz w:val="22"/>
          <w:szCs w:val="22"/>
          <w:b w:val="1"/>
          <w:bCs w:val="1"/>
          <w:color w:val="auto"/>
        </w:rPr>
        <w:t>GLDD LLC</w:t>
      </w:r>
      <w:r>
        <w:rPr>
          <w:rFonts w:ascii="Arial" w:cs="Arial" w:eastAsia="Arial" w:hAnsi="Arial"/>
          <w:sz w:val="22"/>
          <w:szCs w:val="22"/>
          <w:color w:val="auto"/>
        </w:rPr>
        <w:t>”) (together, the “</w:t>
      </w:r>
      <w:r>
        <w:rPr>
          <w:rFonts w:ascii="Arial" w:cs="Arial" w:eastAsia="Arial" w:hAnsi="Arial"/>
          <w:sz w:val="22"/>
          <w:szCs w:val="22"/>
          <w:b w:val="1"/>
          <w:bCs w:val="1"/>
          <w:color w:val="auto"/>
        </w:rPr>
        <w:t>Company</w:t>
      </w:r>
      <w:r>
        <w:rPr>
          <w:rFonts w:ascii="Arial" w:cs="Arial" w:eastAsia="Arial" w:hAnsi="Arial"/>
          <w:sz w:val="22"/>
          <w:szCs w:val="22"/>
          <w:color w:val="auto"/>
        </w:rPr>
        <w:t>”), and Kyle D. Johnson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is currently employed by the Company;</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Executive and the Company have previously agreed to and operated under the terms of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April 26, 2012 as amended by the Amended and Restated Employment Agreement on May 8, 2014 (as amended, the “</w:t>
      </w:r>
      <w:r>
        <w:rPr>
          <w:rFonts w:ascii="Arial" w:cs="Arial" w:eastAsia="Arial" w:hAnsi="Arial"/>
          <w:sz w:val="22"/>
          <w:szCs w:val="22"/>
          <w:b w:val="1"/>
          <w:bCs w:val="1"/>
          <w:color w:val="auto"/>
        </w:rPr>
        <w:t>Original Agreement</w:t>
      </w:r>
      <w:r>
        <w:rPr>
          <w:rFonts w:ascii="Arial" w:cs="Arial" w:eastAsia="Arial" w:hAnsi="Arial"/>
          <w:sz w:val="22"/>
          <w:szCs w:val="22"/>
          <w:color w:val="auto"/>
        </w:rPr>
        <w:t>”); and</w:t>
      </w:r>
    </w:p>
    <w:p>
      <w:pPr>
        <w:spacing w:after="0" w:line="177"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Executive and the Company agree to amend and restate the Original Agreement in its entirety by setting</w:t>
      </w:r>
      <w:r>
        <w:rPr>
          <w:rFonts w:ascii="Arial" w:cs="Arial" w:eastAsia="Arial" w:hAnsi="Arial"/>
          <w:sz w:val="21"/>
          <w:szCs w:val="21"/>
          <w:b w:val="1"/>
          <w:bCs w:val="1"/>
          <w:color w:val="auto"/>
        </w:rPr>
        <w:t xml:space="preserve"> </w:t>
      </w:r>
      <w:r>
        <w:rPr>
          <w:rFonts w:ascii="Arial" w:cs="Arial" w:eastAsia="Arial" w:hAnsi="Arial"/>
          <w:sz w:val="21"/>
          <w:szCs w:val="21"/>
          <w:color w:val="auto"/>
        </w:rPr>
        <w:t>forth the terms and conditions of their agreements and understandings in this Agreement, which shall replace and supersede all terms and conditions contained within the Original Agreement as of the date first written above.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foregoing promises and the respective agreements of Executive and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Company set forth below, Executive and the Company, intending to be legally bound, agree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SERVICES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Term of Employment</w:t>
      </w:r>
    </w:p>
    <w:p>
      <w:pPr>
        <w:spacing w:after="0" w:line="206" w:lineRule="exact"/>
        <w:rPr>
          <w:sz w:val="20"/>
          <w:szCs w:val="20"/>
          <w:color w:val="auto"/>
        </w:rPr>
      </w:pPr>
    </w:p>
    <w:p>
      <w:pPr>
        <w:jc w:val="both"/>
        <w:ind w:firstLine="885"/>
        <w:spacing w:after="0" w:line="235" w:lineRule="auto"/>
        <w:tabs>
          <w:tab w:leader="none" w:pos="1089" w:val="left"/>
        </w:tabs>
        <w:numPr>
          <w:ilvl w:val="0"/>
          <w:numId w:val="19"/>
        </w:numPr>
        <w:rPr>
          <w:rFonts w:ascii="Arial" w:cs="Arial" w:eastAsia="Arial" w:hAnsi="Arial"/>
          <w:sz w:val="22"/>
          <w:szCs w:val="22"/>
          <w:color w:val="auto"/>
        </w:rPr>
      </w:pPr>
      <w:r>
        <w:rPr>
          <w:rFonts w:ascii="Arial" w:cs="Arial" w:eastAsia="Arial" w:hAnsi="Arial"/>
          <w:sz w:val="22"/>
          <w:szCs w:val="22"/>
          <w:color w:val="auto"/>
        </w:rPr>
        <w:t>Executive’s employment under this Agreement shall commence on April 17</w:t>
      </w:r>
      <w:r>
        <w:rPr>
          <w:rFonts w:ascii="Arial" w:cs="Arial" w:eastAsia="Arial" w:hAnsi="Arial"/>
          <w:sz w:val="22"/>
          <w:szCs w:val="22"/>
          <w:i w:val="1"/>
          <w:iCs w:val="1"/>
          <w:color w:val="auto"/>
        </w:rPr>
        <w:t>,</w:t>
      </w:r>
      <w:r>
        <w:rPr>
          <w:rFonts w:ascii="Arial" w:cs="Arial" w:eastAsia="Arial" w:hAnsi="Arial"/>
          <w:sz w:val="22"/>
          <w:szCs w:val="22"/>
          <w:color w:val="auto"/>
        </w:rPr>
        <w:t xml:space="preserve"> 2017 (the “</w:t>
      </w:r>
      <w:r>
        <w:rPr>
          <w:rFonts w:ascii="Arial" w:cs="Arial" w:eastAsia="Arial" w:hAnsi="Arial"/>
          <w:sz w:val="22"/>
          <w:szCs w:val="22"/>
          <w:b w:val="1"/>
          <w:bCs w:val="1"/>
          <w:color w:val="auto"/>
        </w:rPr>
        <w:t>Start Date</w:t>
      </w:r>
      <w:r>
        <w:rPr>
          <w:rFonts w:ascii="Arial" w:cs="Arial" w:eastAsia="Arial" w:hAnsi="Arial"/>
          <w:sz w:val="22"/>
          <w:szCs w:val="22"/>
          <w:color w:val="auto"/>
        </w:rPr>
        <w:t xml:space="preserve">”) and continue until the second annual anniversary of such date, unless terminated earlier pursuant to </w:t>
      </w:r>
      <w:r>
        <w:rPr>
          <w:rFonts w:ascii="Arial" w:cs="Arial" w:eastAsia="Arial" w:hAnsi="Arial"/>
          <w:sz w:val="22"/>
          <w:szCs w:val="22"/>
          <w:b w:val="1"/>
          <w:bCs w:val="1"/>
          <w:color w:val="auto"/>
        </w:rPr>
        <w:t>Article III</w:t>
      </w:r>
      <w:r>
        <w:rPr>
          <w:rFonts w:ascii="Arial" w:cs="Arial" w:eastAsia="Arial" w:hAnsi="Arial"/>
          <w:sz w:val="22"/>
          <w:szCs w:val="22"/>
          <w:color w:val="auto"/>
        </w:rPr>
        <w:t xml:space="preserve"> herein (the “</w:t>
      </w:r>
      <w:r>
        <w:rPr>
          <w:rFonts w:ascii="Arial" w:cs="Arial" w:eastAsia="Arial" w:hAnsi="Arial"/>
          <w:sz w:val="22"/>
          <w:szCs w:val="22"/>
          <w:b w:val="1"/>
          <w:bCs w:val="1"/>
          <w:color w:val="auto"/>
        </w:rPr>
        <w:t>Initial Employment</w:t>
      </w:r>
      <w:r>
        <w:rPr>
          <w:rFonts w:ascii="Arial" w:cs="Arial" w:eastAsia="Arial" w:hAnsi="Arial"/>
          <w:sz w:val="22"/>
          <w:szCs w:val="22"/>
          <w:color w:val="auto"/>
        </w:rPr>
        <w:t xml:space="preserve"> </w:t>
      </w:r>
      <w:r>
        <w:rPr>
          <w:rFonts w:ascii="Arial" w:cs="Arial" w:eastAsia="Arial" w:hAnsi="Arial"/>
          <w:sz w:val="22"/>
          <w:szCs w:val="22"/>
          <w:b w:val="1"/>
          <w:bCs w:val="1"/>
          <w:color w:val="auto"/>
        </w:rPr>
        <w:t>Term</w:t>
      </w:r>
      <w:r>
        <w:rPr>
          <w:rFonts w:ascii="Arial" w:cs="Arial" w:eastAsia="Arial" w:hAnsi="Arial"/>
          <w:sz w:val="22"/>
          <w:szCs w:val="22"/>
          <w:color w:val="auto"/>
        </w:rPr>
        <w:t>”). The Employment Term shall be extended automatically for successive one-year periods unless, at least 90 days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of the Employment Term, either party gives written notice to the other party that he/it does not wish to renew the Agreement (such one year extension(s) and the Initial Employment Term to be, collectively, the “</w:t>
      </w:r>
      <w:r>
        <w:rPr>
          <w:rFonts w:ascii="Arial" w:cs="Arial" w:eastAsia="Arial" w:hAnsi="Arial"/>
          <w:sz w:val="22"/>
          <w:szCs w:val="22"/>
          <w:b w:val="1"/>
          <w:bCs w:val="1"/>
          <w:color w:val="auto"/>
        </w:rPr>
        <w:t>Employment Term</w:t>
      </w:r>
      <w:r>
        <w:rPr>
          <w:rFonts w:ascii="Arial" w:cs="Arial" w:eastAsia="Arial" w:hAnsi="Arial"/>
          <w:sz w:val="22"/>
          <w:szCs w:val="22"/>
          <w:color w:val="auto"/>
        </w:rPr>
        <w:t>”). The last day of employment for which the Executive is compensated as an active employee of the Company shall be referred to as the “</w:t>
      </w:r>
      <w:r>
        <w:rPr>
          <w:rFonts w:ascii="Arial" w:cs="Arial" w:eastAsia="Arial" w:hAnsi="Arial"/>
          <w:sz w:val="22"/>
          <w:szCs w:val="22"/>
          <w:b w:val="1"/>
          <w:bCs w:val="1"/>
          <w:color w:val="auto"/>
        </w:rPr>
        <w:t>Termination Date</w:t>
      </w:r>
      <w:r>
        <w:rPr>
          <w:rFonts w:ascii="Arial" w:cs="Arial" w:eastAsia="Arial" w:hAnsi="Arial"/>
          <w:sz w:val="22"/>
          <w:szCs w:val="22"/>
          <w:color w:val="auto"/>
        </w:rPr>
        <w:t>.”</w:t>
      </w:r>
    </w:p>
    <w:p>
      <w:pPr>
        <w:spacing w:after="0" w:line="184"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Position and Duties</w:t>
      </w:r>
    </w:p>
    <w:p>
      <w:pPr>
        <w:spacing w:after="0" w:line="212" w:lineRule="exact"/>
        <w:rPr>
          <w:sz w:val="20"/>
          <w:szCs w:val="20"/>
          <w:color w:val="auto"/>
        </w:rPr>
      </w:pPr>
    </w:p>
    <w:p>
      <w:pPr>
        <w:jc w:val="both"/>
        <w:ind w:firstLine="885"/>
        <w:spacing w:after="0" w:line="248" w:lineRule="auto"/>
        <w:tabs>
          <w:tab w:leader="none" w:pos="1062" w:val="left"/>
        </w:tabs>
        <w:numPr>
          <w:ilvl w:val="0"/>
          <w:numId w:val="20"/>
        </w:numPr>
        <w:rPr>
          <w:rFonts w:ascii="Arial" w:cs="Arial" w:eastAsia="Arial" w:hAnsi="Arial"/>
          <w:sz w:val="21"/>
          <w:szCs w:val="21"/>
          <w:color w:val="auto"/>
        </w:rPr>
      </w:pPr>
      <w:r>
        <w:rPr>
          <w:rFonts w:ascii="Arial" w:cs="Arial" w:eastAsia="Arial" w:hAnsi="Arial"/>
          <w:sz w:val="21"/>
          <w:szCs w:val="21"/>
          <w:color w:val="auto"/>
        </w:rPr>
        <w:t>During the Employment Term, Executive shall hold the position of GLDD LLC’s Executive Vice President and Chief Operating Officer, and shall report to GLDD LLC’s President of the Dredging Division. Executive shall perform such duties and responsibilities as are consistent with a senior employee and those duties as may be assigned to Executive by GLDD LLC’s President of the Dredging Division from time to time. For the avoidance of doubt, Executive’s duties and responsibilities may be changed per instruction of GLDD LLC’s President of the Dredging Division, so long as such duties and responsibilities are generally consistent with those assigned to an Executive Vice President and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jc w:val="both"/>
        <w:spacing w:after="0" w:line="272" w:lineRule="auto"/>
        <w:rPr>
          <w:sz w:val="20"/>
          <w:szCs w:val="20"/>
          <w:color w:val="auto"/>
        </w:rPr>
      </w:pPr>
      <w:r>
        <w:rPr>
          <w:rFonts w:ascii="Arial" w:cs="Arial" w:eastAsia="Arial" w:hAnsi="Arial"/>
          <w:sz w:val="19"/>
          <w:szCs w:val="19"/>
          <w:color w:val="auto"/>
        </w:rPr>
        <w:t>Officer of a company or division of comparable size in a comparable industry. Executive shall devote Executive’s full business time, attention, skill and energy to the business and affairs of the Company, and shall use Executive’s 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executives of the Company. Executive’s office will be at the principal executive offices of the Company and Executive will be expected to conduct his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publicly traded company, without the written consent of the Corporation’s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15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u w:val="single" w:color="auto"/>
          <w:color w:val="auto"/>
        </w:rPr>
        <w:t>Service on Board</w:t>
      </w:r>
    </w:p>
    <w:p>
      <w:pPr>
        <w:spacing w:after="0" w:line="212" w:lineRule="exact"/>
        <w:rPr>
          <w:sz w:val="20"/>
          <w:szCs w:val="20"/>
          <w:color w:val="auto"/>
        </w:rPr>
      </w:pPr>
    </w:p>
    <w:p>
      <w:pPr>
        <w:jc w:val="both"/>
        <w:ind w:right="20" w:firstLine="885"/>
        <w:spacing w:after="0"/>
        <w:tabs>
          <w:tab w:leader="none" w:pos="1086"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may require Executive to serve without additional compensation as a member of the Board or as an officer or director of any of the Corporation’s subsidiaries. Any compensation or other remuneration received from such service may be offset against the amounts due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Base Salary</w:t>
      </w:r>
    </w:p>
    <w:p>
      <w:pPr>
        <w:spacing w:after="0" w:line="206" w:lineRule="exact"/>
        <w:rPr>
          <w:sz w:val="20"/>
          <w:szCs w:val="20"/>
          <w:color w:val="auto"/>
        </w:rPr>
      </w:pPr>
    </w:p>
    <w:p>
      <w:pPr>
        <w:jc w:val="both"/>
        <w:ind w:firstLine="885"/>
        <w:spacing w:after="0" w:line="254" w:lineRule="auto"/>
        <w:tabs>
          <w:tab w:leader="none" w:pos="105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Company shall pay Executive an annual base salary of $338,250 (“</w:t>
      </w:r>
      <w:r>
        <w:rPr>
          <w:rFonts w:ascii="Arial" w:cs="Arial" w:eastAsia="Arial" w:hAnsi="Arial"/>
          <w:sz w:val="21"/>
          <w:szCs w:val="21"/>
          <w:b w:val="1"/>
          <w:bCs w:val="1"/>
          <w:color w:val="auto"/>
        </w:rPr>
        <w:t>Base Salary</w:t>
      </w:r>
      <w:r>
        <w:rPr>
          <w:rFonts w:ascii="Arial" w:cs="Arial" w:eastAsia="Arial" w:hAnsi="Arial"/>
          <w:sz w:val="21"/>
          <w:szCs w:val="21"/>
          <w:color w:val="auto"/>
        </w:rPr>
        <w:t>”), payable in accordance with the general payroll practices of the Company. The Board will review Executive’s performance and Base Salary annually and may, in its sole discretion, increase Executive’s Base Salary or may decrease it by up to 10 percent if there is a similar salary reduction affecting all officers in the dredging division of the Company (the “</w:t>
      </w:r>
      <w:r>
        <w:rPr>
          <w:rFonts w:ascii="Arial" w:cs="Arial" w:eastAsia="Arial" w:hAnsi="Arial"/>
          <w:sz w:val="21"/>
          <w:szCs w:val="21"/>
          <w:b w:val="1"/>
          <w:bCs w:val="1"/>
          <w:color w:val="auto"/>
        </w:rPr>
        <w:t>Dredging Division Officers</w:t>
      </w:r>
      <w:r>
        <w:rPr>
          <w:rFonts w:ascii="Arial" w:cs="Arial" w:eastAsia="Arial" w:hAnsi="Arial"/>
          <w:sz w:val="21"/>
          <w:szCs w:val="21"/>
          <w:color w:val="auto"/>
        </w:rPr>
        <w:t>”).</w:t>
      </w:r>
    </w:p>
    <w:p>
      <w:pPr>
        <w:spacing w:after="0" w:line="16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u w:val="single" w:color="auto"/>
          <w:color w:val="auto"/>
        </w:rPr>
        <w:t>Incentive Compensation</w:t>
      </w:r>
    </w:p>
    <w:p>
      <w:pPr>
        <w:spacing w:after="0" w:line="212" w:lineRule="exact"/>
        <w:rPr>
          <w:sz w:val="20"/>
          <w:szCs w:val="20"/>
          <w:color w:val="auto"/>
        </w:rPr>
      </w:pPr>
    </w:p>
    <w:p>
      <w:pPr>
        <w:jc w:val="both"/>
        <w:ind w:firstLine="885"/>
        <w:spacing w:after="0" w:line="287" w:lineRule="auto"/>
        <w:tabs>
          <w:tab w:leader="none" w:pos="1144" w:val="left"/>
        </w:tabs>
        <w:numPr>
          <w:ilvl w:val="0"/>
          <w:numId w:val="23"/>
        </w:numPr>
        <w:rPr>
          <w:rFonts w:ascii="Arial" w:cs="Arial" w:eastAsia="Arial" w:hAnsi="Arial"/>
          <w:sz w:val="19"/>
          <w:szCs w:val="19"/>
          <w:color w:val="auto"/>
        </w:rPr>
      </w:pPr>
      <w:r>
        <w:rPr>
          <w:rFonts w:ascii="Arial" w:cs="Arial" w:eastAsia="Arial" w:hAnsi="Arial"/>
          <w:sz w:val="19"/>
          <w:szCs w:val="19"/>
          <w:color w:val="auto"/>
        </w:rPr>
        <w:t>Executive will be eligible to participate in any annual performance bonus plans and long-term incentive plans established or maintained by the Company for its Dredging Division Officers, including, but not limited to, the Annual Bonus Plan or such similar or successor plans as the Company may establish. Such bonus will be paid in accordance with the Company’s standard practice, but in any event no later than 2.5 months after the end of the calendar year in which Executive earns such bonus.</w:t>
      </w:r>
    </w:p>
    <w:p>
      <w:pPr>
        <w:spacing w:after="0" w:line="13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u w:val="single" w:color="auto"/>
          <w:color w:val="auto"/>
        </w:rPr>
        <w:t>Equity Compensation</w:t>
      </w:r>
    </w:p>
    <w:p>
      <w:pPr>
        <w:spacing w:after="0" w:line="212" w:lineRule="exact"/>
        <w:rPr>
          <w:sz w:val="20"/>
          <w:szCs w:val="20"/>
          <w:color w:val="auto"/>
        </w:rPr>
      </w:pPr>
    </w:p>
    <w:p>
      <w:pPr>
        <w:jc w:val="both"/>
        <w:ind w:firstLine="885"/>
        <w:spacing w:after="0"/>
        <w:tabs>
          <w:tab w:leader="none" w:pos="1067"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Except as provided for in Section 6.2, Executive will be eligible to participate on the same terms in any equity-based compensation plans established or maintained by the Company for its Dredging Division Officers, including but not limited to the Company’s 2007 Long-Term Incentive Plan and any successor thereto.</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u w:val="single" w:color="auto"/>
          <w:color w:val="auto"/>
        </w:rPr>
        <w:t>Employee Benefit Plans</w:t>
      </w:r>
    </w:p>
    <w:p>
      <w:pPr>
        <w:spacing w:after="0" w:line="212" w:lineRule="exact"/>
        <w:rPr>
          <w:sz w:val="20"/>
          <w:szCs w:val="20"/>
          <w:color w:val="auto"/>
        </w:rPr>
      </w:pPr>
    </w:p>
    <w:p>
      <w:pPr>
        <w:ind w:right="20" w:firstLine="885"/>
        <w:spacing w:after="0" w:line="251" w:lineRule="auto"/>
        <w:tabs>
          <w:tab w:leader="none" w:pos="10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Executive will be eligible to participate on substantially the same basis as the Company’s Dredging Division Officers in any employee benefit plans offered by the Company including, without limitation, the Company’s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2" w:name="page43"/>
    <w:bookmarkEnd w:id="42"/>
    <w:p>
      <w:pPr>
        <w:jc w:val="both"/>
        <w:spacing w:after="0" w:line="238" w:lineRule="auto"/>
        <w:rPr>
          <w:sz w:val="20"/>
          <w:szCs w:val="20"/>
          <w:color w:val="auto"/>
        </w:rPr>
      </w:pPr>
      <w:r>
        <w:rPr>
          <w:rFonts w:ascii="Arial" w:cs="Arial" w:eastAsia="Arial" w:hAnsi="Arial"/>
          <w:sz w:val="22"/>
          <w:szCs w:val="22"/>
          <w:color w:val="auto"/>
        </w:rPr>
        <w:t>Supplemental Savings Plan (or any successor thereto), medical, dental, short-term and long-term disability, life, profit sharing and nonqualified deferred compensation arrangements. The Company reserves the right to modify, suspend or discontinue any and all of the plans, practices, policies and programs at any time without recourse by Executive, so long as Company takes such action generally with respect to all other Dredging Division Officers.</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u w:val="single" w:color="auto"/>
          <w:color w:val="auto"/>
        </w:rPr>
        <w:t>Vacation</w:t>
      </w:r>
    </w:p>
    <w:p>
      <w:pPr>
        <w:spacing w:after="0" w:line="212" w:lineRule="exact"/>
        <w:rPr>
          <w:sz w:val="20"/>
          <w:szCs w:val="20"/>
          <w:color w:val="auto"/>
        </w:rPr>
      </w:pPr>
    </w:p>
    <w:p>
      <w:pPr>
        <w:jc w:val="both"/>
        <w:ind w:firstLine="885"/>
        <w:spacing w:after="0"/>
        <w:tabs>
          <w:tab w:leader="none" w:pos="1119"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 will be entitled to twenty-two (22) days of paid vacation per calendar year, subject to the Company’s vacation policy as in effect from time-to-time. The Company may, at its discretion, increase (but not decrease) Executive’s vacation entitlement.</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8"/>
          <w:szCs w:val="18"/>
          <w:b w:val="1"/>
          <w:bCs w:val="1"/>
          <w:u w:val="single" w:color="auto"/>
          <w:color w:val="auto"/>
        </w:rPr>
        <w:t>Business Expenses</w:t>
      </w:r>
    </w:p>
    <w:p>
      <w:pPr>
        <w:spacing w:after="0" w:line="212" w:lineRule="exact"/>
        <w:rPr>
          <w:sz w:val="20"/>
          <w:szCs w:val="20"/>
          <w:color w:val="auto"/>
        </w:rPr>
      </w:pPr>
    </w:p>
    <w:p>
      <w:pPr>
        <w:jc w:val="both"/>
        <w:ind w:firstLine="885"/>
        <w:spacing w:after="0"/>
        <w:tabs>
          <w:tab w:leader="none" w:pos="1037"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will reimburse Executive for all reasonable and necessary business expenses incurred in the performance of services with the Company, according to the Company’s policies and upon Executive’s presentation of an itemized written statement and such verification as the Company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OF EMPLOYMENT</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Voluntary Resignation</w:t>
      </w:r>
    </w:p>
    <w:p>
      <w:pPr>
        <w:spacing w:after="0" w:line="212" w:lineRule="exact"/>
        <w:rPr>
          <w:sz w:val="20"/>
          <w:szCs w:val="20"/>
          <w:color w:val="auto"/>
        </w:rPr>
      </w:pPr>
    </w:p>
    <w:p>
      <w:pPr>
        <w:jc w:val="both"/>
        <w:ind w:firstLine="885"/>
        <w:spacing w:after="0" w:line="234" w:lineRule="auto"/>
        <w:tabs>
          <w:tab w:leader="none" w:pos="10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Executive may terminate his employment for any reason by giving the Company 60 days’ prior written notice of a voluntary resignation date (“</w:t>
      </w:r>
      <w:r>
        <w:rPr>
          <w:rFonts w:ascii="Arial" w:cs="Arial" w:eastAsia="Arial" w:hAnsi="Arial"/>
          <w:sz w:val="22"/>
          <w:szCs w:val="22"/>
          <w:b w:val="1"/>
          <w:bCs w:val="1"/>
          <w:color w:val="auto"/>
        </w:rPr>
        <w:t>Resignation Date</w:t>
      </w:r>
      <w:r>
        <w:rPr>
          <w:rFonts w:ascii="Arial" w:cs="Arial" w:eastAsia="Arial" w:hAnsi="Arial"/>
          <w:sz w:val="22"/>
          <w:szCs w:val="22"/>
          <w:color w:val="auto"/>
        </w:rPr>
        <w:t xml:space="preserve">”). For purposes of this Agreement, delivery of a notice of non-renewal of the Employment Term by the Executive will be considered voluntary resignation effective as of the date that the Employment Term expires as a result of the notice of non-renewal. Upon receiving Executive’s notice of intent to resign or not renew, the Company may require that Executive cease performing services for the Company at any time before the Resignation Date, so long as the Company continues Executive’s Base Salary under </w:t>
      </w:r>
      <w:r>
        <w:rPr>
          <w:rFonts w:ascii="Arial" w:cs="Arial" w:eastAsia="Arial" w:hAnsi="Arial"/>
          <w:sz w:val="22"/>
          <w:szCs w:val="22"/>
          <w:b w:val="1"/>
          <w:bCs w:val="1"/>
          <w:color w:val="auto"/>
        </w:rPr>
        <w:t>Section 2.1</w:t>
      </w:r>
      <w:r>
        <w:rPr>
          <w:rFonts w:ascii="Arial" w:cs="Arial" w:eastAsia="Arial" w:hAnsi="Arial"/>
          <w:sz w:val="22"/>
          <w:szCs w:val="22"/>
          <w:color w:val="auto"/>
        </w:rPr>
        <w:t xml:space="preserve"> and employee benefits under </w:t>
      </w:r>
      <w:r>
        <w:rPr>
          <w:rFonts w:ascii="Arial" w:cs="Arial" w:eastAsia="Arial" w:hAnsi="Arial"/>
          <w:sz w:val="22"/>
          <w:szCs w:val="22"/>
          <w:b w:val="1"/>
          <w:bCs w:val="1"/>
          <w:color w:val="auto"/>
        </w:rPr>
        <w:t>Section 2.4</w:t>
      </w:r>
      <w:r>
        <w:rPr>
          <w:rFonts w:ascii="Arial" w:cs="Arial" w:eastAsia="Arial" w:hAnsi="Arial"/>
          <w:sz w:val="22"/>
          <w:szCs w:val="22"/>
          <w:color w:val="auto"/>
        </w:rPr>
        <w:t xml:space="preserve"> through the Resignation Date.</w:t>
      </w:r>
    </w:p>
    <w:p>
      <w:pPr>
        <w:spacing w:after="0" w:line="19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In the event of a voluntary resignation and within 30 days of Executive’s notice of intent to resign or not renew, the Company shall in its sole discretion, by giving written notice, elect between the following options. Should the Company fail to elect an option within the time specified, option (a) shall be considered the default decision.</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(a) Executive shall not be entitled to receive any compensation or benefits from the Company following the Resignation Date and shall not be subject to the restrictive covenants contained in </w:t>
      </w:r>
      <w:r>
        <w:rPr>
          <w:rFonts w:ascii="Arial" w:cs="Arial" w:eastAsia="Arial" w:hAnsi="Arial"/>
          <w:sz w:val="22"/>
          <w:szCs w:val="22"/>
          <w:b w:val="1"/>
          <w:bCs w:val="1"/>
          <w:color w:val="auto"/>
        </w:rPr>
        <w:t>Sections 4.2</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4.4</w:t>
      </w:r>
      <w:r>
        <w:rPr>
          <w:rFonts w:ascii="Arial" w:cs="Arial" w:eastAsia="Arial" w:hAnsi="Arial"/>
          <w:sz w:val="22"/>
          <w:szCs w:val="22"/>
          <w:color w:val="auto"/>
        </w:rPr>
        <w:t>; or</w:t>
      </w:r>
    </w:p>
    <w:p>
      <w:pPr>
        <w:spacing w:after="0" w:line="180"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color w:val="auto"/>
        </w:rPr>
        <w:t>(b) Executive shall be eligible for the compensation and benefits (“</w:t>
      </w:r>
      <w:r>
        <w:rPr>
          <w:rFonts w:ascii="Arial" w:cs="Arial" w:eastAsia="Arial" w:hAnsi="Arial"/>
          <w:sz w:val="22"/>
          <w:szCs w:val="22"/>
          <w:b w:val="1"/>
          <w:bCs w:val="1"/>
          <w:color w:val="auto"/>
        </w:rPr>
        <w:t>Resignation Pay</w:t>
      </w:r>
      <w:r>
        <w:rPr>
          <w:rFonts w:ascii="Arial" w:cs="Arial" w:eastAsia="Arial" w:hAnsi="Arial"/>
          <w:sz w:val="22"/>
          <w:szCs w:val="22"/>
          <w:color w:val="auto"/>
        </w:rPr>
        <w:t xml:space="preserve">”) described in this </w:t>
      </w:r>
      <w:r>
        <w:rPr>
          <w:rFonts w:ascii="Arial" w:cs="Arial" w:eastAsia="Arial" w:hAnsi="Arial"/>
          <w:sz w:val="22"/>
          <w:szCs w:val="22"/>
          <w:b w:val="1"/>
          <w:bCs w:val="1"/>
          <w:color w:val="auto"/>
        </w:rPr>
        <w:t>Section 3.1(b)</w:t>
      </w:r>
      <w:r>
        <w:rPr>
          <w:rFonts w:ascii="Arial" w:cs="Arial" w:eastAsia="Arial" w:hAnsi="Arial"/>
          <w:sz w:val="22"/>
          <w:szCs w:val="22"/>
          <w:color w:val="auto"/>
        </w:rPr>
        <w:t xml:space="preserve"> (the period over which the amounts are payable in </w:t>
      </w:r>
      <w:r>
        <w:rPr>
          <w:rFonts w:ascii="Arial" w:cs="Arial" w:eastAsia="Arial" w:hAnsi="Arial"/>
          <w:sz w:val="22"/>
          <w:szCs w:val="22"/>
          <w:b w:val="1"/>
          <w:bCs w:val="1"/>
          <w:color w:val="auto"/>
        </w:rPr>
        <w:t>Section 3.1(b)</w:t>
      </w:r>
      <w:r>
        <w:rPr>
          <w:rFonts w:ascii="Arial" w:cs="Arial" w:eastAsia="Arial" w:hAnsi="Arial"/>
          <w:sz w:val="22"/>
          <w:szCs w:val="22"/>
          <w:color w:val="auto"/>
        </w:rPr>
        <w:t xml:space="preserve"> is referred to as the (“</w:t>
      </w:r>
      <w:r>
        <w:rPr>
          <w:rFonts w:ascii="Arial" w:cs="Arial" w:eastAsia="Arial" w:hAnsi="Arial"/>
          <w:sz w:val="22"/>
          <w:szCs w:val="22"/>
          <w:b w:val="1"/>
          <w:bCs w:val="1"/>
          <w:color w:val="auto"/>
        </w:rPr>
        <w:t>Resignation Severance Period</w:t>
      </w:r>
      <w:r>
        <w:rPr>
          <w:rFonts w:ascii="Arial" w:cs="Arial" w:eastAsia="Arial" w:hAnsi="Arial"/>
          <w:sz w:val="22"/>
          <w:szCs w:val="22"/>
          <w:color w:val="auto"/>
        </w:rPr>
        <w:t xml:space="preserve">”), subject to the requirements set forth in </w:t>
      </w:r>
      <w:r>
        <w:rPr>
          <w:rFonts w:ascii="Arial" w:cs="Arial" w:eastAsia="Arial" w:hAnsi="Arial"/>
          <w:sz w:val="22"/>
          <w:szCs w:val="22"/>
          <w:b w:val="1"/>
          <w:bCs w:val="1"/>
          <w:color w:val="auto"/>
        </w:rPr>
        <w:t>Section 3.6</w:t>
      </w:r>
      <w:r>
        <w:rPr>
          <w:rFonts w:ascii="Arial" w:cs="Arial" w:eastAsia="Arial" w:hAnsi="Arial"/>
          <w:sz w:val="22"/>
          <w:szCs w:val="22"/>
          <w:color w:val="auto"/>
        </w:rPr>
        <w:t xml:space="preserve"> and </w:t>
      </w:r>
      <w:r>
        <w:rPr>
          <w:rFonts w:ascii="Arial" w:cs="Arial" w:eastAsia="Arial" w:hAnsi="Arial"/>
          <w:sz w:val="22"/>
          <w:szCs w:val="22"/>
          <w:b w:val="1"/>
          <w:bCs w:val="1"/>
          <w:color w:val="auto"/>
        </w:rPr>
        <w:t>Section 3.7</w:t>
      </w:r>
      <w:r>
        <w:rPr>
          <w:rFonts w:ascii="Arial" w:cs="Arial" w:eastAsia="Arial" w:hAnsi="Arial"/>
          <w:sz w:val="22"/>
          <w:szCs w:val="22"/>
          <w:color w:val="auto"/>
        </w:rPr>
        <w:t>.</w:t>
      </w:r>
    </w:p>
    <w:p>
      <w:pPr>
        <w:spacing w:after="0" w:line="183" w:lineRule="exact"/>
        <w:rPr>
          <w:sz w:val="20"/>
          <w:szCs w:val="20"/>
          <w:color w:val="auto"/>
        </w:rPr>
      </w:pPr>
    </w:p>
    <w:p>
      <w:pPr>
        <w:ind w:left="2500"/>
        <w:spacing w:after="0"/>
        <w:tabs>
          <w:tab w:leader="none" w:pos="528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A payment equal to 18 months of Executive’s then current Base</w:t>
      </w:r>
    </w:p>
    <w:p>
      <w:pPr>
        <w:spacing w:after="0" w:line="20" w:lineRule="exact"/>
        <w:rPr>
          <w:sz w:val="20"/>
          <w:szCs w:val="20"/>
          <w:color w:val="auto"/>
        </w:rPr>
      </w:pPr>
    </w:p>
    <w:p>
      <w:pPr>
        <w:ind w:left="1760"/>
        <w:spacing w:after="0" w:line="241" w:lineRule="auto"/>
        <w:rPr>
          <w:sz w:val="20"/>
          <w:szCs w:val="20"/>
          <w:color w:val="auto"/>
        </w:rPr>
      </w:pPr>
      <w:r>
        <w:rPr>
          <w:rFonts w:ascii="Arial" w:cs="Arial" w:eastAsia="Arial" w:hAnsi="Arial"/>
          <w:sz w:val="21"/>
          <w:szCs w:val="21"/>
          <w:color w:val="auto"/>
        </w:rPr>
        <w:t>Salary, less applicable withholdings. This amount will be paid in equal installments on each regularly scheduled payroll pay date during the 24 month period that begins on the Resignation Date, subject to</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Section 3.6.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3" w:name="page44"/>
    <w:bookmarkEnd w:id="43"/>
    <w:p>
      <w:pPr>
        <w:jc w:val="both"/>
        <w:ind w:left="1760" w:firstLine="743"/>
        <w:spacing w:after="0" w:line="244" w:lineRule="auto"/>
        <w:rPr>
          <w:sz w:val="20"/>
          <w:szCs w:val="20"/>
          <w:color w:val="auto"/>
        </w:rPr>
      </w:pPr>
      <w:r>
        <w:rPr>
          <w:rFonts w:ascii="Arial" w:cs="Arial" w:eastAsia="Arial" w:hAnsi="Arial"/>
          <w:sz w:val="21"/>
          <w:szCs w:val="21"/>
          <w:color w:val="auto"/>
        </w:rPr>
        <w:t>(ii) Subject to the terms and conditions described herein, the Company will continue to provide Executive (and his spouse and eligible dependents, to the extent they have been provided with coverage on the date immediately prior to the Resignation Date and otherwise continue to be eligible for coverage under the terms of the applicable governing documents) with group medical and dental for 24 months following the Resignation Date. During this 24 month period, the Company will reduce Executive’s cash Resignation Pay by his share of the cost of these benefits, which shall be equal to the cost of such benefits for similarly situated employees of the Company. After this 24 month period, Executive (and his spouse and eligible dependents, as applicable) will be eligible for continuation coverage under COBRA or other similar state statute. Notwithstanding the foregoing, the Company may find alternate medical and dental plan coverage if, by law or other restrictions outside the control of the Company, continued coverage under the Company’s health plans is not permitted.</w:t>
      </w:r>
    </w:p>
    <w:p>
      <w:pPr>
        <w:spacing w:after="0" w:line="190"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under law, this Agreement, or the terms of any employee benefit plans in which Executive participates, Executive shall not be entitled to receive any additional compensation or benefits from the Company after the Resignation Date.</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Termination By Company With Cause</w:t>
      </w:r>
    </w:p>
    <w:p>
      <w:pPr>
        <w:spacing w:after="0" w:line="212" w:lineRule="exact"/>
        <w:rPr>
          <w:sz w:val="20"/>
          <w:szCs w:val="20"/>
          <w:color w:val="auto"/>
        </w:rPr>
      </w:pPr>
    </w:p>
    <w:p>
      <w:pPr>
        <w:jc w:val="both"/>
        <w:ind w:firstLine="885"/>
        <w:spacing w:after="0" w:line="282" w:lineRule="auto"/>
        <w:tabs>
          <w:tab w:leader="none" w:pos="1125"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The Company may terminate Executive’s employment for Cause (as defined below) by giving written notice to Executive designating an immediate or future Termination Date. In the event of a termination for Cause, the Company shall pay Executive his Base Salary under </w:t>
      </w:r>
      <w:r>
        <w:rPr>
          <w:rFonts w:ascii="Arial" w:cs="Arial" w:eastAsia="Arial" w:hAnsi="Arial"/>
          <w:sz w:val="19"/>
          <w:szCs w:val="19"/>
          <w:b w:val="1"/>
          <w:bCs w:val="1"/>
          <w:color w:val="auto"/>
        </w:rPr>
        <w:t>Section 2.1</w:t>
      </w:r>
      <w:r>
        <w:rPr>
          <w:rFonts w:ascii="Arial" w:cs="Arial" w:eastAsia="Arial" w:hAnsi="Arial"/>
          <w:sz w:val="19"/>
          <w:szCs w:val="19"/>
          <w:color w:val="auto"/>
        </w:rPr>
        <w:t xml:space="preserve"> and employee benefits under </w:t>
      </w:r>
      <w:r>
        <w:rPr>
          <w:rFonts w:ascii="Arial" w:cs="Arial" w:eastAsia="Arial" w:hAnsi="Arial"/>
          <w:sz w:val="19"/>
          <w:szCs w:val="19"/>
          <w:b w:val="1"/>
          <w:bCs w:val="1"/>
          <w:color w:val="auto"/>
        </w:rPr>
        <w:t>Section 2.4</w:t>
      </w:r>
      <w:r>
        <w:rPr>
          <w:rFonts w:ascii="Arial" w:cs="Arial" w:eastAsia="Arial" w:hAnsi="Arial"/>
          <w:sz w:val="19"/>
          <w:szCs w:val="19"/>
          <w:color w:val="auto"/>
        </w:rPr>
        <w:t xml:space="preserve"> through the Termination Date. Except as otherwise provided under this Agreement, law, or the terms of any employee benefit plans in which Executive participates, Executive shall not be entitled to receive any compensation or benefits from the Company after the Termination Date.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color w:val="auto"/>
        </w:rPr>
        <w:t>Cause</w:t>
      </w:r>
      <w:r>
        <w:rPr>
          <w:rFonts w:ascii="Arial" w:cs="Arial" w:eastAsia="Arial" w:hAnsi="Arial"/>
          <w:sz w:val="22"/>
          <w:szCs w:val="22"/>
          <w:color w:val="auto"/>
        </w:rPr>
        <w:t>” means: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jc w:val="center"/>
              <w:spacing w:after="0"/>
              <w:rPr>
                <w:sz w:val="20"/>
                <w:szCs w:val="20"/>
                <w:color w:val="auto"/>
              </w:rPr>
            </w:pPr>
            <w:r>
              <w:rPr>
                <w:rFonts w:ascii="Arial" w:cs="Arial" w:eastAsia="Arial" w:hAnsi="Arial"/>
                <w:sz w:val="22"/>
                <w:szCs w:val="22"/>
                <w:color w:val="auto"/>
                <w:w w:val="89"/>
              </w:rPr>
              <w:t>(a)</w:t>
            </w:r>
          </w:p>
        </w:tc>
        <w:tc>
          <w:tcPr>
            <w:tcW w:w="7560" w:type="dxa"/>
            <w:vAlign w:val="bottom"/>
          </w:tcPr>
          <w:p>
            <w:pPr>
              <w:ind w:left="80"/>
              <w:spacing w:after="0"/>
              <w:rPr>
                <w:sz w:val="20"/>
                <w:szCs w:val="20"/>
                <w:color w:val="auto"/>
              </w:rPr>
            </w:pPr>
            <w:r>
              <w:rPr>
                <w:rFonts w:ascii="Arial" w:cs="Arial" w:eastAsia="Arial" w:hAnsi="Arial"/>
                <w:sz w:val="22"/>
                <w:szCs w:val="22"/>
                <w:color w:val="auto"/>
                <w:w w:val="92"/>
              </w:rPr>
              <w:t xml:space="preserve">A material breach by Executive of </w:t>
            </w:r>
            <w:r>
              <w:rPr>
                <w:rFonts w:ascii="Arial" w:cs="Arial" w:eastAsia="Arial" w:hAnsi="Arial"/>
                <w:sz w:val="22"/>
                <w:szCs w:val="22"/>
                <w:b w:val="1"/>
                <w:bCs w:val="1"/>
                <w:color w:val="auto"/>
                <w:w w:val="92"/>
              </w:rPr>
              <w:t>Sections 4.1</w:t>
            </w:r>
            <w:r>
              <w:rPr>
                <w:rFonts w:ascii="Arial" w:cs="Arial" w:eastAsia="Arial" w:hAnsi="Arial"/>
                <w:sz w:val="22"/>
                <w:szCs w:val="22"/>
                <w:color w:val="auto"/>
                <w:w w:val="92"/>
              </w:rPr>
              <w:t xml:space="preserve"> or </w:t>
            </w:r>
            <w:r>
              <w:rPr>
                <w:rFonts w:ascii="Arial" w:cs="Arial" w:eastAsia="Arial" w:hAnsi="Arial"/>
                <w:sz w:val="22"/>
                <w:szCs w:val="22"/>
                <w:b w:val="1"/>
                <w:bCs w:val="1"/>
                <w:color w:val="auto"/>
                <w:w w:val="92"/>
              </w:rPr>
              <w:t>4.2</w:t>
            </w:r>
            <w:r>
              <w:rPr>
                <w:rFonts w:ascii="Arial" w:cs="Arial" w:eastAsia="Arial" w:hAnsi="Arial"/>
                <w:sz w:val="22"/>
                <w:szCs w:val="22"/>
                <w:color w:val="auto"/>
                <w:w w:val="92"/>
              </w:rPr>
              <w:t xml:space="preserve"> of this Agreement (regarding</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the non-competition and confidentiality provisions);</w:t>
            </w:r>
          </w:p>
        </w:tc>
      </w:tr>
      <w:tr>
        <w:trPr>
          <w:trHeight w:val="428"/>
        </w:trPr>
        <w:tc>
          <w:tcPr>
            <w:tcW w:w="3860" w:type="dxa"/>
            <w:vAlign w:val="bottom"/>
          </w:tcPr>
          <w:p>
            <w:pPr>
              <w:jc w:val="center"/>
              <w:spacing w:after="0"/>
              <w:rPr>
                <w:sz w:val="20"/>
                <w:szCs w:val="20"/>
                <w:color w:val="auto"/>
              </w:rPr>
            </w:pPr>
            <w:r>
              <w:rPr>
                <w:rFonts w:ascii="Arial" w:cs="Arial" w:eastAsia="Arial" w:hAnsi="Arial"/>
                <w:sz w:val="22"/>
                <w:szCs w:val="22"/>
                <w:color w:val="auto"/>
                <w:w w:val="96"/>
              </w:rPr>
              <w:t>(b)</w:t>
            </w:r>
          </w:p>
        </w:tc>
        <w:tc>
          <w:tcPr>
            <w:tcW w:w="7560" w:type="dxa"/>
            <w:vAlign w:val="bottom"/>
          </w:tcPr>
          <w:p>
            <w:pPr>
              <w:ind w:left="100"/>
              <w:spacing w:after="0"/>
              <w:rPr>
                <w:sz w:val="20"/>
                <w:szCs w:val="20"/>
                <w:color w:val="auto"/>
              </w:rPr>
            </w:pPr>
            <w:r>
              <w:rPr>
                <w:rFonts w:ascii="Arial" w:cs="Arial" w:eastAsia="Arial" w:hAnsi="Arial"/>
                <w:sz w:val="22"/>
                <w:szCs w:val="22"/>
                <w:color w:val="auto"/>
                <w:w w:val="92"/>
              </w:rPr>
              <w:t>The commission of a criminal act by Executive against the Company, including but</w:t>
            </w:r>
          </w:p>
        </w:tc>
      </w:tr>
      <w:tr>
        <w:trPr>
          <w:trHeight w:val="275"/>
        </w:trPr>
        <w:tc>
          <w:tcPr>
            <w:tcW w:w="3860" w:type="dxa"/>
            <w:vAlign w:val="bottom"/>
          </w:tcPr>
          <w:p>
            <w:pPr>
              <w:jc w:val="center"/>
              <w:spacing w:after="0"/>
              <w:rPr>
                <w:sz w:val="20"/>
                <w:szCs w:val="20"/>
                <w:color w:val="auto"/>
              </w:rPr>
            </w:pPr>
            <w:r>
              <w:rPr>
                <w:rFonts w:ascii="Arial" w:cs="Arial" w:eastAsia="Arial" w:hAnsi="Arial"/>
                <w:sz w:val="22"/>
                <w:szCs w:val="22"/>
                <w:color w:val="auto"/>
                <w:w w:val="90"/>
              </w:rPr>
              <w:t>not limited to fraud, embezzlement or theft;</w:t>
            </w:r>
          </w:p>
        </w:tc>
        <w:tc>
          <w:tcPr>
            <w:tcW w:w="7560" w:type="dxa"/>
            <w:vAlign w:val="bottom"/>
          </w:tcPr>
          <w:p>
            <w:pPr>
              <w:spacing w:after="0"/>
              <w:rPr>
                <w:sz w:val="23"/>
                <w:szCs w:val="23"/>
                <w:color w:val="auto"/>
              </w:rPr>
            </w:pPr>
          </w:p>
        </w:tc>
      </w:tr>
      <w:tr>
        <w:trPr>
          <w:trHeight w:val="428"/>
        </w:trPr>
        <w:tc>
          <w:tcPr>
            <w:tcW w:w="3860" w:type="dxa"/>
            <w:vAlign w:val="bottom"/>
          </w:tcPr>
          <w:p>
            <w:pPr>
              <w:jc w:val="center"/>
              <w:spacing w:after="0"/>
              <w:rPr>
                <w:sz w:val="20"/>
                <w:szCs w:val="20"/>
                <w:color w:val="auto"/>
              </w:rPr>
            </w:pPr>
            <w:r>
              <w:rPr>
                <w:rFonts w:ascii="Arial" w:cs="Arial" w:eastAsia="Arial" w:hAnsi="Arial"/>
                <w:sz w:val="22"/>
                <w:szCs w:val="22"/>
                <w:color w:val="auto"/>
                <w:w w:val="93"/>
              </w:rPr>
              <w:t>(c)</w:t>
            </w:r>
          </w:p>
        </w:tc>
        <w:tc>
          <w:tcPr>
            <w:tcW w:w="7560" w:type="dxa"/>
            <w:vAlign w:val="bottom"/>
          </w:tcPr>
          <w:p>
            <w:pPr>
              <w:ind w:left="80"/>
              <w:spacing w:after="0"/>
              <w:rPr>
                <w:sz w:val="20"/>
                <w:szCs w:val="20"/>
                <w:color w:val="auto"/>
              </w:rPr>
            </w:pPr>
            <w:r>
              <w:rPr>
                <w:rFonts w:ascii="Arial" w:cs="Arial" w:eastAsia="Arial" w:hAnsi="Arial"/>
                <w:sz w:val="22"/>
                <w:szCs w:val="22"/>
                <w:color w:val="auto"/>
                <w:w w:val="93"/>
              </w:rPr>
              <w:t xml:space="preserve">The conviction, plea of no contest or </w:t>
            </w:r>
            <w:r>
              <w:rPr>
                <w:rFonts w:ascii="Arial" w:cs="Arial" w:eastAsia="Arial" w:hAnsi="Arial"/>
                <w:sz w:val="22"/>
                <w:szCs w:val="22"/>
                <w:i w:val="1"/>
                <w:iCs w:val="1"/>
                <w:color w:val="auto"/>
                <w:w w:val="93"/>
              </w:rPr>
              <w:t>nolo contendere,</w:t>
            </w:r>
            <w:r>
              <w:rPr>
                <w:rFonts w:ascii="Arial" w:cs="Arial" w:eastAsia="Arial" w:hAnsi="Arial"/>
                <w:sz w:val="22"/>
                <w:szCs w:val="22"/>
                <w:color w:val="auto"/>
                <w:w w:val="93"/>
              </w:rPr>
              <w:t xml:space="preserve"> deferred adjudication or un-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adjudicated probation of Executive for any felony or any crime involving moral turpitude; or</w:t>
            </w:r>
          </w:p>
        </w:tc>
      </w:tr>
      <w:tr>
        <w:trPr>
          <w:trHeight w:val="446"/>
        </w:trPr>
        <w:tc>
          <w:tcPr>
            <w:tcW w:w="3860" w:type="dxa"/>
            <w:vAlign w:val="bottom"/>
          </w:tcPr>
          <w:p>
            <w:pPr>
              <w:jc w:val="center"/>
              <w:spacing w:after="0"/>
              <w:rPr>
                <w:sz w:val="20"/>
                <w:szCs w:val="20"/>
                <w:color w:val="auto"/>
              </w:rPr>
            </w:pPr>
            <w:r>
              <w:rPr>
                <w:rFonts w:ascii="Arial" w:cs="Arial" w:eastAsia="Arial" w:hAnsi="Arial"/>
                <w:sz w:val="22"/>
                <w:szCs w:val="22"/>
                <w:color w:val="auto"/>
                <w:w w:val="96"/>
              </w:rPr>
              <w:t>(d)</w:t>
            </w:r>
          </w:p>
        </w:tc>
        <w:tc>
          <w:tcPr>
            <w:tcW w:w="7560" w:type="dxa"/>
            <w:vAlign w:val="bottom"/>
          </w:tcPr>
          <w:p>
            <w:pPr>
              <w:ind w:left="100"/>
              <w:spacing w:after="0"/>
              <w:rPr>
                <w:sz w:val="20"/>
                <w:szCs w:val="20"/>
                <w:color w:val="auto"/>
              </w:rPr>
            </w:pPr>
            <w:r>
              <w:rPr>
                <w:rFonts w:ascii="Arial" w:cs="Arial" w:eastAsia="Arial" w:hAnsi="Arial"/>
                <w:sz w:val="22"/>
                <w:szCs w:val="22"/>
                <w:color w:val="auto"/>
                <w:w w:val="94"/>
              </w:rPr>
              <w:t>Executive’s failure or refusal to carry out, or comply with, in any material respect,</w:t>
            </w:r>
          </w:p>
        </w:tc>
      </w:tr>
    </w:tbl>
    <w:p>
      <w:pPr>
        <w:jc w:val="both"/>
        <w:spacing w:after="0" w:line="234" w:lineRule="auto"/>
        <w:rPr>
          <w:sz w:val="20"/>
          <w:szCs w:val="20"/>
          <w:color w:val="auto"/>
        </w:rPr>
      </w:pPr>
      <w:r>
        <w:rPr>
          <w:rFonts w:ascii="Arial" w:cs="Arial" w:eastAsia="Arial" w:hAnsi="Arial"/>
          <w:sz w:val="22"/>
          <w:szCs w:val="22"/>
          <w:color w:val="auto"/>
        </w:rPr>
        <w:t>any lawful directive of the Company’s Chief Executive Officer (or Executive’s direct supervisor at the time), which is consistent with the terms of the Agreement and with the Company’s written plans and policies, and which is not remedied within 30 days after Executive’s receipt of written notice from the Company.</w:t>
      </w:r>
    </w:p>
    <w:p>
      <w:pPr>
        <w:spacing w:after="0" w:line="18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u w:val="single" w:color="auto"/>
          <w:color w:val="auto"/>
        </w:rPr>
        <w:t>Termination By Company Without Cause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The Company may terminate Executive’s employment without Cause by giving written notice to Executive designating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4" w:name="page45"/>
    <w:bookmarkEnd w:id="44"/>
    <w:p>
      <w:pPr>
        <w:jc w:val="both"/>
        <w:spacing w:after="0" w:line="274" w:lineRule="auto"/>
        <w:rPr>
          <w:sz w:val="20"/>
          <w:szCs w:val="20"/>
          <w:color w:val="auto"/>
        </w:rPr>
      </w:pPr>
      <w:r>
        <w:rPr>
          <w:rFonts w:ascii="Arial" w:cs="Arial" w:eastAsia="Arial" w:hAnsi="Arial"/>
          <w:sz w:val="19"/>
          <w:szCs w:val="19"/>
          <w:color w:val="auto"/>
        </w:rPr>
        <w:t xml:space="preserve">immediate or future Termination Date. Executive’s voluntary resignation of employment due to a material diminution of Executive’s position, authority, duties or responsibilities or due to any material breach by the Company of this Agreement shall be treated as a termination by Company without Cause;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voluntary resignation occurs within 65 days following the initial occurrence of such event, (b) Executive provided written notice of such event to the Board and the Chief Executive Officer within 30 days of such event, and (c) the Company failed to cure such event or breach within 30 days of receipt of such written notice from Executive. It shall not be considered a material diminution of Executive’s authority, duties or responsibilities to the extent such authority, duties or responsibilities are changed in accordance with </w:t>
      </w:r>
      <w:r>
        <w:rPr>
          <w:rFonts w:ascii="Arial" w:cs="Arial" w:eastAsia="Arial" w:hAnsi="Arial"/>
          <w:sz w:val="19"/>
          <w:szCs w:val="19"/>
          <w:b w:val="1"/>
          <w:bCs w:val="1"/>
          <w:color w:val="auto"/>
        </w:rPr>
        <w:t>Section 1.2</w:t>
      </w:r>
      <w:r>
        <w:rPr>
          <w:rFonts w:ascii="Arial" w:cs="Arial" w:eastAsia="Arial" w:hAnsi="Arial"/>
          <w:sz w:val="19"/>
          <w:szCs w:val="19"/>
          <w:color w:val="auto"/>
        </w:rPr>
        <w:t>. For purposes of this Agreement, delivery of a notice of non-renewal of the Employment Term by the Company will be considered a termination without Cause effective as of the date that the Employment Term expires as a result of the notice of non-renewal.</w:t>
      </w:r>
    </w:p>
    <w:p>
      <w:pPr>
        <w:spacing w:after="0" w:line="159"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In the event of a termination without Cause during the Employment Term, Executive shall be eligible to receive the benefits described in </w:t>
      </w:r>
      <w:r>
        <w:rPr>
          <w:rFonts w:ascii="Arial" w:cs="Arial" w:eastAsia="Arial" w:hAnsi="Arial"/>
          <w:sz w:val="22"/>
          <w:szCs w:val="22"/>
          <w:b w:val="1"/>
          <w:bCs w:val="1"/>
          <w:color w:val="auto"/>
        </w:rPr>
        <w:t>Sections 3.3(a)</w:t>
      </w:r>
      <w:r>
        <w:rPr>
          <w:rFonts w:ascii="Arial" w:cs="Arial" w:eastAsia="Arial" w:hAnsi="Arial"/>
          <w:sz w:val="22"/>
          <w:szCs w:val="22"/>
          <w:color w:val="auto"/>
        </w:rPr>
        <w:t xml:space="preserve"> and </w:t>
      </w:r>
      <w:r>
        <w:rPr>
          <w:rFonts w:ascii="Arial" w:cs="Arial" w:eastAsia="Arial" w:hAnsi="Arial"/>
          <w:sz w:val="22"/>
          <w:szCs w:val="22"/>
          <w:b w:val="1"/>
          <w:bCs w:val="1"/>
          <w:color w:val="auto"/>
        </w:rPr>
        <w:t>(b)</w:t>
      </w:r>
      <w:r>
        <w:rPr>
          <w:rFonts w:ascii="Arial" w:cs="Arial" w:eastAsia="Arial" w:hAnsi="Arial"/>
          <w:sz w:val="22"/>
          <w:szCs w:val="22"/>
          <w:color w:val="auto"/>
        </w:rPr>
        <w:t>, below (collectively, “</w:t>
      </w:r>
      <w:r>
        <w:rPr>
          <w:rFonts w:ascii="Arial" w:cs="Arial" w:eastAsia="Arial" w:hAnsi="Arial"/>
          <w:sz w:val="22"/>
          <w:szCs w:val="22"/>
          <w:b w:val="1"/>
          <w:bCs w:val="1"/>
          <w:color w:val="auto"/>
        </w:rPr>
        <w:t>Severance Pay</w:t>
      </w:r>
      <w:r>
        <w:rPr>
          <w:rFonts w:ascii="Arial" w:cs="Arial" w:eastAsia="Arial" w:hAnsi="Arial"/>
          <w:sz w:val="22"/>
          <w:szCs w:val="22"/>
          <w:color w:val="auto"/>
        </w:rPr>
        <w:t xml:space="preserve">”), subject to the requirements set forth in </w:t>
      </w:r>
      <w:r>
        <w:rPr>
          <w:rFonts w:ascii="Arial" w:cs="Arial" w:eastAsia="Arial" w:hAnsi="Arial"/>
          <w:sz w:val="22"/>
          <w:szCs w:val="22"/>
          <w:b w:val="1"/>
          <w:bCs w:val="1"/>
          <w:color w:val="auto"/>
        </w:rPr>
        <w:t xml:space="preserve">Section 3.6 </w:t>
      </w:r>
      <w:r>
        <w:rPr>
          <w:rFonts w:ascii="Arial" w:cs="Arial" w:eastAsia="Arial" w:hAnsi="Arial"/>
          <w:sz w:val="22"/>
          <w:szCs w:val="22"/>
          <w:color w:val="auto"/>
        </w:rPr>
        <w:t>and</w:t>
      </w:r>
      <w:r>
        <w:rPr>
          <w:rFonts w:ascii="Arial" w:cs="Arial" w:eastAsia="Arial" w:hAnsi="Arial"/>
          <w:sz w:val="22"/>
          <w:szCs w:val="22"/>
          <w:b w:val="1"/>
          <w:bCs w:val="1"/>
          <w:color w:val="auto"/>
        </w:rPr>
        <w:t xml:space="preserve"> Section 3.7</w:t>
      </w:r>
      <w:r>
        <w:rPr>
          <w:rFonts w:ascii="Arial" w:cs="Arial" w:eastAsia="Arial" w:hAnsi="Arial"/>
          <w:sz w:val="22"/>
          <w:szCs w:val="22"/>
          <w:color w:val="auto"/>
        </w:rPr>
        <w:t>. The period over which the amounts in</w:t>
      </w:r>
      <w:r>
        <w:rPr>
          <w:rFonts w:ascii="Arial" w:cs="Arial" w:eastAsia="Arial" w:hAnsi="Arial"/>
          <w:sz w:val="22"/>
          <w:szCs w:val="22"/>
          <w:b w:val="1"/>
          <w:bCs w:val="1"/>
          <w:color w:val="auto"/>
        </w:rPr>
        <w:t xml:space="preserve"> Section 3.3(a)(i) </w:t>
      </w:r>
      <w:r>
        <w:rPr>
          <w:rFonts w:ascii="Arial" w:cs="Arial" w:eastAsia="Arial" w:hAnsi="Arial"/>
          <w:sz w:val="22"/>
          <w:szCs w:val="22"/>
          <w:color w:val="auto"/>
        </w:rPr>
        <w:t>or</w:t>
      </w:r>
      <w:r>
        <w:rPr>
          <w:rFonts w:ascii="Arial" w:cs="Arial" w:eastAsia="Arial" w:hAnsi="Arial"/>
          <w:sz w:val="22"/>
          <w:szCs w:val="22"/>
          <w:b w:val="1"/>
          <w:bCs w:val="1"/>
          <w:color w:val="auto"/>
        </w:rPr>
        <w:t xml:space="preserve"> (a)(ii)</w:t>
      </w:r>
      <w:r>
        <w:rPr>
          <w:rFonts w:ascii="Arial" w:cs="Arial" w:eastAsia="Arial" w:hAnsi="Arial"/>
          <w:sz w:val="22"/>
          <w:szCs w:val="22"/>
          <w:color w:val="auto"/>
        </w:rPr>
        <w:t>, as applicable, are payable is</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as the “</w:t>
      </w:r>
      <w:r>
        <w:rPr>
          <w:rFonts w:ascii="Arial" w:cs="Arial" w:eastAsia="Arial" w:hAnsi="Arial"/>
          <w:sz w:val="22"/>
          <w:szCs w:val="22"/>
          <w:b w:val="1"/>
          <w:bCs w:val="1"/>
          <w:color w:val="auto"/>
        </w:rPr>
        <w:t>Severance Period</w:t>
      </w:r>
      <w:r>
        <w:rPr>
          <w:rFonts w:ascii="Arial" w:cs="Arial" w:eastAsia="Arial" w:hAnsi="Arial"/>
          <w:sz w:val="22"/>
          <w:szCs w:val="22"/>
          <w:color w:val="auto"/>
        </w:rPr>
        <w:t>.”</w:t>
      </w:r>
    </w:p>
    <w:p>
      <w:pPr>
        <w:sectPr>
          <w:pgSz w:w="11900" w:h="16838" w:orient="portrait"/>
          <w:cols w:equalWidth="0" w:num="1">
            <w:col w:w="11420"/>
          </w:cols>
          <w:pgMar w:left="240" w:top="361" w:right="239" w:bottom="1440" w:gutter="0" w:footer="0" w:header="0"/>
        </w:sectPr>
      </w:pP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compensation and benefits to Executive: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If Executive is terminated without Cause, the Company will provide the following</w:t>
      </w:r>
    </w:p>
    <w:p>
      <w:pPr>
        <w:spacing w:after="0" w:line="438" w:lineRule="exact"/>
        <w:rPr>
          <w:sz w:val="20"/>
          <w:szCs w:val="20"/>
          <w:color w:val="auto"/>
        </w:rPr>
      </w:pPr>
    </w:p>
    <w:p>
      <w:pPr>
        <w:sectPr>
          <w:pgSz w:w="11900" w:h="16838" w:orient="portrait"/>
          <w:cols w:equalWidth="0" w:num="2">
            <w:col w:w="3520" w:space="420"/>
            <w:col w:w="7480"/>
          </w:cols>
          <w:pgMar w:left="240" w:top="361" w:right="239" w:bottom="1440" w:gutter="0" w:footer="0" w:header="0"/>
          <w:type w:val="continuous"/>
        </w:sectPr>
      </w:pPr>
    </w:p>
    <w:p>
      <w:pPr>
        <w:spacing w:after="0" w:line="23" w:lineRule="exact"/>
        <w:rPr>
          <w:sz w:val="20"/>
          <w:szCs w:val="20"/>
          <w:color w:val="auto"/>
        </w:rPr>
      </w:pPr>
    </w:p>
    <w:p>
      <w:pPr>
        <w:ind w:left="2500"/>
        <w:spacing w:after="0"/>
        <w:tabs>
          <w:tab w:leader="none" w:pos="52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 payment equal to 24 months of the Executive’s then current Base</w:t>
      </w:r>
    </w:p>
    <w:p>
      <w:pPr>
        <w:sectPr>
          <w:pgSz w:w="11900" w:h="16838" w:orient="portrait"/>
          <w:cols w:equalWidth="0" w:num="1">
            <w:col w:w="11420"/>
          </w:cols>
          <w:pgMar w:left="240" w:top="361" w:right="239" w:bottom="1440" w:gutter="0" w:footer="0" w:header="0"/>
          <w:type w:val="continuous"/>
        </w:sectPr>
      </w:pPr>
    </w:p>
    <w:p>
      <w:pPr>
        <w:spacing w:after="0" w:line="56" w:lineRule="exact"/>
        <w:rPr>
          <w:sz w:val="20"/>
          <w:szCs w:val="20"/>
          <w:color w:val="auto"/>
        </w:rPr>
      </w:pPr>
    </w:p>
    <w:p>
      <w:pPr>
        <w:jc w:val="both"/>
        <w:ind w:left="1760"/>
        <w:spacing w:after="0" w:line="234" w:lineRule="auto"/>
        <w:rPr>
          <w:sz w:val="20"/>
          <w:szCs w:val="20"/>
          <w:color w:val="auto"/>
        </w:rPr>
      </w:pPr>
      <w:r>
        <w:rPr>
          <w:rFonts w:ascii="Arial" w:cs="Arial" w:eastAsia="Arial" w:hAnsi="Arial"/>
          <w:sz w:val="21"/>
          <w:szCs w:val="21"/>
          <w:color w:val="auto"/>
        </w:rPr>
        <w:t>Salary, less applicable withholdings. This amount will be paid in equal installments on each regularly scheduled payroll pay date during the 24 month period that begins on the Termination Date, subject to</w:t>
      </w:r>
    </w:p>
    <w:p>
      <w:pPr>
        <w:spacing w:after="0" w:line="2"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Section 3.6.</w:t>
      </w:r>
    </w:p>
    <w:p>
      <w:pPr>
        <w:spacing w:after="0" w:line="188" w:lineRule="exact"/>
        <w:rPr>
          <w:sz w:val="20"/>
          <w:szCs w:val="20"/>
          <w:color w:val="auto"/>
        </w:rPr>
      </w:pPr>
    </w:p>
    <w:p>
      <w:pPr>
        <w:jc w:val="both"/>
        <w:ind w:left="1760" w:firstLine="743"/>
        <w:spacing w:after="0" w:line="236" w:lineRule="auto"/>
        <w:rPr>
          <w:sz w:val="20"/>
          <w:szCs w:val="20"/>
          <w:color w:val="auto"/>
        </w:rPr>
      </w:pPr>
      <w:r>
        <w:rPr>
          <w:rFonts w:ascii="Arial" w:cs="Arial" w:eastAsia="Arial" w:hAnsi="Arial"/>
          <w:sz w:val="22"/>
          <w:szCs w:val="22"/>
          <w:color w:val="auto"/>
        </w:rPr>
        <w:t>(ii) The prior fiscal year’s annual bonus payable 100% in cash and the Supplemental Savings Plan benefits earned through the Termination Date. Such amount will be paid in equal installments on each regularly scheduled payroll pay date for the remainder of the Severance Period, beginning on the date when all other Company executives receive such payments, but in no event later than March 15 of the year following the Termination Date.</w:t>
      </w:r>
    </w:p>
    <w:p>
      <w:pPr>
        <w:spacing w:after="0" w:line="188" w:lineRule="exact"/>
        <w:rPr>
          <w:sz w:val="20"/>
          <w:szCs w:val="20"/>
          <w:color w:val="auto"/>
        </w:rPr>
      </w:pPr>
    </w:p>
    <w:p>
      <w:pPr>
        <w:jc w:val="both"/>
        <w:ind w:left="1760" w:firstLine="743"/>
        <w:spacing w:after="0" w:line="233" w:lineRule="auto"/>
        <w:rPr>
          <w:sz w:val="20"/>
          <w:szCs w:val="20"/>
          <w:color w:val="auto"/>
        </w:rPr>
      </w:pPr>
      <w:r>
        <w:rPr>
          <w:rFonts w:ascii="Arial" w:cs="Arial" w:eastAsia="Arial" w:hAnsi="Arial"/>
          <w:sz w:val="22"/>
          <w:szCs w:val="22"/>
          <w:color w:val="auto"/>
        </w:rPr>
        <w:t>(iii) Subject to the terms and conditions described herein, the Company will continue to provide Executive (and his spouse and eligible dependents, to the extent they have been provided with coverage on the date immediately prior to the Termination Date and otherwise continue to be eligible for coverage under the terms of the applicable governing documents) with group medical and dental, for 24 months following the Termination Date. During this 24 month period, the Company will reduce Executive’s cash Severance Pay by his share of the cost of these benefits, which shall be equal to the cost of such benefits for similarly situated employees of the Company. After this 24 month period, Executive (and his spouse and eligible dependents, as applicable) will be eligible for continuation coverage under COBRA or other similar state statute. Notwithstanding the foregoing, the Company may find alternate medical and dental plan coverage if,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45" w:name="page46"/>
    <w:bookmarkEnd w:id="45"/>
    <w:p>
      <w:pPr>
        <w:ind w:left="1760" w:right="20"/>
        <w:spacing w:after="0" w:line="251" w:lineRule="auto"/>
        <w:rPr>
          <w:sz w:val="20"/>
          <w:szCs w:val="20"/>
          <w:color w:val="auto"/>
        </w:rPr>
      </w:pPr>
      <w:r>
        <w:rPr>
          <w:rFonts w:ascii="Arial" w:cs="Arial" w:eastAsia="Arial" w:hAnsi="Arial"/>
          <w:sz w:val="22"/>
          <w:szCs w:val="22"/>
          <w:color w:val="auto"/>
        </w:rPr>
        <w:t>by law or other restrictions outside the control of the Company, continued coverage under the Company’s health plans is not permitted.</w:t>
      </w:r>
    </w:p>
    <w:p>
      <w:pPr>
        <w:spacing w:after="0" w:line="163"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620" w:type="dxa"/>
            <w:vAlign w:val="bottom"/>
          </w:tcPr>
          <w:p>
            <w:pPr>
              <w:ind w:left="740"/>
              <w:spacing w:after="0"/>
              <w:rPr>
                <w:sz w:val="20"/>
                <w:szCs w:val="20"/>
                <w:color w:val="auto"/>
              </w:rPr>
            </w:pPr>
            <w:r>
              <w:rPr>
                <w:rFonts w:ascii="Arial" w:cs="Arial" w:eastAsia="Arial" w:hAnsi="Arial"/>
                <w:sz w:val="22"/>
                <w:szCs w:val="22"/>
                <w:color w:val="auto"/>
              </w:rPr>
              <w:t>(iv)</w:t>
            </w:r>
          </w:p>
        </w:tc>
        <w:tc>
          <w:tcPr>
            <w:tcW w:w="8040" w:type="dxa"/>
            <w:vAlign w:val="bottom"/>
          </w:tcPr>
          <w:p>
            <w:pPr>
              <w:ind w:left="2040"/>
              <w:spacing w:after="0"/>
              <w:rPr>
                <w:sz w:val="20"/>
                <w:szCs w:val="20"/>
                <w:color w:val="auto"/>
              </w:rPr>
            </w:pPr>
            <w:r>
              <w:rPr>
                <w:rFonts w:ascii="Arial" w:cs="Arial" w:eastAsia="Arial" w:hAnsi="Arial"/>
                <w:sz w:val="22"/>
                <w:szCs w:val="22"/>
                <w:color w:val="auto"/>
                <w:w w:val="94"/>
              </w:rPr>
              <w:t>The Company will pay for and provide to Executive outplacement</w:t>
            </w:r>
          </w:p>
        </w:tc>
      </w:tr>
      <w:tr>
        <w:trPr>
          <w:trHeight w:val="243"/>
        </w:trPr>
        <w:tc>
          <w:tcPr>
            <w:tcW w:w="9660" w:type="dxa"/>
            <w:vAlign w:val="bottom"/>
            <w:gridSpan w:val="2"/>
          </w:tcPr>
          <w:p>
            <w:pPr>
              <w:spacing w:after="0" w:line="243" w:lineRule="exact"/>
              <w:rPr>
                <w:sz w:val="20"/>
                <w:szCs w:val="20"/>
                <w:color w:val="auto"/>
              </w:rPr>
            </w:pPr>
            <w:r>
              <w:rPr>
                <w:rFonts w:ascii="Arial" w:cs="Arial" w:eastAsia="Arial" w:hAnsi="Arial"/>
                <w:sz w:val="22"/>
                <w:szCs w:val="22"/>
                <w:color w:val="auto"/>
                <w:w w:val="99"/>
              </w:rPr>
              <w:t>services with an outplacement firm of Executive’s choosing, provided that the Company shall not be</w:t>
            </w:r>
          </w:p>
        </w:tc>
      </w:tr>
      <w:tr>
        <w:trPr>
          <w:trHeight w:val="243"/>
        </w:trPr>
        <w:tc>
          <w:tcPr>
            <w:tcW w:w="9660" w:type="dxa"/>
            <w:vAlign w:val="bottom"/>
            <w:gridSpan w:val="2"/>
          </w:tcPr>
          <w:p>
            <w:pPr>
              <w:spacing w:after="0" w:line="243" w:lineRule="exact"/>
              <w:rPr>
                <w:sz w:val="20"/>
                <w:szCs w:val="20"/>
                <w:color w:val="auto"/>
              </w:rPr>
            </w:pPr>
            <w:r>
              <w:rPr>
                <w:rFonts w:ascii="Arial" w:cs="Arial" w:eastAsia="Arial" w:hAnsi="Arial"/>
                <w:sz w:val="22"/>
                <w:szCs w:val="22"/>
                <w:color w:val="auto"/>
                <w:w w:val="89"/>
              </w:rPr>
              <w:t>responsible to pay for such services to the extent such services (aa) exceed $15,000 or (bb) are provided more</w:t>
            </w:r>
          </w:p>
        </w:tc>
      </w:tr>
      <w:tr>
        <w:trPr>
          <w:trHeight w:val="275"/>
        </w:trPr>
        <w:tc>
          <w:tcPr>
            <w:tcW w:w="9660" w:type="dxa"/>
            <w:vAlign w:val="bottom"/>
            <w:gridSpan w:val="2"/>
          </w:tcPr>
          <w:p>
            <w:pPr>
              <w:spacing w:after="0"/>
              <w:rPr>
                <w:sz w:val="20"/>
                <w:szCs w:val="20"/>
                <w:color w:val="auto"/>
              </w:rPr>
            </w:pPr>
            <w:r>
              <w:rPr>
                <w:rFonts w:ascii="Arial" w:cs="Arial" w:eastAsia="Arial" w:hAnsi="Arial"/>
                <w:sz w:val="22"/>
                <w:szCs w:val="22"/>
                <w:color w:val="auto"/>
              </w:rPr>
              <w:t>than one year following the Release Effective Date (as defined below).</w:t>
            </w:r>
          </w:p>
        </w:tc>
      </w:tr>
      <w:tr>
        <w:trPr>
          <w:trHeight w:val="446"/>
        </w:trPr>
        <w:tc>
          <w:tcPr>
            <w:tcW w:w="1620" w:type="dxa"/>
            <w:vAlign w:val="bottom"/>
          </w:tcPr>
          <w:p>
            <w:pPr>
              <w:spacing w:after="0"/>
              <w:rPr>
                <w:sz w:val="20"/>
                <w:szCs w:val="20"/>
                <w:color w:val="auto"/>
              </w:rPr>
            </w:pPr>
            <w:r>
              <w:rPr>
                <w:rFonts w:ascii="Arial" w:cs="Arial" w:eastAsia="Arial" w:hAnsi="Arial"/>
                <w:sz w:val="22"/>
                <w:szCs w:val="22"/>
                <w:color w:val="auto"/>
              </w:rPr>
              <w:t>(b)</w:t>
            </w:r>
          </w:p>
        </w:tc>
        <w:tc>
          <w:tcPr>
            <w:tcW w:w="8040" w:type="dxa"/>
            <w:vAlign w:val="bottom"/>
          </w:tcPr>
          <w:p>
            <w:pPr>
              <w:ind w:left="580"/>
              <w:spacing w:after="0"/>
              <w:rPr>
                <w:sz w:val="20"/>
                <w:szCs w:val="20"/>
                <w:color w:val="auto"/>
              </w:rPr>
            </w:pPr>
            <w:r>
              <w:rPr>
                <w:rFonts w:ascii="Arial" w:cs="Arial" w:eastAsia="Arial" w:hAnsi="Arial"/>
                <w:sz w:val="22"/>
                <w:szCs w:val="22"/>
                <w:color w:val="auto"/>
                <w:w w:val="91"/>
              </w:rPr>
              <w:t>If Executive is terminated without Cause, Executive will receive full vesting credit for</w:t>
            </w:r>
          </w:p>
        </w:tc>
      </w:tr>
    </w:tbl>
    <w:p>
      <w:pPr>
        <w:spacing w:after="0"/>
        <w:rPr>
          <w:sz w:val="20"/>
          <w:szCs w:val="20"/>
          <w:color w:val="auto"/>
        </w:rPr>
      </w:pPr>
      <w:r>
        <w:rPr>
          <w:rFonts w:ascii="Arial" w:cs="Arial" w:eastAsia="Arial" w:hAnsi="Arial"/>
          <w:sz w:val="22"/>
          <w:szCs w:val="22"/>
          <w:color w:val="auto"/>
        </w:rPr>
        <w:t>any outstanding unvested equity awards.</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Except as otherwise provided under law, this Agreement, or the terms of any employee benefit plans in which Executive participates, Executive shall not be entitled to receive any additional compensation or benefits from the Company after the Termination Date.</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u w:val="single" w:color="auto"/>
          <w:color w:val="auto"/>
        </w:rPr>
        <w:t>Change in Control</w:t>
      </w:r>
    </w:p>
    <w:p>
      <w:pPr>
        <w:spacing w:after="0" w:line="212" w:lineRule="exact"/>
        <w:rPr>
          <w:sz w:val="20"/>
          <w:szCs w:val="20"/>
          <w:color w:val="auto"/>
        </w:rPr>
      </w:pPr>
    </w:p>
    <w:p>
      <w:pPr>
        <w:jc w:val="both"/>
        <w:ind w:firstLine="885"/>
        <w:spacing w:after="0" w:line="273" w:lineRule="auto"/>
        <w:tabs>
          <w:tab w:leader="none" w:pos="1130"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If, contemporaneous with or within twelve months after a Change in Control (as defined below), the Company terminates Executive’s employment other than for Cause, Executive will be eligible to receive, in lieu of those payments provided under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as applicable: (a) two times his then current Base Salary; and (b) the pro rata portion of the prior fiscal year’s annual bonus payable in cash and the Supplemental Savings Plan benefits earned through the Termination Date as described in </w:t>
      </w:r>
      <w:r>
        <w:rPr>
          <w:rFonts w:ascii="Arial" w:cs="Arial" w:eastAsia="Arial" w:hAnsi="Arial"/>
          <w:sz w:val="19"/>
          <w:szCs w:val="19"/>
          <w:b w:val="1"/>
          <w:bCs w:val="1"/>
          <w:color w:val="auto"/>
        </w:rPr>
        <w:t xml:space="preserve">Section 3.3(a)(ii) </w:t>
      </w:r>
      <w:r>
        <w:rPr>
          <w:rFonts w:ascii="Arial" w:cs="Arial" w:eastAsia="Arial" w:hAnsi="Arial"/>
          <w:sz w:val="19"/>
          <w:szCs w:val="19"/>
          <w:color w:val="auto"/>
        </w:rPr>
        <w:t>(together, the “</w:t>
      </w:r>
      <w:r>
        <w:rPr>
          <w:rFonts w:ascii="Arial" w:cs="Arial" w:eastAsia="Arial" w:hAnsi="Arial"/>
          <w:sz w:val="19"/>
          <w:szCs w:val="19"/>
          <w:b w:val="1"/>
          <w:bCs w:val="1"/>
          <w:color w:val="auto"/>
        </w:rPr>
        <w:t>Change in Control Payment</w:t>
      </w:r>
      <w:r>
        <w:rPr>
          <w:rFonts w:ascii="Arial" w:cs="Arial" w:eastAsia="Arial" w:hAnsi="Arial"/>
          <w:sz w:val="19"/>
          <w:szCs w:val="19"/>
          <w:color w:val="auto"/>
        </w:rPr>
        <w:t>”), subject to the requirements set forth in</w:t>
      </w:r>
      <w:r>
        <w:rPr>
          <w:rFonts w:ascii="Arial" w:cs="Arial" w:eastAsia="Arial" w:hAnsi="Arial"/>
          <w:sz w:val="19"/>
          <w:szCs w:val="19"/>
          <w:b w:val="1"/>
          <w:bCs w:val="1"/>
          <w:color w:val="auto"/>
        </w:rPr>
        <w:t xml:space="preserve"> Section 3.6</w:t>
      </w:r>
      <w:r>
        <w:rPr>
          <w:rFonts w:ascii="Arial" w:cs="Arial" w:eastAsia="Arial" w:hAnsi="Arial"/>
          <w:sz w:val="19"/>
          <w:szCs w:val="19"/>
          <w:color w:val="auto"/>
        </w:rPr>
        <w:t>. The Base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Salary, prior years bonus (pro rata), and Supplemental Savings Plan benefits will be made in a lump sum cash payment as soon as practicable, but in no event more than 10 days after the Termination Date (on or after the date of the Change in Control). Any remaining payments will be paid in equal installments on each regularly scheduled payroll pay date during the 24 month period that begins on the Termination Date, subject to </w:t>
      </w:r>
      <w:r>
        <w:rPr>
          <w:rFonts w:ascii="Arial" w:cs="Arial" w:eastAsia="Arial" w:hAnsi="Arial"/>
          <w:sz w:val="19"/>
          <w:szCs w:val="19"/>
          <w:b w:val="1"/>
          <w:bCs w:val="1"/>
          <w:color w:val="auto"/>
        </w:rPr>
        <w:t>Section 3.6</w:t>
      </w:r>
      <w:r>
        <w:rPr>
          <w:rFonts w:ascii="Arial" w:cs="Arial" w:eastAsia="Arial" w:hAnsi="Arial"/>
          <w:sz w:val="19"/>
          <w:szCs w:val="19"/>
          <w:color w:val="auto"/>
        </w:rPr>
        <w:t xml:space="preserve">. In addition, Executive will be eligible for the continued health plan coverage described in </w:t>
      </w:r>
      <w:r>
        <w:rPr>
          <w:rFonts w:ascii="Arial" w:cs="Arial" w:eastAsia="Arial" w:hAnsi="Arial"/>
          <w:sz w:val="19"/>
          <w:szCs w:val="19"/>
          <w:b w:val="1"/>
          <w:bCs w:val="1"/>
          <w:color w:val="auto"/>
        </w:rPr>
        <w:t>Section 3.3(a)(iii)</w:t>
      </w:r>
      <w:r>
        <w:rPr>
          <w:rFonts w:ascii="Arial" w:cs="Arial" w:eastAsia="Arial" w:hAnsi="Arial"/>
          <w:sz w:val="19"/>
          <w:szCs w:val="19"/>
          <w:color w:val="auto"/>
        </w:rPr>
        <w:t xml:space="preserve"> and will receive full vesting credit for any outstanding unvested equity awards consistent with and subject to the limitations of </w:t>
      </w:r>
      <w:r>
        <w:rPr>
          <w:rFonts w:ascii="Arial" w:cs="Arial" w:eastAsia="Arial" w:hAnsi="Arial"/>
          <w:sz w:val="19"/>
          <w:szCs w:val="19"/>
          <w:b w:val="1"/>
          <w:bCs w:val="1"/>
          <w:color w:val="auto"/>
        </w:rPr>
        <w:t>Section 3.6.</w:t>
      </w: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For purposes of this Agreement, a “</w:t>
      </w:r>
      <w:r>
        <w:rPr>
          <w:rFonts w:ascii="Arial" w:cs="Arial" w:eastAsia="Arial" w:hAnsi="Arial"/>
          <w:sz w:val="22"/>
          <w:szCs w:val="22"/>
          <w:b w:val="1"/>
          <w:bCs w:val="1"/>
          <w:color w:val="auto"/>
        </w:rPr>
        <w:t>Change in Control</w:t>
      </w:r>
      <w:r>
        <w:rPr>
          <w:rFonts w:ascii="Arial" w:cs="Arial" w:eastAsia="Arial" w:hAnsi="Arial"/>
          <w:sz w:val="22"/>
          <w:szCs w:val="22"/>
          <w:color w:val="auto"/>
        </w:rPr>
        <w:t>” of the Corporation will be deemed to occur as of the first day that any one or more of the following conditions is satisfied:</w:t>
      </w:r>
    </w:p>
    <w:p>
      <w:pPr>
        <w:spacing w:after="0" w:line="169" w:lineRule="exact"/>
        <w:rPr>
          <w:sz w:val="20"/>
          <w:szCs w:val="20"/>
          <w:color w:val="auto"/>
        </w:rPr>
      </w:pPr>
    </w:p>
    <w:p>
      <w:pPr>
        <w:jc w:val="both"/>
        <w:ind w:left="1760" w:firstLine="743"/>
        <w:spacing w:after="0" w:line="274" w:lineRule="auto"/>
        <w:rPr>
          <w:sz w:val="20"/>
          <w:szCs w:val="20"/>
          <w:color w:val="auto"/>
        </w:rPr>
      </w:pPr>
      <w:r>
        <w:rPr>
          <w:rFonts w:ascii="Arial" w:cs="Arial" w:eastAsia="Arial" w:hAnsi="Arial"/>
          <w:sz w:val="19"/>
          <w:szCs w:val="19"/>
          <w:color w:val="auto"/>
        </w:rPr>
        <w:t>(i) 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9"/>
          <w:szCs w:val="19"/>
          <w:b w:val="1"/>
          <w:bCs w:val="1"/>
          <w:color w:val="auto"/>
        </w:rPr>
        <w:t>Corporation Voting Securities</w:t>
      </w:r>
      <w:r>
        <w:rPr>
          <w:rFonts w:ascii="Arial" w:cs="Arial" w:eastAsia="Arial" w:hAnsi="Arial"/>
          <w:sz w:val="19"/>
          <w:szCs w:val="19"/>
          <w:color w:val="auto"/>
        </w:rPr>
        <w:t xml:space="preserve">”)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acquisition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6" w:name="page47"/>
    <w:bookmarkEnd w:id="46"/>
    <w:p>
      <w:pPr>
        <w:jc w:val="both"/>
        <w:ind w:left="560"/>
        <w:spacing w:after="0" w:line="252" w:lineRule="auto"/>
        <w:rPr>
          <w:sz w:val="20"/>
          <w:szCs w:val="20"/>
          <w:color w:val="auto"/>
        </w:rPr>
      </w:pPr>
      <w:r>
        <w:rPr>
          <w:rFonts w:ascii="Arial" w:cs="Arial" w:eastAsia="Arial" w:hAnsi="Arial"/>
          <w:sz w:val="21"/>
          <w:szCs w:val="21"/>
          <w:color w:val="auto"/>
        </w:rPr>
        <w:t xml:space="preserve">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further, </w:t>
      </w:r>
      <w:r>
        <w:rPr>
          <w:rFonts w:ascii="Arial" w:cs="Arial" w:eastAsia="Arial" w:hAnsi="Arial"/>
          <w:sz w:val="21"/>
          <w:szCs w:val="21"/>
          <w:color w:val="auto"/>
        </w:rPr>
        <w:t>that immediately prior to such accumulation, holding or acquisition, such Person was not a direct or</w:t>
      </w:r>
      <w:r>
        <w:rPr>
          <w:rFonts w:ascii="Arial" w:cs="Arial" w:eastAsia="Arial" w:hAnsi="Arial"/>
          <w:sz w:val="21"/>
          <w:szCs w:val="21"/>
          <w:i w:val="1"/>
          <w:iCs w:val="1"/>
          <w:color w:val="auto"/>
        </w:rPr>
        <w:t xml:space="preserve"> </w:t>
      </w:r>
      <w:r>
        <w:rPr>
          <w:rFonts w:ascii="Arial" w:cs="Arial" w:eastAsia="Arial" w:hAnsi="Arial"/>
          <w:sz w:val="21"/>
          <w:szCs w:val="21"/>
          <w:color w:val="auto"/>
        </w:rPr>
        <w:t>indirect beneficial owner of 25% or more of the Corporation Voting Securities; or</w:t>
      </w:r>
    </w:p>
    <w:p>
      <w:pPr>
        <w:spacing w:after="0" w:line="174" w:lineRule="exact"/>
        <w:rPr>
          <w:sz w:val="20"/>
          <w:szCs w:val="20"/>
          <w:color w:val="auto"/>
        </w:rPr>
      </w:pPr>
    </w:p>
    <w:p>
      <w:pPr>
        <w:jc w:val="both"/>
        <w:ind w:left="560" w:firstLine="743"/>
        <w:spacing w:after="0" w:line="233" w:lineRule="auto"/>
        <w:rPr>
          <w:sz w:val="20"/>
          <w:szCs w:val="20"/>
          <w:color w:val="auto"/>
        </w:rPr>
      </w:pPr>
      <w:r>
        <w:rPr>
          <w:rFonts w:ascii="Arial" w:cs="Arial" w:eastAsia="Arial" w:hAnsi="Arial"/>
          <w:sz w:val="22"/>
          <w:szCs w:val="22"/>
          <w:color w:val="auto"/>
        </w:rPr>
        <w:t>(ii) Within any twelve (12) month period that includes or is after the Start Date, individuals who constitute the Board (the “</w:t>
      </w:r>
      <w:r>
        <w:rPr>
          <w:rFonts w:ascii="Arial" w:cs="Arial" w:eastAsia="Arial" w:hAnsi="Arial"/>
          <w:sz w:val="22"/>
          <w:szCs w:val="22"/>
          <w:b w:val="1"/>
          <w:bCs w:val="1"/>
          <w:color w:val="auto"/>
        </w:rPr>
        <w:t>Incumbent Board</w:t>
      </w:r>
      <w:r>
        <w:rPr>
          <w:rFonts w:ascii="Arial" w:cs="Arial" w:eastAsia="Arial" w:hAnsi="Arial"/>
          <w:sz w:val="22"/>
          <w:szCs w:val="22"/>
          <w:color w:val="auto"/>
        </w:rPr>
        <w:t xml:space="preserve">”) cease for any reason to constitute at least a majority of the Board;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individual becoming a director 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sz w:val="20"/>
          <w:szCs w:val="20"/>
          <w:color w:val="auto"/>
        </w:rPr>
      </w:pPr>
    </w:p>
    <w:p>
      <w:pPr>
        <w:jc w:val="both"/>
        <w:ind w:left="560" w:firstLine="743"/>
        <w:spacing w:after="0" w:line="270" w:lineRule="auto"/>
        <w:rPr>
          <w:sz w:val="20"/>
          <w:szCs w:val="20"/>
          <w:color w:val="auto"/>
        </w:rPr>
      </w:pPr>
      <w:r>
        <w:rPr>
          <w:rFonts w:ascii="Arial" w:cs="Arial" w:eastAsia="Arial" w:hAnsi="Arial"/>
          <w:sz w:val="19"/>
          <w:szCs w:val="19"/>
          <w:color w:val="auto"/>
        </w:rPr>
        <w:t>(iii) 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19"/>
          <w:szCs w:val="19"/>
          <w:b w:val="1"/>
          <w:bCs w:val="1"/>
          <w:color w:val="auto"/>
        </w:rPr>
        <w:t>Business Combination</w:t>
      </w:r>
      <w:r>
        <w:rPr>
          <w:rFonts w:ascii="Arial" w:cs="Arial" w:eastAsia="Arial" w:hAnsi="Arial"/>
          <w:sz w:val="19"/>
          <w:szCs w:val="19"/>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9"/>
          <w:szCs w:val="19"/>
          <w:b w:val="1"/>
          <w:bCs w:val="1"/>
          <w:color w:val="auto"/>
        </w:rPr>
        <w:t>Surviving Corporation</w:t>
      </w:r>
      <w:r>
        <w:rPr>
          <w:rFonts w:ascii="Arial" w:cs="Arial" w:eastAsia="Arial" w:hAnsi="Arial"/>
          <w:sz w:val="19"/>
          <w:szCs w:val="19"/>
          <w:color w:val="auto"/>
        </w:rPr>
        <w:t>”), or (y) if applicable, a corporation that as a result of such transaction owns the Corporation or all or substantially all of the Corporation’s assets either directly or through one or more subsidiaries (the ‘‘</w:t>
      </w:r>
      <w:r>
        <w:rPr>
          <w:rFonts w:ascii="Arial" w:cs="Arial" w:eastAsia="Arial" w:hAnsi="Arial"/>
          <w:sz w:val="19"/>
          <w:szCs w:val="19"/>
          <w:b w:val="1"/>
          <w:bCs w:val="1"/>
          <w:color w:val="auto"/>
        </w:rPr>
        <w:t>Parent Corporation</w:t>
      </w:r>
      <w:r>
        <w:rPr>
          <w:rFonts w:ascii="Arial" w:cs="Arial" w:eastAsia="Arial" w:hAnsi="Arial"/>
          <w:sz w:val="19"/>
          <w:szCs w:val="19"/>
          <w:color w:val="auto"/>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 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47" w:name="page48"/>
    <w:bookmarkEnd w:id="47"/>
    <w:p>
      <w:pPr>
        <w:ind w:left="1760" w:firstLine="743"/>
        <w:spacing w:after="0" w:line="251" w:lineRule="auto"/>
        <w:rPr>
          <w:sz w:val="20"/>
          <w:szCs w:val="20"/>
          <w:color w:val="auto"/>
        </w:rPr>
      </w:pPr>
      <w:r>
        <w:rPr>
          <w:rFonts w:ascii="Arial" w:cs="Arial" w:eastAsia="Arial" w:hAnsi="Arial"/>
          <w:sz w:val="22"/>
          <w:szCs w:val="22"/>
          <w:color w:val="auto"/>
        </w:rPr>
        <w:t>(iv) Approval by the Corporation’s stockholders of a complete liquidation or dissolution of the Corporation.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the foregoing, participation as a management investor in such purchasing company will not be deemed to be within the exceptions provided for in (a) and (b)).</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anything to contrary, a Change in Control will have occurred only if such change in ownership constitutes a change in control under Section 409A of the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 and the regulations and other guidance in effect thereunder (“</w:t>
      </w: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u w:val="single" w:color="auto"/>
          <w:color w:val="auto"/>
        </w:rPr>
        <w:t>Additional Vesting</w:t>
      </w:r>
    </w:p>
    <w:p>
      <w:pPr>
        <w:spacing w:after="0" w:line="212" w:lineRule="exact"/>
        <w:rPr>
          <w:sz w:val="20"/>
          <w:szCs w:val="20"/>
          <w:color w:val="auto"/>
        </w:rPr>
      </w:pPr>
    </w:p>
    <w:p>
      <w:pPr>
        <w:ind w:firstLine="885"/>
        <w:spacing w:after="0" w:line="251" w:lineRule="auto"/>
        <w:tabs>
          <w:tab w:leader="none" w:pos="1062"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addition to any amounts otherwise payable to Executive upon a separation from service, if Executive incurs any of the events below, he will be granted additional vesting, as described below:</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Death or Disability</w:t>
      </w:r>
      <w:r>
        <w:rPr>
          <w:rFonts w:ascii="Arial" w:cs="Arial" w:eastAsia="Arial" w:hAnsi="Arial"/>
          <w:sz w:val="22"/>
          <w:szCs w:val="22"/>
          <w:color w:val="auto"/>
        </w:rPr>
        <w:t>. If Executive dies or becomes permanently disabled (as determined under the Company’s long-term disability plan in which Executive participates), Executive will receive additional vesting credit under each of the Company’s employee benefit plans and outstanding equity awards that have vesting requirements. Such additional vesting credit shall begin with the date of death or disability period, as applicable, and will equal full vesting credit.</w:t>
      </w:r>
    </w:p>
    <w:p>
      <w:pPr>
        <w:spacing w:after="0" w:line="18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Retirement</w:t>
      </w:r>
      <w:r>
        <w:rPr>
          <w:rFonts w:ascii="Arial" w:cs="Arial" w:eastAsia="Arial" w:hAnsi="Arial"/>
          <w:sz w:val="22"/>
          <w:szCs w:val="22"/>
          <w:color w:val="auto"/>
        </w:rPr>
        <w:t>. Upon Executive’s Retirement from the Company, Executive will receive full vesting of any of his outstanding equity awards. It shall be Executive’s choice to elect Retirement under this Section 3.5 or voluntary resignation under Section 3.1. If the term “Retirement” is not defined within a particular equity award, or if the award agreement defers to the definition of “Retirement” contained within an employment agreement, then for purposes of that award, “</w:t>
      </w:r>
      <w:r>
        <w:rPr>
          <w:rFonts w:ascii="Arial" w:cs="Arial" w:eastAsia="Arial" w:hAnsi="Arial"/>
          <w:sz w:val="22"/>
          <w:szCs w:val="22"/>
          <w:b w:val="1"/>
          <w:bCs w:val="1"/>
          <w:color w:val="auto"/>
        </w:rPr>
        <w:t>Retirement</w:t>
      </w:r>
      <w:r>
        <w:rPr>
          <w:rFonts w:ascii="Arial" w:cs="Arial" w:eastAsia="Arial" w:hAnsi="Arial"/>
          <w:sz w:val="22"/>
          <w:szCs w:val="22"/>
          <w:color w:val="auto"/>
        </w:rPr>
        <w:t xml:space="preserve">” shall mean Executive’s termination of employment, other than for Cause (as defined in </w:t>
      </w:r>
      <w:r>
        <w:rPr>
          <w:rFonts w:ascii="Arial" w:cs="Arial" w:eastAsia="Arial" w:hAnsi="Arial"/>
          <w:sz w:val="22"/>
          <w:szCs w:val="22"/>
          <w:b w:val="1"/>
          <w:bCs w:val="1"/>
          <w:color w:val="auto"/>
        </w:rPr>
        <w:t>Section 3.2</w:t>
      </w:r>
      <w:r>
        <w:rPr>
          <w:rFonts w:ascii="Arial" w:cs="Arial" w:eastAsia="Arial" w:hAnsi="Arial"/>
          <w:sz w:val="22"/>
          <w:szCs w:val="22"/>
          <w:color w:val="auto"/>
        </w:rPr>
        <w:t>, above), which meets all of the following criteria:</w:t>
      </w:r>
    </w:p>
    <w:p>
      <w:pPr>
        <w:spacing w:after="0" w:line="188" w:lineRule="exact"/>
        <w:rPr>
          <w:sz w:val="20"/>
          <w:szCs w:val="20"/>
          <w:color w:val="auto"/>
        </w:rPr>
      </w:pPr>
    </w:p>
    <w:p>
      <w:pPr>
        <w:jc w:val="both"/>
        <w:ind w:left="1760" w:firstLine="743"/>
        <w:spacing w:after="0" w:line="247" w:lineRule="auto"/>
        <w:rPr>
          <w:sz w:val="20"/>
          <w:szCs w:val="20"/>
          <w:color w:val="auto"/>
        </w:rPr>
      </w:pPr>
      <w:r>
        <w:rPr>
          <w:rFonts w:ascii="Arial" w:cs="Arial" w:eastAsia="Arial" w:hAnsi="Arial"/>
          <w:sz w:val="21"/>
          <w:szCs w:val="21"/>
          <w:color w:val="auto"/>
        </w:rPr>
        <w:t>(i) The sum of (x) the continuous full years of Service (as defined in the 2007 Long-Term Incentive Plan) by Executive to the Company or a GLDD Entity (defined below) and (y) the attained age in full years of Executive on the date of Executive’s termination of employment total no less than 75 (the “</w:t>
      </w:r>
      <w:r>
        <w:rPr>
          <w:rFonts w:ascii="Arial" w:cs="Arial" w:eastAsia="Arial" w:hAnsi="Arial"/>
          <w:sz w:val="21"/>
          <w:szCs w:val="21"/>
          <w:b w:val="1"/>
          <w:bCs w:val="1"/>
          <w:color w:val="auto"/>
        </w:rPr>
        <w:t>Rule of 75</w:t>
      </w:r>
      <w:r>
        <w:rPr>
          <w:rFonts w:ascii="Arial" w:cs="Arial" w:eastAsia="Arial" w:hAnsi="Arial"/>
          <w:sz w:val="21"/>
          <w:szCs w:val="21"/>
          <w:color w:val="auto"/>
        </w:rPr>
        <w:t>”). A leave of absence which is agreed to between the Company and Executive in writing for medical reasons or for military service shall not constitute a break in Service for this purpose. Take for example, an executive who was born on June 27, 1963, and started full-time employment with the Company on July 1, 1990, and works continuously as an employee until a termination of employment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8" w:name="page49"/>
    <w:bookmarkEnd w:id="48"/>
    <w:p>
      <w:pPr>
        <w:jc w:val="both"/>
        <w:ind w:left="1760"/>
        <w:spacing w:after="0" w:line="328" w:lineRule="auto"/>
        <w:rPr>
          <w:sz w:val="20"/>
          <w:szCs w:val="20"/>
          <w:color w:val="auto"/>
        </w:rPr>
      </w:pPr>
      <w:r>
        <w:rPr>
          <w:rFonts w:ascii="Arial" w:cs="Arial" w:eastAsia="Arial" w:hAnsi="Arial"/>
          <w:sz w:val="19"/>
          <w:szCs w:val="19"/>
          <w:color w:val="auto"/>
        </w:rPr>
        <w:t>on December 31, 2016. In such case, such executive’s full years of Service are 26 years and his attained age on the date of termination is 53 years. The total is 79 years, so the executive satisfies the Rule of 75;</w:t>
      </w:r>
    </w:p>
    <w:p>
      <w:pPr>
        <w:spacing w:after="0" w:line="105" w:lineRule="exact"/>
        <w:rPr>
          <w:sz w:val="20"/>
          <w:szCs w:val="20"/>
          <w:color w:val="auto"/>
        </w:rPr>
      </w:pPr>
    </w:p>
    <w:p>
      <w:pPr>
        <w:jc w:val="both"/>
        <w:ind w:left="1760" w:firstLine="743"/>
        <w:spacing w:after="0" w:line="245" w:lineRule="auto"/>
        <w:rPr>
          <w:sz w:val="20"/>
          <w:szCs w:val="20"/>
          <w:color w:val="auto"/>
        </w:rPr>
      </w:pPr>
      <w:r>
        <w:rPr>
          <w:rFonts w:ascii="Arial" w:cs="Arial" w:eastAsia="Arial" w:hAnsi="Arial"/>
          <w:sz w:val="21"/>
          <w:szCs w:val="21"/>
          <w:color w:val="auto"/>
        </w:rPr>
        <w:t>(ii) Executive signs a Restrictive Covenant Agreement, in a form satisfactory to the Company, in anticipation of his Retirement, if the Company requests that he do so, within the timeframe given to Executive to sign by the Company. For purposes of this Agreement, a “Restrictive Covenant Agreement” shall mean an agreement between the Company and the Executive, in a form satisfactory to the Company,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be broader in scope or duration or otherwise less favorable to Executive than the covenants contained in Section 4 herein; and</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00" w:type="dxa"/>
            <w:vAlign w:val="bottom"/>
          </w:tcPr>
          <w:p>
            <w:pPr>
              <w:ind w:left="740"/>
              <w:spacing w:after="0"/>
              <w:rPr>
                <w:sz w:val="20"/>
                <w:szCs w:val="20"/>
                <w:color w:val="auto"/>
              </w:rPr>
            </w:pPr>
            <w:r>
              <w:rPr>
                <w:rFonts w:ascii="Arial" w:cs="Arial" w:eastAsia="Arial" w:hAnsi="Arial"/>
                <w:sz w:val="22"/>
                <w:szCs w:val="22"/>
                <w:color w:val="auto"/>
              </w:rPr>
              <w:t>(iii)</w:t>
            </w:r>
          </w:p>
        </w:tc>
        <w:tc>
          <w:tcPr>
            <w:tcW w:w="7460" w:type="dxa"/>
            <w:vAlign w:val="bottom"/>
            <w:gridSpan w:val="3"/>
          </w:tcPr>
          <w:p>
            <w:pPr>
              <w:ind w:left="1460"/>
              <w:spacing w:after="0"/>
              <w:rPr>
                <w:sz w:val="20"/>
                <w:szCs w:val="20"/>
                <w:color w:val="auto"/>
              </w:rPr>
            </w:pPr>
            <w:r>
              <w:rPr>
                <w:rFonts w:ascii="Arial" w:cs="Arial" w:eastAsia="Arial" w:hAnsi="Arial"/>
                <w:sz w:val="22"/>
                <w:szCs w:val="22"/>
                <w:color w:val="auto"/>
                <w:w w:val="95"/>
              </w:rPr>
              <w:t>Executive gives the Chief Executive Officer, or Executive’s direct</w:t>
            </w:r>
          </w:p>
        </w:tc>
      </w:tr>
      <w:tr>
        <w:trPr>
          <w:trHeight w:val="275"/>
        </w:trPr>
        <w:tc>
          <w:tcPr>
            <w:tcW w:w="9660" w:type="dxa"/>
            <w:vAlign w:val="bottom"/>
            <w:gridSpan w:val="4"/>
          </w:tcPr>
          <w:p>
            <w:pPr>
              <w:spacing w:after="0"/>
              <w:rPr>
                <w:sz w:val="20"/>
                <w:szCs w:val="20"/>
                <w:color w:val="auto"/>
              </w:rPr>
            </w:pPr>
            <w:r>
              <w:rPr>
                <w:rFonts w:ascii="Arial" w:cs="Arial" w:eastAsia="Arial" w:hAnsi="Arial"/>
                <w:sz w:val="22"/>
                <w:szCs w:val="22"/>
                <w:color w:val="auto"/>
              </w:rPr>
              <w:t>supervisor at the time, at least three months’ prior notice of his Retirement.</w:t>
            </w:r>
          </w:p>
        </w:tc>
      </w:tr>
      <w:tr>
        <w:trPr>
          <w:trHeight w:val="409"/>
        </w:trPr>
        <w:tc>
          <w:tcPr>
            <w:tcW w:w="2200" w:type="dxa"/>
            <w:vAlign w:val="bottom"/>
          </w:tcPr>
          <w:p>
            <w:pPr>
              <w:spacing w:after="0"/>
              <w:rPr>
                <w:sz w:val="20"/>
                <w:szCs w:val="20"/>
                <w:color w:val="auto"/>
              </w:rPr>
            </w:pPr>
            <w:r>
              <w:rPr>
                <w:rFonts w:ascii="Arial" w:cs="Arial" w:eastAsia="Arial" w:hAnsi="Arial"/>
                <w:sz w:val="22"/>
                <w:szCs w:val="22"/>
                <w:color w:val="auto"/>
              </w:rPr>
              <w:t>(c)</w:t>
            </w:r>
          </w:p>
        </w:tc>
        <w:tc>
          <w:tcPr>
            <w:tcW w:w="7460" w:type="dxa"/>
            <w:vAlign w:val="bottom"/>
            <w:gridSpan w:val="3"/>
          </w:tcPr>
          <w:p>
            <w:pPr>
              <w:spacing w:after="0"/>
              <w:rPr>
                <w:sz w:val="20"/>
                <w:szCs w:val="20"/>
                <w:color w:val="auto"/>
              </w:rPr>
            </w:pPr>
            <w:r>
              <w:rPr>
                <w:rFonts w:ascii="Arial" w:cs="Arial" w:eastAsia="Arial" w:hAnsi="Arial"/>
                <w:sz w:val="22"/>
                <w:szCs w:val="22"/>
                <w:color w:val="auto"/>
              </w:rPr>
              <w:t xml:space="preserve">Termination by the Company Without Cause. As set forth in </w:t>
            </w:r>
            <w:r>
              <w:rPr>
                <w:rFonts w:ascii="Arial" w:cs="Arial" w:eastAsia="Arial" w:hAnsi="Arial"/>
                <w:sz w:val="22"/>
                <w:szCs w:val="22"/>
                <w:b w:val="1"/>
                <w:bCs w:val="1"/>
                <w:color w:val="auto"/>
              </w:rPr>
              <w:t>Section 3.3</w:t>
            </w:r>
            <w:r>
              <w:rPr>
                <w:rFonts w:ascii="Arial" w:cs="Arial" w:eastAsia="Arial" w:hAnsi="Arial"/>
                <w:sz w:val="22"/>
                <w:szCs w:val="22"/>
                <w:color w:val="auto"/>
              </w:rPr>
              <w:t>.</w:t>
            </w:r>
          </w:p>
        </w:tc>
      </w:tr>
      <w:tr>
        <w:trPr>
          <w:trHeight w:val="20"/>
        </w:trPr>
        <w:tc>
          <w:tcPr>
            <w:tcW w:w="2200" w:type="dxa"/>
            <w:vAlign w:val="bottom"/>
            <w:tcBorders>
              <w:right w:val="single" w:sz="8" w:color="auto"/>
            </w:tcBorders>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39"/>
        </w:trPr>
        <w:tc>
          <w:tcPr>
            <w:tcW w:w="2200" w:type="dxa"/>
            <w:vAlign w:val="bottom"/>
          </w:tcPr>
          <w:p>
            <w:pPr>
              <w:spacing w:after="0"/>
              <w:rPr>
                <w:sz w:val="20"/>
                <w:szCs w:val="20"/>
                <w:color w:val="auto"/>
              </w:rPr>
            </w:pPr>
            <w:r>
              <w:rPr>
                <w:rFonts w:ascii="Arial" w:cs="Arial" w:eastAsia="Arial" w:hAnsi="Arial"/>
                <w:sz w:val="22"/>
                <w:szCs w:val="22"/>
                <w:color w:val="auto"/>
              </w:rPr>
              <w:t>(d)</w:t>
            </w:r>
          </w:p>
        </w:tc>
        <w:tc>
          <w:tcPr>
            <w:tcW w:w="7460" w:type="dxa"/>
            <w:vAlign w:val="bottom"/>
            <w:gridSpan w:val="3"/>
          </w:tcPr>
          <w:p>
            <w:pPr>
              <w:spacing w:after="0"/>
              <w:rPr>
                <w:sz w:val="20"/>
                <w:szCs w:val="20"/>
                <w:color w:val="auto"/>
              </w:rPr>
            </w:pPr>
            <w:r>
              <w:rPr>
                <w:rFonts w:ascii="Arial" w:cs="Arial" w:eastAsia="Arial" w:hAnsi="Arial"/>
                <w:sz w:val="22"/>
                <w:szCs w:val="22"/>
                <w:color w:val="auto"/>
              </w:rPr>
              <w:t xml:space="preserve">Change in Control. As set forth in </w:t>
            </w:r>
            <w:r>
              <w:rPr>
                <w:rFonts w:ascii="Arial" w:cs="Arial" w:eastAsia="Arial" w:hAnsi="Arial"/>
                <w:sz w:val="22"/>
                <w:szCs w:val="22"/>
                <w:b w:val="1"/>
                <w:bCs w:val="1"/>
                <w:color w:val="auto"/>
              </w:rPr>
              <w:t>Section 3.4</w:t>
            </w:r>
            <w:r>
              <w:rPr>
                <w:rFonts w:ascii="Arial" w:cs="Arial" w:eastAsia="Arial" w:hAnsi="Arial"/>
                <w:sz w:val="22"/>
                <w:szCs w:val="22"/>
                <w:color w:val="auto"/>
              </w:rPr>
              <w:t>.</w:t>
            </w:r>
          </w:p>
        </w:tc>
      </w:tr>
      <w:tr>
        <w:trPr>
          <w:trHeight w:val="20"/>
        </w:trPr>
        <w:tc>
          <w:tcPr>
            <w:tcW w:w="2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the Company determines that Executive cannot receive such additional vesting credit under the terms of any such employee benefit plan because, for example, Executive is not actually providing any services to the Company, the Company shall provide the value of such additional vesting under an alternate arrangement, such as through the purchase of an individual insurance policy that provides similar benefits or, if applicable, through a nonqualified pension or profit sharing plan.</w:t>
      </w:r>
    </w:p>
    <w:p>
      <w:pPr>
        <w:spacing w:after="0" w:line="13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u w:val="single" w:color="auto"/>
          <w:color w:val="auto"/>
        </w:rPr>
        <w:t>Execution of Separation Agreement</w:t>
      </w:r>
    </w:p>
    <w:p>
      <w:pPr>
        <w:spacing w:after="0" w:line="212" w:lineRule="exact"/>
        <w:rPr>
          <w:sz w:val="20"/>
          <w:szCs w:val="20"/>
          <w:color w:val="auto"/>
        </w:rPr>
      </w:pPr>
    </w:p>
    <w:p>
      <w:pPr>
        <w:jc w:val="both"/>
        <w:ind w:firstLine="885"/>
        <w:spacing w:after="0" w:line="269" w:lineRule="auto"/>
        <w:tabs>
          <w:tab w:leader="none" w:pos="1083"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As a condition to receiving the Resignation Pay, the Severance Pay or the Change in Control Payment set forth in </w:t>
      </w:r>
      <w:r>
        <w:rPr>
          <w:rFonts w:ascii="Arial" w:cs="Arial" w:eastAsia="Arial" w:hAnsi="Arial"/>
          <w:sz w:val="19"/>
          <w:szCs w:val="19"/>
          <w:b w:val="1"/>
          <w:bCs w:val="1"/>
          <w:color w:val="auto"/>
        </w:rPr>
        <w:t>Section 3.1</w:t>
      </w:r>
      <w:r>
        <w:rPr>
          <w:rFonts w:ascii="Arial" w:cs="Arial" w:eastAsia="Arial" w:hAnsi="Arial"/>
          <w:sz w:val="19"/>
          <w:szCs w:val="19"/>
          <w:color w:val="auto"/>
        </w:rPr>
        <w:t>,</w:t>
      </w:r>
      <w:r>
        <w:rPr>
          <w:rFonts w:ascii="Arial" w:cs="Arial" w:eastAsia="Arial" w:hAnsi="Arial"/>
          <w:sz w:val="19"/>
          <w:szCs w:val="19"/>
          <w:b w:val="1"/>
          <w:bCs w:val="1"/>
          <w:color w:val="auto"/>
        </w:rPr>
        <w:t xml:space="preserve"> 3.3 </w:t>
      </w:r>
      <w:r>
        <w:rPr>
          <w:rFonts w:ascii="Arial" w:cs="Arial" w:eastAsia="Arial" w:hAnsi="Arial"/>
          <w:sz w:val="19"/>
          <w:szCs w:val="19"/>
          <w:color w:val="auto"/>
        </w:rPr>
        <w:t>or</w:t>
      </w:r>
      <w:r>
        <w:rPr>
          <w:rFonts w:ascii="Arial" w:cs="Arial" w:eastAsia="Arial" w:hAnsi="Arial"/>
          <w:sz w:val="19"/>
          <w:szCs w:val="19"/>
          <w:b w:val="1"/>
          <w:bCs w:val="1"/>
          <w:color w:val="auto"/>
        </w:rPr>
        <w:t xml:space="preserve"> 3.4</w:t>
      </w:r>
      <w:r>
        <w:rPr>
          <w:rFonts w:ascii="Arial" w:cs="Arial" w:eastAsia="Arial" w:hAnsi="Arial"/>
          <w:sz w:val="19"/>
          <w:szCs w:val="19"/>
          <w:color w:val="auto"/>
        </w:rPr>
        <w:t>, respectively, Executive must execute and return to the Company, and not revoke any part of, a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and Executive. The Company shall deliver to Executive such release within ten (10) days following the Termination Date and Executive shall deliver an original, signed release to the Company within twenty-one (21) business days (or such longer period as may be required by applicable law to constitute an effective release of all claims, but no longer than 45 days after the after receipt of the same from the Company) (the “</w:t>
      </w:r>
      <w:r>
        <w:rPr>
          <w:rFonts w:ascii="Arial" w:cs="Arial" w:eastAsia="Arial" w:hAnsi="Arial"/>
          <w:sz w:val="19"/>
          <w:szCs w:val="19"/>
          <w:b w:val="1"/>
          <w:bCs w:val="1"/>
          <w:color w:val="auto"/>
        </w:rPr>
        <w:t>Release Effective Date</w:t>
      </w:r>
      <w:r>
        <w:rPr>
          <w:rFonts w:ascii="Arial" w:cs="Arial" w:eastAsia="Arial" w:hAnsi="Arial"/>
          <w:sz w:val="19"/>
          <w:szCs w:val="19"/>
          <w:color w:val="auto"/>
        </w:rPr>
        <w:t xml:space="preserve">”). Notwithstanding anything in this Agreement to the contrary, no payments pursuant to </w:t>
      </w:r>
      <w:r>
        <w:rPr>
          <w:rFonts w:ascii="Arial" w:cs="Arial" w:eastAsia="Arial" w:hAnsi="Arial"/>
          <w:sz w:val="19"/>
          <w:szCs w:val="19"/>
          <w:b w:val="1"/>
          <w:bCs w:val="1"/>
          <w:color w:val="auto"/>
        </w:rPr>
        <w:t>Section 3.1</w:t>
      </w:r>
      <w:r>
        <w:rPr>
          <w:rFonts w:ascii="Arial" w:cs="Arial" w:eastAsia="Arial" w:hAnsi="Arial"/>
          <w:sz w:val="19"/>
          <w:szCs w:val="19"/>
          <w:color w:val="auto"/>
        </w:rPr>
        <w:t xml:space="preserve">, </w:t>
      </w:r>
      <w:r>
        <w:rPr>
          <w:rFonts w:ascii="Arial" w:cs="Arial" w:eastAsia="Arial" w:hAnsi="Arial"/>
          <w:sz w:val="19"/>
          <w:szCs w:val="19"/>
          <w:b w:val="1"/>
          <w:bCs w:val="1"/>
          <w:color w:val="auto"/>
        </w:rPr>
        <w:t>3.3</w:t>
      </w:r>
      <w:r>
        <w:rPr>
          <w:rFonts w:ascii="Arial" w:cs="Arial" w:eastAsia="Arial" w:hAnsi="Arial"/>
          <w:sz w:val="19"/>
          <w:szCs w:val="19"/>
          <w:color w:val="auto"/>
        </w:rPr>
        <w:t xml:space="preserve"> or </w:t>
      </w:r>
      <w:r>
        <w:rPr>
          <w:rFonts w:ascii="Arial" w:cs="Arial" w:eastAsia="Arial" w:hAnsi="Arial"/>
          <w:sz w:val="19"/>
          <w:szCs w:val="19"/>
          <w:b w:val="1"/>
          <w:bCs w:val="1"/>
          <w:color w:val="auto"/>
        </w:rPr>
        <w:t>3.4</w:t>
      </w:r>
      <w:r>
        <w:rPr>
          <w:rFonts w:ascii="Arial" w:cs="Arial" w:eastAsia="Arial" w:hAnsi="Arial"/>
          <w:sz w:val="19"/>
          <w:szCs w:val="19"/>
          <w:color w:val="auto"/>
        </w:rPr>
        <w:t xml:space="preserve"> shall be made prior to the date that both</w:t>
      </w:r>
    </w:p>
    <w:p>
      <w:pPr>
        <w:spacing w:after="0" w:line="1" w:lineRule="exact"/>
        <w:rPr>
          <w:rFonts w:ascii="Arial" w:cs="Arial" w:eastAsia="Arial" w:hAnsi="Arial"/>
          <w:sz w:val="19"/>
          <w:szCs w:val="19"/>
          <w:color w:val="auto"/>
        </w:rPr>
      </w:pPr>
    </w:p>
    <w:p>
      <w:pPr>
        <w:ind w:firstLine="8"/>
        <w:spacing w:after="0" w:line="237" w:lineRule="auto"/>
        <w:tabs>
          <w:tab w:leader="none" w:pos="317"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Executive has delivered an original, signed release to the Company and (b) the revocability period (if any) has elapsed, and provided that any payments that would otherwise be made during the first sixty (60)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9" w:name="page50"/>
    <w:bookmarkEnd w:id="49"/>
    <w:p>
      <w:pPr>
        <w:jc w:val="both"/>
        <w:spacing w:after="0" w:line="247" w:lineRule="exact"/>
        <w:rPr>
          <w:sz w:val="20"/>
          <w:szCs w:val="20"/>
          <w:color w:val="auto"/>
        </w:rPr>
      </w:pPr>
      <w:r>
        <w:rPr>
          <w:rFonts w:ascii="Arial" w:cs="Arial" w:eastAsia="Arial" w:hAnsi="Arial"/>
          <w:sz w:val="19"/>
          <w:szCs w:val="19"/>
          <w:color w:val="auto"/>
        </w:rPr>
        <w:t xml:space="preserve">days following Executive’s termination of employment will be made on the 65th day. If Executive does not deliver an original, signed release to the Company by the Release Effective Date, (i) Executive’s rights shall be limited to those made available to Executive under </w:t>
      </w:r>
      <w:r>
        <w:rPr>
          <w:rFonts w:ascii="Arial" w:cs="Arial" w:eastAsia="Arial" w:hAnsi="Arial"/>
          <w:sz w:val="19"/>
          <w:szCs w:val="19"/>
          <w:b w:val="1"/>
          <w:bCs w:val="1"/>
          <w:color w:val="auto"/>
        </w:rPr>
        <w:t>Section 3.2</w:t>
      </w:r>
      <w:r>
        <w:rPr>
          <w:rFonts w:ascii="Arial" w:cs="Arial" w:eastAsia="Arial" w:hAnsi="Arial"/>
          <w:sz w:val="19"/>
          <w:szCs w:val="19"/>
          <w:color w:val="auto"/>
        </w:rPr>
        <w:t xml:space="preserve"> above, and (ii) the Company shall have no obligation to pay or provide to Executive any amount or benefits described in </w:t>
      </w:r>
      <w:r>
        <w:rPr>
          <w:rFonts w:ascii="Arial" w:cs="Arial" w:eastAsia="Arial" w:hAnsi="Arial"/>
          <w:sz w:val="19"/>
          <w:szCs w:val="19"/>
          <w:b w:val="1"/>
          <w:bCs w:val="1"/>
          <w:color w:val="auto"/>
        </w:rPr>
        <w:t>Section 3.1</w:t>
      </w:r>
      <w:r>
        <w:rPr>
          <w:rFonts w:ascii="Arial" w:cs="Arial" w:eastAsia="Arial" w:hAnsi="Arial"/>
          <w:sz w:val="19"/>
          <w:szCs w:val="19"/>
          <w:color w:val="auto"/>
        </w:rPr>
        <w:t xml:space="preserve">, </w:t>
      </w:r>
      <w:r>
        <w:rPr>
          <w:rFonts w:ascii="Arial" w:cs="Arial" w:eastAsia="Arial" w:hAnsi="Arial"/>
          <w:sz w:val="19"/>
          <w:szCs w:val="19"/>
          <w:b w:val="1"/>
          <w:bCs w:val="1"/>
          <w:color w:val="auto"/>
        </w:rPr>
        <w:t>3.3</w:t>
      </w:r>
      <w:r>
        <w:rPr>
          <w:rFonts w:ascii="Arial" w:cs="Arial" w:eastAsia="Arial" w:hAnsi="Arial"/>
          <w:sz w:val="19"/>
          <w:szCs w:val="19"/>
          <w:color w:val="auto"/>
        </w:rPr>
        <w:t xml:space="preserve"> or </w:t>
      </w:r>
      <w:r>
        <w:rPr>
          <w:rFonts w:ascii="Arial" w:cs="Arial" w:eastAsia="Arial" w:hAnsi="Arial"/>
          <w:sz w:val="19"/>
          <w:szCs w:val="19"/>
          <w:b w:val="1"/>
          <w:bCs w:val="1"/>
          <w:color w:val="auto"/>
        </w:rPr>
        <w:t>3.4</w:t>
      </w:r>
      <w:r>
        <w:rPr>
          <w:rFonts w:ascii="Arial" w:cs="Arial" w:eastAsia="Arial" w:hAnsi="Arial"/>
          <w:sz w:val="19"/>
          <w:szCs w:val="19"/>
          <w:color w:val="auto"/>
        </w:rPr>
        <w:t>, or any other monies on account of the termination of Executive’s employment. Any obligation of the Company to provide Resignation Pay or Severance Pay shall cease: (A) upon Executive’s death, if Company</w:t>
      </w:r>
      <w:r>
        <w:rPr>
          <w:rFonts w:ascii="MS PGothic" w:cs="MS PGothic" w:eastAsia="MS PGothic" w:hAnsi="MS PGothic"/>
          <w:sz w:val="19"/>
          <w:szCs w:val="19"/>
          <w:color w:val="auto"/>
        </w:rPr>
        <w:t>‑</w:t>
      </w:r>
      <w:r>
        <w:rPr>
          <w:rFonts w:ascii="Arial" w:cs="Arial" w:eastAsia="Arial" w:hAnsi="Arial"/>
          <w:sz w:val="19"/>
          <w:szCs w:val="19"/>
          <w:color w:val="auto"/>
        </w:rPr>
        <w:t xml:space="preserve">provided life insurance proceeds are paid to Executive’s estate; (B) if Executive materially breaches any of his obligations under </w:t>
      </w:r>
      <w:r>
        <w:rPr>
          <w:rFonts w:ascii="Arial" w:cs="Arial" w:eastAsia="Arial" w:hAnsi="Arial"/>
          <w:sz w:val="19"/>
          <w:szCs w:val="19"/>
          <w:b w:val="1"/>
          <w:bCs w:val="1"/>
          <w:color w:val="auto"/>
        </w:rPr>
        <w:t>Articles IV</w:t>
      </w:r>
      <w:r>
        <w:rPr>
          <w:rFonts w:ascii="Arial" w:cs="Arial" w:eastAsia="Arial" w:hAnsi="Arial"/>
          <w:sz w:val="19"/>
          <w:szCs w:val="19"/>
          <w:color w:val="auto"/>
        </w:rPr>
        <w:t xml:space="preserve"> or </w:t>
      </w:r>
      <w:r>
        <w:rPr>
          <w:rFonts w:ascii="Arial" w:cs="Arial" w:eastAsia="Arial" w:hAnsi="Arial"/>
          <w:sz w:val="19"/>
          <w:szCs w:val="19"/>
          <w:b w:val="1"/>
          <w:bCs w:val="1"/>
          <w:color w:val="auto"/>
        </w:rPr>
        <w:t>V</w:t>
      </w:r>
      <w:r>
        <w:rPr>
          <w:rFonts w:ascii="Arial" w:cs="Arial" w:eastAsia="Arial" w:hAnsi="Arial"/>
          <w:sz w:val="19"/>
          <w:szCs w:val="19"/>
          <w:color w:val="auto"/>
        </w:rPr>
        <w:t xml:space="preserve">; or (C) if, after Executive’s Termination Date, the Company discovers facts or information that establish that Executive committed an act that would have constituted Cause, as defined under </w:t>
      </w:r>
      <w:r>
        <w:rPr>
          <w:rFonts w:ascii="Arial" w:cs="Arial" w:eastAsia="Arial" w:hAnsi="Arial"/>
          <w:sz w:val="19"/>
          <w:szCs w:val="19"/>
          <w:b w:val="1"/>
          <w:bCs w:val="1"/>
          <w:color w:val="auto"/>
        </w:rPr>
        <w:t>Section 3.2(a)</w:t>
      </w:r>
      <w:r>
        <w:rPr>
          <w:rFonts w:ascii="Arial" w:cs="Arial" w:eastAsia="Arial" w:hAnsi="Arial"/>
          <w:sz w:val="19"/>
          <w:szCs w:val="19"/>
          <w:color w:val="auto"/>
        </w:rPr>
        <w:t xml:space="preserve">, </w:t>
      </w:r>
      <w:r>
        <w:rPr>
          <w:rFonts w:ascii="Arial" w:cs="Arial" w:eastAsia="Arial" w:hAnsi="Arial"/>
          <w:sz w:val="19"/>
          <w:szCs w:val="19"/>
          <w:b w:val="1"/>
          <w:bCs w:val="1"/>
          <w:color w:val="auto"/>
        </w:rPr>
        <w:t>(b)</w:t>
      </w:r>
      <w:r>
        <w:rPr>
          <w:rFonts w:ascii="Arial" w:cs="Arial" w:eastAsia="Arial" w:hAnsi="Arial"/>
          <w:sz w:val="19"/>
          <w:szCs w:val="19"/>
          <w:color w:val="auto"/>
        </w:rPr>
        <w:t xml:space="preserve"> or </w:t>
      </w:r>
      <w:r>
        <w:rPr>
          <w:rFonts w:ascii="Arial" w:cs="Arial" w:eastAsia="Arial" w:hAnsi="Arial"/>
          <w:sz w:val="19"/>
          <w:szCs w:val="19"/>
          <w:b w:val="1"/>
          <w:bCs w:val="1"/>
          <w:color w:val="auto"/>
        </w:rPr>
        <w:t>(c)</w:t>
      </w:r>
      <w:r>
        <w:rPr>
          <w:rFonts w:ascii="Arial" w:cs="Arial" w:eastAsia="Arial" w:hAnsi="Arial"/>
          <w:sz w:val="19"/>
          <w:szCs w:val="19"/>
          <w:color w:val="auto"/>
        </w:rPr>
        <w:t>.</w:t>
      </w:r>
    </w:p>
    <w:p>
      <w:pPr>
        <w:spacing w:after="0" w:line="18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u w:val="single" w:color="auto"/>
          <w:color w:val="auto"/>
        </w:rPr>
        <w:t>Section 409A</w:t>
      </w:r>
    </w:p>
    <w:p>
      <w:pPr>
        <w:spacing w:after="0" w:line="206" w:lineRule="exact"/>
        <w:rPr>
          <w:sz w:val="20"/>
          <w:szCs w:val="20"/>
          <w:color w:val="auto"/>
        </w:rPr>
      </w:pPr>
    </w:p>
    <w:p>
      <w:pPr>
        <w:jc w:val="both"/>
        <w:ind w:firstLine="885"/>
        <w:spacing w:after="0" w:line="273" w:lineRule="auto"/>
        <w:tabs>
          <w:tab w:leader="none" w:pos="1110"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While the parties acknowledge that any payments and benefits provided under </w:t>
      </w:r>
      <w:r>
        <w:rPr>
          <w:rFonts w:ascii="Arial" w:cs="Arial" w:eastAsia="Arial" w:hAnsi="Arial"/>
          <w:sz w:val="19"/>
          <w:szCs w:val="19"/>
          <w:b w:val="1"/>
          <w:bCs w:val="1"/>
          <w:color w:val="auto"/>
        </w:rPr>
        <w:t>Article III</w:t>
      </w:r>
      <w:r>
        <w:rPr>
          <w:rFonts w:ascii="Arial" w:cs="Arial" w:eastAsia="Arial" w:hAnsi="Arial"/>
          <w:sz w:val="19"/>
          <w:szCs w:val="19"/>
          <w:color w:val="auto"/>
        </w:rPr>
        <w:t xml:space="preserve"> of this Agreement are intended to be exempt from Section 409A, to the extent (a) further guidance or interpretation is issued by the IRS after the date of this Agreement which would indicate that the payments do not qualify for such exemption or the amount of payments due under </w:t>
      </w:r>
      <w:r>
        <w:rPr>
          <w:rFonts w:ascii="Arial" w:cs="Arial" w:eastAsia="Arial" w:hAnsi="Arial"/>
          <w:sz w:val="19"/>
          <w:szCs w:val="19"/>
          <w:b w:val="1"/>
          <w:bCs w:val="1"/>
          <w:color w:val="auto"/>
        </w:rPr>
        <w:t xml:space="preserve">Article III </w:t>
      </w:r>
      <w:r>
        <w:rPr>
          <w:rFonts w:ascii="Arial" w:cs="Arial" w:eastAsia="Arial" w:hAnsi="Arial"/>
          <w:sz w:val="19"/>
          <w:szCs w:val="19"/>
          <w:color w:val="auto"/>
        </w:rPr>
        <w:t>increases in a manner to cause certain payments to exceed the limitation available for exempt separation payment and</w:t>
      </w:r>
    </w:p>
    <w:p>
      <w:pPr>
        <w:spacing w:after="0" w:line="2" w:lineRule="exact"/>
        <w:rPr>
          <w:rFonts w:ascii="Arial" w:cs="Arial" w:eastAsia="Arial" w:hAnsi="Arial"/>
          <w:sz w:val="19"/>
          <w:szCs w:val="19"/>
          <w:color w:val="auto"/>
        </w:rPr>
      </w:pPr>
    </w:p>
    <w:p>
      <w:pPr>
        <w:jc w:val="both"/>
        <w:ind w:firstLine="8"/>
        <w:spacing w:after="0" w:line="277" w:lineRule="auto"/>
        <w:tabs>
          <w:tab w:leader="none" w:pos="351"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Executive is a “specified employee” within the meaning of Code Section 409A(a)(2)(B)(i) upon the date of Executive’s termination of employment, such payments or benefits which are not exempt and would otherwise be payable to Executive prior to the date that is six (6) months following the date of such termination of employment shall be delayed and instead shall be paid to Executive on the first regular payroll date that occurs after the six (6) month anniversary of such date of termination. For purposes of Section 409A, each installment of Severance Pay under </w:t>
      </w:r>
      <w:r>
        <w:rPr>
          <w:rFonts w:ascii="Arial" w:cs="Arial" w:eastAsia="Arial" w:hAnsi="Arial"/>
          <w:sz w:val="19"/>
          <w:szCs w:val="19"/>
          <w:b w:val="1"/>
          <w:bCs w:val="1"/>
          <w:color w:val="auto"/>
        </w:rPr>
        <w:t>Article III</w:t>
      </w:r>
      <w:r>
        <w:rPr>
          <w:rFonts w:ascii="Arial" w:cs="Arial" w:eastAsia="Arial" w:hAnsi="Arial"/>
          <w:sz w:val="19"/>
          <w:szCs w:val="19"/>
          <w:color w:val="auto"/>
        </w:rPr>
        <w:t xml:space="preserve"> shall be treated as a right to a separate payment.</w:t>
      </w:r>
    </w:p>
    <w:p>
      <w:pPr>
        <w:spacing w:after="0" w:line="14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u w:val="single" w:color="auto"/>
          <w:color w:val="auto"/>
        </w:rPr>
        <w:t>Excess Parachute Payments</w:t>
      </w:r>
    </w:p>
    <w:p>
      <w:pPr>
        <w:spacing w:after="0" w:line="212" w:lineRule="exact"/>
        <w:rPr>
          <w:sz w:val="20"/>
          <w:szCs w:val="20"/>
          <w:color w:val="auto"/>
        </w:rPr>
      </w:pPr>
    </w:p>
    <w:p>
      <w:pPr>
        <w:jc w:val="both"/>
        <w:ind w:firstLine="885"/>
        <w:spacing w:after="0" w:line="275" w:lineRule="auto"/>
        <w:tabs>
          <w:tab w:leader="none" w:pos="1046"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if any amount or benefit to be paid or provided 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reduction will be made only if and to the extent that such reduction would result in an increase in the aggregate payment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spacing w:after="0" w:line="15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The fact that Executive’s right to payments or benefits may be reduced by reason of the limitations contained in this </w:t>
      </w:r>
      <w:r>
        <w:rPr>
          <w:rFonts w:ascii="Arial" w:cs="Arial" w:eastAsia="Arial" w:hAnsi="Arial"/>
          <w:sz w:val="19"/>
          <w:szCs w:val="19"/>
          <w:b w:val="1"/>
          <w:bCs w:val="1"/>
          <w:color w:val="auto"/>
        </w:rPr>
        <w:t xml:space="preserve">Section 3.8 </w:t>
      </w:r>
      <w:r>
        <w:rPr>
          <w:rFonts w:ascii="Arial" w:cs="Arial" w:eastAsia="Arial" w:hAnsi="Arial"/>
          <w:sz w:val="19"/>
          <w:szCs w:val="19"/>
          <w:color w:val="auto"/>
        </w:rPr>
        <w:t>will not of itself limit or otherwise affect any other rights of Executive other than pursuant to this Agreement.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that any payment or benefit intended to be provided under this Agreement is required to be reduced pursuant to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3.8</w:t>
      </w:r>
      <w:r>
        <w:rPr>
          <w:rFonts w:ascii="Arial" w:cs="Arial" w:eastAsia="Arial" w:hAnsi="Arial"/>
          <w:sz w:val="19"/>
          <w:szCs w:val="19"/>
          <w:color w:val="auto"/>
        </w:rPr>
        <w:t>, the reduction shall be made in the following order: (a) first reducing, if any, those payments or benefits which have a higher</w:t>
      </w:r>
      <w:r>
        <w:rPr>
          <w:rFonts w:ascii="Arial" w:cs="Arial" w:eastAsia="Arial" w:hAnsi="Arial"/>
          <w:sz w:val="19"/>
          <w:szCs w:val="19"/>
          <w:b w:val="1"/>
          <w:bCs w:val="1"/>
          <w:color w:val="auto"/>
        </w:rPr>
        <w:t xml:space="preserve"> </w:t>
      </w:r>
      <w:r>
        <w:rPr>
          <w:rFonts w:ascii="Arial" w:cs="Arial" w:eastAsia="Arial" w:hAnsi="Arial"/>
          <w:sz w:val="19"/>
          <w:szCs w:val="19"/>
          <w:color w:val="auto"/>
        </w:rPr>
        <w:t>Parachute Value than actual present value, (b) then, to the extent necessary, reducing cash payments or benefits; and (c) then, to the extent necessary, reducing those payments or benefits having the next highest ratio of Parachute Value to actual present value of such payments or benefits as of the date of the change of control (as defined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0" w:name="page51"/>
    <w:bookmarkEnd w:id="50"/>
    <w:p>
      <w:pPr>
        <w:jc w:val="both"/>
        <w:spacing w:after="0" w:line="289" w:lineRule="auto"/>
        <w:rPr>
          <w:sz w:val="20"/>
          <w:szCs w:val="20"/>
          <w:color w:val="auto"/>
        </w:rPr>
      </w:pPr>
      <w:r>
        <w:rPr>
          <w:rFonts w:ascii="Arial" w:cs="Arial" w:eastAsia="Arial" w:hAnsi="Arial"/>
          <w:sz w:val="19"/>
          <w:szCs w:val="19"/>
          <w:color w:val="auto"/>
        </w:rPr>
        <w:t xml:space="preserve">under Code Section 280G). For purposes of this </w:t>
      </w:r>
      <w:r>
        <w:rPr>
          <w:rFonts w:ascii="Arial" w:cs="Arial" w:eastAsia="Arial" w:hAnsi="Arial"/>
          <w:sz w:val="19"/>
          <w:szCs w:val="19"/>
          <w:b w:val="1"/>
          <w:bCs w:val="1"/>
          <w:color w:val="auto"/>
        </w:rPr>
        <w:t>Section 3.8</w:t>
      </w:r>
      <w:r>
        <w:rPr>
          <w:rFonts w:ascii="Arial" w:cs="Arial" w:eastAsia="Arial" w:hAnsi="Arial"/>
          <w:sz w:val="19"/>
          <w:szCs w:val="19"/>
          <w:color w:val="auto"/>
        </w:rPr>
        <w:t xml:space="preserve">, present value shall be determined in accordance with Section 280G(d)(4) of the Code. For purposes of this </w:t>
      </w:r>
      <w:r>
        <w:rPr>
          <w:rFonts w:ascii="Arial" w:cs="Arial" w:eastAsia="Arial" w:hAnsi="Arial"/>
          <w:sz w:val="19"/>
          <w:szCs w:val="19"/>
          <w:b w:val="1"/>
          <w:bCs w:val="1"/>
          <w:color w:val="auto"/>
        </w:rPr>
        <w:t>Section 3.8</w:t>
      </w:r>
      <w:r>
        <w:rPr>
          <w:rFonts w:ascii="Arial" w:cs="Arial" w:eastAsia="Arial" w:hAnsi="Arial"/>
          <w:sz w:val="19"/>
          <w:szCs w:val="19"/>
          <w:color w:val="auto"/>
        </w:rPr>
        <w:t>, the “</w:t>
      </w:r>
      <w:r>
        <w:rPr>
          <w:rFonts w:ascii="Arial" w:cs="Arial" w:eastAsia="Arial" w:hAnsi="Arial"/>
          <w:sz w:val="19"/>
          <w:szCs w:val="19"/>
          <w:b w:val="1"/>
          <w:bCs w:val="1"/>
          <w:color w:val="auto"/>
        </w:rPr>
        <w:t>Parachute Value</w:t>
      </w:r>
      <w:r>
        <w:rPr>
          <w:rFonts w:ascii="Arial" w:cs="Arial" w:eastAsia="Arial" w:hAnsi="Arial"/>
          <w:sz w:val="19"/>
          <w:szCs w:val="19"/>
          <w:color w:val="auto"/>
        </w:rPr>
        <w:t>” of a payment or benefit means the present value as of the date of the change of control of the portion of such payment that constitutes a “parachute payment” under Section 280G(b)(2) of the Code, as valued in accordance with Section 280G of the Code any interpretive guidance thereunder.</w:t>
      </w:r>
    </w:p>
    <w:p>
      <w:pPr>
        <w:spacing w:after="0" w:line="13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u w:val="single" w:color="auto"/>
          <w:color w:val="auto"/>
        </w:rPr>
        <w:t>Removal from any Boards and Positions</w:t>
      </w:r>
    </w:p>
    <w:p>
      <w:pPr>
        <w:spacing w:after="0" w:line="212" w:lineRule="exact"/>
        <w:rPr>
          <w:sz w:val="20"/>
          <w:szCs w:val="20"/>
          <w:color w:val="auto"/>
        </w:rPr>
      </w:pPr>
    </w:p>
    <w:p>
      <w:pPr>
        <w:jc w:val="both"/>
        <w:ind w:firstLine="885"/>
        <w:spacing w:after="0" w:line="273" w:lineRule="auto"/>
        <w:tabs>
          <w:tab w:leader="none" w:pos="1114" w:val="left"/>
        </w:tabs>
        <w:numPr>
          <w:ilvl w:val="1"/>
          <w:numId w:val="35"/>
        </w:numPr>
        <w:rPr>
          <w:rFonts w:ascii="Arial" w:cs="Arial" w:eastAsia="Arial" w:hAnsi="Arial"/>
          <w:sz w:val="19"/>
          <w:szCs w:val="19"/>
          <w:color w:val="auto"/>
        </w:rPr>
      </w:pPr>
      <w:r>
        <w:rPr>
          <w:rFonts w:ascii="Arial" w:cs="Arial" w:eastAsia="Arial" w:hAnsi="Arial"/>
          <w:sz w:val="19"/>
          <w:szCs w:val="19"/>
          <w:color w:val="auto"/>
        </w:rPr>
        <w:t>If Executive’s employment is terminated for any reason under this Agreement, Executive will, immediately upon Executive’s Termination Date, be deemed to have resigned from (a) if a member, the Board as well as the board of directors of any GLDD Entity (as defined below) or any other board to which he has been appointed or nominated by or on behalf of the Company,</w:t>
      </w:r>
    </w:p>
    <w:p>
      <w:pPr>
        <w:spacing w:after="0" w:line="1" w:lineRule="exact"/>
        <w:rPr>
          <w:rFonts w:ascii="Arial" w:cs="Arial" w:eastAsia="Arial" w:hAnsi="Arial"/>
          <w:sz w:val="19"/>
          <w:szCs w:val="19"/>
          <w:color w:val="auto"/>
        </w:rPr>
      </w:pPr>
    </w:p>
    <w:p>
      <w:pPr>
        <w:jc w:val="both"/>
        <w:ind w:firstLine="8"/>
        <w:spacing w:after="0" w:line="280" w:lineRule="auto"/>
        <w:tabs>
          <w:tab w:leader="none" w:pos="313"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any position with the Company or any GLDD Entity, including, but not limited to, as an officer of the Company or any GLDD Entity, and (c) any fiduciary positions with respect to the Company’s benefit plans. In addition, and as a condition to receiving the Resignation Pay described in </w:t>
      </w:r>
      <w:r>
        <w:rPr>
          <w:rFonts w:ascii="Arial" w:cs="Arial" w:eastAsia="Arial" w:hAnsi="Arial"/>
          <w:sz w:val="19"/>
          <w:szCs w:val="19"/>
          <w:b w:val="1"/>
          <w:bCs w:val="1"/>
          <w:color w:val="auto"/>
        </w:rPr>
        <w:t>Section 3.1</w:t>
      </w:r>
      <w:r>
        <w:rPr>
          <w:rFonts w:ascii="Arial" w:cs="Arial" w:eastAsia="Arial" w:hAnsi="Arial"/>
          <w:sz w:val="19"/>
          <w:szCs w:val="19"/>
          <w:color w:val="auto"/>
        </w:rPr>
        <w:t xml:space="preserve">, the Severance Pay described in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or the Change in Control Payment described in </w:t>
      </w:r>
      <w:r>
        <w:rPr>
          <w:rFonts w:ascii="Arial" w:cs="Arial" w:eastAsia="Arial" w:hAnsi="Arial"/>
          <w:sz w:val="19"/>
          <w:szCs w:val="19"/>
          <w:b w:val="1"/>
          <w:bCs w:val="1"/>
          <w:color w:val="auto"/>
        </w:rPr>
        <w:t>Section 3.4</w:t>
      </w:r>
      <w:r>
        <w:rPr>
          <w:rFonts w:ascii="Arial" w:cs="Arial" w:eastAsia="Arial" w:hAnsi="Arial"/>
          <w:sz w:val="19"/>
          <w:szCs w:val="19"/>
          <w:color w:val="auto"/>
        </w:rPr>
        <w:t>, Executive shall take any and all necessary steps to effectuate his resignation from such positions.</w:t>
      </w:r>
    </w:p>
    <w:p>
      <w:pPr>
        <w:spacing w:after="0" w:line="145"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18"/>
          <w:szCs w:val="18"/>
          <w:b w:val="1"/>
          <w:bCs w:val="1"/>
          <w:u w:val="single" w:color="auto"/>
          <w:color w:val="auto"/>
        </w:rPr>
        <w:t>Subsequent Discovery of Cause</w:t>
      </w:r>
    </w:p>
    <w:p>
      <w:pPr>
        <w:spacing w:after="0" w:line="212" w:lineRule="exact"/>
        <w:rPr>
          <w:sz w:val="20"/>
          <w:szCs w:val="20"/>
          <w:color w:val="auto"/>
        </w:rPr>
      </w:pPr>
    </w:p>
    <w:p>
      <w:pPr>
        <w:jc w:val="both"/>
        <w:ind w:firstLine="885"/>
        <w:spacing w:after="0" w:line="247" w:lineRule="auto"/>
        <w:tabs>
          <w:tab w:leader="none" w:pos="1064"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In the event that the Company subsequently discovers facts or information that establish that Executive committed an act that would have constituted Cause, as defined under </w:t>
      </w:r>
      <w:r>
        <w:rPr>
          <w:rFonts w:ascii="Arial" w:cs="Arial" w:eastAsia="Arial" w:hAnsi="Arial"/>
          <w:sz w:val="21"/>
          <w:szCs w:val="21"/>
          <w:b w:val="1"/>
          <w:bCs w:val="1"/>
          <w:color w:val="auto"/>
        </w:rPr>
        <w:t>Section 3.2(a)</w:t>
      </w:r>
      <w:r>
        <w:rPr>
          <w:rFonts w:ascii="Arial" w:cs="Arial" w:eastAsia="Arial" w:hAnsi="Arial"/>
          <w:sz w:val="21"/>
          <w:szCs w:val="21"/>
          <w:color w:val="auto"/>
        </w:rPr>
        <w:t xml:space="preserve">, </w:t>
      </w:r>
      <w:r>
        <w:rPr>
          <w:rFonts w:ascii="Arial" w:cs="Arial" w:eastAsia="Arial" w:hAnsi="Arial"/>
          <w:sz w:val="21"/>
          <w:szCs w:val="21"/>
          <w:b w:val="1"/>
          <w:bCs w:val="1"/>
          <w:color w:val="auto"/>
        </w:rPr>
        <w:t>(b)</w:t>
      </w:r>
      <w:r>
        <w:rPr>
          <w:rFonts w:ascii="Arial" w:cs="Arial" w:eastAsia="Arial" w:hAnsi="Arial"/>
          <w:sz w:val="21"/>
          <w:szCs w:val="21"/>
          <w:color w:val="auto"/>
        </w:rPr>
        <w:t xml:space="preserve"> or </w:t>
      </w:r>
      <w:r>
        <w:rPr>
          <w:rFonts w:ascii="Arial" w:cs="Arial" w:eastAsia="Arial" w:hAnsi="Arial"/>
          <w:sz w:val="21"/>
          <w:szCs w:val="21"/>
          <w:b w:val="1"/>
          <w:bCs w:val="1"/>
          <w:color w:val="auto"/>
        </w:rPr>
        <w:t>(c)</w:t>
      </w:r>
      <w:r>
        <w:rPr>
          <w:rFonts w:ascii="Arial" w:cs="Arial" w:eastAsia="Arial" w:hAnsi="Arial"/>
          <w:sz w:val="21"/>
          <w:szCs w:val="21"/>
          <w:color w:val="auto"/>
        </w:rPr>
        <w:t xml:space="preserve">, then Executive shall forfeit and shall not be entitled to receive any further Resignation Pay or Severance Pay. Upon written notice from the Company detailing such facts and information supporting its determination of Cause, Executive shall repay to the Company all amounts paid to him as Resignation Pay or Severance Pay. Executive shall be entitled to dispute such finding of Cause in accordance with the provisions of </w:t>
      </w:r>
      <w:r>
        <w:rPr>
          <w:rFonts w:ascii="Arial" w:cs="Arial" w:eastAsia="Arial" w:hAnsi="Arial"/>
          <w:sz w:val="21"/>
          <w:szCs w:val="21"/>
          <w:b w:val="1"/>
          <w:bCs w:val="1"/>
          <w:color w:val="auto"/>
        </w:rPr>
        <w:t xml:space="preserve">Sections 6.11 </w:t>
      </w:r>
      <w:r>
        <w:rPr>
          <w:rFonts w:ascii="Arial" w:cs="Arial" w:eastAsia="Arial" w:hAnsi="Arial"/>
          <w:sz w:val="21"/>
          <w:szCs w:val="21"/>
          <w:color w:val="auto"/>
        </w:rPr>
        <w:t>and</w:t>
      </w:r>
      <w:r>
        <w:rPr>
          <w:rFonts w:ascii="Arial" w:cs="Arial" w:eastAsia="Arial" w:hAnsi="Arial"/>
          <w:sz w:val="21"/>
          <w:szCs w:val="21"/>
          <w:b w:val="1"/>
          <w:bCs w:val="1"/>
          <w:color w:val="auto"/>
        </w:rPr>
        <w:t xml:space="preserve"> 6.12</w:t>
      </w:r>
      <w:r>
        <w:rPr>
          <w:rFonts w:ascii="Arial" w:cs="Arial" w:eastAsia="Arial" w:hAnsi="Arial"/>
          <w:sz w:val="21"/>
          <w:szCs w:val="21"/>
          <w:color w:val="auto"/>
        </w:rPr>
        <w:t>. Any repayment under this</w:t>
      </w:r>
      <w:r>
        <w:rPr>
          <w:rFonts w:ascii="Arial" w:cs="Arial" w:eastAsia="Arial" w:hAnsi="Arial"/>
          <w:sz w:val="21"/>
          <w:szCs w:val="21"/>
          <w:b w:val="1"/>
          <w:bCs w:val="1"/>
          <w:color w:val="auto"/>
        </w:rPr>
        <w:t xml:space="preserve"> Section 3.10 </w:t>
      </w:r>
      <w:r>
        <w:rPr>
          <w:rFonts w:ascii="Arial" w:cs="Arial" w:eastAsia="Arial" w:hAnsi="Arial"/>
          <w:sz w:val="21"/>
          <w:szCs w:val="21"/>
          <w:color w:val="auto"/>
        </w:rPr>
        <w:t>shall be in addition to any other remedies to which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may have under this Agreement or at law.</w:t>
      </w:r>
    </w:p>
    <w:p>
      <w:pPr>
        <w:spacing w:after="0" w:line="17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b w:val="1"/>
          <w:bCs w:val="1"/>
          <w:u w:val="single" w:color="auto"/>
          <w:color w:val="auto"/>
        </w:rPr>
        <w:t>Recoupment of Incentive Compensation</w:t>
      </w:r>
    </w:p>
    <w:p>
      <w:pPr>
        <w:spacing w:after="0" w:line="212" w:lineRule="exact"/>
        <w:rPr>
          <w:sz w:val="20"/>
          <w:szCs w:val="20"/>
          <w:color w:val="auto"/>
        </w:rPr>
      </w:pPr>
    </w:p>
    <w:p>
      <w:pPr>
        <w:ind w:firstLine="885"/>
        <w:spacing w:after="0" w:line="328" w:lineRule="auto"/>
        <w:tabs>
          <w:tab w:leader="none" w:pos="1102"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incentive or equity compensation paid to Executive during the Employment Term, the Resignation Severance Period or the Severance Period will be subject to the terms of the Company’s recoupment policy in effect from time to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EXCLUSIVITY OF SERVICES AND RESTRICTIVE COVENANTS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Confidential Information</w:t>
      </w:r>
    </w:p>
    <w:p>
      <w:pPr>
        <w:spacing w:after="0" w:line="212" w:lineRule="exact"/>
        <w:rPr>
          <w:sz w:val="20"/>
          <w:szCs w:val="20"/>
          <w:color w:val="auto"/>
        </w:rPr>
      </w:pPr>
    </w:p>
    <w:p>
      <w:pPr>
        <w:jc w:val="both"/>
        <w:ind w:firstLine="885"/>
        <w:spacing w:after="0" w:line="248" w:lineRule="auto"/>
        <w:tabs>
          <w:tab w:leader="none" w:pos="1111" w:val="left"/>
        </w:tabs>
        <w:numPr>
          <w:ilvl w:val="0"/>
          <w:numId w:val="38"/>
        </w:numPr>
        <w:rPr>
          <w:rFonts w:ascii="Arial" w:cs="Arial" w:eastAsia="Arial" w:hAnsi="Arial"/>
          <w:sz w:val="21"/>
          <w:szCs w:val="21"/>
          <w:color w:val="auto"/>
        </w:rPr>
      </w:pPr>
      <w:r>
        <w:rPr>
          <w:rFonts w:ascii="Arial" w:cs="Arial" w:eastAsia="Arial" w:hAnsi="Arial"/>
          <w:sz w:val="21"/>
          <w:szCs w:val="21"/>
          <w:color w:val="auto"/>
        </w:rPr>
        <w:t>Executive acknowledges and agrees that the Confidential Information (as defined below) of the Company and its subsidiaries and any other entity related to the Company (each, a “</w:t>
      </w:r>
      <w:r>
        <w:rPr>
          <w:rFonts w:ascii="Arial" w:cs="Arial" w:eastAsia="Arial" w:hAnsi="Arial"/>
          <w:sz w:val="21"/>
          <w:szCs w:val="21"/>
          <w:b w:val="1"/>
          <w:bCs w:val="1"/>
          <w:color w:val="auto"/>
        </w:rPr>
        <w:t>GLDD Entity</w:t>
      </w:r>
      <w:r>
        <w:rPr>
          <w:rFonts w:ascii="Arial" w:cs="Arial" w:eastAsia="Arial" w:hAnsi="Arial"/>
          <w:sz w:val="21"/>
          <w:szCs w:val="21"/>
          <w:color w:val="auto"/>
        </w:rPr>
        <w:t>”) that he obtained during the course of his employment by the Company is the property of the Company or such other GLDD Entity. Executive will never, directly or indirectly, disclose, publish or use any Confidential Information of which Executive has become aware, whether or not such information was developed by him. All duties and obligations set forth in this Agreement regarding Confidential Information shall be in addition to those which exist under the Illinois Trade Secrets Act and at common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1" w:name="page52"/>
    <w:bookmarkEnd w:id="51"/>
    <w:p>
      <w:pPr>
        <w:jc w:val="both"/>
        <w:ind w:firstLine="877"/>
        <w:spacing w:after="0" w:line="243" w:lineRule="auto"/>
        <w:rPr>
          <w:sz w:val="20"/>
          <w:szCs w:val="20"/>
          <w:color w:val="auto"/>
        </w:rPr>
      </w:pPr>
      <w:r>
        <w:rPr>
          <w:rFonts w:ascii="Arial" w:cs="Arial" w:eastAsia="Arial" w:hAnsi="Arial"/>
          <w:sz w:val="22"/>
          <w:szCs w:val="22"/>
          <w:color w:val="auto"/>
        </w:rPr>
        <w:t>As used in this Agreement,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information that is not generally known to the public and that was or is used, developed or obtained by the Company or any other GLDD Entity, in connection with its businesses, including but not limited to:</w:t>
      </w:r>
    </w:p>
    <w:p>
      <w:pPr>
        <w:spacing w:after="0" w:line="18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 products or services, unannounced products or services, product or service development information (or other proprietary product or service information);</w:t>
      </w:r>
    </w:p>
    <w:p>
      <w:pPr>
        <w:spacing w:after="0" w:line="17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ii. fees, costs, bids and pricing structures and quotations or proposals given to agents, customers, sureties, suppliers, or prospective customers, agents, sureties or suppliers, or received from any such person or entity;</w:t>
      </w:r>
    </w:p>
    <w:p>
      <w:pPr>
        <w:spacing w:after="0" w:line="17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accounting or financial records;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color w:val="auto"/>
        </w:rPr>
        <w:t>strategic business plans;</w:t>
      </w:r>
    </w:p>
    <w:p>
      <w:pPr>
        <w:spacing w:after="0" w:line="206"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color w:val="auto"/>
        </w:rPr>
        <w:t>information system applications or strategies;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color w:val="auto"/>
        </w:rPr>
        <w:t>customer and vendor lists and employee lists and directories;</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color w:val="auto"/>
        </w:rPr>
        <w:t>vii.</w:t>
      </w:r>
      <w:r>
        <w:rPr>
          <w:sz w:val="20"/>
          <w:szCs w:val="20"/>
          <w:color w:val="auto"/>
        </w:rPr>
        <w:tab/>
      </w:r>
      <w:r>
        <w:rPr>
          <w:rFonts w:ascii="Arial" w:cs="Arial" w:eastAsia="Arial" w:hAnsi="Arial"/>
          <w:sz w:val="19"/>
          <w:szCs w:val="19"/>
          <w:color w:val="auto"/>
        </w:rPr>
        <w:t>marketing plans, bidding strategies and processes, and negotiation strategies, whether past, current,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future;</w:t>
      </w:r>
    </w:p>
    <w:p>
      <w:pPr>
        <w:spacing w:after="0" w:line="188"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color w:val="auto"/>
        </w:rPr>
        <w:t>viii.</w:t>
      </w:r>
      <w:r>
        <w:rPr>
          <w:sz w:val="20"/>
          <w:szCs w:val="20"/>
          <w:color w:val="auto"/>
        </w:rPr>
        <w:tab/>
      </w:r>
      <w:r>
        <w:rPr>
          <w:rFonts w:ascii="Arial" w:cs="Arial" w:eastAsia="Arial" w:hAnsi="Arial"/>
          <w:sz w:val="22"/>
          <w:szCs w:val="22"/>
          <w:color w:val="auto"/>
        </w:rPr>
        <w:t>accounting and business methods;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22"/>
          <w:szCs w:val="22"/>
          <w:color w:val="auto"/>
        </w:rPr>
        <w:t>legal advice and/or attorney work product;</w:t>
      </w:r>
    </w:p>
    <w:p>
      <w:pPr>
        <w:spacing w:after="0" w:line="206"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2"/>
          <w:szCs w:val="22"/>
          <w:color w:val="auto"/>
        </w:rPr>
        <w:t>trade secrets and other proprietary information;</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xi. information, analysis or strategies regarding acquisitions, mergers, other business combinations, divestitures, recapitalizations, or new ventures; and</w:t>
      </w:r>
    </w:p>
    <w:p>
      <w:pPr>
        <w:spacing w:after="0" w:line="17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xii. nonpublic information that was acquired by Executive concerning the requirements and specifications of the Company’s or any other GLDD Entity’s agents, vendors, contractors, customers, or potential customers.</w:t>
      </w:r>
    </w:p>
    <w:p>
      <w:pPr>
        <w:spacing w:after="0" w:line="173" w:lineRule="exact"/>
        <w:rPr>
          <w:sz w:val="20"/>
          <w:szCs w:val="20"/>
          <w:color w:val="auto"/>
        </w:rPr>
      </w:pPr>
    </w:p>
    <w:p>
      <w:pPr>
        <w:jc w:val="both"/>
        <w:ind w:right="20" w:firstLine="877"/>
        <w:spacing w:after="0" w:line="276" w:lineRule="auto"/>
        <w:rPr>
          <w:sz w:val="20"/>
          <w:szCs w:val="20"/>
          <w:color w:val="auto"/>
        </w:rPr>
      </w:pPr>
      <w:r>
        <w:rPr>
          <w:rFonts w:ascii="Arial" w:cs="Arial" w:eastAsia="Arial" w:hAnsi="Arial"/>
          <w:sz w:val="19"/>
          <w:szCs w:val="19"/>
          <w:color w:val="auto"/>
        </w:rPr>
        <w:t>Notwithstanding anything to the contrary, Confidential Information does not include any information that: (a) is publicly disclosed by law or pursuant to, and to the extent required by, an order of a court of competent jurisdiction or governmental agency;</w:t>
      </w:r>
    </w:p>
    <w:p>
      <w:pPr>
        <w:spacing w:after="0" w:line="2" w:lineRule="exact"/>
        <w:rPr>
          <w:sz w:val="20"/>
          <w:szCs w:val="20"/>
          <w:color w:val="auto"/>
        </w:rPr>
      </w:pPr>
    </w:p>
    <w:p>
      <w:pPr>
        <w:ind w:firstLine="8"/>
        <w:spacing w:after="0" w:line="237" w:lineRule="auto"/>
        <w:tabs>
          <w:tab w:leader="none" w:pos="315" w:val="left"/>
        </w:tabs>
        <w:numPr>
          <w:ilvl w:val="0"/>
          <w:numId w:val="39"/>
        </w:numPr>
        <w:rPr>
          <w:rFonts w:ascii="Arial" w:cs="Arial" w:eastAsia="Arial" w:hAnsi="Arial"/>
          <w:sz w:val="22"/>
          <w:szCs w:val="22"/>
          <w:color w:val="auto"/>
        </w:rPr>
      </w:pPr>
      <w:r>
        <w:rPr>
          <w:rFonts w:ascii="Arial" w:cs="Arial" w:eastAsia="Arial" w:hAnsi="Arial"/>
          <w:sz w:val="22"/>
          <w:szCs w:val="22"/>
          <w:color w:val="auto"/>
        </w:rPr>
        <w:t>becomes publicly available through no fault of Executive; or (c) has been published in a form generally available to the public before Executive proposes to disclose, publish, or use such information.</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Noncompetition</w:t>
      </w:r>
    </w:p>
    <w:p>
      <w:pPr>
        <w:spacing w:after="0" w:line="212" w:lineRule="exact"/>
        <w:rPr>
          <w:sz w:val="20"/>
          <w:szCs w:val="20"/>
          <w:color w:val="auto"/>
        </w:rPr>
      </w:pPr>
    </w:p>
    <w:p>
      <w:pPr>
        <w:jc w:val="both"/>
        <w:ind w:firstLine="885"/>
        <w:spacing w:after="0" w:line="282" w:lineRule="auto"/>
        <w:tabs>
          <w:tab w:leader="none" w:pos="104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During the Employment Term and for the 24 month period following the Termination Date for any reason except in the case of a voluntary resignation under </w:t>
      </w:r>
      <w:r>
        <w:rPr>
          <w:rFonts w:ascii="Arial" w:cs="Arial" w:eastAsia="Arial" w:hAnsi="Arial"/>
          <w:sz w:val="19"/>
          <w:szCs w:val="19"/>
          <w:b w:val="1"/>
          <w:bCs w:val="1"/>
          <w:color w:val="auto"/>
        </w:rPr>
        <w:t>Section 3.1(a)</w:t>
      </w:r>
      <w:r>
        <w:rPr>
          <w:rFonts w:ascii="Arial" w:cs="Arial" w:eastAsia="Arial" w:hAnsi="Arial"/>
          <w:sz w:val="19"/>
          <w:szCs w:val="19"/>
          <w:color w:val="auto"/>
        </w:rPr>
        <w:t xml:space="preserve"> (the “</w:t>
      </w:r>
      <w:r>
        <w:rPr>
          <w:rFonts w:ascii="Arial" w:cs="Arial" w:eastAsia="Arial" w:hAnsi="Arial"/>
          <w:sz w:val="19"/>
          <w:szCs w:val="19"/>
          <w:b w:val="1"/>
          <w:bCs w:val="1"/>
          <w:color w:val="auto"/>
        </w:rPr>
        <w:t>Restricted Period</w:t>
      </w:r>
      <w:r>
        <w:rPr>
          <w:rFonts w:ascii="Arial" w:cs="Arial" w:eastAsia="Arial" w:hAnsi="Arial"/>
          <w:sz w:val="19"/>
          <w:szCs w:val="19"/>
          <w:color w:val="auto"/>
        </w:rPr>
        <w:t>”), Executive will not, on behalf of himself or any other entity, have an ownership interest in or become employed or engaged by, or otherwise participate in or render services to, any business or enterprise (including, without limitation, any division, group or franchise of a larger organization) within the Geographical Area (as defined below) that engages in any dredging or any other business engaged in by the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this restriction shall not prohibit Executive from passive beneficial ownership of less than three percent of</w:t>
      </w:r>
      <w:r>
        <w:rPr>
          <w:rFonts w:ascii="Arial" w:cs="Arial" w:eastAsia="Arial" w:hAnsi="Arial"/>
          <w:sz w:val="19"/>
          <w:szCs w:val="19"/>
          <w:i w:val="1"/>
          <w:iCs w:val="1"/>
          <w:color w:val="auto"/>
        </w:rPr>
        <w:t xml:space="preserve"> </w:t>
      </w:r>
      <w:r>
        <w:rPr>
          <w:rFonts w:ascii="Arial" w:cs="Arial" w:eastAsia="Arial" w:hAnsi="Arial"/>
          <w:sz w:val="19"/>
          <w:szCs w:val="19"/>
          <w:color w:val="auto"/>
        </w:rPr>
        <w:t>any class of securities of a publicly-held corporation whose stock is traded on a U.S. national securities exchange or traded in the over-the-counter market. For the purpose of this provision, “</w:t>
      </w:r>
      <w:r>
        <w:rPr>
          <w:rFonts w:ascii="Arial" w:cs="Arial" w:eastAsia="Arial" w:hAnsi="Arial"/>
          <w:sz w:val="19"/>
          <w:szCs w:val="19"/>
          <w:b w:val="1"/>
          <w:bCs w:val="1"/>
          <w:color w:val="auto"/>
        </w:rPr>
        <w:t>Geographical Area</w:t>
      </w:r>
      <w:r>
        <w:rPr>
          <w:rFonts w:ascii="Arial" w:cs="Arial" w:eastAsia="Arial" w:hAnsi="Arial"/>
          <w:sz w:val="19"/>
          <w:szCs w:val="19"/>
          <w:color w:val="auto"/>
        </w:rPr>
        <w:t xml:space="preserve">” means the United States of America and any other country in which the Company has worked in the three years prior to the Termination Date. Unless specifically restricted by this </w:t>
      </w:r>
      <w:r>
        <w:rPr>
          <w:rFonts w:ascii="Arial" w:cs="Arial" w:eastAsia="Arial" w:hAnsi="Arial"/>
          <w:sz w:val="19"/>
          <w:szCs w:val="19"/>
          <w:b w:val="1"/>
          <w:bCs w:val="1"/>
          <w:color w:val="auto"/>
        </w:rPr>
        <w:t>Section 4.2</w:t>
      </w:r>
      <w:r>
        <w:rPr>
          <w:rFonts w:ascii="Arial" w:cs="Arial" w:eastAsia="Arial" w:hAnsi="Arial"/>
          <w:sz w:val="19"/>
          <w:szCs w:val="19"/>
          <w:color w:val="auto"/>
        </w:rPr>
        <w:t xml:space="preserve">, Executive will be free to engage in any employment or business in any area, dredging or otherwise, regardless of resignation or termination with or without Cause. Notwithstanding anything in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to the contrary, Executive may, at any time during the Restricted Period, provide written notice to the Company that (a) describes a particular business or employment opportunity that he is interested in pursuing or in which he may wish to engage, and (b) request that the Company agree that the opportunity so described would not violate this </w:t>
      </w:r>
      <w:r>
        <w:rPr>
          <w:rFonts w:ascii="Arial" w:cs="Arial" w:eastAsia="Arial" w:hAnsi="Arial"/>
          <w:sz w:val="19"/>
          <w:szCs w:val="19"/>
          <w:b w:val="1"/>
          <w:bCs w:val="1"/>
          <w:color w:val="auto"/>
        </w:rPr>
        <w:t>Section 4.2</w:t>
      </w:r>
      <w:r>
        <w:rPr>
          <w:rFonts w:ascii="Arial" w:cs="Arial" w:eastAsia="Arial" w:hAnsi="Arial"/>
          <w:sz w:val="19"/>
          <w:szCs w:val="19"/>
          <w:color w:val="auto"/>
        </w:rPr>
        <w:t>. Within a reasonable time, the Company will send Executive a written response, indicating whether or not the Company consents to Executive engaging in the opportunity described in his notice.</w:t>
      </w:r>
    </w:p>
    <w:p>
      <w:pPr>
        <w:spacing w:after="0" w:line="15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u w:val="single" w:color="auto"/>
          <w:color w:val="auto"/>
        </w:rPr>
        <w:t>Non-Solicitation</w:t>
      </w:r>
    </w:p>
    <w:p>
      <w:pPr>
        <w:spacing w:after="0" w:line="206" w:lineRule="exact"/>
        <w:rPr>
          <w:sz w:val="20"/>
          <w:szCs w:val="20"/>
          <w:color w:val="auto"/>
        </w:rPr>
      </w:pPr>
    </w:p>
    <w:p>
      <w:pPr>
        <w:jc w:val="both"/>
        <w:ind w:firstLine="885"/>
        <w:spacing w:after="0" w:line="284" w:lineRule="auto"/>
        <w:tabs>
          <w:tab w:leader="none" w:pos="10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During the Restricted Period, Executive shall not (except in the case of a voluntary resignation under </w:t>
      </w:r>
      <w:r>
        <w:rPr>
          <w:rFonts w:ascii="Arial" w:cs="Arial" w:eastAsia="Arial" w:hAnsi="Arial"/>
          <w:sz w:val="19"/>
          <w:szCs w:val="19"/>
          <w:b w:val="1"/>
          <w:bCs w:val="1"/>
          <w:color w:val="auto"/>
        </w:rPr>
        <w:t>Section 3.l(a)</w:t>
      </w:r>
      <w:r>
        <w:rPr>
          <w:rFonts w:ascii="Arial" w:cs="Arial" w:eastAsia="Arial" w:hAnsi="Arial"/>
          <w:sz w:val="19"/>
          <w:szCs w:val="19"/>
          <w:color w:val="auto"/>
        </w:rPr>
        <w:t xml:space="preserve"> and other than in furtherance of Executive’s legitimate job duties on behalf of Company), directly or indirectly, on Executive’s own behalf or for any other person or entity: (a) solicit for employment, hire or engage, or attempt to solicit for employment, hire or engage, any person who is or was employed by the Company within the six (6) month period prior to the solicitation, hire or engagement, or (b) otherwise interfere with the relationship between any such person and the Company.</w:t>
      </w:r>
    </w:p>
    <w:p>
      <w:pPr>
        <w:spacing w:after="0" w:line="13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u w:val="single" w:color="auto"/>
          <w:color w:val="auto"/>
        </w:rPr>
        <w:t>Non-Interference with Business Relationships</w:t>
      </w:r>
    </w:p>
    <w:p>
      <w:pPr>
        <w:spacing w:after="0" w:line="206" w:lineRule="exact"/>
        <w:rPr>
          <w:sz w:val="20"/>
          <w:szCs w:val="20"/>
          <w:color w:val="auto"/>
        </w:rPr>
      </w:pPr>
    </w:p>
    <w:p>
      <w:pPr>
        <w:jc w:val="both"/>
        <w:ind w:firstLine="885"/>
        <w:spacing w:after="0" w:line="280" w:lineRule="auto"/>
        <w:tabs>
          <w:tab w:leader="none" w:pos="107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During the Restricted Period, Executive shall not (except in the case of a voluntary resignation under </w:t>
      </w:r>
      <w:r>
        <w:rPr>
          <w:rFonts w:ascii="Arial" w:cs="Arial" w:eastAsia="Arial" w:hAnsi="Arial"/>
          <w:sz w:val="19"/>
          <w:szCs w:val="19"/>
          <w:b w:val="1"/>
          <w:bCs w:val="1"/>
          <w:color w:val="auto"/>
        </w:rPr>
        <w:t>Section 3.1(a)</w:t>
      </w:r>
      <w:r>
        <w:rPr>
          <w:rFonts w:ascii="Arial" w:cs="Arial" w:eastAsia="Arial" w:hAnsi="Arial"/>
          <w:sz w:val="19"/>
          <w:szCs w:val="19"/>
          <w:color w:val="auto"/>
        </w:rPr>
        <w:t xml:space="preserve"> and other than in furtherance of Executive’s legitimate job duties on behalf of the Company), directly or indirectly, on Executive’s own behalf or for any other person or entity: (a) solicit, for a purpose related to a competitive activity (i.e., an activity prohibited by </w:t>
      </w:r>
      <w:r>
        <w:rPr>
          <w:rFonts w:ascii="Arial" w:cs="Arial" w:eastAsia="Arial" w:hAnsi="Arial"/>
          <w:sz w:val="19"/>
          <w:szCs w:val="19"/>
          <w:b w:val="1"/>
          <w:bCs w:val="1"/>
          <w:color w:val="auto"/>
        </w:rPr>
        <w:t>Section 4.2</w:t>
      </w:r>
      <w:r>
        <w:rPr>
          <w:rFonts w:ascii="Arial" w:cs="Arial" w:eastAsia="Arial" w:hAnsi="Arial"/>
          <w:sz w:val="19"/>
          <w:szCs w:val="19"/>
          <w:color w:val="auto"/>
        </w:rPr>
        <w:t>), any customer, vendor or agent of the Company that was doing business with the Company during the six month</w:t>
      </w:r>
      <w:r>
        <w:rPr>
          <w:rFonts w:ascii="Arial" w:cs="Arial" w:eastAsia="Arial" w:hAnsi="Arial"/>
          <w:sz w:val="19"/>
          <w:szCs w:val="19"/>
          <w:b w:val="1"/>
          <w:bCs w:val="1"/>
          <w:color w:val="auto"/>
        </w:rPr>
        <w:t xml:space="preserve"> </w:t>
      </w:r>
      <w:r>
        <w:rPr>
          <w:rFonts w:ascii="Arial" w:cs="Arial" w:eastAsia="Arial" w:hAnsi="Arial"/>
          <w:sz w:val="19"/>
          <w:szCs w:val="19"/>
          <w:color w:val="auto"/>
        </w:rPr>
        <w:t>period prior to the solicitation; or (b) induce, or attempt to induce, any customer, vendor or agent of the Company to reduce or cease doing business with the Company, or otherwise interfere with the relationship between such entity and the Company.</w:t>
      </w:r>
    </w:p>
    <w:p>
      <w:pPr>
        <w:spacing w:after="0" w:line="14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u w:val="single" w:color="auto"/>
          <w:color w:val="auto"/>
        </w:rPr>
        <w:t>Equitable Modification</w:t>
      </w:r>
    </w:p>
    <w:p>
      <w:pPr>
        <w:spacing w:after="0" w:line="206" w:lineRule="exact"/>
        <w:rPr>
          <w:sz w:val="20"/>
          <w:szCs w:val="20"/>
          <w:color w:val="auto"/>
        </w:rPr>
      </w:pPr>
    </w:p>
    <w:p>
      <w:pPr>
        <w:ind w:firstLine="885"/>
        <w:spacing w:after="0" w:line="335" w:lineRule="auto"/>
        <w:tabs>
          <w:tab w:leader="none" w:pos="1067"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any court of competent jurisdiction shall deem any provision in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too restrictive, the other provisions shall stand, and the court shall modify the unduly restrictive provision to the point of greatest restriction permissible by law.</w:t>
      </w:r>
    </w:p>
    <w:p>
      <w:pPr>
        <w:spacing w:after="0" w:line="9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8"/>
          <w:szCs w:val="18"/>
          <w:b w:val="1"/>
          <w:bCs w:val="1"/>
          <w:u w:val="single" w:color="auto"/>
          <w:color w:val="auto"/>
        </w:rPr>
        <w:t>Remedies</w:t>
      </w:r>
    </w:p>
    <w:p>
      <w:pPr>
        <w:spacing w:after="0" w:line="206" w:lineRule="exact"/>
        <w:rPr>
          <w:sz w:val="20"/>
          <w:szCs w:val="20"/>
          <w:color w:val="auto"/>
        </w:rPr>
      </w:pPr>
    </w:p>
    <w:p>
      <w:pPr>
        <w:jc w:val="both"/>
        <w:ind w:firstLine="885"/>
        <w:spacing w:after="0" w:line="247" w:lineRule="auto"/>
        <w:tabs>
          <w:tab w:leader="none" w:pos="1087"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Executive acknowledges that the agreements and covenants contained in this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are essential to protect the Company and its business and are a condition precedent to entering into this Agreement. Should Executive materially breach any covenants in this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then among other remedies, the duration of the covenant shall be extended by the period of any such breach. Executive agrees that irreparable harm would result from Executive’s material breach or threat to breach any provision of this </w:t>
      </w:r>
      <w:r>
        <w:rPr>
          <w:rFonts w:ascii="Arial" w:cs="Arial" w:eastAsia="Arial" w:hAnsi="Arial"/>
          <w:sz w:val="21"/>
          <w:szCs w:val="21"/>
          <w:b w:val="1"/>
          <w:bCs w:val="1"/>
          <w:color w:val="auto"/>
        </w:rPr>
        <w:t>Article IV</w:t>
      </w:r>
      <w:r>
        <w:rPr>
          <w:rFonts w:ascii="Arial" w:cs="Arial" w:eastAsia="Arial" w:hAnsi="Arial"/>
          <w:sz w:val="21"/>
          <w:szCs w:val="21"/>
          <w:color w:val="auto"/>
        </w:rPr>
        <w:t>, and that monetary damages alone would not provide adequate relief to the Company for the harm incurred. Executive agrees that in addition to money damages, the Company shall be entitled to seek and obtain temporary, preliminary, and permanent injunctive relief restraining Executive from committing or continuing any breach without being required to post a bond. Without limiting the foregoing,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3" w:name="page54"/>
    <w:bookmarkEnd w:id="53"/>
    <w:p>
      <w:pPr>
        <w:spacing w:after="0" w:line="256" w:lineRule="auto"/>
        <w:rPr>
          <w:sz w:val="20"/>
          <w:szCs w:val="20"/>
          <w:color w:val="auto"/>
        </w:rPr>
      </w:pPr>
      <w:r>
        <w:rPr>
          <w:rFonts w:ascii="Arial" w:cs="Arial" w:eastAsia="Arial" w:hAnsi="Arial"/>
          <w:sz w:val="22"/>
          <w:szCs w:val="22"/>
          <w:color w:val="auto"/>
        </w:rPr>
        <w:t xml:space="preserve">upon a breach by Executive of any provision of this </w:t>
      </w:r>
      <w:r>
        <w:rPr>
          <w:rFonts w:ascii="Arial" w:cs="Arial" w:eastAsia="Arial" w:hAnsi="Arial"/>
          <w:sz w:val="22"/>
          <w:szCs w:val="22"/>
          <w:b w:val="1"/>
          <w:bCs w:val="1"/>
          <w:color w:val="auto"/>
        </w:rPr>
        <w:t>Article IV</w:t>
      </w:r>
      <w:r>
        <w:rPr>
          <w:rFonts w:ascii="Arial" w:cs="Arial" w:eastAsia="Arial" w:hAnsi="Arial"/>
          <w:sz w:val="22"/>
          <w:szCs w:val="22"/>
          <w:color w:val="auto"/>
        </w:rPr>
        <w:t>, any outstanding Severance Pay shall cease and be forfeited, and Executive shall immediately reimburse the Company for any Severance Pay previously paid.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POST-TERMINATION OBLIGATIONS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u w:val="single" w:color="auto"/>
          <w:color w:val="auto"/>
        </w:rPr>
        <w:t>Return of Company Materials</w:t>
      </w:r>
    </w:p>
    <w:p>
      <w:pPr>
        <w:spacing w:after="0" w:line="212" w:lineRule="exact"/>
        <w:rPr>
          <w:sz w:val="20"/>
          <w:szCs w:val="20"/>
          <w:color w:val="auto"/>
        </w:rPr>
      </w:pPr>
    </w:p>
    <w:p>
      <w:pPr>
        <w:jc w:val="both"/>
        <w:ind w:firstLine="885"/>
        <w:spacing w:after="0" w:line="279" w:lineRule="auto"/>
        <w:tabs>
          <w:tab w:leader="none" w:pos="1068"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 later than three (3) business days following the termination of Executive’s employment for any reason, Executive 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the Company (whether those materials are in paper or computer-stored form), and including but not limited to any documents containing, summarizing, or describing any Confidential Information.</w:t>
      </w:r>
    </w:p>
    <w:p>
      <w:pPr>
        <w:spacing w:after="0" w:line="14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u w:val="single" w:color="auto"/>
          <w:color w:val="auto"/>
        </w:rPr>
        <w:t>Executive Cooperation</w:t>
      </w:r>
    </w:p>
    <w:p>
      <w:pPr>
        <w:spacing w:after="0" w:line="212" w:lineRule="exact"/>
        <w:rPr>
          <w:sz w:val="20"/>
          <w:szCs w:val="20"/>
          <w:color w:val="auto"/>
        </w:rPr>
      </w:pPr>
    </w:p>
    <w:p>
      <w:pPr>
        <w:jc w:val="both"/>
        <w:ind w:firstLine="885"/>
        <w:spacing w:after="0" w:line="273" w:lineRule="auto"/>
        <w:tabs>
          <w:tab w:leader="none" w:pos="11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During Executive’s employment with the Company and for a period of 24 months after the Termination Date, Executive shall, upon reasonable notice, furnish the Company with such information as may be in Executive’s possession or control, and cooperate with the Company in any reasonable manner that the Company may request, including without limitation conferring with the Company, with regard to any litigation, claim, or other dispute in which the Company is or may become a party. If Executive is not receiving full Resignation Pay or Severance Pay, then the Company shall compensate the Executive at a rate of $2,000 per day less any partial payment paid for that day. The Company shall reimburse Executive for all reasonable out-of-pocket expenses incurred by Executive in fulfilling Executive’s obligations under this </w:t>
      </w:r>
      <w:r>
        <w:rPr>
          <w:rFonts w:ascii="Arial" w:cs="Arial" w:eastAsia="Arial" w:hAnsi="Arial"/>
          <w:sz w:val="19"/>
          <w:szCs w:val="19"/>
          <w:b w:val="1"/>
          <w:bCs w:val="1"/>
          <w:color w:val="auto"/>
        </w:rPr>
        <w:t>Section 5.2</w:t>
      </w:r>
      <w:r>
        <w:rPr>
          <w:rFonts w:ascii="Arial" w:cs="Arial" w:eastAsia="Arial" w:hAnsi="Arial"/>
          <w:sz w:val="19"/>
          <w:szCs w:val="19"/>
          <w:color w:val="auto"/>
        </w:rPr>
        <w:t>. Payment for Executive’s cooperation and expenses shall be made within 30 days of when services were rendered. The Company will make any such reimbursement within 30 days of the date Executive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u w:val="single" w:color="auto"/>
          <w:color w:val="auto"/>
        </w:rPr>
        <w:t>Notices</w:t>
      </w:r>
    </w:p>
    <w:p>
      <w:pPr>
        <w:spacing w:after="0" w:line="212" w:lineRule="exact"/>
        <w:rPr>
          <w:sz w:val="20"/>
          <w:szCs w:val="20"/>
          <w:color w:val="auto"/>
        </w:rPr>
      </w:pPr>
    </w:p>
    <w:p>
      <w:pPr>
        <w:jc w:val="both"/>
        <w:ind w:firstLine="885"/>
        <w:spacing w:after="0" w:line="276" w:lineRule="auto"/>
        <w:tabs>
          <w:tab w:leader="none" w:pos="986"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notices, consents or other communications required or permitted to be sent or given hereunder shall be in writing and shall be deemed properly served if (a) delivered personally, in which case the date of such notice shall be the date of delivery;</w:t>
      </w:r>
    </w:p>
    <w:p>
      <w:pPr>
        <w:spacing w:after="0" w:line="1" w:lineRule="exact"/>
        <w:rPr>
          <w:rFonts w:ascii="Arial" w:cs="Arial" w:eastAsia="Arial" w:hAnsi="Arial"/>
          <w:sz w:val="19"/>
          <w:szCs w:val="19"/>
          <w:color w:val="auto"/>
        </w:rPr>
      </w:pPr>
    </w:p>
    <w:p>
      <w:pPr>
        <w:jc w:val="both"/>
        <w:ind w:firstLine="8"/>
        <w:spacing w:after="0" w:line="233" w:lineRule="auto"/>
        <w:tabs>
          <w:tab w:leader="none" w:pos="311" w:val="left"/>
        </w:tabs>
        <w:numPr>
          <w:ilvl w:val="0"/>
          <w:numId w:val="47"/>
        </w:numPr>
        <w:rPr>
          <w:rFonts w:ascii="Arial" w:cs="Arial" w:eastAsia="Arial" w:hAnsi="Arial"/>
          <w:sz w:val="22"/>
          <w:szCs w:val="22"/>
          <w:color w:val="auto"/>
        </w:rPr>
      </w:pPr>
      <w:r>
        <w:rPr>
          <w:rFonts w:ascii="Arial" w:cs="Arial" w:eastAsia="Arial" w:hAnsi="Arial"/>
          <w:sz w:val="22"/>
          <w:szCs w:val="22"/>
          <w:color w:val="auto"/>
        </w:rPr>
        <w:t>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Executive, to the address listed on the signature page hereto or the last address on file in the records of the Company.</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ind w:left="88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Great Lakes Dredge &amp; Dock Company, LLC</w:t>
      </w:r>
    </w:p>
    <w:p>
      <w:pPr>
        <w:ind w:left="880"/>
        <w:spacing w:after="0" w:line="238" w:lineRule="auto"/>
        <w:rPr>
          <w:sz w:val="20"/>
          <w:szCs w:val="20"/>
          <w:color w:val="auto"/>
        </w:rPr>
      </w:pPr>
      <w:r>
        <w:rPr>
          <w:rFonts w:ascii="Arial" w:cs="Arial" w:eastAsia="Arial" w:hAnsi="Arial"/>
          <w:sz w:val="22"/>
          <w:szCs w:val="22"/>
          <w:color w:val="auto"/>
        </w:rPr>
        <w:t>2122 York Road</w:t>
      </w:r>
    </w:p>
    <w:p>
      <w:pPr>
        <w:ind w:left="880"/>
        <w:spacing w:after="0" w:line="230" w:lineRule="auto"/>
        <w:rPr>
          <w:sz w:val="20"/>
          <w:szCs w:val="20"/>
          <w:color w:val="auto"/>
        </w:rPr>
      </w:pPr>
      <w:r>
        <w:rPr>
          <w:rFonts w:ascii="Arial" w:cs="Arial" w:eastAsia="Arial" w:hAnsi="Arial"/>
          <w:sz w:val="22"/>
          <w:szCs w:val="22"/>
          <w:color w:val="auto"/>
        </w:rPr>
        <w:t>Oak Brook, IL 60523</w:t>
      </w:r>
    </w:p>
    <w:p>
      <w:pPr>
        <w:ind w:left="880"/>
        <w:spacing w:after="0" w:line="231" w:lineRule="auto"/>
        <w:rPr>
          <w:sz w:val="20"/>
          <w:szCs w:val="20"/>
          <w:color w:val="auto"/>
        </w:rPr>
      </w:pPr>
      <w:r>
        <w:rPr>
          <w:rFonts w:ascii="Arial" w:cs="Arial" w:eastAsia="Arial" w:hAnsi="Arial"/>
          <w:sz w:val="22"/>
          <w:szCs w:val="22"/>
          <w:color w:val="auto"/>
        </w:rPr>
        <w:t>Attn: President of the Dredging Division</w:t>
      </w:r>
    </w:p>
    <w:p>
      <w:pPr>
        <w:ind w:left="880"/>
        <w:spacing w:after="0" w:line="231" w:lineRule="auto"/>
        <w:rPr>
          <w:sz w:val="20"/>
          <w:szCs w:val="20"/>
          <w:color w:val="auto"/>
        </w:rPr>
      </w:pPr>
      <w:r>
        <w:rPr>
          <w:rFonts w:ascii="Arial" w:cs="Arial" w:eastAsia="Arial" w:hAnsi="Arial"/>
          <w:sz w:val="22"/>
          <w:szCs w:val="22"/>
          <w:color w:val="auto"/>
        </w:rPr>
        <w:t>fax: (630) 574-3007</w:t>
      </w:r>
    </w:p>
    <w:p>
      <w:pPr>
        <w:ind w:left="880"/>
        <w:spacing w:after="0"/>
        <w:rPr>
          <w:sz w:val="20"/>
          <w:szCs w:val="20"/>
          <w:color w:val="auto"/>
        </w:rPr>
      </w:pPr>
      <w:r>
        <w:rPr>
          <w:rFonts w:ascii="Arial" w:cs="Arial" w:eastAsia="Arial" w:hAnsi="Arial"/>
          <w:sz w:val="22"/>
          <w:szCs w:val="22"/>
          <w:color w:val="auto"/>
        </w:rPr>
        <w:t>telephone: (630) 574-3000</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Great Lakes Dredge &amp; Dock Company, LLC</w:t>
      </w:r>
    </w:p>
    <w:p>
      <w:pPr>
        <w:ind w:left="880"/>
        <w:spacing w:after="0" w:line="238" w:lineRule="auto"/>
        <w:rPr>
          <w:sz w:val="20"/>
          <w:szCs w:val="20"/>
          <w:color w:val="auto"/>
        </w:rPr>
      </w:pPr>
      <w:r>
        <w:rPr>
          <w:rFonts w:ascii="Arial" w:cs="Arial" w:eastAsia="Arial" w:hAnsi="Arial"/>
          <w:sz w:val="22"/>
          <w:szCs w:val="22"/>
          <w:color w:val="auto"/>
        </w:rPr>
        <w:t>2122 York Road</w:t>
      </w:r>
    </w:p>
    <w:p>
      <w:pPr>
        <w:ind w:left="880"/>
        <w:spacing w:after="0" w:line="230" w:lineRule="auto"/>
        <w:rPr>
          <w:sz w:val="20"/>
          <w:szCs w:val="20"/>
          <w:color w:val="auto"/>
        </w:rPr>
      </w:pPr>
      <w:r>
        <w:rPr>
          <w:rFonts w:ascii="Arial" w:cs="Arial" w:eastAsia="Arial" w:hAnsi="Arial"/>
          <w:sz w:val="22"/>
          <w:szCs w:val="22"/>
          <w:color w:val="auto"/>
        </w:rPr>
        <w:t>Oak Brook, IL 60523</w:t>
      </w:r>
    </w:p>
    <w:p>
      <w:pPr>
        <w:ind w:left="880"/>
        <w:spacing w:after="0" w:line="231" w:lineRule="auto"/>
        <w:rPr>
          <w:sz w:val="20"/>
          <w:szCs w:val="20"/>
          <w:color w:val="auto"/>
        </w:rPr>
      </w:pPr>
      <w:r>
        <w:rPr>
          <w:rFonts w:ascii="Arial" w:cs="Arial" w:eastAsia="Arial" w:hAnsi="Arial"/>
          <w:sz w:val="22"/>
          <w:szCs w:val="22"/>
          <w:color w:val="auto"/>
        </w:rPr>
        <w:t>Attn: General Counsel</w:t>
      </w:r>
    </w:p>
    <w:p>
      <w:pPr>
        <w:ind w:left="880"/>
        <w:spacing w:after="0" w:line="231" w:lineRule="auto"/>
        <w:rPr>
          <w:sz w:val="20"/>
          <w:szCs w:val="20"/>
          <w:color w:val="auto"/>
        </w:rPr>
      </w:pPr>
      <w:r>
        <w:rPr>
          <w:rFonts w:ascii="Arial" w:cs="Arial" w:eastAsia="Arial" w:hAnsi="Arial"/>
          <w:sz w:val="22"/>
          <w:szCs w:val="22"/>
          <w:color w:val="auto"/>
        </w:rPr>
        <w:t>fax: (630) 574-3007</w:t>
      </w:r>
    </w:p>
    <w:p>
      <w:pPr>
        <w:ind w:left="880"/>
        <w:spacing w:after="0"/>
        <w:rPr>
          <w:sz w:val="20"/>
          <w:szCs w:val="20"/>
          <w:color w:val="auto"/>
        </w:rPr>
      </w:pPr>
      <w:r>
        <w:rPr>
          <w:rFonts w:ascii="Arial" w:cs="Arial" w:eastAsia="Arial" w:hAnsi="Arial"/>
          <w:sz w:val="22"/>
          <w:szCs w:val="22"/>
          <w:color w:val="auto"/>
        </w:rPr>
        <w:t>telephone: (630) 574-3000</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or such other address as may hereafter be specified by notice given by either party to the other party. Executive shall promptly notify the Company of any change in his address set forth on the signature page.</w:t>
      </w:r>
    </w:p>
    <w:p>
      <w:pPr>
        <w:spacing w:after="0" w:line="16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u w:val="single" w:color="auto"/>
          <w:color w:val="auto"/>
        </w:rPr>
        <w:t>Company Stock Retention</w:t>
      </w:r>
    </w:p>
    <w:p>
      <w:pPr>
        <w:spacing w:after="0" w:line="212" w:lineRule="exact"/>
        <w:rPr>
          <w:sz w:val="20"/>
          <w:szCs w:val="20"/>
          <w:color w:val="auto"/>
        </w:rPr>
      </w:pPr>
    </w:p>
    <w:p>
      <w:pPr>
        <w:ind w:firstLine="885"/>
        <w:spacing w:after="0" w:line="274" w:lineRule="auto"/>
        <w:tabs>
          <w:tab w:leader="none" w:pos="1127"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Executive shall be subject to the Company’s stock retention guidelines and policies in effect from time-to-time. Notwithstanding the foregoing, Executive’s ownership requirement shall not be greater than two (2) times his base salary.</w:t>
      </w:r>
    </w:p>
    <w:p>
      <w:pPr>
        <w:spacing w:after="0" w:line="14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u w:val="single" w:color="auto"/>
          <w:color w:val="auto"/>
        </w:rPr>
        <w:t>Withholding</w:t>
      </w:r>
    </w:p>
    <w:p>
      <w:pPr>
        <w:spacing w:after="0" w:line="212" w:lineRule="exact"/>
        <w:rPr>
          <w:sz w:val="20"/>
          <w:szCs w:val="20"/>
          <w:color w:val="auto"/>
        </w:rPr>
      </w:pPr>
    </w:p>
    <w:p>
      <w:pPr>
        <w:jc w:val="both"/>
        <w:ind w:firstLine="885"/>
        <w:spacing w:after="0"/>
        <w:tabs>
          <w:tab w:leader="none" w:pos="105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may withhold from any payment that it is required to make under this Agreement amounts sufficient to satisfy applicable withholding requirements under any federal, state or local law, or any other amounts rightfully and legally due and owing to the Company from Executive.</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7"/>
          <w:szCs w:val="17"/>
          <w:b w:val="1"/>
          <w:bCs w:val="1"/>
          <w:u w:val="single" w:color="auto"/>
          <w:color w:val="auto"/>
        </w:rPr>
        <w:t>Successors and Assigns</w:t>
      </w:r>
    </w:p>
    <w:p>
      <w:pPr>
        <w:spacing w:after="0" w:line="212" w:lineRule="exact"/>
        <w:rPr>
          <w:sz w:val="20"/>
          <w:szCs w:val="20"/>
          <w:color w:val="auto"/>
        </w:rPr>
      </w:pPr>
    </w:p>
    <w:p>
      <w:pPr>
        <w:jc w:val="both"/>
        <w:ind w:firstLine="885"/>
        <w:spacing w:after="0" w:line="287" w:lineRule="auto"/>
        <w:tabs>
          <w:tab w:leader="none" w:pos="109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This Agreement shall not be assignable by Executive without the Company’s written consent. The Company may 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spacing w:after="0" w:line="13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u w:val="single" w:color="auto"/>
          <w:color w:val="auto"/>
        </w:rPr>
        <w:t>No Waiver</w:t>
      </w:r>
    </w:p>
    <w:p>
      <w:pPr>
        <w:spacing w:after="0" w:line="212" w:lineRule="exact"/>
        <w:rPr>
          <w:sz w:val="20"/>
          <w:szCs w:val="20"/>
          <w:color w:val="auto"/>
        </w:rPr>
      </w:pPr>
    </w:p>
    <w:p>
      <w:pPr>
        <w:jc w:val="both"/>
        <w:ind w:firstLine="885"/>
        <w:spacing w:after="0" w:line="236" w:lineRule="auto"/>
        <w:tabs>
          <w:tab w:leader="none" w:pos="1045"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failure or delay by the Company or Executive in enforcing or exercising any right or remedy hereunder will operate as a waiver thereof. No modification, amendment or waiver of this Agreement or consent to any departure by Executive from any of the terms or conditions thereof, will be effective unless in writing and signed by the Chairman or Lead Director of the Company’s Board, unless otherwise specified herein. Any such waiver or consent will be effective only in the specific instance and for the purpose for which given.</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u w:val="single" w:color="auto"/>
          <w:color w:val="auto"/>
        </w:rPr>
        <w:t>Severability; Survivability</w:t>
      </w:r>
    </w:p>
    <w:p>
      <w:pPr>
        <w:spacing w:after="0" w:line="212" w:lineRule="exact"/>
        <w:rPr>
          <w:sz w:val="20"/>
          <w:szCs w:val="20"/>
          <w:color w:val="auto"/>
        </w:rPr>
      </w:pPr>
    </w:p>
    <w:p>
      <w:pPr>
        <w:ind w:right="20" w:firstLine="885"/>
        <w:spacing w:after="0" w:line="274" w:lineRule="auto"/>
        <w:tabs>
          <w:tab w:leader="none" w:pos="1105"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any term or provision of this Agreement shall be held to be invalid or unenforceable, the remaining terms and provisions hereof shall not be affected thereby and shall be enforced to the fullest extent permitted under law. Executive’s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5" w:name="page56"/>
    <w:bookmarkEnd w:id="55"/>
    <w:p>
      <w:pPr>
        <w:jc w:val="both"/>
        <w:spacing w:after="0" w:line="237" w:lineRule="auto"/>
        <w:rPr>
          <w:sz w:val="20"/>
          <w:szCs w:val="20"/>
          <w:color w:val="auto"/>
        </w:rPr>
      </w:pPr>
      <w:r>
        <w:rPr>
          <w:rFonts w:ascii="Arial" w:cs="Arial" w:eastAsia="Arial" w:hAnsi="Arial"/>
          <w:sz w:val="22"/>
          <w:szCs w:val="22"/>
          <w:color w:val="auto"/>
        </w:rPr>
        <w:t xml:space="preserve">obligations in </w:t>
      </w:r>
      <w:r>
        <w:rPr>
          <w:rFonts w:ascii="Arial" w:cs="Arial" w:eastAsia="Arial" w:hAnsi="Arial"/>
          <w:sz w:val="22"/>
          <w:szCs w:val="22"/>
          <w:b w:val="1"/>
          <w:bCs w:val="1"/>
          <w:color w:val="auto"/>
        </w:rPr>
        <w:t>Sections 4.1</w:t>
      </w:r>
      <w:r>
        <w:rPr>
          <w:rFonts w:ascii="Arial" w:cs="Arial" w:eastAsia="Arial" w:hAnsi="Arial"/>
          <w:sz w:val="22"/>
          <w:szCs w:val="22"/>
          <w:color w:val="auto"/>
        </w:rPr>
        <w:t xml:space="preserve">, </w:t>
      </w:r>
      <w:r>
        <w:rPr>
          <w:rFonts w:ascii="Arial" w:cs="Arial" w:eastAsia="Arial" w:hAnsi="Arial"/>
          <w:sz w:val="22"/>
          <w:szCs w:val="22"/>
          <w:b w:val="1"/>
          <w:bCs w:val="1"/>
          <w:color w:val="auto"/>
        </w:rPr>
        <w:t>5.1</w:t>
      </w:r>
      <w:r>
        <w:rPr>
          <w:rFonts w:ascii="Arial" w:cs="Arial" w:eastAsia="Arial" w:hAnsi="Arial"/>
          <w:sz w:val="22"/>
          <w:szCs w:val="22"/>
          <w:color w:val="auto"/>
        </w:rPr>
        <w:t xml:space="preserve"> and </w:t>
      </w:r>
      <w:r>
        <w:rPr>
          <w:rFonts w:ascii="Arial" w:cs="Arial" w:eastAsia="Arial" w:hAnsi="Arial"/>
          <w:sz w:val="22"/>
          <w:szCs w:val="22"/>
          <w:b w:val="1"/>
          <w:bCs w:val="1"/>
          <w:color w:val="auto"/>
        </w:rPr>
        <w:t>5.2</w:t>
      </w:r>
      <w:r>
        <w:rPr>
          <w:rFonts w:ascii="Arial" w:cs="Arial" w:eastAsia="Arial" w:hAnsi="Arial"/>
          <w:sz w:val="22"/>
          <w:szCs w:val="22"/>
          <w:color w:val="auto"/>
        </w:rPr>
        <w:t xml:space="preserve"> shall survive and continue in full force notwithstanding the termination of this Agreement or Executive’s employment for any reason. Executive’s obligations in </w:t>
      </w:r>
      <w:r>
        <w:rPr>
          <w:rFonts w:ascii="Arial" w:cs="Arial" w:eastAsia="Arial" w:hAnsi="Arial"/>
          <w:sz w:val="22"/>
          <w:szCs w:val="22"/>
          <w:b w:val="1"/>
          <w:bCs w:val="1"/>
          <w:color w:val="auto"/>
        </w:rPr>
        <w:t>Articles IV</w:t>
      </w:r>
      <w:r>
        <w:rPr>
          <w:rFonts w:ascii="Arial" w:cs="Arial" w:eastAsia="Arial" w:hAnsi="Arial"/>
          <w:sz w:val="22"/>
          <w:szCs w:val="22"/>
          <w:color w:val="auto"/>
        </w:rPr>
        <w:t xml:space="preserve"> and </w:t>
      </w:r>
      <w:r>
        <w:rPr>
          <w:rFonts w:ascii="Arial" w:cs="Arial" w:eastAsia="Arial" w:hAnsi="Arial"/>
          <w:sz w:val="22"/>
          <w:szCs w:val="22"/>
          <w:b w:val="1"/>
          <w:bCs w:val="1"/>
          <w:color w:val="auto"/>
        </w:rPr>
        <w:t>V</w:t>
      </w:r>
      <w:r>
        <w:rPr>
          <w:rFonts w:ascii="Arial" w:cs="Arial" w:eastAsia="Arial" w:hAnsi="Arial"/>
          <w:sz w:val="22"/>
          <w:szCs w:val="22"/>
          <w:color w:val="auto"/>
        </w:rPr>
        <w:t xml:space="preserve"> shall survive and continue in full force and effect notwithstanding the termination of this Agreement or Executive’s employment for any reason, if there is a separation agreement in effect pursuant to </w:t>
      </w:r>
      <w:r>
        <w:rPr>
          <w:rFonts w:ascii="Arial" w:cs="Arial" w:eastAsia="Arial" w:hAnsi="Arial"/>
          <w:sz w:val="22"/>
          <w:szCs w:val="22"/>
          <w:b w:val="1"/>
          <w:bCs w:val="1"/>
          <w:color w:val="auto"/>
        </w:rPr>
        <w:t>Section 3.6</w:t>
      </w:r>
      <w:r>
        <w:rPr>
          <w:rFonts w:ascii="Arial" w:cs="Arial" w:eastAsia="Arial" w:hAnsi="Arial"/>
          <w:sz w:val="22"/>
          <w:szCs w:val="22"/>
          <w:color w:val="auto"/>
        </w:rPr>
        <w:t xml:space="preserve"> and Executive is receiving Resignation Pay or Severance Pay pursuant to that separation agreement.</w:t>
      </w:r>
    </w:p>
    <w:p>
      <w:pPr>
        <w:spacing w:after="0" w:line="183"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u w:val="single" w:color="auto"/>
          <w:color w:val="auto"/>
        </w:rPr>
        <w:t>Execution in Counterparts</w:t>
      </w:r>
    </w:p>
    <w:p>
      <w:pPr>
        <w:spacing w:after="0" w:line="212" w:lineRule="exact"/>
        <w:rPr>
          <w:sz w:val="20"/>
          <w:szCs w:val="20"/>
          <w:color w:val="auto"/>
        </w:rPr>
      </w:pPr>
    </w:p>
    <w:p>
      <w:pPr>
        <w:ind w:firstLine="885"/>
        <w:spacing w:after="0" w:line="251" w:lineRule="auto"/>
        <w:tabs>
          <w:tab w:leader="none" w:pos="1142"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each of which shall be considered an original instrument, but all of which shall be considered one and the same agreement.</w:t>
      </w:r>
    </w:p>
    <w:p>
      <w:pPr>
        <w:spacing w:after="0" w:line="16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u w:val="single" w:color="auto"/>
          <w:color w:val="auto"/>
        </w:rPr>
        <w:t>Governing Law; Waiver of Jury</w:t>
      </w:r>
    </w:p>
    <w:p>
      <w:pPr>
        <w:spacing w:after="0" w:line="212" w:lineRule="exact"/>
        <w:rPr>
          <w:sz w:val="20"/>
          <w:szCs w:val="20"/>
          <w:color w:val="auto"/>
        </w:rPr>
      </w:pPr>
    </w:p>
    <w:p>
      <w:pPr>
        <w:jc w:val="both"/>
        <w:ind w:firstLine="885"/>
        <w:spacing w:after="0" w:line="252" w:lineRule="auto"/>
        <w:tabs>
          <w:tab w:leader="none" w:pos="1106"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This Agreement shall be governed by and construed in accordance with the internal laws of the State of Illinois, without regard to its conflict of law principles. For the purposes of any suit, action or other proceeding arising out of this Agreement or with respect to Executive’s employment hereunder, the parties: (a) agree to submit disputes to arbitration as set forth in </w:t>
      </w:r>
      <w:r>
        <w:rPr>
          <w:rFonts w:ascii="Arial" w:cs="Arial" w:eastAsia="Arial" w:hAnsi="Arial"/>
          <w:sz w:val="21"/>
          <w:szCs w:val="21"/>
          <w:b w:val="1"/>
          <w:bCs w:val="1"/>
          <w:color w:val="auto"/>
        </w:rPr>
        <w:t>Section 6.11</w:t>
      </w:r>
      <w:r>
        <w:rPr>
          <w:rFonts w:ascii="Arial" w:cs="Arial" w:eastAsia="Arial" w:hAnsi="Arial"/>
          <w:sz w:val="21"/>
          <w:szCs w:val="21"/>
          <w:color w:val="auto"/>
        </w:rPr>
        <w:t xml:space="preserve"> and (b) waive their respective rights to a jury trial of any claims and any causes of action.</w:t>
      </w:r>
    </w:p>
    <w:p>
      <w:pPr>
        <w:spacing w:after="0" w:line="168"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9"/>
          <w:szCs w:val="19"/>
          <w:b w:val="1"/>
          <w:bCs w:val="1"/>
          <w:u w:val="single" w:color="auto"/>
          <w:color w:val="auto"/>
        </w:rPr>
        <w:t>Construction</w:t>
      </w:r>
    </w:p>
    <w:p>
      <w:pPr>
        <w:spacing w:after="0" w:line="212" w:lineRule="exact"/>
        <w:rPr>
          <w:sz w:val="20"/>
          <w:szCs w:val="20"/>
          <w:color w:val="auto"/>
        </w:rPr>
      </w:pPr>
    </w:p>
    <w:p>
      <w:pPr>
        <w:jc w:val="both"/>
        <w:ind w:firstLine="885"/>
        <w:spacing w:after="0" w:line="297" w:lineRule="auto"/>
        <w:tabs>
          <w:tab w:leader="none" w:pos="108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language used in this Agreement will be deemed to be the language chosen by Executive and the Company to express their mutual intent, and no rule of strict construction will be applied against Executive or the Company. The headings in this Agreement are for convenience of reference only and will not limit or otherwise affect the meaning of the provision.</w:t>
      </w:r>
    </w:p>
    <w:p>
      <w:pPr>
        <w:spacing w:after="0" w:line="128"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u w:val="single" w:color="auto"/>
          <w:color w:val="auto"/>
        </w:rPr>
        <w:t>Entire Agreement; Amendments</w:t>
      </w:r>
    </w:p>
    <w:p>
      <w:pPr>
        <w:spacing w:after="0" w:line="212" w:lineRule="exact"/>
        <w:rPr>
          <w:sz w:val="20"/>
          <w:szCs w:val="20"/>
          <w:color w:val="auto"/>
        </w:rPr>
      </w:pPr>
    </w:p>
    <w:p>
      <w:pPr>
        <w:jc w:val="both"/>
        <w:ind w:firstLine="885"/>
        <w:spacing w:after="0" w:line="238" w:lineRule="auto"/>
        <w:tabs>
          <w:tab w:leader="none" w:pos="109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Agreement contains the entire understanding of the parties hereto with regard to the subject matter contained herein, and supersedes all prior agreements, understandings or letters of intent with regard to the subject matter contained herein between the parties hereto, unless otherwise specified herein. This Agreement shall not be amended, modified or supplemented except by a written instrument signed by each of the parties hereto.</w:t>
      </w:r>
    </w:p>
    <w:p>
      <w:pPr>
        <w:spacing w:after="0" w:line="17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21"/>
          <w:szCs w:val="21"/>
          <w:b w:val="1"/>
          <w:bCs w:val="1"/>
          <w:u w:val="single" w:color="auto"/>
          <w:color w:val="auto"/>
        </w:rPr>
        <w:t>ARBITRATION OF DISPUTES</w:t>
      </w:r>
    </w:p>
    <w:p>
      <w:pPr>
        <w:spacing w:after="0" w:line="212" w:lineRule="exact"/>
        <w:rPr>
          <w:sz w:val="20"/>
          <w:szCs w:val="20"/>
          <w:color w:val="auto"/>
        </w:rPr>
      </w:pPr>
    </w:p>
    <w:p>
      <w:pPr>
        <w:jc w:val="both"/>
        <w:ind w:firstLine="885"/>
        <w:spacing w:after="0" w:line="245" w:lineRule="auto"/>
        <w:tabs>
          <w:tab w:leader="none" w:pos="1033" w:val="left"/>
        </w:tabs>
        <w:numPr>
          <w:ilvl w:val="0"/>
          <w:numId w:val="57"/>
        </w:numPr>
        <w:rPr>
          <w:rFonts w:ascii="Arial" w:cs="Arial" w:eastAsia="Arial" w:hAnsi="Arial"/>
          <w:sz w:val="21"/>
          <w:szCs w:val="21"/>
          <w:color w:val="auto"/>
        </w:rPr>
      </w:pPr>
      <w:r>
        <w:rPr>
          <w:rFonts w:ascii="Arial" w:cs="Arial" w:eastAsia="Arial" w:hAnsi="Arial"/>
          <w:sz w:val="21"/>
          <w:szCs w:val="21"/>
          <w:color w:val="auto"/>
        </w:rPr>
        <w:t>ANY CONTROVERSY OR CLAIM ARISING OUT OF OR RELATING TO THIS CONTRACT, OR THE 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DUPAGE COUNTY, IL. JUDGMENT ON THE AWARD RENDERED BY THE ARBITRATOR MAY BE ENTERED IN ANY COURT HAVING JURISDICTION THEREOF. THE DECISION OF THE ARBITRATOR SHALL BE FINAL AND BINDING ON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6" w:name="page57"/>
    <w:bookmarkEnd w:id="56"/>
    <w:p>
      <w:pPr>
        <w:ind w:left="860"/>
        <w:spacing w:after="0"/>
        <w:tabs>
          <w:tab w:leader="none" w:pos="252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u w:val="single" w:color="auto"/>
          <w:color w:val="auto"/>
        </w:rPr>
        <w:t>Costs Relating to Disputes</w:t>
      </w:r>
    </w:p>
    <w:p>
      <w:pPr>
        <w:spacing w:after="0" w:line="206" w:lineRule="exact"/>
        <w:rPr>
          <w:sz w:val="20"/>
          <w:szCs w:val="20"/>
          <w:color w:val="auto"/>
        </w:rPr>
      </w:pPr>
    </w:p>
    <w:p>
      <w:pPr>
        <w:jc w:val="both"/>
        <w:ind w:left="-20" w:firstLine="885"/>
        <w:spacing w:after="0" w:line="239" w:lineRule="auto"/>
        <w:tabs>
          <w:tab w:leader="none" w:pos="1035"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In the event that an arbitration under </w:t>
      </w:r>
      <w:r>
        <w:rPr>
          <w:rFonts w:ascii="Arial" w:cs="Arial" w:eastAsia="Arial" w:hAnsi="Arial"/>
          <w:sz w:val="22"/>
          <w:szCs w:val="22"/>
          <w:b w:val="1"/>
          <w:bCs w:val="1"/>
          <w:color w:val="auto"/>
        </w:rPr>
        <w:t>Section 6.11</w:t>
      </w:r>
      <w:r>
        <w:rPr>
          <w:rFonts w:ascii="Arial" w:cs="Arial" w:eastAsia="Arial" w:hAnsi="Arial"/>
          <w:sz w:val="22"/>
          <w:szCs w:val="22"/>
          <w:color w:val="auto"/>
        </w:rPr>
        <w:t xml:space="preserve"> arises out of this Agreement, if Executive is the prevailing party, he shall be entitled to an award of reasonable attorney fees and the Company shall pay for the arbitrator’s and administrative fees of the arbitration. If the Company is the prevailing party, then each party shall bear its own costs and expenses and an equal share of the arbitrator’s and administrative fees of arbitration.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132080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55"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0" w:lineRule="exact"/>
        <w:rPr>
          <w:sz w:val="20"/>
          <w:szCs w:val="20"/>
          <w:color w:val="auto"/>
        </w:rPr>
      </w:pPr>
    </w:p>
    <w:p>
      <w:pPr>
        <w:spacing w:after="0" w:line="243"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hereto has duly executed this Employment Agreement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above.</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Great Lakes Dredge &amp; Dock Corporation</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W. Marinko</w:t>
      </w:r>
    </w:p>
    <w:p>
      <w:pPr>
        <w:spacing w:after="0" w:line="233" w:lineRule="exact"/>
        <w:rPr>
          <w:sz w:val="20"/>
          <w:szCs w:val="20"/>
          <w:color w:val="auto"/>
        </w:rPr>
      </w:pPr>
    </w:p>
    <w:p>
      <w:pPr>
        <w:ind w:left="5280"/>
        <w:spacing w:after="0" w:line="251" w:lineRule="auto"/>
        <w:rPr>
          <w:sz w:val="20"/>
          <w:szCs w:val="20"/>
          <w:color w:val="auto"/>
        </w:rPr>
      </w:pPr>
      <w:r>
        <w:rPr>
          <w:rFonts w:ascii="Arial" w:cs="Arial" w:eastAsia="Arial" w:hAnsi="Arial"/>
          <w:sz w:val="22"/>
          <w:szCs w:val="22"/>
          <w:color w:val="auto"/>
        </w:rPr>
        <w:t>Title: Interim Chief Executive Officer and Senior Vice President and Chief Financial Officer</w:t>
      </w:r>
    </w:p>
    <w:p>
      <w:pPr>
        <w:spacing w:after="0" w:line="194"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Kyle D. Johnson</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22"/>
          <w:szCs w:val="22"/>
          <w:u w:val="single" w:color="auto"/>
          <w:color w:val="auto"/>
        </w:rPr>
        <w:t>/s/ Kyle D. Johnson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6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CONSULTING AGREEMENT</w:t>
      </w:r>
    </w:p>
    <w:p>
      <w:pPr>
        <w:spacing w:after="0" w:line="182"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 xml:space="preserve">THIS CONSULTING AGREEMENT </w:t>
      </w:r>
      <w:r>
        <w:rPr>
          <w:rFonts w:ascii="Arial" w:cs="Arial" w:eastAsia="Arial" w:hAnsi="Arial"/>
          <w:sz w:val="22"/>
          <w:szCs w:val="22"/>
          <w:color w:val="auto"/>
        </w:rPr>
        <w:t>is made and entered into this 1st day of March, 2017</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Effective Date</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by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between Great Lakes Dredge &amp; Dock Corporation (the </w:t>
      </w: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Company</w:t>
      </w:r>
      <w:r>
        <w:rPr>
          <w:rFonts w:ascii="Arial" w:cs="Arial" w:eastAsia="Arial" w:hAnsi="Arial"/>
          <w:sz w:val="22"/>
          <w:szCs w:val="22"/>
          <w:i w:val="1"/>
          <w:iCs w:val="1"/>
          <w:color w:val="auto"/>
        </w:rPr>
        <w:t>”)</w:t>
      </w:r>
      <w:r>
        <w:rPr>
          <w:rFonts w:ascii="Arial" w:cs="Arial" w:eastAsia="Arial" w:hAnsi="Arial"/>
          <w:sz w:val="22"/>
          <w:szCs w:val="22"/>
          <w:color w:val="auto"/>
        </w:rPr>
        <w:t xml:space="preserve"> and Lasse J. Petterson </w:t>
      </w: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Consultant</w:t>
      </w:r>
      <w:r>
        <w:rPr>
          <w:rFonts w:ascii="Arial" w:cs="Arial" w:eastAsia="Arial" w:hAnsi="Arial"/>
          <w:sz w:val="22"/>
          <w:szCs w:val="22"/>
          <w:i w:val="1"/>
          <w:iCs w:val="1"/>
          <w:color w:val="auto"/>
        </w:rPr>
        <w:t>”).</w:t>
      </w:r>
    </w:p>
    <w:p>
      <w:pPr>
        <w:spacing w:after="0" w:line="169"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Company desires to engage the services of Consultant, and Consultant desires to serve, as an independent contractor to the Company, in connection with certain services to be determined by the Company, all in accordance with the terms and conditions set forth in this Consulting Agreement.</w:t>
      </w:r>
    </w:p>
    <w:p>
      <w:pPr>
        <w:spacing w:after="0" w:line="186"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NOW, THEREFORE, in consideration of the promises and mutual covenants contained in this Consulting Agreement, the parties agree as follows:</w:t>
      </w:r>
    </w:p>
    <w:p>
      <w:pPr>
        <w:spacing w:after="0" w:line="167" w:lineRule="exact"/>
        <w:rPr>
          <w:sz w:val="20"/>
          <w:szCs w:val="20"/>
          <w:color w:val="auto"/>
        </w:rPr>
      </w:pPr>
    </w:p>
    <w:p>
      <w:pPr>
        <w:jc w:val="both"/>
        <w:ind w:right="20" w:firstLine="885"/>
        <w:spacing w:after="0" w:line="243" w:lineRule="auto"/>
        <w:tabs>
          <w:tab w:leader="none" w:pos="2336" w:val="left"/>
        </w:tabs>
        <w:numPr>
          <w:ilvl w:val="0"/>
          <w:numId w:val="5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Engagement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terms and conditions contained in this Consulting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now engages Consultant to provide, and Consultant hereby agrees to provide to the Company, the </w:t>
      </w: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Consulting Services</w:t>
      </w:r>
      <w:r>
        <w:rPr>
          <w:rFonts w:ascii="Arial" w:cs="Arial" w:eastAsia="Arial" w:hAnsi="Arial"/>
          <w:sz w:val="22"/>
          <w:szCs w:val="22"/>
          <w:i w:val="1"/>
          <w:iCs w:val="1"/>
          <w:color w:val="auto"/>
        </w:rPr>
        <w:t>”</w:t>
      </w:r>
      <w:r>
        <w:rPr>
          <w:rFonts w:ascii="Arial" w:cs="Arial" w:eastAsia="Arial" w:hAnsi="Arial"/>
          <w:sz w:val="22"/>
          <w:szCs w:val="22"/>
          <w:color w:val="auto"/>
        </w:rPr>
        <w:t xml:space="preserve"> (as defined below).</w:t>
      </w:r>
    </w:p>
    <w:p>
      <w:pPr>
        <w:spacing w:after="0" w:line="176" w:lineRule="exact"/>
        <w:rPr>
          <w:rFonts w:ascii="Arial" w:cs="Arial" w:eastAsia="Arial" w:hAnsi="Arial"/>
          <w:sz w:val="22"/>
          <w:szCs w:val="22"/>
          <w:b w:val="1"/>
          <w:bCs w:val="1"/>
          <w:color w:val="010000"/>
        </w:rPr>
      </w:pPr>
    </w:p>
    <w:p>
      <w:pPr>
        <w:jc w:val="both"/>
        <w:ind w:firstLine="885"/>
        <w:spacing w:after="0" w:line="237" w:lineRule="auto"/>
        <w:tabs>
          <w:tab w:leader="none" w:pos="2336" w:val="left"/>
        </w:tabs>
        <w:numPr>
          <w:ilvl w:val="0"/>
          <w:numId w:val="5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Consulting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this Consulting Agreement, Consultant shall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Consulting Services to the Company as set forth on Exhibit A and as may be designated in writing by the Chairman of the Board of Directors (the “</w:t>
      </w:r>
      <w:r>
        <w:rPr>
          <w:rFonts w:ascii="Arial" w:cs="Arial" w:eastAsia="Arial" w:hAnsi="Arial"/>
          <w:sz w:val="22"/>
          <w:szCs w:val="22"/>
          <w:i w:val="1"/>
          <w:iCs w:val="1"/>
          <w:u w:val="single" w:color="auto"/>
          <w:color w:val="auto"/>
        </w:rPr>
        <w:t>Board</w:t>
      </w:r>
      <w:r>
        <w:rPr>
          <w:rFonts w:ascii="Arial" w:cs="Arial" w:eastAsia="Arial" w:hAnsi="Arial"/>
          <w:sz w:val="22"/>
          <w:szCs w:val="22"/>
          <w:color w:val="auto"/>
        </w:rPr>
        <w:t>”), the Interim Chief Executive Officer of the Company, or each of his designee and agreed to by Consultant. Consultant shall devote such time, effort, and attention to providing the Consulting Services as may be required to fully, timely and professionally perform the Consulting Services.</w:t>
      </w:r>
    </w:p>
    <w:p>
      <w:pPr>
        <w:spacing w:after="0" w:line="182" w:lineRule="exact"/>
        <w:rPr>
          <w:rFonts w:ascii="Arial" w:cs="Arial" w:eastAsia="Arial" w:hAnsi="Arial"/>
          <w:sz w:val="22"/>
          <w:szCs w:val="22"/>
          <w:b w:val="1"/>
          <w:bCs w:val="1"/>
          <w:color w:val="010000"/>
        </w:rPr>
      </w:pPr>
    </w:p>
    <w:p>
      <w:pPr>
        <w:ind w:left="2340" w:hanging="1455"/>
        <w:spacing w:after="0"/>
        <w:tabs>
          <w:tab w:leader="none" w:pos="2340" w:val="left"/>
        </w:tabs>
        <w:numPr>
          <w:ilvl w:val="0"/>
          <w:numId w:val="5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Relationship of the Parties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010000"/>
        </w:rPr>
        <w:t xml:space="preserve">a. </w:t>
      </w:r>
      <w:r>
        <w:rPr>
          <w:rFonts w:ascii="Arial" w:cs="Arial" w:eastAsia="Arial" w:hAnsi="Arial"/>
          <w:sz w:val="22"/>
          <w:szCs w:val="22"/>
          <w:color w:val="000000"/>
        </w:rPr>
        <w:t>The parties mutually agree, intend, and understand that, in performance of the Consulting Services under</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this Consulting Agreement, </w:t>
      </w:r>
      <w:r>
        <w:rPr>
          <w:rFonts w:ascii="Arial" w:cs="Arial" w:eastAsia="Arial" w:hAnsi="Arial"/>
          <w:sz w:val="22"/>
          <w:szCs w:val="22"/>
          <w:u w:val="single" w:color="auto"/>
          <w:color w:val="000000"/>
        </w:rPr>
        <w:t>Consultant at all times will act and perform solely as an independent contractor in the performance of</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the Consulting Services and otherwise, and not as (and shall not be) an employee of the Company</w:t>
      </w:r>
      <w:r>
        <w:rPr>
          <w:rFonts w:ascii="Arial" w:cs="Arial" w:eastAsia="Arial" w:hAnsi="Arial"/>
          <w:sz w:val="22"/>
          <w:szCs w:val="22"/>
          <w:color w:val="000000"/>
        </w:rPr>
        <w:t xml:space="preserve">. This Consulting Agreement shall not be deemed to represent in any way that Consultant was hired by the Company to perform Consulting Services as an employee, nor does it constitute a contract of employment. Consultant will make no representations to third parties inconsistent with the relationship established by this Consulting Agreement; </w:t>
      </w:r>
      <w:r>
        <w:rPr>
          <w:rFonts w:ascii="Arial" w:cs="Arial" w:eastAsia="Arial" w:hAnsi="Arial"/>
          <w:sz w:val="22"/>
          <w:szCs w:val="22"/>
          <w:i w:val="1"/>
          <w:iCs w:val="1"/>
          <w:color w:val="000000"/>
        </w:rPr>
        <w:t>provided, however</w:t>
      </w:r>
      <w:r>
        <w:rPr>
          <w:rFonts w:ascii="Arial" w:cs="Arial" w:eastAsia="Arial" w:hAnsi="Arial"/>
          <w:sz w:val="22"/>
          <w:szCs w:val="22"/>
          <w:color w:val="000000"/>
        </w:rPr>
        <w:t>, that Consultant shall have no obligation to disclaim the previous announcement of his hiring as Chief Executive Officer if asked about his employment status with the Company by third parties.</w:t>
      </w:r>
    </w:p>
    <w:p>
      <w:pPr>
        <w:spacing w:after="0" w:line="179"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010000"/>
        </w:rPr>
        <w:t xml:space="preserve">b. </w:t>
      </w:r>
      <w:r>
        <w:rPr>
          <w:rFonts w:ascii="Arial" w:cs="Arial" w:eastAsia="Arial" w:hAnsi="Arial"/>
          <w:sz w:val="22"/>
          <w:szCs w:val="22"/>
          <w:color w:val="000000"/>
        </w:rPr>
        <w:t>The Company shall provide Consultant with instructions, if any, and information necessary to perform</w:t>
      </w:r>
      <w:r>
        <w:rPr>
          <w:rFonts w:ascii="Arial" w:cs="Arial" w:eastAsia="Arial" w:hAnsi="Arial"/>
          <w:sz w:val="22"/>
          <w:szCs w:val="22"/>
          <w:b w:val="1"/>
          <w:bCs w:val="1"/>
          <w:color w:val="010000"/>
        </w:rPr>
        <w:t xml:space="preserve"> </w:t>
      </w:r>
      <w:r>
        <w:rPr>
          <w:rFonts w:ascii="Arial" w:cs="Arial" w:eastAsia="Arial" w:hAnsi="Arial"/>
          <w:sz w:val="22"/>
          <w:szCs w:val="22"/>
          <w:color w:val="000000"/>
        </w:rPr>
        <w:t xml:space="preserve">the Consulting Services in the manner required by the Company; </w:t>
      </w:r>
      <w:r>
        <w:rPr>
          <w:rFonts w:ascii="Arial" w:cs="Arial" w:eastAsia="Arial" w:hAnsi="Arial"/>
          <w:sz w:val="22"/>
          <w:szCs w:val="22"/>
          <w:i w:val="1"/>
          <w:iCs w:val="1"/>
          <w:color w:val="000000"/>
        </w:rPr>
        <w:t>provided, however,</w:t>
      </w:r>
      <w:r>
        <w:rPr>
          <w:rFonts w:ascii="Arial" w:cs="Arial" w:eastAsia="Arial" w:hAnsi="Arial"/>
          <w:sz w:val="22"/>
          <w:szCs w:val="22"/>
          <w:color w:val="000000"/>
        </w:rPr>
        <w:t xml:space="preserve"> that Consultant shall at all times exercise independent judgment and be free from direction and control by the Company in connection with the actual performance of the Consulting Services.</w:t>
      </w:r>
    </w:p>
    <w:p>
      <w:pPr>
        <w:spacing w:after="0" w:line="18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c. </w:t>
      </w:r>
      <w:r>
        <w:rPr>
          <w:rFonts w:ascii="Arial" w:cs="Arial" w:eastAsia="Arial" w:hAnsi="Arial"/>
          <w:sz w:val="22"/>
          <w:szCs w:val="22"/>
          <w:color w:val="000000"/>
        </w:rPr>
        <w:t>Company and Consultant recognize that Consultant also serves as a director</w:t>
      </w:r>
      <w:r>
        <w:rPr>
          <w:rFonts w:ascii="Arial" w:cs="Arial" w:eastAsia="Arial" w:hAnsi="Arial"/>
          <w:sz w:val="22"/>
          <w:szCs w:val="22"/>
          <w:b w:val="1"/>
          <w:bCs w:val="1"/>
          <w:color w:val="010000"/>
        </w:rPr>
        <w:t xml:space="preserve"> </w:t>
      </w:r>
      <w:r>
        <w:rPr>
          <w:rFonts w:ascii="Arial" w:cs="Arial" w:eastAsia="Arial" w:hAnsi="Arial"/>
          <w:sz w:val="22"/>
          <w:szCs w:val="22"/>
          <w:i w:val="1"/>
          <w:iCs w:val="1"/>
          <w:color w:val="000000"/>
        </w:rPr>
        <w:t>(“</w:t>
      </w:r>
      <w:r>
        <w:rPr>
          <w:rFonts w:ascii="Arial" w:cs="Arial" w:eastAsia="Arial" w:hAnsi="Arial"/>
          <w:sz w:val="22"/>
          <w:szCs w:val="22"/>
          <w:i w:val="1"/>
          <w:iCs w:val="1"/>
          <w:u w:val="single" w:color="auto"/>
          <w:color w:val="000000"/>
        </w:rPr>
        <w:t>Director</w:t>
      </w:r>
      <w:r>
        <w:rPr>
          <w:rFonts w:ascii="Arial" w:cs="Arial" w:eastAsia="Arial" w:hAnsi="Arial"/>
          <w:sz w:val="22"/>
          <w:szCs w:val="22"/>
          <w:i w:val="1"/>
          <w:i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on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Company’s Board. If or when the obligations of this Consulting Agreement are inconsistent or conflict with the fiduciary duties or obligations of Consultant as a 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Consultant’s fiduciary duties or obligations as a Director shall take precedence over the obligations of this Consulting Agreement.</w:t>
      </w:r>
    </w:p>
    <w:p>
      <w:pPr>
        <w:spacing w:after="0" w:line="235"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010000"/>
        </w:rPr>
        <w:t xml:space="preserve">d. </w:t>
      </w:r>
      <w:r>
        <w:rPr>
          <w:rFonts w:ascii="Arial" w:cs="Arial" w:eastAsia="Arial" w:hAnsi="Arial"/>
          <w:sz w:val="21"/>
          <w:szCs w:val="21"/>
          <w:color w:val="000000"/>
        </w:rPr>
        <w:t>All amounts payable through this Consulting Agreement to Consultant shall be paid without any</w:t>
      </w:r>
      <w:r>
        <w:rPr>
          <w:rFonts w:ascii="Arial" w:cs="Arial" w:eastAsia="Arial" w:hAnsi="Arial"/>
          <w:sz w:val="21"/>
          <w:szCs w:val="21"/>
          <w:b w:val="1"/>
          <w:bCs w:val="1"/>
          <w:color w:val="010000"/>
        </w:rPr>
        <w:t xml:space="preserve"> </w:t>
      </w:r>
      <w:r>
        <w:rPr>
          <w:rFonts w:ascii="Arial" w:cs="Arial" w:eastAsia="Arial" w:hAnsi="Arial"/>
          <w:sz w:val="21"/>
          <w:szCs w:val="21"/>
          <w:color w:val="000000"/>
        </w:rPr>
        <w:t>reduction by the Company for any taxes, including but not limited to foreign or federal, state or local income, employment, self-employment or withholding taxes. It is the intention of the parties that Consultant shall be solely responsible for the payment of all taxes, fines, penalties or assessments imposed on or related to Consultant’s activities pursuant to this Consulting Agreement. Consultant shall indemnify, defend and hold harmless the Company, and each of its respective officers, directors, representatives, agents and employees, from and against any and all liabilities which the Company may incur as a result of any failure by Consultant to pay any local, state or federal income, employment, self-employment or withholding tax, including without limitation any failure to timely pay any estimated tax. If it is determined at any time that Consultant is not an independent contractor under this Consulting Agreement, Consultant agrees to indemnify and hold harmless the Company for any and all taxes, interest, penalties, liabilities, expenses, and any other costs resulting from or arising out of such determination. This obligation shall survive the expiration of this Consulting Agreement.</w:t>
      </w:r>
    </w:p>
    <w:p>
      <w:pPr>
        <w:spacing w:after="0" w:line="178"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010000"/>
        </w:rPr>
        <w:t xml:space="preserve">e. </w:t>
      </w:r>
      <w:r>
        <w:rPr>
          <w:rFonts w:ascii="Arial" w:cs="Arial" w:eastAsia="Arial" w:hAnsi="Arial"/>
          <w:sz w:val="22"/>
          <w:szCs w:val="22"/>
          <w:color w:val="000000"/>
        </w:rPr>
        <w:t>Except as otherwise agreed in writing by the parties, Consultant shall be solely responsible for any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all expenses incurred in connection with the provision of Consulting Services pursuant to this Consulting Agreement.</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010000"/>
        </w:rPr>
        <w:t xml:space="preserve">f. </w:t>
      </w:r>
      <w:r>
        <w:rPr>
          <w:rFonts w:ascii="Arial" w:cs="Arial" w:eastAsia="Arial" w:hAnsi="Arial"/>
          <w:sz w:val="22"/>
          <w:szCs w:val="22"/>
          <w:color w:val="000000"/>
        </w:rPr>
        <w:t>During the Term, Consultant shall not be entitled to participate in any insurance, pension plans, bonus</w:t>
      </w:r>
      <w:r>
        <w:rPr>
          <w:rFonts w:ascii="Arial" w:cs="Arial" w:eastAsia="Arial" w:hAnsi="Arial"/>
          <w:sz w:val="22"/>
          <w:szCs w:val="22"/>
          <w:b w:val="1"/>
          <w:bCs w:val="1"/>
          <w:color w:val="010000"/>
        </w:rPr>
        <w:t xml:space="preserve"> </w:t>
      </w:r>
      <w:r>
        <w:rPr>
          <w:rFonts w:ascii="Arial" w:cs="Arial" w:eastAsia="Arial" w:hAnsi="Arial"/>
          <w:sz w:val="22"/>
          <w:szCs w:val="22"/>
          <w:color w:val="000000"/>
        </w:rPr>
        <w:t>plans, or other employee benefits provided by the Company to its employees.</w:t>
      </w:r>
    </w:p>
    <w:p>
      <w:pPr>
        <w:spacing w:after="0" w:line="16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010000"/>
        </w:rPr>
        <w:t xml:space="preserve">g. </w:t>
      </w:r>
      <w:r>
        <w:rPr>
          <w:rFonts w:ascii="Arial" w:cs="Arial" w:eastAsia="Arial" w:hAnsi="Arial"/>
          <w:sz w:val="22"/>
          <w:szCs w:val="22"/>
          <w:color w:val="000000"/>
        </w:rPr>
        <w:t>During the Term, Consultant shall have no authority whatsoever to direct any actions of the Company, to</w:t>
      </w:r>
      <w:r>
        <w:rPr>
          <w:rFonts w:ascii="Arial" w:cs="Arial" w:eastAsia="Arial" w:hAnsi="Arial"/>
          <w:sz w:val="22"/>
          <w:szCs w:val="22"/>
          <w:b w:val="1"/>
          <w:bCs w:val="1"/>
          <w:color w:val="010000"/>
        </w:rPr>
        <w:t xml:space="preserve"> </w:t>
      </w:r>
      <w:r>
        <w:rPr>
          <w:rFonts w:ascii="Arial" w:cs="Arial" w:eastAsia="Arial" w:hAnsi="Arial"/>
          <w:sz w:val="22"/>
          <w:szCs w:val="22"/>
          <w:color w:val="000000"/>
        </w:rPr>
        <w:t>exercise control over the Company, to exercise any management or control over any vessels owned or operated by the Company, or to act on behalf of any officer of the Company. During the Term, Consultant shall not carry out any such actions, and if requested to do so, shall decline. For purposes of this subsection, the term “the Company” includes the Company as identified above, and all parent, subsidiary, and affiliated entities.</w:t>
      </w:r>
    </w:p>
    <w:p>
      <w:pPr>
        <w:spacing w:after="0" w:line="183" w:lineRule="exact"/>
        <w:rPr>
          <w:sz w:val="20"/>
          <w:szCs w:val="20"/>
          <w:color w:val="auto"/>
        </w:rPr>
      </w:pPr>
    </w:p>
    <w:p>
      <w:pPr>
        <w:ind w:right="20" w:firstLine="885"/>
        <w:spacing w:after="0" w:line="256" w:lineRule="auto"/>
        <w:tabs>
          <w:tab w:leader="none" w:pos="2336"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Remuneration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full payment and satisfaction for Consultant’s provision of Consulting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Consulting Agreement, the Company shall pay Consultant the following rate:</w:t>
      </w:r>
    </w:p>
    <w:p>
      <w:pPr>
        <w:spacing w:after="0" w:line="163"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a. </w:t>
      </w:r>
      <w:r>
        <w:rPr>
          <w:rFonts w:ascii="Arial" w:cs="Arial" w:eastAsia="Arial" w:hAnsi="Arial"/>
          <w:sz w:val="22"/>
          <w:szCs w:val="22"/>
          <w:color w:val="000000"/>
        </w:rPr>
        <w:t>Two Thousand Five Hundred Dollars and No Cents ($2,500.00) per each day in which Consulting</w:t>
      </w:r>
      <w:r>
        <w:rPr>
          <w:rFonts w:ascii="Arial" w:cs="Arial" w:eastAsia="Arial" w:hAnsi="Arial"/>
          <w:sz w:val="22"/>
          <w:szCs w:val="22"/>
          <w:b w:val="1"/>
          <w:bCs w:val="1"/>
          <w:color w:val="010000"/>
        </w:rPr>
        <w:t xml:space="preserve"> </w:t>
      </w:r>
      <w:r>
        <w:rPr>
          <w:rFonts w:ascii="Arial" w:cs="Arial" w:eastAsia="Arial" w:hAnsi="Arial"/>
          <w:sz w:val="22"/>
          <w:szCs w:val="22"/>
          <w:color w:val="000000"/>
        </w:rPr>
        <w:t>Services are provided by Consultant not to exceed Twenty-Five Thousand Dollars and No Cents ($25,000.00) in any given month, payable within ten (10) business days of presentation of an invoice as set forth below.</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remuneration provided under this Section shall be in addition to, and is unrelated to, the compensation that Consultant receives as a Director. Consultant shall book travel arrangements through the Company’s corporate travel provider. The Company will reimburse Consultant for other reasonable travel and/or expenses related to his provision of Consulting Services, so long as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receipts for the amount of such expenses are submitted and approved by the Company’s Interim Chief Executive Officer.</w:t>
      </w:r>
    </w:p>
    <w:p>
      <w:pPr>
        <w:spacing w:after="0" w:line="21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Consultant shall submit an invoice to the Company’s Interim Chief Executive Officer on a monthly basis including a detailed summary of Consultant Services performed and the time engaged on each matter.</w:t>
      </w:r>
    </w:p>
    <w:p>
      <w:pPr>
        <w:spacing w:after="0" w:line="167" w:lineRule="exact"/>
        <w:rPr>
          <w:sz w:val="20"/>
          <w:szCs w:val="20"/>
          <w:color w:val="auto"/>
        </w:rPr>
      </w:pPr>
    </w:p>
    <w:p>
      <w:pPr>
        <w:jc w:val="both"/>
        <w:ind w:firstLine="885"/>
        <w:spacing w:after="0" w:line="261" w:lineRule="auto"/>
        <w:tabs>
          <w:tab w:leader="none" w:pos="2336" w:val="left"/>
        </w:tabs>
        <w:numPr>
          <w:ilvl w:val="0"/>
          <w:numId w:val="6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Outside Business Activities</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 retains the right to engage in lawful outside business activities;</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that his involvement in such outside activities does not cause Consultant to breach any provision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Consulting Agreement, including without limitation those contained in </w:t>
      </w:r>
      <w:r>
        <w:rPr>
          <w:rFonts w:ascii="Arial" w:cs="Arial" w:eastAsia="Arial" w:hAnsi="Arial"/>
          <w:sz w:val="21"/>
          <w:szCs w:val="21"/>
          <w:u w:val="single" w:color="auto"/>
          <w:color w:val="auto"/>
        </w:rPr>
        <w:t>Sections 7, 8, 9, and 10</w:t>
      </w:r>
      <w:r>
        <w:rPr>
          <w:rFonts w:ascii="Arial" w:cs="Arial" w:eastAsia="Arial" w:hAnsi="Arial"/>
          <w:sz w:val="21"/>
          <w:szCs w:val="21"/>
          <w:color w:val="auto"/>
        </w:rPr>
        <w:t>.</w:t>
      </w:r>
    </w:p>
    <w:p>
      <w:pPr>
        <w:spacing w:after="0" w:line="157" w:lineRule="exact"/>
        <w:rPr>
          <w:rFonts w:ascii="Arial" w:cs="Arial" w:eastAsia="Arial" w:hAnsi="Arial"/>
          <w:sz w:val="21"/>
          <w:szCs w:val="21"/>
          <w:b w:val="1"/>
          <w:bCs w:val="1"/>
          <w:color w:val="010000"/>
        </w:rPr>
      </w:pPr>
    </w:p>
    <w:p>
      <w:pPr>
        <w:jc w:val="both"/>
        <w:ind w:firstLine="885"/>
        <w:spacing w:after="0" w:line="247" w:lineRule="auto"/>
        <w:tabs>
          <w:tab w:leader="none" w:pos="2336" w:val="left"/>
        </w:tabs>
        <w:numPr>
          <w:ilvl w:val="0"/>
          <w:numId w:val="6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 of Consultant’s engagement under this Consulting Agreement shall commence on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Effective Date and shall continue for a period of two (2) months (the </w:t>
      </w:r>
      <w:r>
        <w:rPr>
          <w:rFonts w:ascii="Arial" w:cs="Arial" w:eastAsia="Arial" w:hAnsi="Arial"/>
          <w:sz w:val="21"/>
          <w:szCs w:val="21"/>
          <w:i w:val="1"/>
          <w:iCs w:val="1"/>
          <w:color w:val="auto"/>
        </w:rPr>
        <w:t>“</w:t>
      </w:r>
      <w:r>
        <w:rPr>
          <w:rFonts w:ascii="Arial" w:cs="Arial" w:eastAsia="Arial" w:hAnsi="Arial"/>
          <w:sz w:val="21"/>
          <w:szCs w:val="21"/>
          <w:i w:val="1"/>
          <w:iCs w:val="1"/>
          <w:u w:val="single" w:color="auto"/>
          <w:color w:val="auto"/>
        </w:rPr>
        <w:t>Initial Term</w:t>
      </w:r>
      <w:r>
        <w:rPr>
          <w:rFonts w:ascii="Arial" w:cs="Arial" w:eastAsia="Arial" w:hAnsi="Arial"/>
          <w:sz w:val="21"/>
          <w:szCs w:val="21"/>
          <w:i w:val="1"/>
          <w:iCs w:val="1"/>
          <w:color w:val="auto"/>
        </w:rPr>
        <w:t>”).</w:t>
      </w:r>
      <w:r>
        <w:rPr>
          <w:rFonts w:ascii="Arial" w:cs="Arial" w:eastAsia="Arial" w:hAnsi="Arial"/>
          <w:sz w:val="21"/>
          <w:szCs w:val="21"/>
          <w:color w:val="auto"/>
        </w:rPr>
        <w:t xml:space="preserve"> This Consulting Agreement may be renewed for successive one (1) month terms upon written notice from the Company given at least ten (10) days prior to the end of the Initial Term or any subsequent renewal term (each a </w:t>
      </w:r>
      <w:r>
        <w:rPr>
          <w:rFonts w:ascii="Arial" w:cs="Arial" w:eastAsia="Arial" w:hAnsi="Arial"/>
          <w:sz w:val="21"/>
          <w:szCs w:val="21"/>
          <w:i w:val="1"/>
          <w:iCs w:val="1"/>
          <w:color w:val="auto"/>
        </w:rPr>
        <w:t>“</w:t>
      </w:r>
      <w:r>
        <w:rPr>
          <w:rFonts w:ascii="Arial" w:cs="Arial" w:eastAsia="Arial" w:hAnsi="Arial"/>
          <w:sz w:val="21"/>
          <w:szCs w:val="21"/>
          <w:i w:val="1"/>
          <w:iCs w:val="1"/>
          <w:u w:val="single" w:color="auto"/>
          <w:color w:val="auto"/>
        </w:rPr>
        <w:t>Subsequent Term</w:t>
      </w:r>
      <w:r>
        <w:rPr>
          <w:rFonts w:ascii="Arial" w:cs="Arial" w:eastAsia="Arial" w:hAnsi="Arial"/>
          <w:sz w:val="21"/>
          <w:szCs w:val="21"/>
          <w:i w:val="1"/>
          <w:iCs w:val="1"/>
          <w:color w:val="auto"/>
        </w:rPr>
        <w:t>”).</w:t>
      </w:r>
      <w:r>
        <w:rPr>
          <w:rFonts w:ascii="Arial" w:cs="Arial" w:eastAsia="Arial" w:hAnsi="Arial"/>
          <w:sz w:val="21"/>
          <w:szCs w:val="21"/>
          <w:color w:val="auto"/>
        </w:rPr>
        <w:t xml:space="preserve"> If not renewed, this Consulting Agreement shall automatically terminate upon the conclusion of the then-applicable Initial Term or Subsequent Term. The Initial Term and any Subsequent Term collectively shall be referred to as the </w:t>
      </w:r>
      <w:r>
        <w:rPr>
          <w:rFonts w:ascii="Arial" w:cs="Arial" w:eastAsia="Arial" w:hAnsi="Arial"/>
          <w:sz w:val="21"/>
          <w:szCs w:val="21"/>
          <w:i w:val="1"/>
          <w:iCs w:val="1"/>
          <w:color w:val="auto"/>
        </w:rPr>
        <w:t>“</w:t>
      </w:r>
      <w:r>
        <w:rPr>
          <w:rFonts w:ascii="Arial" w:cs="Arial" w:eastAsia="Arial" w:hAnsi="Arial"/>
          <w:sz w:val="21"/>
          <w:szCs w:val="21"/>
          <w:i w:val="1"/>
          <w:iCs w:val="1"/>
          <w:u w:val="single" w:color="auto"/>
          <w:color w:val="auto"/>
        </w:rPr>
        <w:t>Term.</w:t>
      </w:r>
      <w:r>
        <w:rPr>
          <w:rFonts w:ascii="Arial" w:cs="Arial" w:eastAsia="Arial" w:hAnsi="Arial"/>
          <w:sz w:val="21"/>
          <w:szCs w:val="21"/>
          <w:i w:val="1"/>
          <w:iCs w:val="1"/>
          <w:color w:val="auto"/>
        </w:rPr>
        <w:t>”</w:t>
      </w:r>
      <w:r>
        <w:rPr>
          <w:rFonts w:ascii="Arial" w:cs="Arial" w:eastAsia="Arial" w:hAnsi="Arial"/>
          <w:sz w:val="21"/>
          <w:szCs w:val="21"/>
          <w:color w:val="auto"/>
        </w:rPr>
        <w:t xml:space="preserve"> This Consulting Agreement may be terminated by either party during the Term upon seven (7) days’ written notice, by mutual agreement of the parties, or shall automatically terminate upon the commencement of Consultant’s employment relationship with the Company.</w:t>
      </w:r>
    </w:p>
    <w:p>
      <w:pPr>
        <w:spacing w:after="0" w:line="172" w:lineRule="exact"/>
        <w:rPr>
          <w:rFonts w:ascii="Arial" w:cs="Arial" w:eastAsia="Arial" w:hAnsi="Arial"/>
          <w:sz w:val="21"/>
          <w:szCs w:val="21"/>
          <w:b w:val="1"/>
          <w:bCs w:val="1"/>
          <w:color w:val="010000"/>
        </w:rPr>
      </w:pPr>
    </w:p>
    <w:p>
      <w:pPr>
        <w:jc w:val="both"/>
        <w:ind w:firstLine="885"/>
        <w:spacing w:after="0" w:line="275" w:lineRule="auto"/>
        <w:tabs>
          <w:tab w:leader="none" w:pos="2336" w:val="left"/>
        </w:tabs>
        <w:numPr>
          <w:ilvl w:val="0"/>
          <w:numId w:val="6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Non-Defamation and 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In further consideration of the payments and benefits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above, Consultant agrees to refrain from making any defamatory comments to anyone (including, but not limited to, the Company’s current, past, or potential customers) concerning the Company, its employees, agents, operations, or plans. Consultant agrees that any inquiries concerning the Company shall be directed to the Company for response. Consultant further understands and agrees that an essential and material condition of this Consulting Agreement is that the existence and terms of this Consulting Agreement are to remain strictly confidential and not to be disclosed by Consultant to any person other than to his attorney, accountant, or spouse, if any, or as may be required by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asked by third parties about the capacity in which he is providing the Consulting Services, Consultant may truthfully respond that he is providing services as a consultant. In the sole discretion of the Company, the Consulting Agreement may be filed with the Securities and Exchange Commission.</w:t>
      </w:r>
    </w:p>
    <w:p>
      <w:pPr>
        <w:spacing w:after="0" w:line="150" w:lineRule="exact"/>
        <w:rPr>
          <w:rFonts w:ascii="Arial" w:cs="Arial" w:eastAsia="Arial" w:hAnsi="Arial"/>
          <w:sz w:val="19"/>
          <w:szCs w:val="19"/>
          <w:b w:val="1"/>
          <w:bCs w:val="1"/>
          <w:color w:val="010000"/>
        </w:rPr>
      </w:pPr>
    </w:p>
    <w:p>
      <w:pPr>
        <w:ind w:left="2340" w:hanging="1455"/>
        <w:spacing w:after="0"/>
        <w:tabs>
          <w:tab w:leader="none" w:pos="2340"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In the event of a conflict between these restrictive covenants and a restrictive covenant in any other agreement between the Parties, the stricter covenant(s) shall govern.</w:t>
      </w:r>
    </w:p>
    <w:p>
      <w:pPr>
        <w:spacing w:after="0" w:line="167" w:lineRule="exact"/>
        <w:rPr>
          <w:sz w:val="20"/>
          <w:szCs w:val="20"/>
          <w:color w:val="auto"/>
        </w:rPr>
      </w:pPr>
    </w:p>
    <w:p>
      <w:pPr>
        <w:jc w:val="both"/>
        <w:ind w:firstLine="885"/>
        <w:spacing w:after="0" w:line="289" w:lineRule="auto"/>
        <w:tabs>
          <w:tab w:leader="none" w:pos="2336" w:val="left"/>
        </w:tabs>
        <w:numPr>
          <w:ilvl w:val="0"/>
          <w:numId w:val="62"/>
        </w:numPr>
        <w:rPr>
          <w:rFonts w:ascii="Arial" w:cs="Arial" w:eastAsia="Arial" w:hAnsi="Arial"/>
          <w:sz w:val="19"/>
          <w:szCs w:val="19"/>
          <w:b w:val="1"/>
          <w:bCs w:val="1"/>
          <w:color w:val="010000"/>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Consultant acknowledges and agrees that the Confidential Information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defined below) of the Company and any other entity related to the Company (each, a </w:t>
      </w: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Related Entity</w:t>
      </w:r>
      <w:r>
        <w:rPr>
          <w:rFonts w:ascii="Arial" w:cs="Arial" w:eastAsia="Arial" w:hAnsi="Arial"/>
          <w:sz w:val="19"/>
          <w:szCs w:val="19"/>
          <w:i w:val="1"/>
          <w:iCs w:val="1"/>
          <w:color w:val="auto"/>
        </w:rPr>
        <w:t>”)</w:t>
      </w:r>
      <w:r>
        <w:rPr>
          <w:rFonts w:ascii="Arial" w:cs="Arial" w:eastAsia="Arial" w:hAnsi="Arial"/>
          <w:sz w:val="19"/>
          <w:szCs w:val="19"/>
          <w:color w:val="auto"/>
        </w:rPr>
        <w:t xml:space="preserve"> that he obtained during the course of his employment by the Company or in the performance of the Consulting Services under this Consulting Agreement is the property of the Company or such other Related Entity. Consultant will never, directly or indirectly,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1" w:name="page62"/>
    <w:bookmarkEnd w:id="61"/>
    <w:p>
      <w:pPr>
        <w:jc w:val="both"/>
        <w:spacing w:after="0" w:line="238" w:lineRule="auto"/>
        <w:rPr>
          <w:sz w:val="20"/>
          <w:szCs w:val="20"/>
          <w:color w:val="auto"/>
        </w:rPr>
      </w:pPr>
      <w:r>
        <w:rPr>
          <w:rFonts w:ascii="Arial" w:cs="Arial" w:eastAsia="Arial" w:hAnsi="Arial"/>
          <w:sz w:val="22"/>
          <w:szCs w:val="22"/>
          <w:color w:val="auto"/>
        </w:rPr>
        <w:t>disclose, publish, or use any Confidential Information of which Consultant has become aware, whether or not such information was developed by him, except in the proper performance of his services or duties. All duties and obligations set forth in this Consulting Agreement regarding Confidential Information shall be in addition to those which exist under the Illinois Trade Secrets Act and at common law.</w:t>
      </w:r>
    </w:p>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As used in this Consulting Agreement, </w:t>
      </w: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Confidential Information</w:t>
      </w:r>
      <w:r>
        <w:rPr>
          <w:rFonts w:ascii="Arial" w:cs="Arial" w:eastAsia="Arial" w:hAnsi="Arial"/>
          <w:sz w:val="22"/>
          <w:szCs w:val="22"/>
          <w:color w:val="auto"/>
        </w:rPr>
        <w:t xml:space="preserve"> </w:t>
      </w:r>
      <w:r>
        <w:rPr>
          <w:rFonts w:ascii="Arial" w:cs="Arial" w:eastAsia="Arial" w:hAnsi="Arial"/>
          <w:sz w:val="22"/>
          <w:szCs w:val="22"/>
          <w:i w:val="1"/>
          <w:iCs w:val="1"/>
          <w:color w:val="auto"/>
        </w:rPr>
        <w:t>“</w:t>
      </w:r>
      <w:r>
        <w:rPr>
          <w:rFonts w:ascii="Arial" w:cs="Arial" w:eastAsia="Arial" w:hAnsi="Arial"/>
          <w:sz w:val="22"/>
          <w:szCs w:val="22"/>
          <w:color w:val="auto"/>
        </w:rPr>
        <w:t xml:space="preserve"> means information that is not generally known to the public and that was or is used, developed or obtained by the Company or any other Related Entity, in connection with its businesses, including, but not limited to:</w:t>
      </w:r>
    </w:p>
    <w:p>
      <w:pPr>
        <w:spacing w:after="0" w:line="186" w:lineRule="exact"/>
        <w:rPr>
          <w:sz w:val="20"/>
          <w:szCs w:val="20"/>
          <w:color w:val="auto"/>
        </w:rPr>
      </w:pPr>
    </w:p>
    <w:p>
      <w:pPr>
        <w:ind w:left="1300" w:right="2500" w:hanging="428"/>
        <w:spacing w:after="0" w:line="239"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products or services, unannounced products or services, product or service development information (or other proprietary product or service information);</w:t>
      </w:r>
    </w:p>
    <w:p>
      <w:pPr>
        <w:ind w:left="1300" w:right="188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fees, costs, bids and pricing structures and quotations or proposals given to agents, customers, sureties, suppliers, or prospective customers, agents, sureties or suppliers, or received from any such person or entity;</w:t>
      </w:r>
    </w:p>
    <w:p>
      <w:pPr>
        <w:spacing w:after="0" w:line="2" w:lineRule="exact"/>
        <w:rPr>
          <w:rFonts w:ascii="Arial" w:cs="Arial" w:eastAsia="Arial" w:hAnsi="Arial"/>
          <w:sz w:val="22"/>
          <w:szCs w:val="22"/>
          <w:color w:val="auto"/>
        </w:rPr>
      </w:pP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accounting or financial records;</w:t>
      </w: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strategic business plans;</w:t>
      </w: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information system applications or strategies;</w:t>
      </w: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customer and vendor lists and employee lists and directories;</w:t>
      </w:r>
    </w:p>
    <w:p>
      <w:pPr>
        <w:ind w:left="1300" w:right="216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marketing plans, bidding . strategies and processes, and negotiation strategies, whether past, current, or future;</w:t>
      </w:r>
    </w:p>
    <w:p>
      <w:pPr>
        <w:spacing w:after="0" w:line="1" w:lineRule="exact"/>
        <w:rPr>
          <w:rFonts w:ascii="Arial" w:cs="Arial" w:eastAsia="Arial" w:hAnsi="Arial"/>
          <w:sz w:val="22"/>
          <w:szCs w:val="22"/>
          <w:color w:val="auto"/>
        </w:rPr>
      </w:pP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accounting and business methods;</w:t>
      </w: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legal advice and/or attorney work product;</w:t>
      </w:r>
    </w:p>
    <w:p>
      <w:pPr>
        <w:ind w:left="13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trade secrets and other proprietary information;</w:t>
      </w:r>
    </w:p>
    <w:p>
      <w:pPr>
        <w:ind w:left="1300" w:right="1800" w:hanging="428"/>
        <w:spacing w:after="0" w:line="230"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information, analysis or strategies regarding acquisitions, mergers, other business combinations, divestitures, recapitalizations, or new ventures; and</w:t>
      </w:r>
    </w:p>
    <w:p>
      <w:pPr>
        <w:spacing w:after="0" w:line="1" w:lineRule="exact"/>
        <w:rPr>
          <w:rFonts w:ascii="Arial" w:cs="Arial" w:eastAsia="Arial" w:hAnsi="Arial"/>
          <w:sz w:val="22"/>
          <w:szCs w:val="22"/>
          <w:color w:val="auto"/>
        </w:rPr>
      </w:pPr>
    </w:p>
    <w:p>
      <w:pPr>
        <w:ind w:left="1300" w:right="2280" w:hanging="428"/>
        <w:spacing w:after="0" w:line="234"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nonpublic information that was acquired by Consultant concerning the requirements and specifications of the Company’s or any other Related Entity’s agents, vendors, contractors, customers, or potential customers.</w:t>
      </w:r>
    </w:p>
    <w:p>
      <w:pPr>
        <w:spacing w:after="0" w:line="187"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color w:val="auto"/>
        </w:rPr>
        <w:t>Notwithstanding anything to the contrary, Confidential Information does not include any information that: (i) is publicly disclosed by law or pursuant to, and to the extent required by, an order of a court of competent jurisdiction or governmental agency;</w:t>
      </w:r>
    </w:p>
    <w:p>
      <w:pPr>
        <w:spacing w:after="0" w:line="2" w:lineRule="exact"/>
        <w:rPr>
          <w:sz w:val="20"/>
          <w:szCs w:val="20"/>
          <w:color w:val="auto"/>
        </w:rPr>
      </w:pPr>
    </w:p>
    <w:p>
      <w:pPr>
        <w:ind w:firstLine="8"/>
        <w:spacing w:after="0" w:line="237" w:lineRule="auto"/>
        <w:tabs>
          <w:tab w:leader="none" w:pos="319" w:val="left"/>
        </w:tabs>
        <w:numPr>
          <w:ilvl w:val="0"/>
          <w:numId w:val="64"/>
        </w:numPr>
        <w:rPr>
          <w:rFonts w:ascii="Arial" w:cs="Arial" w:eastAsia="Arial" w:hAnsi="Arial"/>
          <w:sz w:val="22"/>
          <w:szCs w:val="22"/>
          <w:color w:val="auto"/>
        </w:rPr>
      </w:pPr>
      <w:r>
        <w:rPr>
          <w:rFonts w:ascii="Arial" w:cs="Arial" w:eastAsia="Arial" w:hAnsi="Arial"/>
          <w:sz w:val="22"/>
          <w:szCs w:val="22"/>
          <w:color w:val="auto"/>
        </w:rPr>
        <w:t>becomes publicly available through no fault of Consultant; or (iii) has been published in a form generally available to the public before Consultant proposes to disclose, publish, or use such information.</w:t>
      </w:r>
    </w:p>
    <w:p>
      <w:pPr>
        <w:spacing w:after="0" w:line="178" w:lineRule="exact"/>
        <w:rPr>
          <w:rFonts w:ascii="Arial" w:cs="Arial" w:eastAsia="Arial" w:hAnsi="Arial"/>
          <w:sz w:val="22"/>
          <w:szCs w:val="22"/>
          <w:color w:val="auto"/>
        </w:rPr>
      </w:pPr>
    </w:p>
    <w:p>
      <w:pPr>
        <w:jc w:val="both"/>
        <w:ind w:firstLine="885"/>
        <w:spacing w:after="0" w:line="243" w:lineRule="auto"/>
        <w:tabs>
          <w:tab w:leader="none" w:pos="2348" w:val="left"/>
        </w:tabs>
        <w:numPr>
          <w:ilvl w:val="1"/>
          <w:numId w:val="6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Equitable Modification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any court of competent jurisdiction shall deem any provision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too restrictive, the other provisions shall stand, and the court shall modify the unduly restrictive provision to the point of greatest restriction permissible by law.</w:t>
      </w:r>
    </w:p>
    <w:p>
      <w:pPr>
        <w:spacing w:after="0" w:line="176" w:lineRule="exact"/>
        <w:rPr>
          <w:rFonts w:ascii="Arial" w:cs="Arial" w:eastAsia="Arial" w:hAnsi="Arial"/>
          <w:sz w:val="22"/>
          <w:szCs w:val="22"/>
          <w:b w:val="1"/>
          <w:bCs w:val="1"/>
          <w:color w:val="010000"/>
        </w:rPr>
      </w:pPr>
    </w:p>
    <w:p>
      <w:pPr>
        <w:ind w:firstLine="885"/>
        <w:spacing w:after="0" w:line="256" w:lineRule="auto"/>
        <w:tabs>
          <w:tab w:leader="none" w:pos="2324" w:val="left"/>
        </w:tabs>
        <w:numPr>
          <w:ilvl w:val="1"/>
          <w:numId w:val="6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acknowledges that the agreements and covenants contained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w:t>
      </w:r>
      <w:r>
        <w:rPr>
          <w:rFonts w:ascii="Arial" w:cs="Arial" w:eastAsia="Arial" w:hAnsi="Arial"/>
          <w:sz w:val="22"/>
          <w:szCs w:val="22"/>
          <w:b w:val="1"/>
          <w:bCs w:val="1"/>
          <w:color w:val="auto"/>
        </w:rPr>
        <w:t xml:space="preserve"> </w:t>
      </w:r>
      <w:r>
        <w:rPr>
          <w:rFonts w:ascii="Arial" w:cs="Arial" w:eastAsia="Arial" w:hAnsi="Arial"/>
          <w:sz w:val="22"/>
          <w:szCs w:val="22"/>
          <w:color w:val="auto"/>
        </w:rPr>
        <w:t>are</w:t>
      </w:r>
      <w:r>
        <w:rPr>
          <w:rFonts w:ascii="Arial" w:cs="Arial" w:eastAsia="Arial" w:hAnsi="Arial"/>
          <w:sz w:val="22"/>
          <w:szCs w:val="22"/>
          <w:b w:val="1"/>
          <w:bCs w:val="1"/>
          <w:color w:val="auto"/>
        </w:rPr>
        <w:t xml:space="preserve"> </w:t>
      </w:r>
      <w:r>
        <w:rPr>
          <w:rFonts w:ascii="Arial" w:cs="Arial" w:eastAsia="Arial" w:hAnsi="Arial"/>
          <w:sz w:val="22"/>
          <w:szCs w:val="22"/>
          <w:color w:val="auto"/>
        </w:rPr>
        <w:t>essential to protect the Company and its business and are a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2" w:name="page63"/>
    <w:bookmarkEnd w:id="62"/>
    <w:p>
      <w:pPr>
        <w:jc w:val="both"/>
        <w:spacing w:after="0" w:line="245" w:lineRule="auto"/>
        <w:rPr>
          <w:sz w:val="20"/>
          <w:szCs w:val="20"/>
          <w:color w:val="auto"/>
        </w:rPr>
      </w:pPr>
      <w:r>
        <w:rPr>
          <w:rFonts w:ascii="Arial" w:cs="Arial" w:eastAsia="Arial" w:hAnsi="Arial"/>
          <w:sz w:val="21"/>
          <w:szCs w:val="21"/>
          <w:color w:val="auto"/>
        </w:rPr>
        <w:t xml:space="preserve">precedent to entering into this Consulting Agreement. Should Consultant breach any covenants in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then among other remedies, the duration of the covenant shall be extended by the period of any such breach. Consultant agrees that irreparable harm would result from Consultant’s breach or threat to breach any provision of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and that monetary damages alone would not provide adequate relief to the Company for the harm incurred. Consultant agrees that in addition to money damages, the Company shall be entitled to seek and obtain temporary, preliminary, and permanent injunctive relief restraining Consultant from committing or continuing any breach without being required to post a bond. Without limiting the foregoing, upon a breach by Consultant of any provision of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any outstanding Remuneration for the Consulting Services under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cease and be forfeited, and Consultant shall immediately reimburse the Company for any Remuneration previously paid under this Consulting Agreement.</w:t>
      </w:r>
    </w:p>
    <w:p>
      <w:pPr>
        <w:spacing w:after="0" w:line="179" w:lineRule="exact"/>
        <w:rPr>
          <w:sz w:val="20"/>
          <w:szCs w:val="20"/>
          <w:color w:val="auto"/>
        </w:rPr>
      </w:pPr>
    </w:p>
    <w:p>
      <w:pPr>
        <w:jc w:val="both"/>
        <w:ind w:firstLine="885"/>
        <w:spacing w:after="0" w:line="276" w:lineRule="auto"/>
        <w:tabs>
          <w:tab w:leader="none" w:pos="2336" w:val="left"/>
        </w:tabs>
        <w:numPr>
          <w:ilvl w:val="0"/>
          <w:numId w:val="6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Representations and Warranties of Consultant</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represents and warrants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that Consultant shall comply with all applicable provisions of law and other rules and regulations of any and all governmental authorities, including those relating to licensure or certification and the regulation of the provision of Consulting Services by Consultant pursuant to this Consulting Agreement. Any and all ideas of literary, artistic, or musical materials of Consultant which Consultant may use in provision of the Consulting Services will be original and will not contravene any common law or any statutory copyright, proprietary, or other rights whatsoever. Consultant has not accepted nor agreed to accept, and will not solicit, receive, accept, or agree to accept, directly or indirectly, from any person, other than the Company, any money, service, or other valuable consideration for the inclusion of any matter as a part of any Consulting Services.</w:t>
      </w:r>
    </w:p>
    <w:p>
      <w:pPr>
        <w:spacing w:after="0" w:line="150" w:lineRule="exact"/>
        <w:rPr>
          <w:rFonts w:ascii="Arial" w:cs="Arial" w:eastAsia="Arial" w:hAnsi="Arial"/>
          <w:sz w:val="19"/>
          <w:szCs w:val="19"/>
          <w:b w:val="1"/>
          <w:bCs w:val="1"/>
          <w:color w:val="010000"/>
        </w:rPr>
      </w:pPr>
    </w:p>
    <w:p>
      <w:pPr>
        <w:jc w:val="both"/>
        <w:ind w:firstLine="885"/>
        <w:spacing w:after="0" w:line="273" w:lineRule="auto"/>
        <w:tabs>
          <w:tab w:leader="none" w:pos="2444" w:val="left"/>
        </w:tabs>
        <w:numPr>
          <w:ilvl w:val="0"/>
          <w:numId w:val="6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Ownership</w:t>
      </w:r>
      <w:r>
        <w:rPr>
          <w:rFonts w:ascii="Arial" w:cs="Arial" w:eastAsia="Arial" w:hAnsi="Arial"/>
          <w:sz w:val="19"/>
          <w:szCs w:val="19"/>
          <w:b w:val="1"/>
          <w:bCs w:val="1"/>
          <w:color w:val="auto"/>
        </w:rPr>
        <w:t xml:space="preserve">. </w:t>
      </w:r>
      <w:r>
        <w:rPr>
          <w:rFonts w:ascii="Arial" w:cs="Arial" w:eastAsia="Arial" w:hAnsi="Arial"/>
          <w:sz w:val="19"/>
          <w:szCs w:val="19"/>
          <w:color w:val="auto"/>
        </w:rPr>
        <w:t>The work product created, conceived, or developed by Consultant in connection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Consulting Services, or which derive from information or materials Consultant has received from the Company, including but not limited to any writings of Consultant (the </w:t>
      </w: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Work Product</w:t>
      </w:r>
      <w:r>
        <w:rPr>
          <w:rFonts w:ascii="Arial" w:cs="Arial" w:eastAsia="Arial" w:hAnsi="Arial"/>
          <w:sz w:val="19"/>
          <w:szCs w:val="19"/>
          <w:i w:val="1"/>
          <w:iCs w:val="1"/>
          <w:color w:val="auto"/>
        </w:rPr>
        <w:t>”)</w:t>
      </w:r>
      <w:r>
        <w:rPr>
          <w:rFonts w:ascii="Arial" w:cs="Arial" w:eastAsia="Arial" w:hAnsi="Arial"/>
          <w:sz w:val="19"/>
          <w:szCs w:val="19"/>
          <w:color w:val="auto"/>
        </w:rPr>
        <w:t xml:space="preserve"> shall be and is the exclusive property of the Company, including all copyrights and other intellectual property rights embodied therein. If any Work Product or any portion thereof, whether or not such Work Product was created at the direction of the Company, is copyrightable, it shall be deemed to be a “work made for hire,” as such term is defined in the United States Copyright Act. If, for any reason, any such copyrightable Work Product created by Consultant is excluded from the definition of a “work made for hire,” Consultant hereby assigns and conveys to the Company the entire right, title, and interest in and to such Work Product, including Work Product created in connection with Services performed for the Company prior to the date of execution of this Consulting Agreement. Consultant shall cooperate with the Company or its designees and execute documents of assignment, declarations, and other documents which may be prepared by the Company, and take such other necessary actions as reasonably directed by the Company, to effect the foregoing or to perfect or enforce any proprietary rights resulting from or related to this Consulting Agreement.</w:t>
      </w:r>
    </w:p>
    <w:p>
      <w:pPr>
        <w:spacing w:after="0" w:line="150" w:lineRule="exact"/>
        <w:rPr>
          <w:rFonts w:ascii="Arial" w:cs="Arial" w:eastAsia="Arial" w:hAnsi="Arial"/>
          <w:sz w:val="19"/>
          <w:szCs w:val="19"/>
          <w:b w:val="1"/>
          <w:bCs w:val="1"/>
          <w:color w:val="010000"/>
        </w:rPr>
      </w:pPr>
    </w:p>
    <w:p>
      <w:pPr>
        <w:jc w:val="both"/>
        <w:ind w:firstLine="885"/>
        <w:spacing w:after="0" w:line="243" w:lineRule="auto"/>
        <w:tabs>
          <w:tab w:leader="none" w:pos="2432" w:val="left"/>
        </w:tabs>
        <w:numPr>
          <w:ilvl w:val="0"/>
          <w:numId w:val="6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Claims by Consultant</w:t>
      </w:r>
      <w:r>
        <w:rPr>
          <w:rFonts w:ascii="Arial" w:cs="Arial" w:eastAsia="Arial" w:hAnsi="Arial"/>
          <w:sz w:val="22"/>
          <w:szCs w:val="22"/>
          <w:b w:val="1"/>
          <w:bCs w:val="1"/>
          <w:color w:val="auto"/>
        </w:rPr>
        <w:t xml:space="preserve">. </w:t>
      </w:r>
      <w:r>
        <w:rPr>
          <w:rFonts w:ascii="Arial" w:cs="Arial" w:eastAsia="Arial" w:hAnsi="Arial"/>
          <w:sz w:val="22"/>
          <w:szCs w:val="22"/>
          <w:color w:val="auto"/>
        </w:rPr>
        <w:t>Any claim or cause of action by Consultant against the Company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a defense to the enforcement of the covenants set forth in this Consulting Agreement and shall not be used to prohibit injunctive relief.</w:t>
      </w:r>
    </w:p>
    <w:p>
      <w:pPr>
        <w:spacing w:after="0" w:line="176" w:lineRule="exact"/>
        <w:rPr>
          <w:rFonts w:ascii="Arial" w:cs="Arial" w:eastAsia="Arial" w:hAnsi="Arial"/>
          <w:sz w:val="22"/>
          <w:szCs w:val="22"/>
          <w:b w:val="1"/>
          <w:bCs w:val="1"/>
          <w:color w:val="010000"/>
        </w:rPr>
      </w:pPr>
    </w:p>
    <w:p>
      <w:pPr>
        <w:ind w:firstLine="885"/>
        <w:spacing w:after="0" w:line="256" w:lineRule="auto"/>
        <w:tabs>
          <w:tab w:leader="none" w:pos="2444" w:val="left"/>
        </w:tabs>
        <w:numPr>
          <w:ilvl w:val="0"/>
          <w:numId w:val="6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that any provision, term, condition, paragraph, sentence, or subpart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Consulting Agreement shall for any reason be held by a court of competent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3" w:name="page64"/>
    <w:bookmarkEnd w:id="63"/>
    <w:p>
      <w:pPr>
        <w:jc w:val="both"/>
        <w:spacing w:after="0"/>
        <w:rPr>
          <w:sz w:val="20"/>
          <w:szCs w:val="20"/>
          <w:color w:val="auto"/>
        </w:rPr>
      </w:pPr>
      <w:r>
        <w:rPr>
          <w:rFonts w:ascii="Arial" w:cs="Arial" w:eastAsia="Arial" w:hAnsi="Arial"/>
          <w:sz w:val="22"/>
          <w:szCs w:val="22"/>
          <w:color w:val="auto"/>
        </w:rPr>
        <w:t>jurisdiction to be invalid, illegal, or unenforceable in any respect, such invalidity, illegality or unenforceability shall not affect any other term or condition of this Consulting Agreement, but this Consulting Agreement shall be construed in all respects as if such invalid, illegal, or unenforceable term had been omitted.</w:t>
      </w:r>
    </w:p>
    <w:p>
      <w:pPr>
        <w:spacing w:after="0" w:line="180" w:lineRule="exact"/>
        <w:rPr>
          <w:sz w:val="20"/>
          <w:szCs w:val="20"/>
          <w:color w:val="auto"/>
        </w:rPr>
      </w:pPr>
    </w:p>
    <w:p>
      <w:pPr>
        <w:jc w:val="both"/>
        <w:ind w:firstLine="885"/>
        <w:spacing w:after="0" w:line="239" w:lineRule="auto"/>
        <w:tabs>
          <w:tab w:leader="none" w:pos="2444"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Reasonable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provisions of this Consulting Agreement is intended to be in</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and not to violate public policy. Consultant acknowledges that all of the provisions contained in this Consulting Agreement, including the covenants and confidentiality provisions, are reasonable and necessary to protect the legitimate interests of the Company.</w:t>
      </w:r>
    </w:p>
    <w:p>
      <w:pPr>
        <w:spacing w:after="0" w:line="180" w:lineRule="exact"/>
        <w:rPr>
          <w:rFonts w:ascii="Arial" w:cs="Arial" w:eastAsia="Arial" w:hAnsi="Arial"/>
          <w:sz w:val="22"/>
          <w:szCs w:val="22"/>
          <w:b w:val="1"/>
          <w:bCs w:val="1"/>
          <w:color w:val="010000"/>
        </w:rPr>
      </w:pPr>
    </w:p>
    <w:p>
      <w:pPr>
        <w:jc w:val="both"/>
        <w:ind w:firstLine="885"/>
        <w:spacing w:after="0" w:line="239" w:lineRule="auto"/>
        <w:tabs>
          <w:tab w:leader="none" w:pos="2444"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Indemnification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agrees, to the fullest extent permitted by law, to indemnify and hold</w:t>
      </w:r>
      <w:r>
        <w:rPr>
          <w:rFonts w:ascii="Arial" w:cs="Arial" w:eastAsia="Arial" w:hAnsi="Arial"/>
          <w:sz w:val="22"/>
          <w:szCs w:val="22"/>
          <w:b w:val="1"/>
          <w:bCs w:val="1"/>
          <w:color w:val="auto"/>
        </w:rPr>
        <w:t xml:space="preserve"> </w:t>
      </w:r>
      <w:r>
        <w:rPr>
          <w:rFonts w:ascii="Arial" w:cs="Arial" w:eastAsia="Arial" w:hAnsi="Arial"/>
          <w:sz w:val="22"/>
          <w:szCs w:val="22"/>
          <w:color w:val="auto"/>
        </w:rPr>
        <w:t>harmless the Consultant against all damages, liabilities or costs including reasonable attorneys’ fees and defense costs, arising out of or in any way connected with this Consulting Agreement or the performance by Consultant of any Services under this Consulting Agreement.</w:t>
      </w:r>
    </w:p>
    <w:p>
      <w:pPr>
        <w:spacing w:after="0" w:line="180" w:lineRule="exact"/>
        <w:rPr>
          <w:rFonts w:ascii="Arial" w:cs="Arial" w:eastAsia="Arial" w:hAnsi="Arial"/>
          <w:sz w:val="22"/>
          <w:szCs w:val="22"/>
          <w:b w:val="1"/>
          <w:bCs w:val="1"/>
          <w:color w:val="010000"/>
        </w:rPr>
      </w:pPr>
    </w:p>
    <w:p>
      <w:pPr>
        <w:jc w:val="both"/>
        <w:ind w:firstLine="885"/>
        <w:spacing w:after="0" w:line="237" w:lineRule="auto"/>
        <w:tabs>
          <w:tab w:leader="none" w:pos="2444"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potential risks to the Consultant in rendering professional services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Consulting Agreement, the Company agrees to make no claim and hereby waives, to the fullest extent permitted by law, any claim or cause of action of any nature against the Consultant which may arise out of or in connection with this Consulting Agreement or the performance by Consultant of any Services under this Consulting Agreement except as expressly set forth in this Agreement.</w:t>
      </w:r>
    </w:p>
    <w:p>
      <w:pPr>
        <w:spacing w:after="0" w:line="182" w:lineRule="exact"/>
        <w:rPr>
          <w:rFonts w:ascii="Arial" w:cs="Arial" w:eastAsia="Arial" w:hAnsi="Arial"/>
          <w:sz w:val="22"/>
          <w:szCs w:val="22"/>
          <w:b w:val="1"/>
          <w:bCs w:val="1"/>
          <w:color w:val="010000"/>
        </w:rPr>
      </w:pPr>
    </w:p>
    <w:p>
      <w:pPr>
        <w:jc w:val="both"/>
        <w:ind w:firstLine="885"/>
        <w:spacing w:after="0" w:line="236" w:lineRule="auto"/>
        <w:tabs>
          <w:tab w:leader="none" w:pos="2444"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Voluntary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parties hereto has read this Consulting Agreement, understands it,</w:t>
      </w:r>
      <w:r>
        <w:rPr>
          <w:rFonts w:ascii="Arial" w:cs="Arial" w:eastAsia="Arial" w:hAnsi="Arial"/>
          <w:sz w:val="22"/>
          <w:szCs w:val="22"/>
          <w:b w:val="1"/>
          <w:bCs w:val="1"/>
          <w:color w:val="auto"/>
        </w:rPr>
        <w:t xml:space="preserve"> </w:t>
      </w:r>
      <w:r>
        <w:rPr>
          <w:rFonts w:ascii="Arial" w:cs="Arial" w:eastAsia="Arial" w:hAnsi="Arial"/>
          <w:sz w:val="22"/>
          <w:szCs w:val="22"/>
          <w:color w:val="auto"/>
        </w:rPr>
        <w:t>and voluntarily agrees to be bound by its terms. Consultant acknowledges that he has had adequate opportunity to consult with legal counsel before signing this Consulting Agreement. In agreeing to sign this Consulting Agreement, Consultant has not relied on any statements or explanations made by the Company, except as specifically set forth in this Consulting Agreement. Nothing in this Consulting Agreement shall supersede any provision of the Employment Agreement which was executed by Consultant on December 23, 2016.</w:t>
      </w:r>
    </w:p>
    <w:p>
      <w:pPr>
        <w:spacing w:after="0" w:line="182" w:lineRule="exact"/>
        <w:rPr>
          <w:rFonts w:ascii="Arial" w:cs="Arial" w:eastAsia="Arial" w:hAnsi="Arial"/>
          <w:sz w:val="22"/>
          <w:szCs w:val="22"/>
          <w:b w:val="1"/>
          <w:bCs w:val="1"/>
          <w:color w:val="010000"/>
        </w:rPr>
      </w:pPr>
    </w:p>
    <w:p>
      <w:pPr>
        <w:jc w:val="both"/>
        <w:ind w:firstLine="885"/>
        <w:spacing w:after="0" w:line="247" w:lineRule="auto"/>
        <w:tabs>
          <w:tab w:leader="none" w:pos="2444" w:val="left"/>
        </w:tabs>
        <w:numPr>
          <w:ilvl w:val="0"/>
          <w:numId w:val="66"/>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Consent to Jurisdiction; Waiver of Jury</w:t>
      </w:r>
      <w:r>
        <w:rPr>
          <w:rFonts w:ascii="Arial" w:cs="Arial" w:eastAsia="Arial" w:hAnsi="Arial"/>
          <w:sz w:val="21"/>
          <w:szCs w:val="21"/>
          <w:b w:val="1"/>
          <w:bCs w:val="1"/>
          <w:color w:val="auto"/>
        </w:rPr>
        <w:t xml:space="preserve">. </w:t>
      </w:r>
      <w:r>
        <w:rPr>
          <w:rFonts w:ascii="Arial" w:cs="Arial" w:eastAsia="Arial" w:hAnsi="Arial"/>
          <w:sz w:val="21"/>
          <w:szCs w:val="21"/>
          <w:color w:val="auto"/>
        </w:rPr>
        <w:t>This Consulting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governed by and construed in accordance with the internal laws of the State of Illinois, without regard to its conflict of law principles. For the purposes of any suit, action, or other proceeding arising out of this Consulting Agreement or with respect to Consultant’s services hereunder, the parties: (i) agree to submit to the exclusive jurisdiction of the federal courts located in Cook County, Illinois or state courts located in DuPage County, Illinois; (ii) waive any objection to personal jurisdiction or venue in such jurisdiction, and agree not to plead or claim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and (iii) WAIVE THEIR RESPECTIVE RIGHTS TO A JURY TRIAL OF ANY CLAIMS AND CAUSES OF ACTION, AND AGREE TO HAVE ANY MATTER HEARD AND DECIDED SOLELY BY THE FOREGOING NAMED COURT.</w:t>
      </w:r>
    </w:p>
    <w:p>
      <w:pPr>
        <w:spacing w:after="0" w:line="178" w:lineRule="exact"/>
        <w:rPr>
          <w:rFonts w:ascii="Arial" w:cs="Arial" w:eastAsia="Arial" w:hAnsi="Arial"/>
          <w:sz w:val="21"/>
          <w:szCs w:val="21"/>
          <w:b w:val="1"/>
          <w:bCs w:val="1"/>
          <w:color w:val="010000"/>
        </w:rPr>
      </w:pPr>
    </w:p>
    <w:p>
      <w:pPr>
        <w:ind w:left="5220"/>
        <w:spacing w:after="0"/>
        <w:rPr>
          <w:rFonts w:ascii="Arial" w:cs="Arial" w:eastAsia="Arial" w:hAnsi="Arial"/>
          <w:sz w:val="21"/>
          <w:szCs w:val="21"/>
          <w:b w:val="1"/>
          <w:bCs w:val="1"/>
          <w:color w:val="010000"/>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4" w:name="page65"/>
    <w:bookmarkEnd w:id="64"/>
    <w:p>
      <w:pPr>
        <w:ind w:firstLine="877"/>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to this Consulting Agreement have executed or caused to be executed this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Consulting Agreement as of the date first written above.</w:t>
      </w:r>
    </w:p>
    <w:p>
      <w:pPr>
        <w:spacing w:after="0" w:line="16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CONSULTANT</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Printed Name: Lasse J. Petterson</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Lasse J. Petterson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GREAT LAKES DREDGE &amp; DOCK CORP.</w:t>
      </w:r>
    </w:p>
    <w:p>
      <w:pPr>
        <w:spacing w:after="0" w:line="22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Printed Name: Mark W. Marinko</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Title: Interim Chief Executive Officer and Senior Vice President and</w:t>
      </w:r>
    </w:p>
    <w:p>
      <w:pPr>
        <w:spacing w:after="0" w:line="4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Mark W. Marinko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5" w:name="page66"/>
    <w:bookmarkEnd w:id="65"/>
    <w:p>
      <w:pPr>
        <w:jc w:val="center"/>
        <w:ind w:right="-359"/>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Consulting Services shall consist of and be limited to the following which the Company represents do not violate the Jones Act:</w:t>
      </w:r>
    </w:p>
    <w:p>
      <w:pPr>
        <w:spacing w:after="0" w:line="241" w:lineRule="exact"/>
        <w:rPr>
          <w:sz w:val="20"/>
          <w:szCs w:val="20"/>
          <w:color w:val="auto"/>
        </w:rPr>
      </w:pPr>
    </w:p>
    <w:p>
      <w:pPr>
        <w:ind w:left="1900" w:hanging="474"/>
        <w:spacing w:after="0"/>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Advise the Board and management on strategic planning matters</w:t>
      </w:r>
    </w:p>
    <w:p>
      <w:pPr>
        <w:spacing w:after="0" w:line="8" w:lineRule="exact"/>
        <w:rPr>
          <w:rFonts w:ascii="Arial" w:cs="Arial" w:eastAsia="Arial" w:hAnsi="Arial"/>
          <w:sz w:val="22"/>
          <w:szCs w:val="22"/>
          <w:color w:val="auto"/>
        </w:rPr>
      </w:pPr>
    </w:p>
    <w:p>
      <w:pPr>
        <w:ind w:left="1900" w:right="2180" w:hanging="474"/>
        <w:spacing w:after="0" w:line="230"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Consult with the Compensation Committee or its designee on the 2017 and 2018 compensation programs</w:t>
      </w:r>
    </w:p>
    <w:p>
      <w:pPr>
        <w:spacing w:after="0" w:line="1" w:lineRule="exact"/>
        <w:rPr>
          <w:rFonts w:ascii="Arial" w:cs="Arial" w:eastAsia="Arial" w:hAnsi="Arial"/>
          <w:sz w:val="22"/>
          <w:szCs w:val="22"/>
          <w:color w:val="auto"/>
        </w:rPr>
      </w:pPr>
    </w:p>
    <w:p>
      <w:pPr>
        <w:ind w:left="1900" w:right="3120" w:hanging="474"/>
        <w:spacing w:after="0" w:line="230"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Provide supplemental reviews of senior management to Interim CEO, Compensation Committee or its designee</w:t>
      </w:r>
    </w:p>
    <w:p>
      <w:pPr>
        <w:spacing w:after="0" w:line="1" w:lineRule="exact"/>
        <w:rPr>
          <w:rFonts w:ascii="Arial" w:cs="Arial" w:eastAsia="Arial" w:hAnsi="Arial"/>
          <w:sz w:val="22"/>
          <w:szCs w:val="22"/>
          <w:color w:val="auto"/>
        </w:rPr>
      </w:pPr>
    </w:p>
    <w:p>
      <w:pPr>
        <w:ind w:left="1900" w:right="2140" w:hanging="474"/>
        <w:spacing w:after="0" w:line="230"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Evaluate organizational design and provide insight into recommended changes to organization structure</w:t>
      </w:r>
    </w:p>
    <w:p>
      <w:pPr>
        <w:spacing w:after="0" w:line="1" w:lineRule="exact"/>
        <w:rPr>
          <w:rFonts w:ascii="Arial" w:cs="Arial" w:eastAsia="Arial" w:hAnsi="Arial"/>
          <w:sz w:val="22"/>
          <w:szCs w:val="22"/>
          <w:color w:val="auto"/>
        </w:rPr>
      </w:pPr>
    </w:p>
    <w:p>
      <w:pPr>
        <w:ind w:left="1900" w:hanging="474"/>
        <w:spacing w:after="0" w:line="230"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Review risk management of finance/banking relations and cash flow challenges</w:t>
      </w:r>
    </w:p>
    <w:p>
      <w:pPr>
        <w:ind w:left="1900" w:hanging="474"/>
        <w:spacing w:after="0" w:line="230"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Evaluate general and administrative spending of corporate entity and divisions</w:t>
      </w:r>
    </w:p>
    <w:p>
      <w:pPr>
        <w:ind w:left="1900" w:hanging="474"/>
        <w:spacing w:after="0" w:line="230"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Provide guidance and best practices consultation regarding the ATB construction process</w:t>
      </w:r>
    </w:p>
    <w:p>
      <w:pPr>
        <w:ind w:left="1900" w:hanging="474"/>
        <w:spacing w:after="0"/>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Review risk management processes of operational divisions and international projects</w:t>
      </w:r>
    </w:p>
    <w:p>
      <w:pPr>
        <w:sectPr>
          <w:pgSz w:w="11900" w:h="16838" w:orient="portrait"/>
          <w:cols w:equalWidth="0" w:num="1">
            <w:col w:w="11060"/>
          </w:cols>
          <w:pgMar w:left="240" w:top="342" w:right="5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2017,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2017,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2"/>
    </w:lvl>
  </w:abstractNum>
  <w:abstractNum w:abstractNumId="5">
    <w:nsid w:val="2463B9EA"/>
    <w:multiLevelType w:val="hybridMultilevel"/>
    <w:lvl w:ilvl="0">
      <w:lvlJc w:val="left"/>
      <w:lvlText w:val="%1."/>
      <w:numFmt w:val="decimal"/>
      <w:start w:val="4"/>
    </w:lvl>
  </w:abstractNum>
  <w:abstractNum w:abstractNumId="6">
    <w:nsid w:val="5E884ADC"/>
    <w:multiLevelType w:val="hybridMultilevel"/>
    <w:lvl w:ilvl="0">
      <w:lvlJc w:val="left"/>
      <w:lvlText w:val="%1."/>
      <w:numFmt w:val="decimal"/>
      <w:start w:val="5"/>
    </w:lvl>
  </w:abstractNum>
  <w:abstractNum w:abstractNumId="7">
    <w:nsid w:val="51EAD36B"/>
    <w:multiLevelType w:val="hybridMultilevel"/>
    <w:lvl w:ilvl="0">
      <w:lvlJc w:val="left"/>
      <w:lvlText w:val="%1."/>
      <w:numFmt w:val="decimal"/>
      <w:start w:val="6"/>
    </w:lvl>
  </w:abstractNum>
  <w:abstractNum w:abstractNumId="8">
    <w:nsid w:val="2D517796"/>
    <w:multiLevelType w:val="hybridMultilevel"/>
    <w:lvl w:ilvl="0">
      <w:lvlJc w:val="left"/>
      <w:lvlText w:val="%1."/>
      <w:numFmt w:val="decimal"/>
      <w:start w:val="7"/>
    </w:lvl>
  </w:abstractNum>
  <w:abstractNum w:abstractNumId="9">
    <w:nsid w:val="580BD78F"/>
    <w:multiLevelType w:val="hybridMultilevel"/>
    <w:lvl w:ilvl="0">
      <w:lvlJc w:val="left"/>
      <w:lvlText w:val="%1."/>
      <w:numFmt w:val="decimal"/>
      <w:start w:val="8"/>
    </w:lvl>
  </w:abstractNum>
  <w:abstractNum w:abstractNumId="10">
    <w:nsid w:val="153EA438"/>
    <w:multiLevelType w:val="hybridMultilevel"/>
    <w:lvl w:ilvl="0">
      <w:lvlJc w:val="left"/>
      <w:lvlText w:val="%1."/>
      <w:numFmt w:val="decimal"/>
      <w:start w:val="9"/>
    </w:lvl>
  </w:abstractNum>
  <w:abstractNum w:abstractNumId="11">
    <w:nsid w:val="3855585C"/>
    <w:multiLevelType w:val="hybridMultilevel"/>
    <w:lvl w:ilvl="0">
      <w:lvlJc w:val="left"/>
      <w:lvlText w:val="%1."/>
      <w:numFmt w:val="decimal"/>
      <w:start w:val="10"/>
    </w:lvl>
  </w:abstractNum>
  <w:abstractNum w:abstractNumId="12">
    <w:nsid w:val="70A64E2A"/>
    <w:multiLevelType w:val="hybridMultilevel"/>
    <w:lvl w:ilvl="0">
      <w:lvlJc w:val="left"/>
      <w:lvlText w:val="%1."/>
      <w:numFmt w:val="decimal"/>
      <w:start w:val="11"/>
    </w:lvl>
  </w:abstractNum>
  <w:abstractNum w:abstractNumId="13">
    <w:nsid w:val="6A2342EC"/>
    <w:multiLevelType w:val="hybridMultilevel"/>
    <w:lvl w:ilvl="0">
      <w:lvlJc w:val="left"/>
      <w:lvlText w:val="%1."/>
      <w:numFmt w:val="decimal"/>
      <w:start w:val="12"/>
    </w:lvl>
  </w:abstractNum>
  <w:abstractNum w:abstractNumId="14">
    <w:nsid w:val="2A487CB0"/>
    <w:multiLevelType w:val="hybridMultilevel"/>
    <w:lvl w:ilvl="0">
      <w:lvlJc w:val="left"/>
      <w:lvlText w:val="(%1)"/>
      <w:numFmt w:val="lowerRoman"/>
      <w:start w:val="1"/>
    </w:lvl>
  </w:abstractNum>
  <w:abstractNum w:abstractNumId="15">
    <w:nsid w:val="1D4ED43B"/>
    <w:multiLevelType w:val="hybridMultilevel"/>
    <w:lvl w:ilvl="0">
      <w:lvlJc w:val="left"/>
      <w:lvlText w:val="&amp;"/>
      <w:numFmt w:val="bullet"/>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lowerLetter"/>
    </w:lvl>
    <w:lvl w:ilvl="1">
      <w:lvlJc w:val="left"/>
      <w:lvlText w:val="."/>
      <w:numFmt w:val="bullet"/>
      <w:start w:val="1"/>
    </w:lvl>
  </w:abstractNum>
  <w:abstractNum w:abstractNumId="32">
    <w:nsid w:val="75C6C33A"/>
    <w:multiLevelType w:val="hybridMultilevel"/>
    <w:lvl w:ilvl="0">
      <w:lvlJc w:val="left"/>
      <w:lvlText w:val="(%1)"/>
      <w:numFmt w:val="lowerLetter"/>
      <w:start w:val="1"/>
    </w:lvl>
    <w:lvl w:ilvl="1">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lowerLetter"/>
      <w:start w:val="1"/>
    </w:lvl>
    <w:lvl w:ilvl="1">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lowerLetter"/>
      <w:start w:val="2"/>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lowerLetter"/>
      <w:start w:val="1"/>
    </w:lvl>
    <w:lvl w:ilvl="1">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4"/>
    </w:lvl>
  </w:abstractNum>
  <w:abstractNum w:abstractNumId="60">
    <w:nsid w:val="1DBABF00"/>
    <w:multiLevelType w:val="hybridMultilevel"/>
    <w:lvl w:ilvl="0">
      <w:lvlJc w:val="left"/>
      <w:lvlText w:val="%1."/>
      <w:numFmt w:val="decimal"/>
      <w:start w:val="5"/>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Roman"/>
      <w:start w:val="1"/>
    </w:lvl>
  </w:abstractNum>
  <w:abstractNum w:abstractNumId="63">
    <w:nsid w:val="1381823A"/>
    <w:multiLevelType w:val="hybridMultilevel"/>
    <w:lvl w:ilvl="0">
      <w:lvlJc w:val="left"/>
      <w:lvlText w:val="(%1)"/>
      <w:numFmt w:val="lowerRoman"/>
      <w:start w:val="2"/>
    </w:lvl>
    <w:lvl w:ilvl="1">
      <w:lvlJc w:val="left"/>
      <w:lvlText w:val="%2."/>
      <w:numFmt w:val="lowerLetter"/>
      <w:start w:val="2"/>
    </w:lvl>
  </w:abstractNum>
  <w:abstractNum w:abstractNumId="64">
    <w:nsid w:val="5DB70AE5"/>
    <w:multiLevelType w:val="hybridMultilevel"/>
    <w:lvl w:ilvl="0">
      <w:lvlJc w:val="left"/>
      <w:lvlText w:val="%1."/>
      <w:numFmt w:val="decimal"/>
      <w:start w:val="9"/>
    </w:lvl>
  </w:abstractNum>
  <w:abstractNum w:abstractNumId="65">
    <w:nsid w:val="100F8FCA"/>
    <w:multiLevelType w:val="hybridMultilevel"/>
    <w:lvl w:ilvl="0">
      <w:lvlJc w:val="left"/>
      <w:lvlText w:val="%1."/>
      <w:numFmt w:val="decimal"/>
      <w:start w:val="13"/>
    </w:lvl>
    <w:lvl w:ilvl="1">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2019-12-29T05:58:23Z</dcterms:created>
  <dcterms:modified xsi:type="dcterms:W3CDTF">2019-12-29T05:58:23Z</dcterms:modified>
</cp:coreProperties>
</file>