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4" w:lineRule="exact"/>
        <w:rPr>
          <w:sz w:val="24"/>
          <w:szCs w:val="24"/>
          <w:color w:val="auto"/>
        </w:rPr>
      </w:pPr>
    </w:p>
    <w:p>
      <w:pPr>
        <w:ind w:left="1120" w:right="580" w:hanging="896"/>
        <w:spacing w:after="0" w:line="256" w:lineRule="auto"/>
        <w:tabs>
          <w:tab w:leader="none" w:pos="11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1120" w:right="140" w:hanging="896"/>
        <w:spacing w:after="0" w:line="256" w:lineRule="auto"/>
        <w:tabs>
          <w:tab w:leader="none" w:pos="11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520" w:type="dxa"/>
            <w:vAlign w:val="bottom"/>
            <w:gridSpan w:val="3"/>
          </w:tcPr>
          <w:p>
            <w:pPr>
              <w:ind w:left="3580"/>
              <w:spacing w:after="0"/>
              <w:rPr>
                <w:sz w:val="20"/>
                <w:szCs w:val="20"/>
                <w:color w:val="auto"/>
              </w:rPr>
            </w:pPr>
            <w:r>
              <w:rPr>
                <w:rFonts w:ascii="Arial" w:cs="Arial" w:eastAsia="Arial" w:hAnsi="Arial"/>
                <w:sz w:val="18"/>
                <w:szCs w:val="18"/>
                <w:b w:val="1"/>
                <w:bCs w:val="1"/>
                <w:color w:val="auto"/>
              </w:rPr>
              <w:t>For the transition period from</w:t>
            </w:r>
          </w:p>
        </w:tc>
        <w:tc>
          <w:tcPr>
            <w:tcW w:w="2920" w:type="dxa"/>
            <w:vAlign w:val="bottom"/>
          </w:tcPr>
          <w:p>
            <w:pPr>
              <w:ind w:left="260"/>
              <w:spacing w:after="0"/>
              <w:rPr>
                <w:sz w:val="20"/>
                <w:szCs w:val="20"/>
                <w:color w:val="auto"/>
              </w:rPr>
            </w:pPr>
            <w:r>
              <w:rPr>
                <w:rFonts w:ascii="Arial" w:cs="Arial" w:eastAsia="Arial" w:hAnsi="Arial"/>
                <w:sz w:val="18"/>
                <w:szCs w:val="18"/>
                <w:b w:val="1"/>
                <w:bCs w:val="1"/>
                <w:color w:val="auto"/>
              </w:rPr>
              <w:t>to</w:t>
            </w:r>
          </w:p>
        </w:tc>
        <w:tc>
          <w:tcPr>
            <w:tcW w:w="1980" w:type="dxa"/>
            <w:vAlign w:val="bottom"/>
          </w:tcPr>
          <w:p>
            <w:pPr>
              <w:spacing w:after="0"/>
              <w:rPr>
                <w:sz w:val="18"/>
                <w:szCs w:val="18"/>
                <w:color w:val="auto"/>
              </w:rPr>
            </w:pPr>
          </w:p>
        </w:tc>
      </w:tr>
      <w:tr>
        <w:trPr>
          <w:trHeight w:val="228"/>
        </w:trPr>
        <w:tc>
          <w:tcPr>
            <w:tcW w:w="9440" w:type="dxa"/>
            <w:vAlign w:val="bottom"/>
            <w:gridSpan w:val="4"/>
          </w:tcPr>
          <w:p>
            <w:pPr>
              <w:jc w:val="center"/>
              <w:ind w:left="1889"/>
              <w:spacing w:after="0"/>
              <w:rPr>
                <w:sz w:val="20"/>
                <w:szCs w:val="20"/>
                <w:color w:val="auto"/>
              </w:rPr>
            </w:pPr>
            <w:r>
              <w:rPr>
                <w:rFonts w:ascii="Arial" w:cs="Arial" w:eastAsia="Arial" w:hAnsi="Arial"/>
                <w:sz w:val="18"/>
                <w:szCs w:val="18"/>
                <w:b w:val="1"/>
                <w:bCs w:val="1"/>
                <w:color w:val="auto"/>
                <w:w w:val="87"/>
              </w:rPr>
              <w:t>Commission file number: 001-33225</w:t>
            </w:r>
          </w:p>
        </w:tc>
        <w:tc>
          <w:tcPr>
            <w:tcW w:w="1980" w:type="dxa"/>
            <w:vAlign w:val="bottom"/>
          </w:tcPr>
          <w:p>
            <w:pPr>
              <w:spacing w:after="0"/>
              <w:rPr>
                <w:sz w:val="19"/>
                <w:szCs w:val="19"/>
                <w:color w:val="auto"/>
              </w:rPr>
            </w:pPr>
          </w:p>
        </w:tc>
      </w:tr>
      <w:tr>
        <w:trPr>
          <w:trHeight w:val="412"/>
        </w:trPr>
        <w:tc>
          <w:tcPr>
            <w:tcW w:w="9440" w:type="dxa"/>
            <w:vAlign w:val="bottom"/>
            <w:gridSpan w:val="4"/>
          </w:tcPr>
          <w:p>
            <w:pPr>
              <w:jc w:val="center"/>
              <w:ind w:left="1909"/>
              <w:spacing w:after="0"/>
              <w:rPr>
                <w:sz w:val="20"/>
                <w:szCs w:val="20"/>
                <w:color w:val="auto"/>
              </w:rPr>
            </w:pPr>
            <w:r>
              <w:rPr>
                <w:rFonts w:ascii="Arial" w:cs="Arial" w:eastAsia="Arial" w:hAnsi="Arial"/>
                <w:sz w:val="32"/>
                <w:szCs w:val="32"/>
                <w:b w:val="1"/>
                <w:bCs w:val="1"/>
                <w:color w:val="auto"/>
                <w:w w:val="93"/>
              </w:rPr>
              <w:t>Great Lakes Dredge &amp; Dock Corporation</w:t>
            </w:r>
          </w:p>
        </w:tc>
        <w:tc>
          <w:tcPr>
            <w:tcW w:w="1980" w:type="dxa"/>
            <w:vAlign w:val="bottom"/>
          </w:tcPr>
          <w:p>
            <w:pPr>
              <w:spacing w:after="0"/>
              <w:rPr>
                <w:sz w:val="24"/>
                <w:szCs w:val="24"/>
                <w:color w:val="auto"/>
              </w:rPr>
            </w:pPr>
          </w:p>
        </w:tc>
      </w:tr>
      <w:tr>
        <w:trPr>
          <w:trHeight w:val="222"/>
        </w:trPr>
        <w:tc>
          <w:tcPr>
            <w:tcW w:w="9440" w:type="dxa"/>
            <w:vAlign w:val="bottom"/>
            <w:gridSpan w:val="4"/>
          </w:tcPr>
          <w:p>
            <w:pPr>
              <w:jc w:val="center"/>
              <w:ind w:left="1889"/>
              <w:spacing w:after="0"/>
              <w:rPr>
                <w:sz w:val="20"/>
                <w:szCs w:val="20"/>
                <w:color w:val="auto"/>
              </w:rPr>
            </w:pPr>
            <w:r>
              <w:rPr>
                <w:rFonts w:ascii="Arial" w:cs="Arial" w:eastAsia="Arial" w:hAnsi="Arial"/>
                <w:sz w:val="18"/>
                <w:szCs w:val="18"/>
                <w:color w:val="auto"/>
                <w:w w:val="88"/>
              </w:rPr>
              <w:t>(Exact name of registrant as specified in its charter)</w:t>
            </w:r>
          </w:p>
        </w:tc>
        <w:tc>
          <w:tcPr>
            <w:tcW w:w="1980" w:type="dxa"/>
            <w:vAlign w:val="bottom"/>
          </w:tcPr>
          <w:p>
            <w:pPr>
              <w:spacing w:after="0"/>
              <w:rPr>
                <w:sz w:val="19"/>
                <w:szCs w:val="19"/>
                <w:color w:val="auto"/>
              </w:rPr>
            </w:pPr>
          </w:p>
        </w:tc>
      </w:tr>
      <w:tr>
        <w:trPr>
          <w:trHeight w:val="277"/>
        </w:trPr>
        <w:tc>
          <w:tcPr>
            <w:tcW w:w="652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8"/>
              </w:rPr>
              <w:t>Delaware</w:t>
            </w:r>
          </w:p>
        </w:tc>
        <w:tc>
          <w:tcPr>
            <w:tcW w:w="2920" w:type="dxa"/>
            <w:vAlign w:val="bottom"/>
          </w:tcPr>
          <w:p>
            <w:pPr>
              <w:jc w:val="right"/>
              <w:ind w:right="255"/>
              <w:spacing w:after="0"/>
              <w:rPr>
                <w:sz w:val="20"/>
                <w:szCs w:val="20"/>
                <w:color w:val="auto"/>
              </w:rPr>
            </w:pPr>
            <w:r>
              <w:rPr>
                <w:rFonts w:ascii="Arial" w:cs="Arial" w:eastAsia="Arial" w:hAnsi="Arial"/>
                <w:sz w:val="18"/>
                <w:szCs w:val="18"/>
                <w:b w:val="1"/>
                <w:bCs w:val="1"/>
                <w:color w:val="auto"/>
              </w:rPr>
              <w:t>20-5336063</w:t>
            </w:r>
          </w:p>
        </w:tc>
        <w:tc>
          <w:tcPr>
            <w:tcW w:w="1980" w:type="dxa"/>
            <w:vAlign w:val="bottom"/>
          </w:tcPr>
          <w:p>
            <w:pPr>
              <w:spacing w:after="0"/>
              <w:rPr>
                <w:sz w:val="24"/>
                <w:szCs w:val="24"/>
                <w:color w:val="auto"/>
              </w:rPr>
            </w:pPr>
          </w:p>
        </w:tc>
      </w:tr>
      <w:tr>
        <w:trPr>
          <w:trHeight w:val="216"/>
        </w:trPr>
        <w:tc>
          <w:tcPr>
            <w:tcW w:w="652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(State or other jurisdiction of incorporation</w:t>
            </w:r>
          </w:p>
        </w:tc>
        <w:tc>
          <w:tcPr>
            <w:tcW w:w="4900" w:type="dxa"/>
            <w:vAlign w:val="bottom"/>
            <w:gridSpan w:val="2"/>
          </w:tcPr>
          <w:p>
            <w:pPr>
              <w:jc w:val="center"/>
              <w:ind w:right="47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652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or organization)</w:t>
            </w:r>
          </w:p>
        </w:tc>
        <w:tc>
          <w:tcPr>
            <w:tcW w:w="29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91"/>
        </w:trPr>
        <w:tc>
          <w:tcPr>
            <w:tcW w:w="65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2122 York Road, Oak Brook, IL</w:t>
            </w:r>
          </w:p>
        </w:tc>
        <w:tc>
          <w:tcPr>
            <w:tcW w:w="2920" w:type="dxa"/>
            <w:vAlign w:val="bottom"/>
          </w:tcPr>
          <w:p>
            <w:pPr>
              <w:jc w:val="right"/>
              <w:ind w:right="455"/>
              <w:spacing w:after="0"/>
              <w:rPr>
                <w:sz w:val="20"/>
                <w:szCs w:val="20"/>
                <w:color w:val="auto"/>
              </w:rPr>
            </w:pPr>
            <w:r>
              <w:rPr>
                <w:rFonts w:ascii="Arial" w:cs="Arial" w:eastAsia="Arial" w:hAnsi="Arial"/>
                <w:sz w:val="18"/>
                <w:szCs w:val="18"/>
                <w:b w:val="1"/>
                <w:bCs w:val="1"/>
                <w:color w:val="auto"/>
              </w:rPr>
              <w:t>60523</w:t>
            </w:r>
          </w:p>
        </w:tc>
        <w:tc>
          <w:tcPr>
            <w:tcW w:w="1980" w:type="dxa"/>
            <w:vAlign w:val="bottom"/>
          </w:tcPr>
          <w:p>
            <w:pPr>
              <w:spacing w:after="0"/>
              <w:rPr>
                <w:sz w:val="24"/>
                <w:szCs w:val="24"/>
                <w:color w:val="auto"/>
              </w:rPr>
            </w:pPr>
          </w:p>
        </w:tc>
      </w:tr>
      <w:tr>
        <w:trPr>
          <w:trHeight w:val="222"/>
        </w:trPr>
        <w:tc>
          <w:tcPr>
            <w:tcW w:w="652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(Address of principal executive offices)</w:t>
            </w:r>
          </w:p>
        </w:tc>
        <w:tc>
          <w:tcPr>
            <w:tcW w:w="2920" w:type="dxa"/>
            <w:vAlign w:val="bottom"/>
          </w:tcPr>
          <w:p>
            <w:pPr>
              <w:jc w:val="center"/>
              <w:ind w:left="1335"/>
              <w:spacing w:after="0"/>
              <w:rPr>
                <w:sz w:val="20"/>
                <w:szCs w:val="20"/>
                <w:color w:val="auto"/>
              </w:rPr>
            </w:pPr>
            <w:r>
              <w:rPr>
                <w:rFonts w:ascii="Arial" w:cs="Arial" w:eastAsia="Arial" w:hAnsi="Arial"/>
                <w:sz w:val="18"/>
                <w:szCs w:val="18"/>
                <w:color w:val="auto"/>
                <w:w w:val="91"/>
              </w:rPr>
              <w:t>(Zip Code)</w:t>
            </w:r>
          </w:p>
        </w:tc>
        <w:tc>
          <w:tcPr>
            <w:tcW w:w="1980" w:type="dxa"/>
            <w:vAlign w:val="bottom"/>
          </w:tcPr>
          <w:p>
            <w:pPr>
              <w:spacing w:after="0"/>
              <w:rPr>
                <w:sz w:val="19"/>
                <w:szCs w:val="19"/>
                <w:color w:val="auto"/>
              </w:rPr>
            </w:pPr>
          </w:p>
        </w:tc>
      </w:tr>
      <w:tr>
        <w:trPr>
          <w:trHeight w:val="264"/>
        </w:trPr>
        <w:tc>
          <w:tcPr>
            <w:tcW w:w="6520" w:type="dxa"/>
            <w:vAlign w:val="bottom"/>
            <w:gridSpan w:val="3"/>
          </w:tcPr>
          <w:p>
            <w:pPr>
              <w:jc w:val="center"/>
              <w:ind w:left="4809"/>
              <w:spacing w:after="0"/>
              <w:rPr>
                <w:sz w:val="20"/>
                <w:szCs w:val="20"/>
                <w:color w:val="auto"/>
              </w:rPr>
            </w:pPr>
            <w:r>
              <w:rPr>
                <w:rFonts w:ascii="Arial" w:cs="Arial" w:eastAsia="Arial" w:hAnsi="Arial"/>
                <w:sz w:val="18"/>
                <w:szCs w:val="18"/>
                <w:b w:val="1"/>
                <w:bCs w:val="1"/>
                <w:color w:val="auto"/>
                <w:w w:val="89"/>
              </w:rPr>
              <w:t>(630) 574-3000</w:t>
            </w:r>
          </w:p>
        </w:tc>
        <w:tc>
          <w:tcPr>
            <w:tcW w:w="29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16"/>
        </w:trPr>
        <w:tc>
          <w:tcPr>
            <w:tcW w:w="9440" w:type="dxa"/>
            <w:vAlign w:val="bottom"/>
            <w:gridSpan w:val="4"/>
          </w:tcPr>
          <w:p>
            <w:pPr>
              <w:jc w:val="center"/>
              <w:ind w:left="1909"/>
              <w:spacing w:after="0"/>
              <w:rPr>
                <w:sz w:val="20"/>
                <w:szCs w:val="20"/>
                <w:color w:val="auto"/>
              </w:rPr>
            </w:pPr>
            <w:r>
              <w:rPr>
                <w:rFonts w:ascii="Arial" w:cs="Arial" w:eastAsia="Arial" w:hAnsi="Arial"/>
                <w:sz w:val="18"/>
                <w:szCs w:val="18"/>
                <w:color w:val="auto"/>
                <w:w w:val="87"/>
              </w:rPr>
              <w:t>(Registrant’s telephone number, including area code)</w:t>
            </w:r>
          </w:p>
        </w:tc>
        <w:tc>
          <w:tcPr>
            <w:tcW w:w="1980" w:type="dxa"/>
            <w:vAlign w:val="bottom"/>
          </w:tcPr>
          <w:p>
            <w:pPr>
              <w:spacing w:after="0"/>
              <w:rPr>
                <w:sz w:val="18"/>
                <w:szCs w:val="18"/>
                <w:color w:val="auto"/>
              </w:rPr>
            </w:pPr>
          </w:p>
        </w:tc>
      </w:tr>
      <w:tr>
        <w:trPr>
          <w:trHeight w:val="222"/>
        </w:trPr>
        <w:tc>
          <w:tcPr>
            <w:tcW w:w="9440" w:type="dxa"/>
            <w:vAlign w:val="bottom"/>
            <w:gridSpan w:val="4"/>
          </w:tcPr>
          <w:p>
            <w:pPr>
              <w:jc w:val="center"/>
              <w:ind w:left="1909"/>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1980" w:type="dxa"/>
            <w:vAlign w:val="bottom"/>
          </w:tcPr>
          <w:p>
            <w:pPr>
              <w:spacing w:after="0"/>
              <w:rPr>
                <w:sz w:val="19"/>
                <w:szCs w:val="19"/>
                <w:color w:val="auto"/>
              </w:rPr>
            </w:pPr>
          </w:p>
        </w:tc>
      </w:tr>
      <w:tr>
        <w:trPr>
          <w:trHeight w:val="366"/>
        </w:trPr>
        <w:tc>
          <w:tcPr>
            <w:tcW w:w="652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7"/>
              </w:rPr>
              <w:t>Title of Class</w:t>
            </w:r>
          </w:p>
        </w:tc>
        <w:tc>
          <w:tcPr>
            <w:tcW w:w="4900" w:type="dxa"/>
            <w:vAlign w:val="bottom"/>
            <w:gridSpan w:val="2"/>
          </w:tcPr>
          <w:p>
            <w:pPr>
              <w:jc w:val="center"/>
              <w:ind w:right="472"/>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16"/>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Stock, (Par Value $0.0001)</w:t>
            </w:r>
          </w:p>
        </w:tc>
        <w:tc>
          <w:tcPr>
            <w:tcW w:w="2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900" w:type="dxa"/>
            <w:vAlign w:val="bottom"/>
            <w:tcBorders>
              <w:top w:val="single" w:sz="8" w:color="auto"/>
            </w:tcBorders>
            <w:gridSpan w:val="2"/>
          </w:tcPr>
          <w:p>
            <w:pPr>
              <w:jc w:val="center"/>
              <w:ind w:right="472"/>
              <w:spacing w:after="0"/>
              <w:rPr>
                <w:sz w:val="20"/>
                <w:szCs w:val="20"/>
                <w:color w:val="auto"/>
              </w:rPr>
            </w:pPr>
            <w:r>
              <w:rPr>
                <w:rFonts w:ascii="Arial" w:cs="Arial" w:eastAsia="Arial" w:hAnsi="Arial"/>
                <w:sz w:val="18"/>
                <w:szCs w:val="18"/>
                <w:color w:val="auto"/>
                <w:w w:val="90"/>
              </w:rPr>
              <w:t>Nasdaq Stock Market, LLC</w:t>
            </w:r>
          </w:p>
        </w:tc>
      </w:tr>
      <w:tr>
        <w:trPr>
          <w:trHeight w:val="262"/>
        </w:trPr>
        <w:tc>
          <w:tcPr>
            <w:tcW w:w="6520" w:type="dxa"/>
            <w:vAlign w:val="bottom"/>
            <w:gridSpan w:val="3"/>
          </w:tcPr>
          <w:p>
            <w:pPr>
              <w:ind w:left="460"/>
              <w:spacing w:after="0"/>
              <w:rPr>
                <w:sz w:val="20"/>
                <w:szCs w:val="20"/>
                <w:color w:val="auto"/>
              </w:rPr>
            </w:pPr>
            <w:r>
              <w:rPr>
                <w:rFonts w:ascii="Arial" w:cs="Arial" w:eastAsia="Arial" w:hAnsi="Arial"/>
                <w:sz w:val="18"/>
                <w:szCs w:val="18"/>
                <w:color w:val="auto"/>
              </w:rPr>
              <w:t>Securities registered pursuant to section 12(g) of the Act: None</w:t>
            </w:r>
          </w:p>
        </w:tc>
        <w:tc>
          <w:tcPr>
            <w:tcW w:w="29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85"/>
        </w:trPr>
        <w:tc>
          <w:tcPr>
            <w:tcW w:w="9440" w:type="dxa"/>
            <w:vAlign w:val="bottom"/>
            <w:gridSpan w:val="4"/>
          </w:tcPr>
          <w:p>
            <w:pPr>
              <w:ind w:left="460"/>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p>
        </w:tc>
        <w:tc>
          <w:tcPr>
            <w:tcW w:w="19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75"/>
        </w:trPr>
        <w:tc>
          <w:tcPr>
            <w:tcW w:w="9440" w:type="dxa"/>
            <w:vAlign w:val="bottom"/>
            <w:gridSpan w:val="4"/>
          </w:tcPr>
          <w:p>
            <w:pPr>
              <w:ind w:left="460"/>
              <w:spacing w:after="0" w:line="207" w:lineRule="exact"/>
              <w:rPr>
                <w:sz w:val="20"/>
                <w:szCs w:val="20"/>
                <w:color w:val="auto"/>
              </w:rPr>
            </w:pPr>
            <w:r>
              <w:rPr>
                <w:rFonts w:ascii="Arial" w:cs="Arial" w:eastAsia="Arial" w:hAnsi="Arial"/>
                <w:sz w:val="18"/>
                <w:szCs w:val="18"/>
                <w:color w:val="auto"/>
                <w:w w:val="8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89"/>
              </w:rPr>
              <w:t>☐</w:t>
            </w:r>
          </w:p>
        </w:tc>
        <w:tc>
          <w:tcPr>
            <w:tcW w:w="1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22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24" w:lineRule="exact"/>
        <w:rPr>
          <w:sz w:val="24"/>
          <w:szCs w:val="24"/>
          <w:color w:val="auto"/>
        </w:rPr>
      </w:pPr>
    </w:p>
    <w:p>
      <w:pPr>
        <w:ind w:left="22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555" w:lineRule="exact"/>
        <w:rPr>
          <w:sz w:val="24"/>
          <w:szCs w:val="24"/>
          <w:color w:val="auto"/>
        </w:rPr>
      </w:pPr>
    </w:p>
    <w:p>
      <w:pPr>
        <w:sectPr>
          <w:pgSz w:w="11900" w:h="16838" w:orient="portrait"/>
          <w:cols w:equalWidth="0" w:num="7">
            <w:col w:w="1580" w:space="100"/>
            <w:col w:w="820" w:space="720"/>
            <w:col w:w="1180" w:space="80"/>
            <w:col w:w="880" w:space="720"/>
            <w:col w:w="2440" w:space="720"/>
            <w:col w:w="1940" w:space="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4">
            <w:col w:w="8760" w:space="100"/>
            <w:col w:w="160" w:space="180"/>
            <w:col w:w="200" w:space="100"/>
            <w:col w:w="1920"/>
          </w:cols>
          <w:pgMar w:left="240" w:top="230" w:right="239" w:bottom="1440" w:gutter="0" w:footer="0" w:header="0"/>
          <w:type w:val="continuous"/>
        </w:sectPr>
      </w:pPr>
    </w:p>
    <w:p>
      <w:pPr>
        <w:jc w:val="both"/>
        <w:ind w:right="180" w:firstLine="456"/>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was $337,047,496 at June 30, 2010. The aggregate market value was computed using the closing price of the common stock as of that date on the Nasdaq Stock Market. (For purposes of a calculating this amount only, all directors and executive officers of the registrant have been treated as affiliates.)</w:t>
      </w:r>
    </w:p>
    <w:p>
      <w:pPr>
        <w:spacing w:after="0" w:line="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4, 2011, 58,542,038 shares of Registrant’s Common Stock, par value $.0001 per share, were outstanding.</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7940" w:type="dxa"/>
            <w:vAlign w:val="bottom"/>
            <w:gridSpan w:val="3"/>
          </w:tcPr>
          <w:p>
            <w:pPr>
              <w:ind w:left="220"/>
              <w:spacing w:after="0"/>
              <w:rPr>
                <w:sz w:val="20"/>
                <w:szCs w:val="20"/>
                <w:color w:val="auto"/>
              </w:rPr>
            </w:pPr>
            <w:r>
              <w:rPr>
                <w:rFonts w:ascii="Arial" w:cs="Arial" w:eastAsia="Arial" w:hAnsi="Arial"/>
                <w:sz w:val="18"/>
                <w:szCs w:val="18"/>
                <w:b w:val="1"/>
                <w:bCs w:val="1"/>
                <w:color w:val="auto"/>
              </w:rPr>
              <w:t>DOCUMENTS INCORPORATED BY REFERENCE</w:t>
            </w:r>
          </w:p>
        </w:tc>
      </w:tr>
      <w:tr>
        <w:trPr>
          <w:trHeight w:val="231"/>
        </w:trPr>
        <w:tc>
          <w:tcPr>
            <w:tcW w:w="3480" w:type="dxa"/>
            <w:vAlign w:val="bottom"/>
            <w:tcBorders>
              <w:bottom w:val="single" w:sz="8" w:color="auto"/>
            </w:tcBorders>
          </w:tcPr>
          <w:p>
            <w:pPr>
              <w:jc w:val="center"/>
              <w:ind w:left="2282"/>
              <w:spacing w:after="0"/>
              <w:rPr>
                <w:sz w:val="20"/>
                <w:szCs w:val="20"/>
                <w:color w:val="auto"/>
              </w:rPr>
            </w:pPr>
            <w:r>
              <w:rPr>
                <w:rFonts w:ascii="Arial" w:cs="Arial" w:eastAsia="Arial" w:hAnsi="Arial"/>
                <w:sz w:val="14"/>
                <w:szCs w:val="14"/>
                <w:b w:val="1"/>
                <w:bCs w:val="1"/>
                <w:color w:val="auto"/>
                <w:w w:val="91"/>
              </w:rPr>
              <w:t>Part of 10-K</w:t>
            </w:r>
          </w:p>
        </w:tc>
        <w:tc>
          <w:tcPr>
            <w:tcW w:w="2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Documents Incorporated by Reference</w:t>
            </w:r>
          </w:p>
        </w:tc>
      </w:tr>
      <w:tr>
        <w:trPr>
          <w:trHeight w:val="201"/>
        </w:trPr>
        <w:tc>
          <w:tcPr>
            <w:tcW w:w="3480" w:type="dxa"/>
            <w:vAlign w:val="bottom"/>
          </w:tcPr>
          <w:p>
            <w:pPr>
              <w:jc w:val="center"/>
              <w:ind w:left="2262"/>
              <w:spacing w:after="0" w:line="201" w:lineRule="exact"/>
              <w:rPr>
                <w:sz w:val="20"/>
                <w:szCs w:val="20"/>
                <w:color w:val="auto"/>
              </w:rPr>
            </w:pPr>
            <w:r>
              <w:rPr>
                <w:rFonts w:ascii="Arial" w:cs="Arial" w:eastAsia="Arial" w:hAnsi="Arial"/>
                <w:sz w:val="18"/>
                <w:szCs w:val="18"/>
                <w:color w:val="auto"/>
                <w:w w:val="94"/>
              </w:rPr>
              <w:t>Part III</w:t>
            </w:r>
          </w:p>
        </w:tc>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jc w:val="center"/>
              <w:spacing w:after="0" w:line="201" w:lineRule="exact"/>
              <w:rPr>
                <w:sz w:val="20"/>
                <w:szCs w:val="20"/>
                <w:color w:val="auto"/>
              </w:rPr>
            </w:pPr>
            <w:r>
              <w:rPr>
                <w:rFonts w:ascii="Arial" w:cs="Arial" w:eastAsia="Arial" w:hAnsi="Arial"/>
                <w:sz w:val="18"/>
                <w:szCs w:val="18"/>
                <w:color w:val="auto"/>
                <w:w w:val="89"/>
              </w:rPr>
              <w:t>Portions of the Proxy Statement to be filed with</w:t>
            </w:r>
          </w:p>
        </w:tc>
      </w:tr>
      <w:tr>
        <w:trPr>
          <w:trHeight w:val="216"/>
        </w:trPr>
        <w:tc>
          <w:tcPr>
            <w:tcW w:w="3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the Securities and Exchange Commission in connection</w:t>
            </w:r>
          </w:p>
        </w:tc>
      </w:tr>
      <w:tr>
        <w:trPr>
          <w:trHeight w:val="222"/>
        </w:trPr>
        <w:tc>
          <w:tcPr>
            <w:tcW w:w="34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with the 2011 Annual Meeting of Stockholders.</w:t>
            </w:r>
          </w:p>
        </w:tc>
      </w:tr>
      <w:tr>
        <w:trPr>
          <w:trHeight w:val="83"/>
        </w:trPr>
        <w:tc>
          <w:tcPr>
            <w:tcW w:w="348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60" w:type="dxa"/>
            <w:vAlign w:val="bottom"/>
            <w:tcBorders>
              <w:bottom w:val="single" w:sz="8" w:color="auto"/>
            </w:tcBorders>
          </w:tcPr>
          <w:p>
            <w:pPr>
              <w:spacing w:after="0"/>
              <w:rPr>
                <w:sz w:val="7"/>
                <w:szCs w:val="7"/>
                <w:color w:val="auto"/>
              </w:rPr>
            </w:pPr>
          </w:p>
        </w:tc>
      </w:tr>
      <w:tr>
        <w:trPr>
          <w:trHeight w:val="68"/>
        </w:trPr>
        <w:tc>
          <w:tcPr>
            <w:tcW w:w="348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46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60" w:type="dxa"/>
            <w:vAlign w:val="bottom"/>
            <w:gridSpan w:val="14"/>
          </w:tcPr>
          <w:p>
            <w:pPr>
              <w:ind w:left="64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19"/>
                <w:szCs w:val="19"/>
                <w:color w:val="auto"/>
              </w:rPr>
            </w:pPr>
          </w:p>
        </w:tc>
      </w:tr>
      <w:tr>
        <w:trPr>
          <w:trHeight w:val="380"/>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gridSpan w:val="10"/>
          </w:tcPr>
          <w:p>
            <w:pPr>
              <w:jc w:val="center"/>
              <w:ind w:right="384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122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47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gridSpan w:val="2"/>
          </w:tcPr>
          <w:p>
            <w:pPr>
              <w:spacing w:after="0"/>
              <w:rPr>
                <w:sz w:val="24"/>
                <w:szCs w:val="24"/>
                <w:color w:val="auto"/>
              </w:rPr>
            </w:pPr>
          </w:p>
        </w:tc>
        <w:tc>
          <w:tcPr>
            <w:tcW w:w="3880" w:type="dxa"/>
            <w:vAlign w:val="bottom"/>
            <w:gridSpan w:val="7"/>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2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Unresolved Staff Comments</w:t>
              </w:r>
            </w:hyperlink>
          </w:p>
        </w:tc>
        <w:tc>
          <w:tcPr>
            <w:tcW w:w="7200" w:type="dxa"/>
            <w:vAlign w:val="bottom"/>
            <w:gridSpan w:val="17"/>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Properties</w:t>
              </w:r>
            </w:hyperlink>
          </w:p>
        </w:tc>
        <w:tc>
          <w:tcPr>
            <w:tcW w:w="8480" w:type="dxa"/>
            <w:vAlign w:val="bottom"/>
            <w:gridSpan w:val="2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2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1300" w:type="dxa"/>
            <w:vAlign w:val="bottom"/>
            <w:tcBorders>
              <w:top w:val="single" w:sz="8" w:color="0000EE"/>
            </w:tcBorders>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Reserved</w:t>
              </w:r>
            </w:hyperlink>
          </w:p>
        </w:tc>
        <w:tc>
          <w:tcPr>
            <w:tcW w:w="7900" w:type="dxa"/>
            <w:vAlign w:val="bottom"/>
            <w:gridSpan w:val="21"/>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9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gridSpan w:val="10"/>
          </w:tcPr>
          <w:p>
            <w:pPr>
              <w:jc w:val="center"/>
              <w:ind w:right="3840"/>
              <w:spacing w:after="0"/>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PART II</w:t>
              </w:r>
            </w:hyperlink>
          </w:p>
        </w:tc>
        <w:tc>
          <w:tcPr>
            <w:tcW w:w="122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814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Market for the Registrant’s Common Equity, Related Stockholder Matters and Issuer Purchases of Equity Securities</w:t>
              </w:r>
            </w:hyperlink>
          </w:p>
        </w:tc>
        <w:tc>
          <w:tcPr>
            <w:tcW w:w="10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2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Management’s Discussion and Analysis of Financial Condition and Results of Operations</w:t>
              </w:r>
            </w:hyperlink>
          </w:p>
        </w:tc>
        <w:tc>
          <w:tcPr>
            <w:tcW w:w="290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7A.</w:t>
            </w:r>
          </w:p>
        </w:tc>
        <w:tc>
          <w:tcPr>
            <w:tcW w:w="9200" w:type="dxa"/>
            <w:vAlign w:val="bottom"/>
            <w:gridSpan w:val="2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4200" w:type="dxa"/>
            <w:vAlign w:val="bottom"/>
            <w:tcBorders>
              <w:top w:val="single" w:sz="8" w:color="0000EE"/>
            </w:tcBorders>
            <w:gridSpan w:val="1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5000" w:type="dxa"/>
            <w:vAlign w:val="bottom"/>
            <w:gridSpan w:val="1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w:t>
            </w:r>
          </w:p>
        </w:tc>
        <w:tc>
          <w:tcPr>
            <w:tcW w:w="9200" w:type="dxa"/>
            <w:vAlign w:val="bottom"/>
            <w:gridSpan w:val="2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Change in and Disagreements with Accountants on Accounting and Financial Disclosure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9A.</w:t>
            </w:r>
          </w:p>
        </w:tc>
        <w:tc>
          <w:tcPr>
            <w:tcW w:w="6240" w:type="dxa"/>
            <w:vAlign w:val="bottom"/>
            <w:tcBorders>
              <w:top w:val="single" w:sz="8" w:color="0000EE"/>
            </w:tcBorders>
            <w:gridSpan w:val="2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296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7480" w:type="dxa"/>
            <w:vAlign w:val="bottom"/>
            <w:gridSpan w:val="19"/>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04"/>
        </w:trPr>
        <w:tc>
          <w:tcPr>
            <w:tcW w:w="9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3800" w:type="dxa"/>
            <w:vAlign w:val="bottom"/>
            <w:gridSpan w:val="5"/>
          </w:tcPr>
          <w:p>
            <w:pPr>
              <w:spacing w:after="0"/>
              <w:rPr>
                <w:sz w:val="24"/>
                <w:szCs w:val="24"/>
                <w:color w:val="auto"/>
              </w:rPr>
            </w:pPr>
          </w:p>
        </w:tc>
        <w:tc>
          <w:tcPr>
            <w:tcW w:w="122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9200" w:type="dxa"/>
            <w:vAlign w:val="bottom"/>
            <w:gridSpan w:val="2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Directors and Executive Officers and Corporate Governance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Executive Compensation</w:t>
              </w:r>
            </w:hyperlink>
          </w:p>
        </w:tc>
        <w:tc>
          <w:tcPr>
            <w:tcW w:w="2480" w:type="dxa"/>
            <w:vAlign w:val="bottom"/>
            <w:tcBorders>
              <w:top w:val="single" w:sz="8" w:color="0000EE"/>
            </w:tcBorders>
            <w:gridSpan w:val="6"/>
          </w:tcPr>
          <w:p>
            <w:pPr>
              <w:spacing w:after="0"/>
              <w:rPr>
                <w:sz w:val="24"/>
                <w:szCs w:val="24"/>
                <w:color w:val="auto"/>
              </w:rPr>
            </w:pPr>
          </w:p>
        </w:tc>
        <w:tc>
          <w:tcPr>
            <w:tcW w:w="4960" w:type="dxa"/>
            <w:vAlign w:val="bottom"/>
            <w:gridSpan w:val="1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Security Ownership of Certain Beneficial Owners and Management and Related Stockholder Matters</w:t>
              </w:r>
            </w:hyperlink>
          </w:p>
        </w:tc>
        <w:tc>
          <w:tcPr>
            <w:tcW w:w="208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13.</w:t>
            </w:r>
          </w:p>
        </w:tc>
        <w:tc>
          <w:tcPr>
            <w:tcW w:w="5280" w:type="dxa"/>
            <w:vAlign w:val="bottom"/>
            <w:tcBorders>
              <w:bottom w:val="single" w:sz="8" w:color="0000EE"/>
            </w:tcBorders>
            <w:gridSpan w:val="20"/>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Certain Relationships and Related Transactions and Director Independence</w:t>
              </w:r>
            </w:hyperlink>
          </w:p>
        </w:tc>
        <w:tc>
          <w:tcPr>
            <w:tcW w:w="3920" w:type="dxa"/>
            <w:vAlign w:val="bottom"/>
            <w:gridSpan w:val="8"/>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9200" w:type="dxa"/>
            <w:vAlign w:val="bottom"/>
            <w:gridSpan w:val="2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Principal Accountant Fees and Services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43"/>
        </w:trPr>
        <w:tc>
          <w:tcPr>
            <w:tcW w:w="9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20" w:type="dxa"/>
            <w:vAlign w:val="bottom"/>
            <w:gridSpan w:val="11"/>
          </w:tcPr>
          <w:p>
            <w:pPr>
              <w:jc w:val="center"/>
              <w:ind w:right="3780"/>
              <w:spacing w:after="0"/>
              <w:rPr>
                <w:sz w:val="20"/>
                <w:szCs w:val="20"/>
                <w:color w:val="auto"/>
              </w:rPr>
            </w:pPr>
            <w:r>
              <w:rPr>
                <w:rFonts w:ascii="Arial" w:cs="Arial" w:eastAsia="Arial" w:hAnsi="Arial"/>
                <w:sz w:val="18"/>
                <w:szCs w:val="18"/>
                <w:b w:val="1"/>
                <w:bCs w:val="1"/>
                <w:color w:val="auto"/>
                <w:w w:val="98"/>
              </w:rPr>
              <w:t>PART IV</w:t>
            </w:r>
          </w:p>
        </w:tc>
        <w:tc>
          <w:tcPr>
            <w:tcW w:w="1220" w:type="dxa"/>
            <w:vAlign w:val="bottom"/>
          </w:tcPr>
          <w:p>
            <w:pPr>
              <w:spacing w:after="0"/>
              <w:rPr>
                <w:sz w:val="24"/>
                <w:szCs w:val="24"/>
                <w:color w:val="auto"/>
              </w:rPr>
            </w:pPr>
          </w:p>
        </w:tc>
      </w:tr>
      <w:tr>
        <w:trPr>
          <w:trHeight w:val="286"/>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9200" w:type="dxa"/>
            <w:vAlign w:val="bottom"/>
            <w:gridSpan w:val="2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 and Financial Statement Schedules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40" w:type="dxa"/>
            <w:vAlign w:val="bottom"/>
            <w:gridSpan w:val="12"/>
            <w:shd w:val="clear" w:color="auto" w:fill="0000EE"/>
          </w:tcPr>
          <w:p>
            <w:pPr>
              <w:spacing w:after="0" w:line="20" w:lineRule="exact"/>
              <w:rPr>
                <w:sz w:val="1"/>
                <w:szCs w:val="1"/>
                <w:color w:val="auto"/>
              </w:rPr>
            </w:pPr>
          </w:p>
        </w:tc>
        <w:tc>
          <w:tcPr>
            <w:tcW w:w="6120" w:type="dxa"/>
            <w:vAlign w:val="bottom"/>
            <w:gridSpan w:val="1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72">
              <w:r>
                <w:rPr>
                  <w:rFonts w:ascii="Arial" w:cs="Arial" w:eastAsia="Arial" w:hAnsi="Arial"/>
                  <w:sz w:val="18"/>
                  <w:szCs w:val="18"/>
                  <w:b w:val="1"/>
                  <w:bCs w:val="1"/>
                  <w:color w:val="0000EE"/>
                  <w:w w:val="94"/>
                </w:rPr>
                <w:t>SIGNATURES</w:t>
              </w:r>
            </w:hyperlink>
          </w:p>
        </w:tc>
        <w:tc>
          <w:tcPr>
            <w:tcW w:w="8960" w:type="dxa"/>
            <w:vAlign w:val="bottom"/>
            <w:gridSpan w:val="27"/>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43"/>
        </w:trPr>
        <w:tc>
          <w:tcPr>
            <w:tcW w:w="10100" w:type="dxa"/>
            <w:vAlign w:val="bottom"/>
            <w:gridSpan w:val="29"/>
          </w:tcPr>
          <w:p>
            <w:pPr>
              <w:spacing w:after="0"/>
              <w:rPr>
                <w:sz w:val="20"/>
                <w:szCs w:val="20"/>
                <w:color w:val="auto"/>
              </w:rPr>
            </w:pPr>
            <w:r>
              <w:rPr>
                <w:rFonts w:ascii="Arial" w:cs="Arial" w:eastAsia="Arial" w:hAnsi="Arial"/>
                <w:sz w:val="18"/>
                <w:szCs w:val="18"/>
                <w:color w:val="auto"/>
              </w:rPr>
              <w:t>Non 100%-Owned Guarantor Subsidiary Financial Statements</w:t>
            </w:r>
          </w:p>
        </w:tc>
        <w:tc>
          <w:tcPr>
            <w:tcW w:w="1220" w:type="dxa"/>
            <w:vAlign w:val="bottom"/>
          </w:tcPr>
          <w:p>
            <w:pPr>
              <w:spacing w:after="0"/>
              <w:rPr>
                <w:sz w:val="24"/>
                <w:szCs w:val="24"/>
                <w:color w:val="auto"/>
              </w:rPr>
            </w:pPr>
          </w:p>
        </w:tc>
      </w:tr>
    </w:tbl>
    <w:p>
      <w:pPr>
        <w:spacing w:after="0" w:line="10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NASDI, LLC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Yankee Environmental Services, LLC</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and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of this Annual Report on Form 10-K for the year ended December 31, 2010, and in other securities filings by Great Lakes with the SEC.</w:t>
      </w:r>
    </w:p>
    <w:p>
      <w:pPr>
        <w:spacing w:after="0" w:line="8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1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may read and copy any materials Great Lakes files with the SEC at the SEC’s Public Reference Room at 100 F Street, N.E., Washington, D.C. 20549. Copies of such materials also can be obtained at the SEC’s website, www.sec.gov or by mail from the Public Reference Room of the SEC, at prescribed rates. Please call the SEC at 1-800-SEC-0330 for further information on the Public Reference Room. Great Lakes’ SEC filings are also available to the public, free of charge, on its corporate website, www.gldd.com as soon as reasonably practicable after Great Lakes electronically files such material with, or furnishes it to, the SEC.</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3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terms “we,” “our,” “ours,” “us,” “Great Lakes” and “Company” refer to Great Lakes Dredge &amp; Dock Corporation and its subsidiaries. The term “NASDI” refers to our subsidiary NASDI, LLC and the term “Yankee” refers to our subsidiary Yankee Environmental Services, LLC.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3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Great Lakes is the largest provider of dredging services in the United States. 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Great Lakes now provides dredging services in the East, West, and Gulf Coasts of the United States and worldwide. The Company also owns a majority interest in NASDI, a demolition services provider located in the Boston, Massachusetts area. The Company has a 50% interest in Amboy Aggregates, a sand mining operation in New Jersey.</w:t>
      </w:r>
    </w:p>
    <w:p>
      <w:pPr>
        <w:spacing w:after="0" w:line="75"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On December 31, 2010 the Company acquired substantially all the assets of L.W. Matteson, Inc. (“Matteson”), a maintenance and environmental dredging and levee construction company located in Burlington, Iowa for $45 million. In addition, the seller may receive cash earnout payments for any of the calendar years 2011, 2012 and 2013 if certain criteria are met. The acquisition was funded with $37.5 million in cash and a seller note of $7.5 million. The Matteson acquisition expands the Company’s service offering into inland, river, lakes and environmental dredging and levee construction using dredged material.</w:t>
      </w:r>
    </w:p>
    <w:p>
      <w:pPr>
        <w:spacing w:after="0" w:line="5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operates in two reporting segments: dredging and demolition. These reporting segments are the Company’s operating segments and reporting units at which the Company tests goodwill for impairment. Financial information about the Company’s reporting segments and operating revenues by geographic region is provided in Note 16, “Segment Information” in the Notes to the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Dredging Operations (approximately 89% of 2010 total revenues)</w:t>
      </w:r>
    </w:p>
    <w:p>
      <w:pPr>
        <w:spacing w:after="0" w:line="1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three primary types of work: capital, beach nourishment and maintenance. The Company’s “bid market” is defined as the aggregate dollar value of domestic projects on which the Company bid or could have bid if not for capacity constraints. The Company has experienced an average combined bid market share in the U.S. of 39% over the past three years, including 44%, 32% and 52% of the capital, beach nourishment and maintenance sectors, respectively. These bid market shares do not reflect the activities of Matteson prior to December 31, 2010.</w:t>
      </w:r>
    </w:p>
    <w:p>
      <w:pPr>
        <w:spacing w:after="0" w:line="7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With its acquisition of Matteson, on January 1, 2011 the Company began to provide the following additional dredging and other services: inland lake and river dredging, inland levee and construction dredging, environmental restoration and habitat improvement and other marine construction. In 2010, Matteson’s revenues were $37.2 million.</w:t>
      </w:r>
    </w:p>
    <w:p>
      <w:pPr>
        <w:spacing w:after="0" w:line="10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the Company is the only U.S. dredging service provider with significant international operations. Over the last three years, foreign dredging operations accounted for an average of 23% of the Company’s dredging revenues.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Dredging Operations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 its 120-year history, the Company has grown to be a leader in capital, beach nourishment and maintenance dredging in the U.S.</w:t>
      </w:r>
    </w:p>
    <w:p>
      <w:pPr>
        <w:spacing w:after="0" w:line="13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Capital (approximately 49% of 2010 dredging revenues)</w:t>
      </w:r>
      <w:r>
        <w:rPr>
          <w:rFonts w:ascii="Arial" w:cs="Arial" w:eastAsia="Arial" w:hAnsi="Arial"/>
          <w:sz w:val="18"/>
          <w:szCs w:val="18"/>
          <w:color w:val="auto"/>
        </w:rPr>
        <w:t>. Capital dredging consists primarily of port expansion projects, which involve the deepening of</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spacing w:after="0" w:line="10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Maintenance (approximately 20% of 2010 dredging revenues)</w:t>
      </w:r>
      <w:r>
        <w:rPr>
          <w:rFonts w:ascii="Arial" w:cs="Arial" w:eastAsia="Arial" w:hAnsi="Arial"/>
          <w:sz w:val="16"/>
          <w:szCs w:val="16"/>
          <w:color w:val="auto"/>
        </w:rPr>
        <w:t>. Maintenance dredging consists of the re-dredging of previously deepened waterways and</w:t>
      </w:r>
      <w:r>
        <w:rPr>
          <w:rFonts w:ascii="Arial" w:cs="Arial" w:eastAsia="Arial" w:hAnsi="Arial"/>
          <w:sz w:val="16"/>
          <w:szCs w:val="16"/>
          <w:i w:val="1"/>
          <w:iCs w:val="1"/>
          <w:color w:val="auto"/>
        </w:rPr>
        <w:t xml:space="preserve"> </w:t>
      </w:r>
      <w:r>
        <w:rPr>
          <w:rFonts w:ascii="Arial" w:cs="Arial" w:eastAsia="Arial" w:hAnsi="Arial"/>
          <w:sz w:val="16"/>
          <w:szCs w:val="16"/>
          <w:color w:val="auto"/>
        </w:rPr>
        <w:t>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w:t>
      </w:r>
    </w:p>
    <w:p>
      <w:pPr>
        <w:spacing w:after="0" w:line="7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Beach Nourishment (approximately 17% of 2010 dredging revenues)</w:t>
      </w:r>
      <w:r>
        <w:rPr>
          <w:rFonts w:ascii="Arial" w:cs="Arial" w:eastAsia="Arial" w:hAnsi="Arial"/>
          <w:sz w:val="18"/>
          <w:szCs w:val="18"/>
          <w:color w:val="auto"/>
        </w:rPr>
        <w:t>. Beach nourishment projects generally involve moving sand from the ocean floor to</w:t>
      </w:r>
      <w:r>
        <w:rPr>
          <w:rFonts w:ascii="Arial" w:cs="Arial" w:eastAsia="Arial" w:hAnsi="Arial"/>
          <w:sz w:val="18"/>
          <w:szCs w:val="18"/>
          <w:i w:val="1"/>
          <w:iCs w:val="1"/>
          <w:color w:val="auto"/>
        </w:rPr>
        <w:t xml:space="preserve"> </w:t>
      </w:r>
      <w:r>
        <w:rPr>
          <w:rFonts w:ascii="Arial" w:cs="Arial" w:eastAsia="Arial" w:hAnsi="Arial"/>
          <w:sz w:val="18"/>
          <w:szCs w:val="18"/>
          <w:color w:val="auto"/>
        </w:rPr>
        <w:t>shoreline locations where erosion threatens shoreline assets. Beach erosion is a continuous problem that has intensified with the rise in coastal development and has become an important issue for state and local governments concerned with protecting beachfront tourism and real estate. Beach nourishment is often viewed as a better response to erosion than trapping sand through the use of sea walls and jetties, or relocating buildings and other assets away from the shoreline. Generally, beach nourishment projects take place during the fall and winter months to minimize interference with bird and marine life migration and breeding patterns and coastal recreation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Rivers and Lakes Dredging and Related Operations (operations commenced on January 1, 2011)</w:t>
      </w:r>
    </w:p>
    <w:p>
      <w:pPr>
        <w:spacing w:after="0" w:line="13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Domestic rivers and lakes dredging and related operations typically consist of inland lake and river dredging, inland levee and construction dredging, environmental restoration and habitat improvement and other marine construction projects. With the completion of the Matteson acquisition, commencing January 1, 2011 the Company is able to target and perform additional projects along U.S. inland waterways, which includes rivers and lakes. Establishing a presence in these markets enables the Company to bid for and take advantage of opportunities that were previously generally outside of its operating scope. In recent years, Matteson worked on projects along the Mississippi river basin and in several states, including Alabama, Arizona, Arkansas, Florida, Illinois, Iowa, Louisiana, Mississippi, Missouri, Minnesota, Nebraska, Oklahoma, South Dakota, Tennessee and Texas. Generally, inland river and lake projects in the northern U.S. take place in non-winter months because frozen waterways significantly reduce the Company’s ability to operate and transport its equipment in the relevant geographies.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Dredging Operations (approximately 14% of 2010 dredging revenues)</w:t>
      </w:r>
    </w:p>
    <w:p>
      <w:pPr>
        <w:spacing w:after="0" w:line="13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The Company targets foreign opportunities that are well suited to the Company’s equipment and where it faces reduced competition from its European competitors. Maintaining a presence in foreign markets has enabled the Company to diversify its customer base. Over the last ten years, the Company has performed dredging work in the Middle East, Africa, India, the Caribbean and Central America. Most recently, the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Company has focused its efforts on opportunities in the Middle East and has moved a vessel into the Brazil market.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 Demand Drivers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that the following factors are important drivers of the demand for its dredging services:</w:t>
      </w:r>
    </w:p>
    <w:p>
      <w:pPr>
        <w:spacing w:after="0" w:line="144" w:lineRule="exact"/>
        <w:rPr>
          <w:sz w:val="20"/>
          <w:szCs w:val="20"/>
          <w:color w:val="auto"/>
        </w:rPr>
      </w:pPr>
    </w:p>
    <w:p>
      <w:pPr>
        <w:ind w:left="660" w:hanging="206"/>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Deep port capital projects. </w:t>
      </w:r>
      <w:r>
        <w:rPr>
          <w:rFonts w:ascii="Arial" w:cs="Arial" w:eastAsia="Arial" w:hAnsi="Arial"/>
          <w:sz w:val="18"/>
          <w:szCs w:val="18"/>
          <w:color w:val="auto"/>
        </w:rPr>
        <w:t>Most U.S. ports have continual expansion plans that include deepening and widening in order to better compete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trade. International trade, particularly in the intermodal container shipping business, is undergoing significant change as a result of the Panama Canal expansion. Many shipping lines have announced plans to deploy larger ships which, due to the channel dimension requirements, currently cannot use many U.S. ports. This is expected to put more pressure on U.S. ports to deepen in order to remain competitive. In addition, the Ports of Los Angeles and Long Beach are resuming expansion efforts to remain competitive with deepened East Coast ports. The Company believes that port deepening and expansion work authorized under current and future Water Resources Development Act (“WRDA”) legislation will provide significant opportunities for the domestic dredging industry in the future. The annual bid market for deep port capital dredging over the last three years averaged $148 million.</w:t>
      </w:r>
    </w:p>
    <w:p>
      <w:pPr>
        <w:spacing w:after="0" w:line="118" w:lineRule="exact"/>
        <w:rPr>
          <w:rFonts w:ascii="Arial" w:cs="Arial" w:eastAsia="Arial" w:hAnsi="Arial"/>
          <w:sz w:val="18"/>
          <w:szCs w:val="18"/>
          <w:color w:val="auto"/>
        </w:rPr>
      </w:pPr>
    </w:p>
    <w:p>
      <w:pPr>
        <w:ind w:left="660" w:hanging="206"/>
        <w:spacing w:after="0" w:line="28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Required maintenance of U.S. ports. </w:t>
      </w:r>
      <w:r>
        <w:rPr>
          <w:rFonts w:ascii="Arial" w:cs="Arial" w:eastAsia="Arial" w:hAnsi="Arial"/>
          <w:sz w:val="16"/>
          <w:szCs w:val="16"/>
          <w:color w:val="auto"/>
        </w:rPr>
        <w:t>The channels and waterways leading to U.S. ports have stated depths on which shippers rely when entering those</w:t>
      </w:r>
      <w:r>
        <w:rPr>
          <w:rFonts w:ascii="Arial" w:cs="Arial" w:eastAsia="Arial" w:hAnsi="Arial"/>
          <w:sz w:val="16"/>
          <w:szCs w:val="16"/>
          <w:i w:val="1"/>
          <w:iCs w:val="1"/>
          <w:color w:val="auto"/>
        </w:rPr>
        <w:t xml:space="preserve"> </w:t>
      </w:r>
      <w:r>
        <w:rPr>
          <w:rFonts w:ascii="Arial" w:cs="Arial" w:eastAsia="Arial" w:hAnsi="Arial"/>
          <w:sz w:val="16"/>
          <w:szCs w:val="16"/>
          <w:color w:val="auto"/>
        </w:rPr>
        <w:t>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U.S. Army Corps of Engineers (the “Corps”) is responsible for federally funded projects related to navigation and flood control of U.S. waterways. The Corps had expressed great concern over the level at which it has been able to maintain the U.S. ports and noted that, due to the insufficiency of funding, channel maintenance on average is significantly less than authorized by Congress. The maritime industry, including the ports, continues to advocate for Congressional efforts to ensure that a fully funded, recurring maintenance program is in place. On January 5, 2011, the Realize America’s Maritime Promise Act was introduced in the U.S. House of Representatives and on February 17, 2011, the Harbor Maintenance Act of 2011 was introduced in the U.S. Senate. The two bills are substantially similar and provide that all resources of the Harbor Maintenance Trust Fund may be used only for harbor maintenance programs. If enacted, the Company anticipates that this legislation would increase the Corps’ annual budget by approximately $500 million, with the majority of such amount likely to be allocated for maintenance dredging. The annual bid market for maintenance dredging over the last three years averaged $478 million.</w:t>
      </w:r>
    </w:p>
    <w:p>
      <w:pPr>
        <w:spacing w:after="0" w:line="97" w:lineRule="exact"/>
        <w:rPr>
          <w:rFonts w:ascii="Arial" w:cs="Arial" w:eastAsia="Arial" w:hAnsi="Arial"/>
          <w:sz w:val="16"/>
          <w:szCs w:val="16"/>
          <w:color w:val="auto"/>
        </w:rPr>
      </w:pPr>
    </w:p>
    <w:p>
      <w:pPr>
        <w:ind w:left="660" w:right="80" w:hanging="206"/>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Substantial need for beach nourishment. </w:t>
      </w:r>
      <w:r>
        <w:rPr>
          <w:rFonts w:ascii="Arial" w:cs="Arial" w:eastAsia="Arial" w:hAnsi="Arial"/>
          <w:sz w:val="18"/>
          <w:szCs w:val="18"/>
          <w:color w:val="auto"/>
        </w:rPr>
        <w:t>Beach erosion is a continuous problem due to the normal ebb and flow of coastlines as well as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severe storm activity. Growing populations in coastal communities and vital beach tourism are drawing attention to the importance of protecting beach front assets. Over the past few years, both the federal government and state and local entities have funded beach work. The annual bid market for beach nourishment over the last three years averaged $127 million.</w:t>
      </w:r>
    </w:p>
    <w:p>
      <w:pPr>
        <w:spacing w:after="0" w:line="116" w:lineRule="exact"/>
        <w:rPr>
          <w:rFonts w:ascii="Arial" w:cs="Arial" w:eastAsia="Arial" w:hAnsi="Arial"/>
          <w:sz w:val="18"/>
          <w:szCs w:val="18"/>
          <w:color w:val="auto"/>
        </w:rPr>
      </w:pPr>
    </w:p>
    <w:p>
      <w:pPr>
        <w:ind w:left="660" w:right="20" w:hanging="206"/>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Need to maintain safe navigability of the U.S. river system</w:t>
      </w:r>
      <w:r>
        <w:rPr>
          <w:rFonts w:ascii="Arial" w:cs="Arial" w:eastAsia="Arial" w:hAnsi="Arial"/>
          <w:sz w:val="18"/>
          <w:szCs w:val="18"/>
          <w:color w:val="auto"/>
        </w:rPr>
        <w:t>. Approximately 624 million tons of cargo are transported via inland waterways each year. As</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by barge requires less energy, and therefore less cost, to move cargo than transportation by airplane, railcar or truck, many industries rely on safe navigability of U.S. inland waterways as a primary means to transport goods and commodities such as coal, chemicals, petroleum, minerals, stones, metals and agricultural products. Natural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80"/>
        <w:spacing w:after="0" w:line="268" w:lineRule="auto"/>
        <w:rPr>
          <w:sz w:val="20"/>
          <w:szCs w:val="20"/>
          <w:color w:val="auto"/>
        </w:rPr>
      </w:pPr>
      <w:r>
        <w:rPr>
          <w:rFonts w:ascii="Arial" w:cs="Arial" w:eastAsia="Arial" w:hAnsi="Arial"/>
          <w:sz w:val="18"/>
          <w:szCs w:val="18"/>
          <w:color w:val="auto"/>
        </w:rPr>
        <w:t>sedimentation and other circumstances require that the inland waterway system be periodically dredged so that it can be used as intended. The Corps recognizes the need to maintain the safe navigability of U.S. waterways.</w:t>
      </w:r>
    </w:p>
    <w:p>
      <w:pPr>
        <w:spacing w:after="0" w:line="105" w:lineRule="exact"/>
        <w:rPr>
          <w:sz w:val="20"/>
          <w:szCs w:val="20"/>
          <w:color w:val="auto"/>
        </w:rPr>
      </w:pPr>
    </w:p>
    <w:p>
      <w:pPr>
        <w:ind w:left="660" w:right="80" w:hanging="206"/>
        <w:spacing w:after="0" w:line="29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Additional significant long-term opportunities. </w:t>
      </w:r>
      <w:r>
        <w:rPr>
          <w:rFonts w:ascii="Arial" w:cs="Arial" w:eastAsia="Arial" w:hAnsi="Arial"/>
          <w:sz w:val="16"/>
          <w:szCs w:val="16"/>
          <w:color w:val="auto"/>
        </w:rPr>
        <w:t>Other capital projects make consistent contributions to the Company’s annual revenues. These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dredging related to the development of private port facilities and coastal restoration. The Company anticipates that projects to repair the erosion of wetlands and coastal marshes, particularly those in Louisiana, will result in significant capital dredging opportunities. Therefore, it is likely that this work, as well as other port development, will provide supplemental opportunities to the market. On October 6, 2010, President Obama signed an executive order establishing the Gulf Coast Restoration Task Force. The Company believes that this emphasis on Gulf Coast restoration, including the Corps’ Mississippi Coastal Improvement Program, will provide additional growth opportunities within the domestic dredging market. In addition, levee construction and environmental dredging opportunities will be open to Great Lakes through the Matteson Acquisition.</w:t>
      </w:r>
    </w:p>
    <w:p>
      <w:pPr>
        <w:spacing w:after="0" w:line="91" w:lineRule="exact"/>
        <w:rPr>
          <w:rFonts w:ascii="Arial" w:cs="Arial" w:eastAsia="Arial" w:hAnsi="Arial"/>
          <w:sz w:val="16"/>
          <w:szCs w:val="16"/>
          <w:color w:val="auto"/>
        </w:rPr>
      </w:pPr>
    </w:p>
    <w:p>
      <w:pPr>
        <w:ind w:left="660" w:right="60" w:hanging="206"/>
        <w:spacing w:after="0" w:line="29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Middle East market. </w:t>
      </w:r>
      <w:r>
        <w:rPr>
          <w:rFonts w:ascii="Arial" w:cs="Arial" w:eastAsia="Arial" w:hAnsi="Arial"/>
          <w:sz w:val="16"/>
          <w:szCs w:val="16"/>
          <w:color w:val="auto"/>
        </w:rPr>
        <w:t>In recent years, the Middle East has been one of the most dynamic markets for dredging services in the world. With the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from oil revenues and real estate expansion, these countries have been undergoing extensive infrastructure expansion. While the worldwide economic slowdown has resulted in reduced activity levels, the Company believes that the demand for infrastructure development will resume and present attractive future opportunities that suit the Company’s equipment in the region.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Demolition Operations (approximately 11% of 2010 total revenues)</w:t>
      </w:r>
    </w:p>
    <w:p>
      <w:pPr>
        <w:spacing w:after="0" w:line="1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NASDI is a major U.S. provider of commercial and industrial demolition services. The majority of NASDI’s work is performed in the New England area, although NASDI recently has expanded into the New York area and marine demolition markets, specifically, bridge demolition. NASDI’s core business is exterior and interior demolition. Exterior demolition involves the complete dismantling and demolition of structures and foundations. Interior demolition involves removing specific structures within a building. Other business activities include site development, and since the acquisition of a majority interest in Yankee Environmental Services, LLC, or “Yankee”, on January 1, 2009, the removal of asbestos and other hazardous materials. Yankee does not take legal title to hazardous materials, which remains the property of the site owner. NASDI, whose corporate predecessor was founded in 1976, typically performs numerous small projects (each generating revenue of $0.1 million to $1.0 million) but NASDI is one of a few providers in New England with the required licenses, operating expertise, equipment fleet and access to bonding to execute larger, complex industrial demolition projects.</w:t>
      </w:r>
    </w:p>
    <w:p>
      <w:pPr>
        <w:spacing w:after="0" w:line="7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April 2008, NASDI was converted into a limited liability company and the Company’s ownership of NASDI was restructured so that the Company owns 100% of NASDI’s Class A Percentage Interests and 65% of NASDI’s Class B Percentage Interests. The remaining 35% of NASDI’s Class B Percentage Interests are owned by Christopher A. Berardi, the President of NASDI’s parent company, which is a wholly owned subsidiary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Venture—Amboy Aggregates</w:t>
      </w:r>
    </w:p>
    <w:p>
      <w:pPr>
        <w:spacing w:after="0" w:line="13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and a New Jersey aggregates company each own 50% of Amboy Aggregates, or Amboy. Amboy was formed in December 1984 to mine sand from the entrance channel to New York Harbor to provide sand and aggregate for use in road and building construction and for clean land fill. Amboy also imports stone from Nova Scotia and distributes it throughout the New York area. Prior to April 2010 this business activity to import and distribute stone was conducted via joint venture. In April 2010, Amboy purchased the other party’s interest in this joint venture. The Company’s dredging expertise and its partner’s knowledge of the aggregate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market form the basis for the joint venture. The Company’s investment in Amboy is accounted for using the equity method.</w:t>
      </w:r>
    </w:p>
    <w:p>
      <w:pPr>
        <w:spacing w:after="0" w:line="131"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Amboy is one of the only East Coast aggregate producers to mine sand from the ocean floor. Amboy has a specially designed dredge for sand mining, de-watering and dry delivery. No other vessel of this type operates in the U.S. Amboy’s ocean-based supply of sand provides a long-term competitive advantage in the Northeast as land-based sand deposits are depleted or rendered less cost competitive by escalating land values. Mining operations are performed pursuant to permits granted to Amboy by the federal government and the states of New York and New Jersey.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3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dredging industry’s customers include federal, state and local governments, foreign governments and both domestic and foreign private concerns, such as utilities and oil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2010, approximately 54% of the Company’s dredging revenues were generated from approximately 47 different contracts with federal agencies or third parties operating under contracts with federal agencies.</w:t>
      </w:r>
    </w:p>
    <w:p>
      <w:pPr>
        <w:spacing w:after="0" w:line="80"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Foreign governments requiring infrastructure development are the primary dredging customers in international markets. Approximately 9% of the Company’s 2010 dredging revenues were earned from contracts with the government of Bahrain or entities supported by the government of Bahrain.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1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Demolition customers include general contractors, corporations that commission projects, non-profit institutions such as universities and hospitals, and local government and municipal agencies. This segment benefits from key relationships with certain customers in the general contracting and public infrastructure industries. The majority of the segment’s demolition services are concentrated in New England, however approximately 30% of the segment’s backlog consists of a single bridge demolition project in Louisiana. In 2010, one of NASDI’s customers was responsible for approximately 20% of NASDI’s annual revenues; however, the loss of this customer would not have a material adverse effect on Great Lakes and its subsidiaries taken as a whole.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Process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31"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Most of the Company’s dredging contracts are obtained through competitive bidding on terms specified by the party inviting the bid. The types of equipment required to perform the specified service and the estimated project duration affect the cost of performing the contract and the price that dredging contractors will bid.</w:t>
      </w:r>
    </w:p>
    <w:p>
      <w:pPr>
        <w:spacing w:after="0" w:line="10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the contractor’s experience, equipment and schedule, as well as price. While substantially all of the Company’s dredging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and skill.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13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demolition segment negotiates the majority of its demolition contracts and the remainder of its contracts are competitively bid. This segment frequently receives revenues from change orders on existing contracts. NASDI has established a network of local contacts with developers and prime contractors that act as referral sources and enable NASDI to procure demolition jobs on a sole-source basis. When the demolition segment bids on a project, it evaluates the contract specifications and develops a cost estimate to which it adds a reasonable margin. While there are numerous competitors in the demolition services market, NASDI benefits from its relationships and reputation. Therefore, there are occasions where NASDI is not the lowest bidder on a contract, but is still awarded the project based on its reputation and qualifications.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Bonding and Foreign Project Guarantees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that if a service provider’s bid is chosen, the service provider will sign the contract. The amount of the bond is typically 20% of the service provider’s bid, up to a maximum bond of $3.0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spacing w:after="0" w:line="7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Great Lakes’ projects that require a surety guarantee are currently bonded by Travelers Casualty and Surety Company of America (“Travelers”). Great Lakes has never experienced difficulty in obtaining bonding for any of its projects; and Great Lakes has never failed to complete a project in its 120 year history. Travelers has been granted a security interest in a substantial portion of the Company’s operating equipment as collateral for the Company’s obligations to Travelers under its bonding agreement.</w:t>
      </w:r>
    </w:p>
    <w:p>
      <w:pPr>
        <w:spacing w:after="0" w:line="103" w:lineRule="exact"/>
        <w:rPr>
          <w:sz w:val="20"/>
          <w:szCs w:val="20"/>
          <w:color w:val="auto"/>
        </w:rPr>
      </w:pPr>
    </w:p>
    <w:p>
      <w:pPr>
        <w:jc w:val="both"/>
        <w:ind w:right="320" w:firstLine="456"/>
        <w:spacing w:after="0" w:line="298" w:lineRule="auto"/>
        <w:rPr>
          <w:sz w:val="20"/>
          <w:szCs w:val="20"/>
          <w:color w:val="auto"/>
        </w:rPr>
      </w:pPr>
      <w:r>
        <w:rPr>
          <w:rFonts w:ascii="Arial" w:cs="Arial" w:eastAsia="Arial" w:hAnsi="Arial"/>
          <w:sz w:val="16"/>
          <w:szCs w:val="16"/>
          <w:color w:val="auto"/>
        </w:rPr>
        <w:t>For most foreign dredging projects, letters of credit or bank guarantees issued by foreign banks are required as security for the bid, performance and, if applicable, advance payment guarantees. The Company obtains its letters of credit under its credit agreement or its separate facility which is supported by the Export-Import Bank of the United States (“Ex-Im”) under Ex-Im’s Working Capital Guarantee Program. Foreign bid guarantees are usually 2% to 5% of the service provider’s bid. Foreign performance and advance payment guarantees are each typically 5% to 10% of the contract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13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demolition segment contracts with both private, non-government customers and governmental entities. In general, it is not required to secure bonding for projects with non-governmental customers but is required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secure bonding for projects with governmental entities. When the demolition segment does have bonding requirements, the bonds are also provided by Travelers.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3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U.S. dredging industry is highly fragmented with approximately 250 entities in the U.S. presently operating more than 850 dredges, primarily in maintenance dredging, most of these dredges are smaller and service the inland, as opposed to coastal, waterways, and therefore, do not generally compete with Great Lakes. Competition is determined by the size and complexity of the job; equipment, bonding and certification requirements; and government regulations. Great Lakes and three other companies comprised approximately 78% of the Company’s defined bid market over the last three years. The Company’s defined bid market excludes work in the geographic areas served by Matteson. Within the Company’s bid market, competition is determined primarily on the basis of price. In addition, the Foreign Dredge Act of 1906, or “Dredging Act”, and Section 27 of the Merchant Marine Act of 1920, or “Jones Act”, provide significant barriers to entry with respect to foreign competition. Together these two laws prohibit foreign-built, chartered or operated vessels from competing in the U.S. See “Business—Government Regulations”.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foreign competitor owns a single hopper dredge that is grandfathered in under the Jones Act and is able to work in the U.S. market through the end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2022. The dredge has been working outside the U.S for several years. This vessel briefly returned to the market in 2010, but was then taken overseas for repairs.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It is unclear whether or not this vessel will return to the U.S. market in the future.</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Matteson competes with several competitors in the domestic rivers and lakes market. Competition is determined primarily based on the basis of geographic reach, project execution capability and price.</w:t>
      </w:r>
    </w:p>
    <w:p>
      <w:pPr>
        <w:spacing w:after="0" w:line="9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Competition in the international market is dominated by four large European dredging companies all of which operate larger equipment and fleets that are more extensive than the Company’s. The Company targets opportunities that are well suited to its equipment and where it can be most competitive. Most recently, the Company has focused on opportunities in the Middle East where the Company has cultivated close customer relationships and has pursued contracts compatible with the size of the Company’s vessels.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13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U.S. demolition and related services industry is highly fragmented and is comprised mostly of small regional companies. Unlike many of its competitors, NASDI is able to perform both small and larger, more complex projects. NASDI competes in the demolition and related services industry primarily on the basis of its experience, reputation, equipment, key client relationships and price.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3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Great Lakes’ fleet of dredges, material barges and other specialized equipment is the largest and most diverse in the U.S. The Company acquired nine hydraulic dredges and other support equipment as part of the Matteson acquisition. The Company operates three principal types of dredging equipment: hopper dredges, hydraulic dredges and mechanical dredges.</w:t>
      </w:r>
    </w:p>
    <w:p>
      <w:pPr>
        <w:spacing w:after="0" w:line="10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Hopper Dredges</w:t>
      </w:r>
      <w:r>
        <w:rPr>
          <w:rFonts w:ascii="Arial" w:cs="Arial" w:eastAsia="Arial" w:hAnsi="Arial"/>
          <w:sz w:val="18"/>
          <w:szCs w:val="18"/>
          <w:color w:val="auto"/>
        </w:rPr>
        <w:t>. Hopper dredges are typically self-propelled and have the general appearance of an ocean-going vessel. The dredge has hollow hulls, or</w:t>
      </w:r>
      <w:r>
        <w:rPr>
          <w:rFonts w:ascii="Arial" w:cs="Arial" w:eastAsia="Arial" w:hAnsi="Arial"/>
          <w:sz w:val="18"/>
          <w:szCs w:val="18"/>
          <w:i w:val="1"/>
          <w:iCs w:val="1"/>
          <w:color w:val="auto"/>
        </w:rPr>
        <w:t xml:space="preserve"> </w:t>
      </w:r>
      <w:r>
        <w:rPr>
          <w:rFonts w:ascii="Arial" w:cs="Arial" w:eastAsia="Arial" w:hAnsi="Arial"/>
          <w:sz w:val="18"/>
          <w:szCs w:val="18"/>
          <w:color w:val="auto"/>
        </w:rPr>
        <w:t>“hoppers,” into which material is suctioned hydraulically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through drag-arms. Once the hoppers are filled, the dredge sails to the designated disposal site and either (i) 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beach and maintenance projects.</w:t>
      </w:r>
    </w:p>
    <w:p>
      <w:pPr>
        <w:spacing w:after="0" w:line="6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Hydraulic Dredges</w:t>
      </w:r>
      <w:r>
        <w:rPr>
          <w:rFonts w:ascii="Arial" w:cs="Arial" w:eastAsia="Arial" w:hAnsi="Arial"/>
          <w:sz w:val="16"/>
          <w:szCs w:val="16"/>
          <w:color w:val="auto"/>
        </w:rPr>
        <w:t>. Hydraulic dredges remove material using a revolving cutterhead which cuts and churns the sediment on the channel or ocean floor</w:t>
      </w:r>
      <w:r>
        <w:rPr>
          <w:rFonts w:ascii="Arial" w:cs="Arial" w:eastAsia="Arial" w:hAnsi="Arial"/>
          <w:sz w:val="16"/>
          <w:szCs w:val="16"/>
          <w:i w:val="1"/>
          <w:iCs w:val="1"/>
          <w:color w:val="auto"/>
        </w:rPr>
        <w:t xml:space="preserve"> </w:t>
      </w:r>
      <w:r>
        <w:rPr>
          <w:rFonts w:ascii="Arial" w:cs="Arial" w:eastAsia="Arial" w:hAnsi="Arial"/>
          <w:sz w:val="16"/>
          <w:szCs w:val="16"/>
          <w:color w:val="auto"/>
        </w:rPr>
        <w:t>and hydraulically pumps the material by pipe to the disposal location. These dredges are very powerful and can dredge some types of rock. Certain dredged materials can be directly pumped as far as seven miles with the aid of a booster pump. Hydraulic dredges work with an assortment of support equipment, which help with the positioning and movement of the dredge, handling of the pipelines and the placement of the dredged material. Great Lakes operates the only two large electric hydraulic dredges in the U.S., which makes the Company particularly competitive in markets with stringent emissions standards, such as California and Houston. Unlike hopper dredges, relocating hydraulic dredges and all their ancillary equipment requires specialized vessels and additional time and their operations can be impacted by ship traffic and rough waters. All nine of the dredges acquired as part of the Matteson acquisition are hydraulic cutter dredges. These dredges are generally smaller than the 11 other hydraulic dredges owned by the Company. For example, the hydraulic dredges acquired from Matteson use pipe sizes ranging from 10” to 22” and operate at between 365 and 3,200 total horsepower, while the Company’s other hydraulic dredges use pipe sizes ranging from 18” to 36” and operate at between 1,900 and 20,300 total horsepower. In addition, many of the dredges acquired from Matteson are portable by truck to project sites.</w:t>
      </w:r>
    </w:p>
    <w:p>
      <w:pPr>
        <w:spacing w:after="0" w:line="8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Mechanical Dredges</w:t>
      </w:r>
      <w:r>
        <w:rPr>
          <w:rFonts w:ascii="Arial" w:cs="Arial" w:eastAsia="Arial" w:hAnsi="Arial"/>
          <w:sz w:val="16"/>
          <w:szCs w:val="16"/>
          <w:color w:val="auto"/>
        </w:rPr>
        <w:t>. There are two basic types of mechanical dredges operating in the U.S.: clamshell and backhoe. In both types, the dredge uses a</w:t>
      </w:r>
      <w:r>
        <w:rPr>
          <w:rFonts w:ascii="Arial" w:cs="Arial" w:eastAsia="Arial" w:hAnsi="Arial"/>
          <w:sz w:val="16"/>
          <w:szCs w:val="16"/>
          <w:i w:val="1"/>
          <w:iCs w:val="1"/>
          <w:color w:val="auto"/>
        </w:rPr>
        <w:t xml:space="preserve"> </w:t>
      </w:r>
      <w:r>
        <w:rPr>
          <w:rFonts w:ascii="Arial" w:cs="Arial" w:eastAsia="Arial" w:hAnsi="Arial"/>
          <w:sz w:val="16"/>
          <w:szCs w:val="16"/>
          <w:color w:val="auto"/>
        </w:rPr>
        <w:t>bucket to excavate material from the channel or ocean floor. The dredged material is placed by the bucket into material barges, or “scows,” for transport to the designated disposal area. The scows are emptied by bottom-dumping, direct pump-out or removal by a crane with a bucket. Mechanical dredges are capable of removing hard-packed sediments, blasted rock and debris and can work in tight areas such as along docks or terminals. Clamshell dredges with specialized buckets are ideally suited to handle material requiring environmentally controlled disposal. The Company has the largest fleet of material barges in the domestic industry, which provides cost advantages when dredged material is required to be disposed far offshore or when material requires controlled disposal. Additionally, the Company owns an electric clamshell dredge which provides an advantage in those markets with stringent emissions standards.</w:t>
      </w:r>
    </w:p>
    <w:p>
      <w:pPr>
        <w:spacing w:after="0" w:line="78"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addition, the Company has numerous pieces of smaller equipment that support its dredging operations. Great Lakes’ domestic dredging fleet is typically positioned on the East and Gulf Coasts, with a smaller number of vessels on the West Coast, and to a greater extent subsequent to the Matteson acquisition, on inland rivers and lakes. The mobility of the fleet enables the Company to move equipment in response to changes in demand. Great Lakes’ fleet also includes vessels currently positioned in the Middle East. The Company currently estimates the replacement cost of its entire fleet to be in excess of $1.5 billion.</w:t>
      </w:r>
    </w:p>
    <w:p>
      <w:pPr>
        <w:spacing w:after="0" w:line="5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continually assesses its need to upgrade and expand its dredging fleet to take advantage of improving technology and to address the changing needs of the dredging market. The Company is also committed to preventive maintenance, which it believes is reflected in the long lives of most if its equipment and its low level of unscheduled downtime on jobs. To the extent that market conditions warrant the expenditures, Great Lakes can prolong the useful life of its vessels indefinitely.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13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demolition segment owns and operates specialized demolition equipment, including a fleet of excavators equipped with shears, pulverizers, processors, grapples, and hydraulic hammers that provide high-capacity processing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construction and demolition debris for recycling, reclamation and disposal. NASDI also owns and maintains a large number of skid-steer loaders, heavy-duty large-capacity loaders, cranes, recycling crushers, off-highway hauling units and a fleet of tractor-trailers for transporting equipment and materials to and from job sites. NASDI rents additional equipment on a project-by-project basis, which allows NASDI flexibility to adjust costs to the level of project activity.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Certification</w:t>
      </w:r>
    </w:p>
    <w:p>
      <w:pPr>
        <w:spacing w:after="0" w:line="13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Certification of equipment by the U.S. Coast Guard and establishment of the permissible loading capacity by the American Bureau of Shipping (“A.B.S.”) are important factors in the Company’s dredging business. Many projects, such as beach nourishment projects with offshore sand borrow sites and dredging projects in exposed entrance channels or with offshore disposal areas, are restricted by federal regulations to be performed only by dredges or scows that have U.S. Coast Guard certification and a load line established by the A.B.S. The certifications indicate that the dredge is structurally capable of operating in open waters. The Company has more certified dredging vessels than any of the Company’s domestic competitors and makes substantial investments to maintain these certifications.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Seasonality does not generally have a significant impact on the Company’s dredging operations. However, most East Coast beach nourishment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effect dredging operations as well.</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demolition operations are not significantly impacted by seasonality.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w:t>
      </w:r>
    </w:p>
    <w:p>
      <w:pPr>
        <w:spacing w:after="0" w:line="1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ability to perform its contracts may depend on weather conditions. Inclement weather can delay the completion of a project, thereby causing the Company to incur additional costs. As part of bidding on fixed 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can only be worked on during these periods. See “Business-Seasonality”.</w:t>
      </w:r>
    </w:p>
    <w:p>
      <w:pPr>
        <w:spacing w:after="0" w:line="8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Global warming and climate change may cause weather that is more difficult to predict, however there has been controversy over whether climate changes have occured. Weather is difficult to predict but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and experiences both positive and negative deviations from project weather allowances. Accordingly, it is unlikely that climate change will have a material adverse effect on the Company’s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dredging backlog relates to federal government contracts, which can be canceled at any time without penalty, subject to the Company’s right, in some cases,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and other related information are addressed in more detail in “Management’s Discussion and Analysis of Financial Condition and Results of Operations – Bidding Activity and Backlog.”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3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During 2010, the Company employed an average of 385 full-time salaried personnel in the U.S. In addition, the Company employs U.S. hourly personnel, most of who are unionized, on a project-by-project basis. Crews are generally available for hire on relatively short notice. During 2010, the Company employed a daily average of 558 hourly personnel to meet domestic project requirements.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2010, Matteson employed an average of ten full-time salaried personnel in the U.S., substantially all of whom became employees of the Company. In addition, Matteson employed hourly personnel, most of who are unionized, on a project-by-project basis. Crews are generally available for hire on relatively short notice. During 2010, Matteson employed a daily average of 70 hourly personnel to meet project requirements.</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in December 2010, the Company employed approximately 28 expatriates, 31 foreign nationals and 92 local staff to manage and administer its Middle East operations. During 2010, the Company also employed a daily average of 266 hourly personnel to meet project requirements in the Middle East.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13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At December 31, 2010, the demolition segment employed approximately 51 full-time salaried administrative employees, in addition to an average of 230 hourly employees pursuant to four union agreements. The hourly employees are hired on a project-by-project basis and are generally available for hire on relatively short notice.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13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Safety of its employees is one of the highest priorities of Great Lakes. The Company promotes a safety culture committed to training, awareness and mutual responsibility for the wellbeing of workers. Accident prevention, safety and environmental protection have top priority in the Company’s business planning, in the overall conduct of its business, and in the operation and maintenance of its vessels and facilities.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Unions</w:t>
      </w:r>
    </w:p>
    <w:p>
      <w:pPr>
        <w:spacing w:after="0" w:line="13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is a party to numerous collective bargaining agreements in the U.S. that govern its relationships with its unionized hourly workforce. However, four primary agreements apply to approximately 65% of such employees. The Company’s three contracts with Local 25 Operators Union for the northern, southern and Gulf regions, representing approximately 43% of its unionized workforce, are set to expire in October 2012. The Company’s collective bargaining agreement with Seafarers International Union expires in February 2012. The Company has not experienced any major 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3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is subject to government regulations pursuant to the Dredging Act, the Jones Act, the Shipping Act, 1916, or “Shipping Act”, and the vessel documentation laws set forth in Chapter 121 of Title 46 of the United States Code. These statutes require vessels engaged in dredging in the navigable waters of the United States to be documented with a coastwise endorsement, to be owned and controlled by U.S. citizens, to be manned by U.S. crews, and to be built in the United States. The U.S. citizen ownership and control standards require the vessel-owning entity to be at least 75% U.S. citizen owned and prohibit the chartering of the vessel to any entity that does not meet the 75% U.S. citizen ownership test.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3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Company’s operations, facilities and vessels are subject to various environmental laws and regulations related to, among other things: dredging operations; the disposal of dredged material; protection of wetlands; storm water and waste water discharges; demolition activities; asbestos removal; transportation and disposal of wastes and materials; air emissions; and remediation of contaminated soil, sediments, surface water and groundwater.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Certain environmental laws such as the US Comprehensive Environmental Response, Compensation and Liability Act of 1980,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spacing w:after="0" w:line="12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Company’s projects may involve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Company’s demolition business, for example, requires it to transport and dispose of hazardous substances and other wastes, such as asbestos. The Company takes steps to limit our potential liability by hiring qualified asbestos abatement subcontractors from time to time to remove such materials from our projects and some project contracts require the client to retain liability for hazardous waste generation.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condition or results of operations.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names and ages of all of the Company’s executive officers and the positions and offices presently held by them.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7700" w:type="dxa"/>
            <w:vAlign w:val="bottom"/>
          </w:tcPr>
          <w:p>
            <w:pPr>
              <w:ind w:left="36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Jonathan W. Berger</w:t>
            </w:r>
          </w:p>
        </w:tc>
        <w:tc>
          <w:tcPr>
            <w:tcW w:w="220" w:type="dxa"/>
            <w:vAlign w:val="bottom"/>
          </w:tcPr>
          <w:p>
            <w:pPr>
              <w:jc w:val="center"/>
              <w:spacing w:after="0" w:line="201" w:lineRule="exact"/>
              <w:rPr>
                <w:sz w:val="20"/>
                <w:szCs w:val="20"/>
                <w:color w:val="auto"/>
              </w:rPr>
            </w:pPr>
            <w:r>
              <w:rPr>
                <w:rFonts w:ascii="Arial" w:cs="Arial" w:eastAsia="Arial" w:hAnsi="Arial"/>
                <w:sz w:val="18"/>
                <w:szCs w:val="18"/>
                <w:color w:val="auto"/>
                <w:w w:val="89"/>
              </w:rPr>
              <w:t>51</w:t>
            </w:r>
          </w:p>
        </w:tc>
        <w:tc>
          <w:tcPr>
            <w:tcW w:w="220" w:type="dxa"/>
            <w:vAlign w:val="bottom"/>
            <w:vMerge w:val="continue"/>
          </w:tcPr>
          <w:p>
            <w:pPr>
              <w:spacing w:after="0"/>
              <w:rPr>
                <w:sz w:val="17"/>
                <w:szCs w:val="17"/>
                <w:color w:val="auto"/>
              </w:rPr>
            </w:pPr>
          </w:p>
        </w:tc>
        <w:tc>
          <w:tcPr>
            <w:tcW w:w="7700" w:type="dxa"/>
            <w:vAlign w:val="bottom"/>
          </w:tcPr>
          <w:p>
            <w:pPr>
              <w:spacing w:after="0" w:line="201" w:lineRule="exact"/>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Bruce J. Biemeck</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President, Chief Financial Officer, Treasurer and Director</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David E. Simonelli</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President of Dredging Operations</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Kyle D. Johnson</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Senior Vice President—Chief Contract Manager</w:t>
            </w:r>
          </w:p>
        </w:tc>
        <w:tc>
          <w:tcPr>
            <w:tcW w:w="0" w:type="dxa"/>
            <w:vAlign w:val="bottom"/>
          </w:tcPr>
          <w:p>
            <w:pPr>
              <w:spacing w:after="0"/>
              <w:rPr>
                <w:sz w:val="1"/>
                <w:szCs w:val="1"/>
                <w:color w:val="auto"/>
              </w:rPr>
            </w:pP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John F. Karas</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Senior Vice President—Chief Estimator</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annual appointment of each executive officer expires in May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Jonathan W. Berger, Chief Executive Officer</w:t>
      </w:r>
    </w:p>
    <w:p>
      <w:pPr>
        <w:spacing w:after="0" w:line="13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Mr. Berger was named Chief Executive Officer in September 2010. Mr. Berger was a Partner in KPMG's Corporate Finance practice from 1991 thru 1999 and was a Managing Director and Co-head of Navigant Consulting, Inc.’s Corporate Finance practice from 2001 to 2009. Currently, Mr. Berger is a Director and Chair of the Audit and Compensation Committees of Boise, Inc. He is a Certified Public Accountant and holds an MBA from Emory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Bruce J Biemeck, President, Chief Financial Officer and Treasurer</w:t>
      </w:r>
    </w:p>
    <w:p>
      <w:pPr>
        <w:spacing w:after="0" w:line="13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Biemeck was named President and Chief Financial Officer in September 2010. Mr. Biemeck has deep institutional knowledge of Great Lakes' business, having served as the Company's Senior Vice President, Chief Financial Officer and Treasurer from 1991 to 1999. From April 1999 to September 2010,</w:t>
      </w:r>
    </w:p>
    <w:p>
      <w:pPr>
        <w:spacing w:after="0"/>
        <w:rPr>
          <w:sz w:val="20"/>
          <w:szCs w:val="20"/>
          <w:color w:val="auto"/>
        </w:rPr>
      </w:pPr>
      <w:r>
        <w:rPr>
          <w:rFonts w:ascii="Arial" w:cs="Arial" w:eastAsia="Arial" w:hAnsi="Arial"/>
          <w:sz w:val="15"/>
          <w:szCs w:val="15"/>
          <w:color w:val="auto"/>
        </w:rPr>
        <w:t>Mr. Biemeck was a private real estate investor and developer and acted as an independent consultant. He received a B.S. from St. Louis University and an M.B.A.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from the University of Chicago. He is a Certified Public Accountant.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E. Simonelli, President of Dredging Operations</w:t>
      </w:r>
    </w:p>
    <w:p>
      <w:pPr>
        <w:spacing w:after="0" w:line="13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Simonelli was named President of Dredging Operations in April 2010. Mr. Simonelli is responsible for the Operations Support Group which includes estimating, engineering, operations, plant and equipment and foreign operations. He was named a Vice President of the Company in 2002 and Special Projects Manager in 1996. He joined the Company in 1978 as a Field Engineer. Mr. Simonelli earned a BS in Civil and Environmental Engineering from the University of Rhode Island. He is a member of the Hydrographic Society, the American Society of Civil Engineers and the Western Dredging Association.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Kyle D. Johnson, Senior Vice President—Chief Contract Manager</w:t>
      </w:r>
    </w:p>
    <w:p>
      <w:pPr>
        <w:spacing w:after="0" w:line="1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Johnson was named Senior Vice President in February 2009 and has been Chief Contract Manager of the Company since 2006. He joined the Company in 1983 as a Mechanical Engineer and has since held positions of increasing responsibility in domestic and international engineering and operations, including Area Engineer, Special Projects Manager and Manager of Production Engineering. Mr. Johnson was named Vice President in 2002. Mr. Johnson earned a BS in Engineering from Purdue University and an MS in Construction Engineering &amp; Management from Stanford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F. Karas, Senior Vice President—Chief Estimator</w:t>
      </w:r>
    </w:p>
    <w:p>
      <w:pPr>
        <w:spacing w:after="0" w:line="13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Mr. Karas was named Senior Vice President in February 2009 and has been Chief Estimator since 1992. He joined the Company in 1983 as Project Engineer in the Hopper Division. Mr. Karas earned a Bachelor’s degree in Finance from University of Notre Dame. He is a member of the Western Dredging Association.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3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We depend on our ability to continue to obtain federal government dredging contracts, and are therefore impacted by the amount of government funding for dredging projects. A reduction in government funding for dredging contracts can reduce our revenues and profits.</w:t>
      </w:r>
    </w:p>
    <w:p>
      <w:pPr>
        <w:spacing w:after="0" w:line="4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 substantial portion of our revenue is derived from federal government dredging contracts. Revenues related to contracts with federal agencies or companies operating under contracts with federal agencies and its percentage as a total of dredging revenue for the years ended December 31, 2010, 2009 and 2008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16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Federal government dredging revenue (in US$1,000)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$367,320</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$347,923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$285,183</w:t>
            </w: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Percent of dredging revenue from federal government</w:t>
            </w:r>
          </w:p>
        </w:tc>
        <w:tc>
          <w:tcPr>
            <w:tcW w:w="1020" w:type="dxa"/>
            <w:vAlign w:val="bottom"/>
            <w:gridSpan w:val="2"/>
          </w:tcPr>
          <w:p>
            <w:pPr>
              <w:jc w:val="right"/>
              <w:ind w:right="132"/>
              <w:spacing w:after="0"/>
              <w:rPr>
                <w:sz w:val="20"/>
                <w:szCs w:val="20"/>
                <w:color w:val="auto"/>
              </w:rPr>
            </w:pPr>
            <w:r>
              <w:rPr>
                <w:rFonts w:ascii="Arial" w:cs="Arial" w:eastAsia="Arial" w:hAnsi="Arial"/>
                <w:sz w:val="18"/>
                <w:szCs w:val="18"/>
                <w:color w:val="auto"/>
              </w:rPr>
              <w:t>60%</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61%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bl>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Amounts spent by the federal government on dredging are subject to the budgetary and legislative processes. Accordingly, there can be no assurance that the federal government will allocate any particular amount or level of funds to be spent on dredging for any specified period. In addition, federal government contracts can be canceled at any time without penalty to the government, subject to our contractual right to recover our actual committed costs and profit on work performed up to the date of cancellation. Accordingly, there can be no assurance that the federal government will not cancel any federal government contracts that have been or are awarded to us. Therefore, a reduction in government funding for dredging contracts can materially reduce our revenues and profits.</w:t>
      </w:r>
    </w:p>
    <w:p>
      <w:pPr>
        <w:spacing w:after="0" w:line="19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Most of our dredging contracts are fixed-price contracts pursuant to which we charge a fixed price per unit of material dredged. If we are unable to accurately estimate our costs to complete our projects, our profitability could suffer.</w:t>
      </w:r>
    </w:p>
    <w:p>
      <w:pPr>
        <w:spacing w:after="0" w:line="9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Most dredging contracts are fixed-price contracts where the customer pays a fixed price per unit (e.g., cubic yard) of material dredged. Fixed-price dredging contracts carry inherent risks, including risks of losses from underestimating costs, operational difficulties and other changes that sometimes occur over the contract period. One of the more significant factors that can adversely effect the profitability of a dredging project is inclement or hazardous weather conditions that exceed our estimates. Such an event can result in substantial delays in performance time and cause additional contract expenses. In addition, most of our demolition contracts are fixed-price contracts where the customer pays a fixed price for our performance under the contract. Fixed-price demolition contracts carry similar risks to our fixed-price dredging contracts. If we were to significantly underestimate the costs on one or more significant contracts, the resulting losses could have a material adverse effect on our business, operating results, cash flows or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w:t>
      </w:r>
    </w:p>
    <w:p>
      <w:pPr>
        <w:spacing w:after="0" w:line="13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quarterly results of operations have fluctuated in the past and will continue to fluctuate in the future. You should not rely on the results of any past quarter or quarters as an indication of future performance in our business operations or stock price. Our operating results could vary greatly from quarter to quarter due to factors such as:</w:t>
      </w:r>
    </w:p>
    <w:p>
      <w:pPr>
        <w:spacing w:after="0" w:line="113"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inclement or hazardous weather conditions that may result in underestimated delays in dredging and additional contract expenses;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unplanned equipment downtime;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restrictions requiring that certain projects be performed in winter months to protect wildlife habitats; and</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equipment mobilization to and from projects.</w:t>
      </w:r>
    </w:p>
    <w:p>
      <w:pPr>
        <w:spacing w:after="0" w:line="17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If our results of operations from quarter to quarter fail to meet the expectations of public market analysts and investors, our stock price could suffer or be negatively impacted. See Item 7. “Management’s Discussion and Analysis of Financial Condition and Results of Operations—Primary Factors that Determine Operating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the percentage-of-completion method of accounting could result in a change in previously recorded revenue and profit.</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recognize contract revenue using the percentage-of-completion method. The majority of our work is performed on a fixed-price basis. Contract revenue is accrued based on engineering estimates for the physical percent complete for dredging and estimates of remaining costs to complete for demolition. We use accounting principles generally accepted in the United States for accounting policies relating to our use of the percentage-of-completion method, estimating costs, revenue recognition, combining and segmenting contracts and change order/claim recognition. Percentage-of-completion accounting relies on the use of estimates in the process of determining income earned. The cumulative impact of revisions to estimates is reflected in the period in which these changes become known. Due to the various estimates inherent in our contract accounting, actual results could differ from those estimates.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our international dredging operations.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from foreign contracts and its percentage to total dredging revenue for the years ended December 31, 2010, 2009 and 2008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6"/>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Foreign revenue (in US $1,000)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$82,898</w:t>
            </w:r>
          </w:p>
        </w:tc>
        <w:tc>
          <w:tcPr>
            <w:tcW w:w="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$134,123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$172,345</w:t>
            </w:r>
          </w:p>
        </w:tc>
      </w:tr>
      <w:tr>
        <w:trPr>
          <w:trHeight w:val="222"/>
        </w:trPr>
        <w:tc>
          <w:tcPr>
            <w:tcW w:w="8260" w:type="dxa"/>
            <w:vAlign w:val="bottom"/>
          </w:tcPr>
          <w:p>
            <w:pPr>
              <w:spacing w:after="0"/>
              <w:rPr>
                <w:sz w:val="20"/>
                <w:szCs w:val="20"/>
                <w:color w:val="auto"/>
              </w:rPr>
            </w:pPr>
            <w:r>
              <w:rPr>
                <w:rFonts w:ascii="Arial" w:cs="Arial" w:eastAsia="Arial" w:hAnsi="Arial"/>
                <w:sz w:val="18"/>
                <w:szCs w:val="18"/>
                <w:color w:val="auto"/>
              </w:rPr>
              <w:t>Percent of dredging revenue from foreign countries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23%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operations subject us to additional potential risks, including:</w:t>
      </w:r>
    </w:p>
    <w:p>
      <w:pPr>
        <w:spacing w:after="0" w:line="144"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concerning import and export license requirements, tariffs and other trade barriers;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Middle Eastern demand as a result of fluctuations in the price of oil, the primary export in the Middle East;</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repatriating foreign profits back to the United States;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requirements of foreign laws, policies and regulations;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without additional expense;</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taxation issues;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in enforcing our contractual rights;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fluctuations; and</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insured political, cultural and economic uncertainties, including acts of terrorism and civil unrest.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 customer currently accounts for a significant portion of our international revenue.</w:t>
      </w:r>
    </w:p>
    <w:p>
      <w:pPr>
        <w:spacing w:after="0" w:line="13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Revenue from contracts with the government of Bahrain and entities with which it does business and its percentage to total foreign dredging revenue for the years ended December 31, 2010, 2009 and 2008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6"/>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Bahrain government dredging revenue (in US$ 1,000)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$55,399</w:t>
            </w:r>
          </w:p>
        </w:tc>
        <w:tc>
          <w:tcPr>
            <w:tcW w:w="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$126,026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$161,254</w:t>
            </w:r>
          </w:p>
        </w:tc>
      </w:tr>
      <w:tr>
        <w:trPr>
          <w:trHeight w:val="222"/>
        </w:trPr>
        <w:tc>
          <w:tcPr>
            <w:tcW w:w="8260" w:type="dxa"/>
            <w:vAlign w:val="bottom"/>
          </w:tcPr>
          <w:p>
            <w:pPr>
              <w:spacing w:after="0"/>
              <w:rPr>
                <w:sz w:val="20"/>
                <w:szCs w:val="20"/>
                <w:color w:val="auto"/>
              </w:rPr>
            </w:pPr>
            <w:r>
              <w:rPr>
                <w:rFonts w:ascii="Arial" w:cs="Arial" w:eastAsia="Arial" w:hAnsi="Arial"/>
                <w:sz w:val="18"/>
                <w:szCs w:val="18"/>
                <w:color w:val="auto"/>
              </w:rPr>
              <w:t>Percent of foreign dredging revenue from the Bahrain government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94%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bl>
    <w:p>
      <w:pPr>
        <w:spacing w:after="0" w:line="14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Revenue from foreign projects over the last three years has been concentrated in Bahrain and primarily with the government of Bahrain. The contraction in the Middle East real estate market has slowed the rate of the region’s infrastructure development. If the government of Bahrain further curtails its infrastructure investment or diversifies its use of dredging vendors, our revenue from this customer could decline further.</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February and March 2011, Bahrain experienced civil unrest that could result in governmental instability. In response thereto, the government of Bahrain has instituted several measures, including a national curfew, that have impacted our ability to execute on projects in Bahrain. It is uncertain whether this civil unrest will continue, whether the current protests and other activities will lead to any meaningful government changes, and what additional restrictions, if any, the Bahrain government will establish. If the government changes, these measures are sustained, or additional restrictions are established, our Bahrain dredging operations, including the value of our assets related to such operations, may be adversely affected. In addition, it is uncertain if current events in Bahrain will alter the government’s plans for infrastructure investment.</w:t>
      </w:r>
    </w:p>
    <w:p>
      <w:pPr>
        <w:spacing w:after="0" w:line="20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There are integration and consolidation risks associated with the Matteson acquisition. Future acquisitions may result in significant transaction expenses, unexpected liabilities and risks associated with entering new markets, and we may be unable to profitably operate these businesses.</w:t>
      </w:r>
    </w:p>
    <w:p>
      <w:pPr>
        <w:spacing w:after="0" w:line="45"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On December 31, 2010, we acquired Matteson. As part of our growth strategy, we may acquire additional companies that expand, complement, or diversify our business. We regularly review various opportunities and periodically engage in discussions regarding possible acquisitions. The Matteson acquisition and future acquisitions may expose us to operational challenges and risks, including risks associated with entering new markets, diversion of management’s attention from our existing business, failure to retain key personnel or customers of any acquired business, assumption of unknown liabilities of the acquired business for which there are inadequate reserves and potential impairment of acquired intangible assets. In addition, we may not have the appropriate management, financial or other resources needed to integrate any businesses that we acquire. Any future acquisitions may result in significant transaction expenses and unexpected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estimated backlog is subject to change and not necessarily indicative of future revenues.</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contract backlog represents our estimate of the revenues that we will realize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necessarily indicative of future revenues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profitability. In addition, a significant amount of our dredging backlog relates to federal government contracts, which can be canceled at any time without penalty to the government, subject to our contractual right to recover our actual committed costs and profit on work performed up to the date of cancellation.</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Below is our dredging backlog from federal government contracts as of December 31, 2010, 2009, and 2008 and the percentage of those contracts to total backlog as of the same date. The amount of our federal government dredging backlog at December 31, 2010 includes amounts acquired in connection with the Matteson acquisition.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180" w:type="dxa"/>
            <w:vAlign w:val="bottom"/>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Federal government dredging backlog (in US $1,000)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$141,411</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$309,571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$180,002</w:t>
            </w:r>
          </w:p>
        </w:tc>
      </w:tr>
      <w:tr>
        <w:trPr>
          <w:trHeight w:val="222"/>
        </w:trPr>
        <w:tc>
          <w:tcPr>
            <w:tcW w:w="8180" w:type="dxa"/>
            <w:vAlign w:val="bottom"/>
          </w:tcPr>
          <w:p>
            <w:pPr>
              <w:spacing w:after="0"/>
              <w:rPr>
                <w:sz w:val="20"/>
                <w:szCs w:val="20"/>
                <w:color w:val="auto"/>
              </w:rPr>
            </w:pPr>
            <w:r>
              <w:rPr>
                <w:rFonts w:ascii="Arial" w:cs="Arial" w:eastAsia="Arial" w:hAnsi="Arial"/>
                <w:sz w:val="18"/>
                <w:szCs w:val="18"/>
                <w:color w:val="auto"/>
              </w:rPr>
              <w:t>Percent of dredging backlog from federal government</w:t>
            </w:r>
          </w:p>
        </w:tc>
        <w:tc>
          <w:tcPr>
            <w:tcW w:w="1000" w:type="dxa"/>
            <w:vAlign w:val="bottom"/>
            <w:gridSpan w:val="2"/>
          </w:tcPr>
          <w:p>
            <w:pPr>
              <w:jc w:val="right"/>
              <w:ind w:right="132"/>
              <w:spacing w:after="0"/>
              <w:rPr>
                <w:sz w:val="20"/>
                <w:szCs w:val="20"/>
                <w:color w:val="auto"/>
              </w:rPr>
            </w:pPr>
            <w:r>
              <w:rPr>
                <w:rFonts w:ascii="Arial" w:cs="Arial" w:eastAsia="Arial" w:hAnsi="Arial"/>
                <w:sz w:val="18"/>
                <w:szCs w:val="18"/>
                <w:color w:val="auto"/>
              </w:rPr>
              <w:t>55%</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85%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government contracting regulations, our revenue could suffer.</w:t>
      </w:r>
    </w:p>
    <w:p>
      <w:pPr>
        <w:spacing w:after="0" w:line="13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contracts with federal, state and local governmental customers are subject to various procurement regulations and other contract provisions. Serious violations of government contracting regulations could result in the imposition of civil and criminal penalties, which may include termination of contracts, forfeiture of profits, suspension of payments and fines and suspension from future government contracting. If we are suspended from government work for any reason, we could suffer a material reduction in revenue and cash flows.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we may be subject to litigation brought by private individuals on behalf of the government relating to our government contracts, referred to in this annual report as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which could include claims for up to treble damages.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are sealed by the court at the time of filing. The only parties privy to the information in the complaint are the complainant, the U.S. government and the court. Therefore, it is possible that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been filed against us and that we are not aware of such actions or have been ordered by the court not to discuss them until the seal is lifted. Thus, it is possible that we are subject to liability exposure for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makes us more vulnerable to adverse economic and competitive conditions.</w:t>
      </w:r>
    </w:p>
    <w:p>
      <w:pPr>
        <w:spacing w:after="0" w:line="13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of December 31, 2010, we had indebtedness of $182.5 million consisting of $175 million of senior subordinated notes and a $7.5 million note issued as part of the Matteson acquisition. In January 2011, we refinanced our senior subordinated notes with the issuance of $250 million senior unsecured notes. In addition, we have the ability to borrow up to $145 million under our revolving credit facility. Our debt could:</w:t>
      </w:r>
    </w:p>
    <w:p>
      <w:pPr>
        <w:spacing w:after="0" w:line="80" w:lineRule="exact"/>
        <w:rPr>
          <w:sz w:val="20"/>
          <w:szCs w:val="20"/>
          <w:color w:val="auto"/>
        </w:rPr>
      </w:pPr>
    </w:p>
    <w:p>
      <w:pPr>
        <w:ind w:left="660" w:right="14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payments on our indebtedness, thereby reducing the availability of our cash flow to fund working capital and capital expenditures, pay dividends and other general corporate purposes;</w:t>
      </w:r>
    </w:p>
    <w:p>
      <w:pPr>
        <w:spacing w:after="0" w:line="104"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industries;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affects our competitiveness compared to our less leveraged competitors;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exposure to both general and industry-specific adverse economic conditions; and</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among other things, our ability to borrow additional funds.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are unable, in the future, to obtain bonding or letters of credit for our dredging contracts, our ability to obtain future dredging contracts will be limited, thereby adversely affecting our business.</w:t>
      </w:r>
    </w:p>
    <w:p>
      <w:pPr>
        <w:spacing w:after="0" w:line="9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like all dredging service providers, are generally required to post bonds in connection with our domestic dredging contracts and bonds or letters of credit with our foreign dredging contracts to ensure job completion if we ever fail to finish a project. We have entered into a bonding agreement with Travelers, pursuant to which Travelers acts as surety, issues bid bonds, performance bonds and payment bonds, and provides guarantees required by us in the day-to-day operations of our dredging business. However, under certain circumstances as specified in the agreement, Travelers is not obligated under the bonding agreement to issue future bonds for us. With respect to our foreign dredging business, we generally obtain letters of credit under our senior credit facility and a separate facility which is supported by Ex-Im under Ex-Im’s Working Capital Guarantee Program. However, the amount of letters of credit under these facilities is limited. In addition, access to our senior credit facility and the Ex-Im facility may be limited by failure to meet certain financial requirements or other defined requirements. If we are unable to obtain bonds or letters of credit, our ability to take on future work would be severely limited.</w:t>
      </w:r>
    </w:p>
    <w:p>
      <w:pPr>
        <w:spacing w:after="0" w:line="1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the Jones Act provisions on coastwise trade, or if those provisions were modified or repealed.</w:t>
      </w:r>
    </w:p>
    <w:p>
      <w:pPr>
        <w:spacing w:after="0" w:line="9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spacing w:after="0" w:line="1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spacing w:after="0" w:line="1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Capital expenditures and other costs necessary to operate and maintain our vessels tend to increase with the age of the vessel and may also increase due to changes in governmental regulations, safety or other equipment standards.</w:t>
      </w:r>
    </w:p>
    <w:p>
      <w:pPr>
        <w:spacing w:after="0" w:line="9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Capital expenditures and other costs necessary to operate and maintain our vessels tend to increase with the age of the vessel. Accordingly, it is likely that the operating costs of our vessels will increase.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average age of our more significant vessels as of December 31, 2010, by equipment type, is as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gridSpan w:val="3"/>
          </w:tcPr>
          <w:p>
            <w:pPr>
              <w:spacing w:after="0"/>
              <w:rPr>
                <w:sz w:val="20"/>
                <w:szCs w:val="20"/>
                <w:color w:val="auto"/>
              </w:rPr>
            </w:pPr>
            <w:r>
              <w:rPr>
                <w:rFonts w:ascii="Arial" w:cs="Arial" w:eastAsia="Arial" w:hAnsi="Arial"/>
                <w:sz w:val="14"/>
                <w:szCs w:val="14"/>
                <w:b w:val="1"/>
                <w:bCs w:val="1"/>
                <w:color w:val="auto"/>
              </w:rPr>
              <w:t>Type of Equipment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7"/>
              </w:rPr>
              <w:t>Quantity</w:t>
            </w:r>
          </w:p>
        </w:tc>
        <w:tc>
          <w:tcPr>
            <w:tcW w:w="98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Average Age in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Hydraulic Dredges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Hopper Dredges</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Mechanical Dredges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Unloaders</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Drillboats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Material and Other Barges</w:t>
            </w:r>
          </w:p>
        </w:tc>
        <w:tc>
          <w:tcPr>
            <w:tcW w:w="520" w:type="dxa"/>
            <w:vAlign w:val="bottom"/>
          </w:tcPr>
          <w:p>
            <w:pPr>
              <w:jc w:val="right"/>
              <w:spacing w:after="0"/>
              <w:rPr>
                <w:sz w:val="20"/>
                <w:szCs w:val="20"/>
                <w:color w:val="auto"/>
              </w:rPr>
            </w:pPr>
            <w:r>
              <w:rPr>
                <w:rFonts w:ascii="Arial" w:cs="Arial" w:eastAsia="Arial" w:hAnsi="Arial"/>
                <w:sz w:val="18"/>
                <w:szCs w:val="18"/>
                <w:color w:val="auto"/>
              </w:rPr>
              <w:t>150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Remaining economic life has not been presented because it is not reasonably quantifiable because, to the extent that market conditions warrant the expenditures, we can prolong the vessels’ lives indefinitely. We operate in an industry where a significant portion of competitors’ equipment is of a similar age. It is common in the dredging industry to make maintenance and capital expenditures in order to extend the economic life of equipment.</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changes in governmental regulations, safety or other equipment standards, as well as compliance with standards imposed by maritime self-regulatory organizations and customer requirements or competition, may require us, along with others in our industry, to make additional expenditures. For example, if the U.S. Coast Guard enacts new standards, we may be required to make significant expenditures for alterations or the addition of new equipment. In order to satisfy any such requirement, we may need to take our vessels out of service for extended periods of time, with corresponding losses of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force us to incur capital and operational costs.</w:t>
      </w:r>
    </w:p>
    <w:p>
      <w:pPr>
        <w:spacing w:after="0" w:line="13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industry, and more specifically, our operations, facilities and vessels, are subject to various environmental laws and regulations relating to, among other things: dredging operations; the disposal of dredged material; protection of wetlands; storm water and waste water discharges; demolition activities; asbestos removal; transportation and disposal of wastes and other regulated materials; air emissions; and remediation of contaminated soil, sediments, surface water and groundwater. We, and others who participate in the marine industry, are also subject to laws designed to protect certain marine species and habitats. Compliance with these statutes and regulations can delay permitting and/or performance of particular projects and increase related project costs. These delays and increased costs could have a material adverse effect on our results of operations or cash flows. Non-compliance can also result in fines, penalties and claims by third parties seeking damages for alleged personal injury, as well as damages to property and natural resources.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Certain environmental laws such as the US Comprehensive Environmental Response, Compensation and Liability Act of 1980,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Our past and ongoing operations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projects may involve demolition, excavation,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Our demolition business, for example, requires us to transport and dispose of hazardous substances and other wastes, such as asbestos.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including any indemnification from our customers or subcontractors, to protect us from incurring such liability could have a material adverse effect on our business, operating results, cash flows or financial condition.</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Environmental requirements have generally become more stringent over time, for example in the areas of air emissions controls for vessels and ballast treatment and handling. New or stricter enforcement of existing laws, the discovery of currently unknown conditions or accidental discharges of regulated materials in the future could cause us to incur additional costs for environmental matters which might be significant.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market or regulatory responses to climate change.</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Increased concern about the potential impact of greenhouse gases (GHG) such as carbon dioxide resulting from combustion of fossil fuels on climate change has resulted in efforts to regulate their emission. For example, there is a growing consensus that new and additional regulations concerning GHG emissions including “cap and trade” legislation may be enacted, which could result in increased compliance costs for us.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could increase materially.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in the event of a work stoppage by our unionized labor force.</w:t>
      </w:r>
    </w:p>
    <w:p>
      <w:pPr>
        <w:spacing w:after="0" w:line="13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are a party to numerous collective bargaining agreements in the U.S. that govern our industry’s relationships with our unionized hourly workforce. Specifically, four primary agreements apply to approximately 65% of these employees. Our three contracts with Local 25 Operators Union for the northern, southern and gulf regions, representing approximately 43% of our unionized workforce, are set to expire in October 2012. Our agreement with Seafarers International Union expires in February 2012. The inability to successfully renegotiate contracts with these unions as they expire, or any future strikes, employee slowdowns or similar actions by one or more unions could have a material adverse effect on our ability to operate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employees are covered by federal laws that may provide seagoing employees remedies for job-related claims in addition to those provided by state laws.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Substantially all of our seagoing employees are covered by provisions of the Jones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greater exposure for claims made by these employees as compared to industries whose employees are not covered by these provisions.</w:t>
      </w:r>
    </w:p>
    <w:p>
      <w:pPr>
        <w:spacing w:after="0" w:line="25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business is subject to significant operating risks and hazards that could result in damage or destruction to persons or property, which could result in losses or liabilities to us.</w:t>
      </w:r>
    </w:p>
    <w:p>
      <w:pPr>
        <w:spacing w:after="0" w:line="9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dredging and demolition businesses are generally subject to a number of risks and hazards, including environmental hazards, industrial accidents, encountering unusual or unexpected geological formations, cave-ins below water levels, collisions, disruption of transportation services and flooding. These risks could result in damage to, or destruction of, dredges, transportation vessels, other maritime structures and buildings, and could also result in personal injury, environmental damage, performance delays, monetary losses or legal liability to third parties.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coverage may not be adequate, and we may not be able to obtain insurance at acceptable rates, or at all.</w:t>
      </w:r>
    </w:p>
    <w:p>
      <w:pPr>
        <w:spacing w:after="0" w:line="13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maintain various insurance policies, including hull and machinery, general liability and personal injury. We partially self-insure risks covered by our policies. We are not required to, and do not, specifically set aside funds for the self-insured portion of claims. At any given time, we are subject to multiple personal injury claims and we maintain substantial loss accruals for these claims.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operating results, cash flows or financial condition.</w:t>
      </w:r>
    </w:p>
    <w:p>
      <w:pPr>
        <w:spacing w:after="0" w:line="197"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b w:val="1"/>
          <w:bCs w:val="1"/>
          <w:i w:val="1"/>
          <w:iCs w:val="1"/>
          <w:color w:val="auto"/>
        </w:rPr>
        <w:t>Our demolition business includes key customer relationships and our reputation in the Massachusetts construction market, both of which have been developed and maintained primarily by our demolition employees. Loss of any of these elements could materially reduce our demolition revenues and profits.</w:t>
      </w:r>
    </w:p>
    <w:p>
      <w:pPr>
        <w:spacing w:after="0" w:line="2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Demolition contracts are entered into on a project by project basis, so we do not have continuing contractual commitments with our demolition customers beyond the terms of the current contract. We benefit from key relationships with certain general and construction contractors in the Massachusetts market. We also benefit from our reputation in the Massachusetts market developed over years of successfully performing on projects. Both of these aspects of the business were developed and are maintained primarily by the officers of NASDI’s parent company. The inability to maintain relationships with these customers or obtain new customers based on NASDI’s reputation could reduce the revenue and profitability from demolition contracts. Our inability to retain certain executives could have a material adverse affect on our demolition segment’s current customer relationships and reputation.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subject to restrictions on foreign ownership.</w:t>
      </w:r>
    </w:p>
    <w:p>
      <w:pPr>
        <w:spacing w:after="0" w:line="1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he will not be required to divest the shares and such divestiture could result in a material loss. Such restrictions and redemption rights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may make our equity securities less attractive to potential investors, which may result in our common stock having a lower market price than it might have in the absence of such restrictions and redemption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our charter documents may impede or discourage a takeover that you may consider favorable.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provisions of our certificate of incorporation and bylaws may also deter, delay or prevent a third-party from acquiring us. These provisions include:</w:t>
      </w:r>
    </w:p>
    <w:p>
      <w:pPr>
        <w:spacing w:after="0" w:line="167"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ability of stockholders to amend our charter documents, including stockholder supermajority voting requirements;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the board of directors and for stockholder proposals;</w:t>
      </w:r>
    </w:p>
    <w:p>
      <w:pPr>
        <w:spacing w:after="0" w:line="144"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authority of our board of directors to issue, without stockholder approval, up to 1,000,000 shares of preferred stock with such terms as the board of directors may determine and to issue additional shares of our common stock.</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were obtained.</w:t>
      </w:r>
    </w:p>
    <w:p>
      <w:pPr>
        <w:spacing w:after="0" w:line="14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stockholders may not receive dividends because of restrictions in our debt agreements, Delaware law and state regulatory requirements.</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ability to pay dividends is restricted by the agreements governing our debt, including our senior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market price of our common stock may fluctuate significantly, and this may make it difficult for holders to resell our common stock when they want or at prices that they find attractive.</w:t>
      </w:r>
    </w:p>
    <w:p>
      <w:pPr>
        <w:spacing w:after="0" w:line="9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spacing w:after="0" w:line="58"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conditions;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44" w:lineRule="exact"/>
        <w:rPr>
          <w:rFonts w:ascii="Arial" w:cs="Arial" w:eastAsia="Arial" w:hAnsi="Arial"/>
          <w:sz w:val="18"/>
          <w:szCs w:val="18"/>
          <w:color w:val="auto"/>
        </w:rPr>
      </w:pPr>
    </w:p>
    <w:p>
      <w:pPr>
        <w:ind w:left="5620" w:right="3800" w:hanging="5166"/>
        <w:spacing w:after="0" w:line="440" w:lineRule="auto"/>
        <w:tabs>
          <w:tab w:leader="none" w:pos="6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management, securities analysts and investors; 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strategic developments, significant contracts, acquisitions and other material events by us or our competitors;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other companies that investors believe are comparable to us;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sales of our equity or equity-related securities;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economy and the financial markets;</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44"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political instability, civil unrest or military conflicts.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issuances of our common stock will dilute the ownership interests of stockholders and may adversely affect the trading price of our common stock.</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Future sales of substantial amounts of our common stock or equity-related securities in the public market, or the perception that such sales could occur, could materially and adversely affect prevailing trading prices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affect our ability to meet liquidity needs, access to capital and cost of capital.</w:t>
      </w:r>
    </w:p>
    <w:p>
      <w:pPr>
        <w:spacing w:after="0" w:line="13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domestic and worldwide capital and credit markets have experienced and are experiencing significant volatility, disruptions and dislocations with respect to price and credit availability. Should we need additional funds or to refinance our existing indebtedness, we may not be able to obtain such additional funds.</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need liquidity to pay our operating expenses, interest on our debt and dividends on our capital stock. Without sufficient liquidity, we will be forced to curtail our operations, and our business will suffer. The principal sources of our liquidity are cash flow from operations and borrowings under our senior credit facility. 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1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adoption and implementation of new statutory and regulatory requirements for derivative transactions could have an adverse impact on our ability to hedge risks associated with our business.</w:t>
      </w:r>
    </w:p>
    <w:p>
      <w:pPr>
        <w:spacing w:after="0" w:line="9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enter into interest rate swap agreements to manage the interest rate paid with respect to our fixed rate indebtedness and heating oil commodity swap contracts to hedge the risk that fluctuations in diesel fuel prices will have an adverse impact on cash flows associated with our domestic dredging contracts. The United States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Congress has passed, and the President has signed into law, the Dodd-Frank Wall Street Reform and Consumer Protection Act (the “Financial Reform Act”). The Financial Reform Act provides for new statutory and regulatory requirements for derivative transactions, including foreign currency hedging transactions. The Financial Reform Act requires the Commodities Futures and Trading Commission to promulgate rules relating to the Financial Reform Act. When the rules relating to the Financial Reform Act are established, we will assess the effect, if any, they will have on us. The rules adopted by the Commodities Futures and Trading Commission may in the future significantly reduce our ability to execute strategic hedges to manage our interest expense and reduce our fuel commodity uncertainty and thus protect cash flows. In addition, the banks and other derivatives dealers who are our contractual counterparties will be required to comply with the Financial Reform Act’s new requirements, and the costs of their compliance will likely be passed on to customers such as ourselves, thus potentially decreasing the benefits to us of swap and hedging transactions and potentially reducing our profitability.</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current weakness in the economic environment and other factors could lead to our goodwill and other intangible assets becoming impaired, which may require us to take significant non-cash charges against earnings.</w:t>
      </w:r>
    </w:p>
    <w:p>
      <w:pPr>
        <w:spacing w:after="0" w:line="9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reported net income and our stock price.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affect on our reported net income and the book value of our stockholders’ equity. See “Management’s Discussion and Analysis of Financial Condition and Results of Operations—Critical Accounting Policies and Estimates.”</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owns or leases the properties described below. The Company believes that its existing facilities are adequate for its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3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Company’s headquarters are located at 2122 York Road, Oak Brook, Illinois 60523, with approximately 50,000 square feet of office space that it leases with a term expiring in 2019. As of December 31, 2010 the Company owns or leases the following additional facilities: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Type of</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4"/>
              </w:rPr>
              <w:t>Leased or</w:t>
            </w:r>
          </w:p>
        </w:tc>
      </w:tr>
      <w:tr>
        <w:trPr>
          <w:trHeight w:val="161"/>
        </w:trPr>
        <w:tc>
          <w:tcPr>
            <w:tcW w:w="82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860" w:type="dxa"/>
            <w:vAlign w:val="bottom"/>
          </w:tcPr>
          <w:p>
            <w:pPr>
              <w:ind w:left="2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Size</w:t>
            </w:r>
          </w:p>
        </w:tc>
        <w:tc>
          <w:tcPr>
            <w:tcW w:w="10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rPr>
              <w:t>Owned</w:t>
            </w:r>
          </w:p>
        </w:tc>
      </w:tr>
      <w:tr>
        <w:trPr>
          <w:trHeight w:val="201"/>
        </w:trPr>
        <w:tc>
          <w:tcPr>
            <w:tcW w:w="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Staten</w:t>
            </w:r>
          </w:p>
        </w:tc>
        <w:tc>
          <w:tcPr>
            <w:tcW w:w="7660" w:type="dxa"/>
            <w:vAlign w:val="bottom"/>
          </w:tcPr>
          <w:p>
            <w:pPr>
              <w:spacing w:after="0" w:line="201" w:lineRule="exact"/>
              <w:rPr>
                <w:sz w:val="20"/>
                <w:szCs w:val="20"/>
                <w:color w:val="auto"/>
              </w:rPr>
            </w:pPr>
            <w:r>
              <w:rPr>
                <w:rFonts w:ascii="Arial" w:cs="Arial" w:eastAsia="Arial" w:hAnsi="Arial"/>
                <w:sz w:val="18"/>
                <w:szCs w:val="18"/>
                <w:color w:val="auto"/>
              </w:rPr>
              <w:t>Island, New York</w:t>
            </w: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Yard</w:t>
            </w:r>
          </w:p>
        </w:tc>
        <w:tc>
          <w:tcPr>
            <w:tcW w:w="100" w:type="dxa"/>
            <w:vAlign w:val="bottom"/>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w:t>
            </w:r>
          </w:p>
        </w:tc>
        <w:tc>
          <w:tcPr>
            <w:tcW w:w="960" w:type="dxa"/>
            <w:vAlign w:val="bottom"/>
            <w:tcBorders>
              <w:top w:val="single" w:sz="8" w:color="auto"/>
            </w:tcBorders>
          </w:tcPr>
          <w:p>
            <w:pPr>
              <w:ind w:left="140"/>
              <w:spacing w:after="0" w:line="201" w:lineRule="exact"/>
              <w:rPr>
                <w:sz w:val="20"/>
                <w:szCs w:val="20"/>
                <w:color w:val="auto"/>
              </w:rPr>
            </w:pPr>
            <w:r>
              <w:rPr>
                <w:rFonts w:ascii="Arial" w:cs="Arial" w:eastAsia="Arial" w:hAnsi="Arial"/>
                <w:sz w:val="18"/>
                <w:szCs w:val="18"/>
                <w:color w:val="auto"/>
              </w:rPr>
              <w:t>Acres</w:t>
            </w:r>
          </w:p>
        </w:tc>
        <w:tc>
          <w:tcPr>
            <w:tcW w:w="100" w:type="dxa"/>
            <w:vAlign w:val="bottom"/>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7"/>
              </w:rPr>
              <w:t>Owned</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Morgan City, Louisiana</w:t>
            </w:r>
          </w:p>
        </w:tc>
        <w:tc>
          <w:tcPr>
            <w:tcW w:w="860" w:type="dxa"/>
            <w:vAlign w:val="bottom"/>
          </w:tcPr>
          <w:p>
            <w:pPr>
              <w:spacing w:after="0"/>
              <w:rPr>
                <w:sz w:val="20"/>
                <w:szCs w:val="20"/>
                <w:color w:val="auto"/>
              </w:rPr>
            </w:pPr>
            <w:r>
              <w:rPr>
                <w:rFonts w:ascii="Arial" w:cs="Arial" w:eastAsia="Arial" w:hAnsi="Arial"/>
                <w:sz w:val="18"/>
                <w:szCs w:val="18"/>
                <w:color w:val="auto"/>
              </w:rPr>
              <w:t>Yard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960" w:type="dxa"/>
            <w:vAlign w:val="bottom"/>
          </w:tcPr>
          <w:p>
            <w:pPr>
              <w:ind w:left="140"/>
              <w:spacing w:after="0"/>
              <w:rPr>
                <w:sz w:val="20"/>
                <w:szCs w:val="20"/>
                <w:color w:val="auto"/>
              </w:rPr>
            </w:pPr>
            <w:r>
              <w:rPr>
                <w:rFonts w:ascii="Arial" w:cs="Arial" w:eastAsia="Arial" w:hAnsi="Arial"/>
                <w:sz w:val="18"/>
                <w:szCs w:val="18"/>
                <w:color w:val="auto"/>
              </w:rPr>
              <w:t>Acres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Owned</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Channelview, Texas</w:t>
            </w:r>
          </w:p>
        </w:tc>
        <w:tc>
          <w:tcPr>
            <w:tcW w:w="860" w:type="dxa"/>
            <w:vAlign w:val="bottom"/>
          </w:tcPr>
          <w:p>
            <w:pPr>
              <w:spacing w:after="0"/>
              <w:rPr>
                <w:sz w:val="20"/>
                <w:szCs w:val="20"/>
                <w:color w:val="auto"/>
              </w:rPr>
            </w:pPr>
            <w:r>
              <w:rPr>
                <w:rFonts w:ascii="Arial" w:cs="Arial" w:eastAsia="Arial" w:hAnsi="Arial"/>
                <w:sz w:val="18"/>
                <w:szCs w:val="18"/>
                <w:color w:val="auto"/>
                <w:w w:val="93"/>
              </w:rPr>
              <w:t>Office/Yard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960" w:type="dxa"/>
            <w:vAlign w:val="bottom"/>
          </w:tcPr>
          <w:p>
            <w:pPr>
              <w:ind w:left="140"/>
              <w:spacing w:after="0"/>
              <w:rPr>
                <w:sz w:val="20"/>
                <w:szCs w:val="20"/>
                <w:color w:val="auto"/>
              </w:rPr>
            </w:pPr>
            <w:r>
              <w:rPr>
                <w:rFonts w:ascii="Arial" w:cs="Arial" w:eastAsia="Arial" w:hAnsi="Arial"/>
                <w:sz w:val="18"/>
                <w:szCs w:val="18"/>
                <w:color w:val="auto"/>
              </w:rPr>
              <w:t>Acres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Owned</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Baltimore, Maryland</w:t>
            </w:r>
          </w:p>
        </w:tc>
        <w:tc>
          <w:tcPr>
            <w:tcW w:w="860" w:type="dxa"/>
            <w:vAlign w:val="bottom"/>
          </w:tcPr>
          <w:p>
            <w:pPr>
              <w:spacing w:after="0"/>
              <w:rPr>
                <w:sz w:val="20"/>
                <w:szCs w:val="20"/>
                <w:color w:val="auto"/>
              </w:rPr>
            </w:pPr>
            <w:r>
              <w:rPr>
                <w:rFonts w:ascii="Arial" w:cs="Arial" w:eastAsia="Arial" w:hAnsi="Arial"/>
                <w:sz w:val="18"/>
                <w:szCs w:val="18"/>
                <w:color w:val="auto"/>
              </w:rPr>
              <w:t>Yard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960" w:type="dxa"/>
            <w:vAlign w:val="bottom"/>
          </w:tcPr>
          <w:p>
            <w:pPr>
              <w:ind w:left="140"/>
              <w:spacing w:after="0"/>
              <w:rPr>
                <w:sz w:val="20"/>
                <w:szCs w:val="20"/>
                <w:color w:val="auto"/>
              </w:rPr>
            </w:pPr>
            <w:r>
              <w:rPr>
                <w:rFonts w:ascii="Arial" w:cs="Arial" w:eastAsia="Arial" w:hAnsi="Arial"/>
                <w:sz w:val="18"/>
                <w:szCs w:val="18"/>
                <w:color w:val="auto"/>
              </w:rPr>
              <w:t>Acres</w:t>
            </w:r>
          </w:p>
        </w:tc>
        <w:tc>
          <w:tcPr>
            <w:tcW w:w="10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w w:val="81"/>
              </w:rPr>
              <w:t>Leased</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Green Cove Springs, Florida</w:t>
            </w:r>
          </w:p>
        </w:tc>
        <w:tc>
          <w:tcPr>
            <w:tcW w:w="860" w:type="dxa"/>
            <w:vAlign w:val="bottom"/>
          </w:tcPr>
          <w:p>
            <w:pPr>
              <w:spacing w:after="0"/>
              <w:rPr>
                <w:sz w:val="20"/>
                <w:szCs w:val="20"/>
                <w:color w:val="auto"/>
              </w:rPr>
            </w:pPr>
            <w:r>
              <w:rPr>
                <w:rFonts w:ascii="Arial" w:cs="Arial" w:eastAsia="Arial" w:hAnsi="Arial"/>
                <w:sz w:val="18"/>
                <w:szCs w:val="18"/>
                <w:color w:val="auto"/>
              </w:rPr>
              <w:t>Yard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960" w:type="dxa"/>
            <w:vAlign w:val="bottom"/>
          </w:tcPr>
          <w:p>
            <w:pPr>
              <w:ind w:left="140"/>
              <w:spacing w:after="0"/>
              <w:rPr>
                <w:sz w:val="20"/>
                <w:szCs w:val="20"/>
                <w:color w:val="auto"/>
              </w:rPr>
            </w:pPr>
            <w:r>
              <w:rPr>
                <w:rFonts w:ascii="Arial" w:cs="Arial" w:eastAsia="Arial" w:hAnsi="Arial"/>
                <w:sz w:val="18"/>
                <w:szCs w:val="18"/>
                <w:color w:val="auto"/>
              </w:rPr>
              <w:t>Acres</w:t>
            </w:r>
          </w:p>
        </w:tc>
        <w:tc>
          <w:tcPr>
            <w:tcW w:w="10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w w:val="81"/>
              </w:rPr>
              <w:t>Leased</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Norfolk, Virginia</w:t>
            </w:r>
          </w:p>
        </w:tc>
        <w:tc>
          <w:tcPr>
            <w:tcW w:w="860" w:type="dxa"/>
            <w:vAlign w:val="bottom"/>
          </w:tcPr>
          <w:p>
            <w:pPr>
              <w:spacing w:after="0"/>
              <w:rPr>
                <w:sz w:val="20"/>
                <w:szCs w:val="20"/>
                <w:color w:val="auto"/>
              </w:rPr>
            </w:pPr>
            <w:r>
              <w:rPr>
                <w:rFonts w:ascii="Arial" w:cs="Arial" w:eastAsia="Arial" w:hAnsi="Arial"/>
                <w:sz w:val="18"/>
                <w:szCs w:val="18"/>
                <w:color w:val="auto"/>
              </w:rPr>
              <w:t>Yard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960" w:type="dxa"/>
            <w:vAlign w:val="bottom"/>
          </w:tcPr>
          <w:p>
            <w:pPr>
              <w:ind w:left="140"/>
              <w:spacing w:after="0"/>
              <w:rPr>
                <w:sz w:val="20"/>
                <w:szCs w:val="20"/>
                <w:color w:val="auto"/>
              </w:rPr>
            </w:pPr>
            <w:r>
              <w:rPr>
                <w:rFonts w:ascii="Arial" w:cs="Arial" w:eastAsia="Arial" w:hAnsi="Arial"/>
                <w:sz w:val="18"/>
                <w:szCs w:val="18"/>
                <w:color w:val="auto"/>
              </w:rPr>
              <w:t>Acres</w:t>
            </w:r>
          </w:p>
        </w:tc>
        <w:tc>
          <w:tcPr>
            <w:tcW w:w="10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w w:val="81"/>
              </w:rPr>
              <w:t>Leased</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Burlington, Iowa*</w:t>
            </w:r>
          </w:p>
        </w:tc>
        <w:tc>
          <w:tcPr>
            <w:tcW w:w="860" w:type="dxa"/>
            <w:vAlign w:val="bottom"/>
          </w:tcPr>
          <w:p>
            <w:pPr>
              <w:spacing w:after="0"/>
              <w:rPr>
                <w:sz w:val="20"/>
                <w:szCs w:val="20"/>
                <w:color w:val="auto"/>
              </w:rPr>
            </w:pPr>
            <w:r>
              <w:rPr>
                <w:rFonts w:ascii="Arial" w:cs="Arial" w:eastAsia="Arial" w:hAnsi="Arial"/>
                <w:sz w:val="18"/>
                <w:szCs w:val="18"/>
                <w:color w:val="auto"/>
              </w:rPr>
              <w:t>Office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960" w:type="dxa"/>
            <w:vAlign w:val="bottom"/>
          </w:tcPr>
          <w:p>
            <w:pPr>
              <w:ind w:left="140"/>
              <w:spacing w:after="0"/>
              <w:rPr>
                <w:sz w:val="20"/>
                <w:szCs w:val="20"/>
                <w:color w:val="auto"/>
              </w:rPr>
            </w:pPr>
            <w:r>
              <w:rPr>
                <w:rFonts w:ascii="Arial" w:cs="Arial" w:eastAsia="Arial" w:hAnsi="Arial"/>
                <w:sz w:val="18"/>
                <w:szCs w:val="18"/>
                <w:color w:val="auto"/>
                <w:w w:val="85"/>
              </w:rPr>
              <w:t>Square feet</w:t>
            </w:r>
          </w:p>
        </w:tc>
        <w:tc>
          <w:tcPr>
            <w:tcW w:w="10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w w:val="81"/>
              </w:rPr>
              <w:t>Leased</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Burlington, Iowa*</w:t>
            </w:r>
          </w:p>
        </w:tc>
        <w:tc>
          <w:tcPr>
            <w:tcW w:w="860" w:type="dxa"/>
            <w:vAlign w:val="bottom"/>
          </w:tcPr>
          <w:p>
            <w:pPr>
              <w:spacing w:after="0"/>
              <w:rPr>
                <w:sz w:val="20"/>
                <w:szCs w:val="20"/>
                <w:color w:val="auto"/>
              </w:rPr>
            </w:pPr>
            <w:r>
              <w:rPr>
                <w:rFonts w:ascii="Arial" w:cs="Arial" w:eastAsia="Arial" w:hAnsi="Arial"/>
                <w:sz w:val="18"/>
                <w:szCs w:val="18"/>
                <w:color w:val="auto"/>
              </w:rPr>
              <w:t>Storage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960" w:type="dxa"/>
            <w:vAlign w:val="bottom"/>
          </w:tcPr>
          <w:p>
            <w:pPr>
              <w:ind w:left="140"/>
              <w:spacing w:after="0"/>
              <w:rPr>
                <w:sz w:val="20"/>
                <w:szCs w:val="20"/>
                <w:color w:val="auto"/>
              </w:rPr>
            </w:pPr>
            <w:r>
              <w:rPr>
                <w:rFonts w:ascii="Arial" w:cs="Arial" w:eastAsia="Arial" w:hAnsi="Arial"/>
                <w:sz w:val="18"/>
                <w:szCs w:val="18"/>
                <w:color w:val="auto"/>
                <w:w w:val="85"/>
              </w:rPr>
              <w:t>Square feet</w:t>
            </w:r>
          </w:p>
        </w:tc>
        <w:tc>
          <w:tcPr>
            <w:tcW w:w="10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w w:val="81"/>
              </w:rPr>
              <w:t>Leased</w:t>
            </w: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Des Moines County, Iowa</w:t>
            </w:r>
          </w:p>
        </w:tc>
        <w:tc>
          <w:tcPr>
            <w:tcW w:w="860" w:type="dxa"/>
            <w:vAlign w:val="bottom"/>
          </w:tcPr>
          <w:p>
            <w:pPr>
              <w:spacing w:after="0"/>
              <w:rPr>
                <w:sz w:val="20"/>
                <w:szCs w:val="20"/>
                <w:color w:val="auto"/>
              </w:rPr>
            </w:pPr>
            <w:r>
              <w:rPr>
                <w:rFonts w:ascii="Arial" w:cs="Arial" w:eastAsia="Arial" w:hAnsi="Arial"/>
                <w:sz w:val="18"/>
                <w:szCs w:val="18"/>
                <w:color w:val="auto"/>
              </w:rPr>
              <w:t>Yard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960" w:type="dxa"/>
            <w:vAlign w:val="bottom"/>
          </w:tcPr>
          <w:p>
            <w:pPr>
              <w:ind w:left="140"/>
              <w:spacing w:after="0"/>
              <w:rPr>
                <w:sz w:val="20"/>
                <w:szCs w:val="20"/>
                <w:color w:val="auto"/>
              </w:rPr>
            </w:pPr>
            <w:r>
              <w:rPr>
                <w:rFonts w:ascii="Arial" w:cs="Arial" w:eastAsia="Arial" w:hAnsi="Arial"/>
                <w:sz w:val="18"/>
                <w:szCs w:val="18"/>
                <w:color w:val="auto"/>
              </w:rPr>
              <w:t>Acres</w:t>
            </w:r>
          </w:p>
        </w:tc>
        <w:tc>
          <w:tcPr>
            <w:tcW w:w="10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w w:val="81"/>
              </w:rPr>
              <w:t>Leased</w:t>
            </w: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Little Rock, Arkansas</w:t>
            </w:r>
          </w:p>
        </w:tc>
        <w:tc>
          <w:tcPr>
            <w:tcW w:w="860" w:type="dxa"/>
            <w:vAlign w:val="bottom"/>
          </w:tcPr>
          <w:p>
            <w:pPr>
              <w:spacing w:after="0"/>
              <w:rPr>
                <w:sz w:val="20"/>
                <w:szCs w:val="20"/>
                <w:color w:val="auto"/>
              </w:rPr>
            </w:pPr>
            <w:r>
              <w:rPr>
                <w:rFonts w:ascii="Arial" w:cs="Arial" w:eastAsia="Arial" w:hAnsi="Arial"/>
                <w:sz w:val="18"/>
                <w:szCs w:val="18"/>
                <w:color w:val="auto"/>
              </w:rPr>
              <w:t>Yard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960" w:type="dxa"/>
            <w:vAlign w:val="bottom"/>
          </w:tcPr>
          <w:p>
            <w:pPr>
              <w:ind w:left="140"/>
              <w:spacing w:after="0"/>
              <w:rPr>
                <w:sz w:val="20"/>
                <w:szCs w:val="20"/>
                <w:color w:val="auto"/>
              </w:rPr>
            </w:pPr>
            <w:r>
              <w:rPr>
                <w:rFonts w:ascii="Arial" w:cs="Arial" w:eastAsia="Arial" w:hAnsi="Arial"/>
                <w:sz w:val="18"/>
                <w:szCs w:val="18"/>
                <w:color w:val="auto"/>
              </w:rPr>
              <w:t>Acres</w:t>
            </w:r>
          </w:p>
        </w:tc>
        <w:tc>
          <w:tcPr>
            <w:tcW w:w="10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w w:val="81"/>
              </w:rPr>
              <w:t>Leased</w:t>
            </w:r>
          </w:p>
        </w:tc>
      </w:tr>
    </w:tbl>
    <w:p>
      <w:pPr>
        <w:spacing w:after="0" w:line="196" w:lineRule="exact"/>
        <w:rPr>
          <w:sz w:val="20"/>
          <w:szCs w:val="20"/>
          <w:color w:val="auto"/>
        </w:rPr>
      </w:pPr>
    </w:p>
    <w:p>
      <w:pPr>
        <w:ind w:left="220" w:right="560" w:hanging="212"/>
        <w:spacing w:after="0" w:line="332"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facilities are leased from L.W. Matteson, Inc., which is owned by members of the Matteson family, pursuant to a lease that expires in 2011 and is renewable on a year-to-year basis thereafter. See Note 10 “Related Party” in the Notes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Demolition</w:t>
      </w:r>
    </w:p>
    <w:p>
      <w:pPr>
        <w:spacing w:after="0" w:line="13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demolition segment leases 13,000 square feet of office, garage and maintenance facilities in Waltham, Massachusetts, from Christopher A. Berardi, the president of NASDI’s parent company, pursuant to a lease that expires in 2016. See Note 10 “Related Party” in the Notes to Consolidated Financial Statements. As the demolition segment has expanded into the New York market, the Company also leases 1,500 square feet of office space in New York.</w:t>
      </w:r>
    </w:p>
    <w:p>
      <w:pPr>
        <w:spacing w:after="0" w:line="2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3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Company or its former subsidiary, NATCO Limited Partnership, is named as a defendant in approximately 251 lawsuits, the majority of which were filed between 1989 and 2000. In these lawsuits, the plaintiffs allege personal injury, primarily pleural abnormality and/or asbestosis, and/or death, from exposure to asbestos on the Company’s vessels. The vast majority of these lawsuits have been filed in the Northern District of Ohio and a few in the Eastern District of Michigan. All cases filed in federal courts were consolidated in Philadelphia in 1990 under the multi-district litigation process. All of the maritime cases, including those filed against the Company prior to 1996, were administratively dismissed in May 1996 and any cases filed since that time have similarly been administratively transferred to the inactive docket. Over the last year, the Philadelphia presiding judge has reactivated hundreds of lawsuits in an effort to clean out the administrative docket. Prior to the commencement of discovery in any of the reactivated cases, counsel for plaintiffs agreed to name a group of cases that they intended to pursue and to dismiss the remaining cases without prejudice. Plaintiffs have now named 3,384 cases that they intend to pursue, including 33 cases against the Company, each of which involves one plaintiff. No discovery schedule has been set to date. The remaining cases against the Company either have been or will be dismissed. Plaintiffs in the dismissed cases could file a new lawsuit if they develop a new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disease allegedly caused by exposure to asbestos on board our vessels. Management does not believe that any of the 33 lawsuits will have a material adverse impact on the Company’s consolidated financial statements. The Company is presently unable to quantify the amounts of damages being sought in these lawsuits because none of the complaints specify a damage amount; therefore, the Company has not accrued any amounts in respect of these lawsuits. The Company does not believe that it is probable that losses from these claims could be material, and an estimate of a range of losses relating to these claims cannot reasonably be made.</w:t>
      </w:r>
    </w:p>
    <w:p>
      <w:pPr>
        <w:spacing w:after="0" w:line="14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On April 24, 2006, a class action complaint was filed in the U.S. District Court for the Eastern District of Louisiana, on behalf of Louisiana citizens who allegedly suffered property damage from the floodwaters that flooded New Orleans and surrounding areas when Hurricane Katrina hit the area on August 29, 2005 (the “Reed Complaint”). The Reed Complaint names as defendants the U.S. government, Great Lakes Dredge &amp; Dock Company and numerous other dredging companies that completed dredging projects on behalf of the Army Corps of Engineers in the Mississippi River Gulf Outlet (“MRGO”) between 1993 and 2005. The Reed Complaint alleges that the dredging of MRGO caused the destruction of Louisiana wetlands, which had provided a natural barrier against some storms and hurricanes. The Reed Complaint alleges that this loss of natural barriers contributed to the failure of levees as Katrina floodwaters damaged plaintiffs’ property. The Reed Complaint asserts claims of negligence, warranty, concealment and violations of the Water Pollution Control Act. Other plaintiffs have filed similar class action complaints and one mass tort case (together with the Reed Complaint, the “Katrina Claims”). All of these cases raise the same claims as the Reed Complaint. The amount of claimed damages in these claims is not stated, but is presumed to be significant. On March 9, 2007, the District Court dismissed with prejudice the Katrina Claims against Great Lakes and those plaintiffs filed an appeal to the U.S. Court of Appeals for the Fifth Circuit (the “Fifth Circuit”). On November 25, 2009, the Fifth Circuit affirmed the dismissal of the Katrina Claims and later denied the plaintiffs’ Motion for Rehearing. The plaintiffs did not file a writ of certiorari to the U.S. Supreme Court. As a result, the dismissal of the Katrina Claims is final.</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October 19, 2006, Great Lakes and the other dredging companies filed in federal district court for exoneration or limitation of liability under the Limitation of Liability Act (the “Limitation Action”). The Limitation Action stays all outstanding Katrina Claims against Great Lakes in the district court, pending resolution of the Limitation Action. Approximately 40,000 claims by individuals, businesses, and the State of Louisiana were filed against Great Lakes asserting the same basic theory of liability as in the Katrina Claims and seeking damages significantly in excess of the $55 million limitation bond posted by Great Lakes. In addition, all of the dredging companies, including Great Lakes, filed cross-claims against each other in the Limitation Action seeking contribution and indemnification. Great Lakes currently believes that it has meritorious claims for either exoneration from all liability or limitation of liability to not more than $55 million, which is the value of the vessels which conducted the MRGO dredging work. These defenses include arguments for both statutory and constitutional immunity from liability. On September 7, 2007, Great Lakes filed a motion to dismiss the plaintiffs’ claims. The District Court granted the motion on June 12, 2008, dismissing these claims with prejudice. The plaintiffs filed a notice of appeal in the Fifth Circuit. The Fifth Circuit stayed the appeal pending issuance of its opinion in the Katrina Claims. Following the Fifth Circuit’s affirmance of the dismissal of the Katrina Claims, briefing on this appeal was completed. Oral argument was conducted on August 2 and, on October 14, 2010, the Fifth Circuit affirmed the dismissal of the Limitation Claims. The plaintiffs did not file a writ of certiorari to the U.S. Supreme Court. As a result, the dismissal of the Limitation Claims is final. Great Lakes currently believes that these claims will not have a material adverse impact on its financial condition, results of operations or cash flows.</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August 26, 2009, NASDI received a letter stating that the Attorney General for the Commonwealth of Massachusetts is investigating alleged violations of the Massachusetts Solid Waste Act. NASDI believes that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Attorney General is investigating illegal dumping activities at a dump site NASDI contracted with to have waste materials disposed of between September 2007 and July 2008. Although the matter remains open, no lawsuit has been filed. Per the Attorney General’s request, NASDI executed a tolling agreement regarding the matter. Should charges be brought, NASDI intends to defend itself vigorously on this matter. Based on consideration of all of the facts and circumstances now known, the Company does not believe this claim will have a material adverse impact on its financial conditions, results of operations or cash flows.</w:t>
      </w:r>
    </w:p>
    <w:p>
      <w:pPr>
        <w:spacing w:after="0" w:line="2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2140"/>
        <w:spacing w:after="0" w:line="39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common stock is traded under the symbol “GLDD” on the NASDAQ Global Market. The table below sets forth, for the calendar quarters indicated, the high and low sales prices of the common stock as reported by NASDAQ from January 1, 2009 through December 31, 2010.</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80" w:type="dxa"/>
            <w:vAlign w:val="bottom"/>
            <w:gridSpan w:val="4"/>
          </w:tcPr>
          <w:p>
            <w:pPr>
              <w:ind w:left="140"/>
              <w:spacing w:after="0"/>
              <w:rPr>
                <w:sz w:val="20"/>
                <w:szCs w:val="20"/>
                <w:color w:val="auto"/>
              </w:rPr>
            </w:pPr>
            <w:r>
              <w:rPr>
                <w:rFonts w:ascii="Arial" w:cs="Arial" w:eastAsia="Arial" w:hAnsi="Arial"/>
                <w:sz w:val="14"/>
                <w:szCs w:val="14"/>
                <w:b w:val="1"/>
                <w:bCs w:val="1"/>
                <w:color w:val="auto"/>
              </w:rPr>
              <w:t>Common Stock</w:t>
            </w:r>
          </w:p>
        </w:tc>
      </w:tr>
      <w:tr>
        <w:trPr>
          <w:trHeight w:val="142"/>
        </w:trPr>
        <w:tc>
          <w:tcPr>
            <w:tcW w:w="49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2009</w:t>
            </w:r>
          </w:p>
        </w:tc>
        <w:tc>
          <w:tcPr>
            <w:tcW w:w="4180" w:type="dxa"/>
            <w:vAlign w:val="bottom"/>
            <w:gridSpan w:val="3"/>
            <w:shd w:val="clear" w:color="auto" w:fill="CCEEFF"/>
          </w:tcPr>
          <w:p>
            <w:pPr>
              <w:jc w:val="center"/>
              <w:ind w:left="2932"/>
              <w:spacing w:after="0"/>
              <w:rPr>
                <w:sz w:val="20"/>
                <w:szCs w:val="20"/>
                <w:color w:val="auto"/>
              </w:rPr>
            </w:pPr>
            <w:r>
              <w:rPr>
                <w:rFonts w:ascii="Arial" w:cs="Arial" w:eastAsia="Arial" w:hAnsi="Arial"/>
                <w:sz w:val="18"/>
                <w:szCs w:val="18"/>
                <w:color w:val="auto"/>
                <w:w w:val="88"/>
              </w:rPr>
              <w:t>$4.77</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$1.78</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Second Quarter 2009</w:t>
            </w:r>
          </w:p>
        </w:tc>
        <w:tc>
          <w:tcPr>
            <w:tcW w:w="4180" w:type="dxa"/>
            <w:vAlign w:val="bottom"/>
            <w:gridSpan w:val="3"/>
          </w:tcPr>
          <w:p>
            <w:pPr>
              <w:jc w:val="center"/>
              <w:ind w:left="2932"/>
              <w:spacing w:after="0"/>
              <w:rPr>
                <w:sz w:val="20"/>
                <w:szCs w:val="20"/>
                <w:color w:val="auto"/>
              </w:rPr>
            </w:pPr>
            <w:r>
              <w:rPr>
                <w:rFonts w:ascii="Arial" w:cs="Arial" w:eastAsia="Arial" w:hAnsi="Arial"/>
                <w:sz w:val="18"/>
                <w:szCs w:val="18"/>
                <w:color w:val="auto"/>
                <w:w w:val="88"/>
              </w:rPr>
              <w:t>$5.98</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$2.76</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2009</w:t>
            </w:r>
          </w:p>
        </w:tc>
        <w:tc>
          <w:tcPr>
            <w:tcW w:w="4180" w:type="dxa"/>
            <w:vAlign w:val="bottom"/>
            <w:gridSpan w:val="3"/>
            <w:shd w:val="clear" w:color="auto" w:fill="CCEEFF"/>
          </w:tcPr>
          <w:p>
            <w:pPr>
              <w:jc w:val="center"/>
              <w:ind w:left="2932"/>
              <w:spacing w:after="0"/>
              <w:rPr>
                <w:sz w:val="20"/>
                <w:szCs w:val="20"/>
                <w:color w:val="auto"/>
              </w:rPr>
            </w:pPr>
            <w:r>
              <w:rPr>
                <w:rFonts w:ascii="Arial" w:cs="Arial" w:eastAsia="Arial" w:hAnsi="Arial"/>
                <w:sz w:val="18"/>
                <w:szCs w:val="18"/>
                <w:color w:val="auto"/>
                <w:w w:val="88"/>
              </w:rPr>
              <w:t>$7.46</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$4.18</w:t>
            </w:r>
          </w:p>
        </w:tc>
        <w:tc>
          <w:tcPr>
            <w:tcW w:w="100" w:type="dxa"/>
            <w:vAlign w:val="bottom"/>
            <w:shd w:val="clear" w:color="auto" w:fill="CCEEFF"/>
          </w:tcPr>
          <w:p>
            <w:pPr>
              <w:spacing w:after="0"/>
              <w:rPr>
                <w:sz w:val="18"/>
                <w:szCs w:val="18"/>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Fourth Quarter 2009</w:t>
            </w:r>
          </w:p>
        </w:tc>
        <w:tc>
          <w:tcPr>
            <w:tcW w:w="4180" w:type="dxa"/>
            <w:vAlign w:val="bottom"/>
            <w:gridSpan w:val="3"/>
          </w:tcPr>
          <w:p>
            <w:pPr>
              <w:jc w:val="center"/>
              <w:ind w:left="2932"/>
              <w:spacing w:after="0"/>
              <w:rPr>
                <w:sz w:val="20"/>
                <w:szCs w:val="20"/>
                <w:color w:val="auto"/>
              </w:rPr>
            </w:pPr>
            <w:r>
              <w:rPr>
                <w:rFonts w:ascii="Arial" w:cs="Arial" w:eastAsia="Arial" w:hAnsi="Arial"/>
                <w:sz w:val="18"/>
                <w:szCs w:val="18"/>
                <w:color w:val="auto"/>
                <w:w w:val="88"/>
              </w:rPr>
              <w:t>$7.25</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$5.62</w:t>
            </w:r>
          </w:p>
        </w:tc>
        <w:tc>
          <w:tcPr>
            <w:tcW w:w="100" w:type="dxa"/>
            <w:vAlign w:val="bottom"/>
          </w:tcPr>
          <w:p>
            <w:pPr>
              <w:spacing w:after="0"/>
              <w:rPr>
                <w:sz w:val="19"/>
                <w:szCs w:val="19"/>
                <w:color w:val="auto"/>
              </w:rPr>
            </w:pPr>
          </w:p>
        </w:tc>
      </w:tr>
      <w:tr>
        <w:trPr>
          <w:trHeight w:val="250"/>
        </w:trPr>
        <w:tc>
          <w:tcPr>
            <w:tcW w:w="49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280" w:type="dxa"/>
            <w:vAlign w:val="bottom"/>
            <w:gridSpan w:val="4"/>
          </w:tcPr>
          <w:p>
            <w:pPr>
              <w:ind w:left="140"/>
              <w:spacing w:after="0"/>
              <w:rPr>
                <w:sz w:val="20"/>
                <w:szCs w:val="20"/>
                <w:color w:val="auto"/>
              </w:rPr>
            </w:pPr>
            <w:r>
              <w:rPr>
                <w:rFonts w:ascii="Arial" w:cs="Arial" w:eastAsia="Arial" w:hAnsi="Arial"/>
                <w:sz w:val="14"/>
                <w:szCs w:val="14"/>
                <w:b w:val="1"/>
                <w:bCs w:val="1"/>
                <w:color w:val="auto"/>
              </w:rPr>
              <w:t>Common Stock</w:t>
            </w:r>
          </w:p>
        </w:tc>
      </w:tr>
      <w:tr>
        <w:trPr>
          <w:trHeight w:val="142"/>
        </w:trPr>
        <w:tc>
          <w:tcPr>
            <w:tcW w:w="49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2010</w:t>
            </w:r>
          </w:p>
        </w:tc>
        <w:tc>
          <w:tcPr>
            <w:tcW w:w="4180" w:type="dxa"/>
            <w:vAlign w:val="bottom"/>
            <w:gridSpan w:val="3"/>
            <w:shd w:val="clear" w:color="auto" w:fill="CCEEFF"/>
          </w:tcPr>
          <w:p>
            <w:pPr>
              <w:jc w:val="center"/>
              <w:ind w:left="2932"/>
              <w:spacing w:after="0"/>
              <w:rPr>
                <w:sz w:val="20"/>
                <w:szCs w:val="20"/>
                <w:color w:val="auto"/>
              </w:rPr>
            </w:pPr>
            <w:r>
              <w:rPr>
                <w:rFonts w:ascii="Arial" w:cs="Arial" w:eastAsia="Arial" w:hAnsi="Arial"/>
                <w:sz w:val="18"/>
                <w:szCs w:val="18"/>
                <w:color w:val="auto"/>
                <w:w w:val="88"/>
              </w:rPr>
              <w:t>$7.18</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$4.04</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Second Quarter 2010</w:t>
            </w:r>
          </w:p>
        </w:tc>
        <w:tc>
          <w:tcPr>
            <w:tcW w:w="4180" w:type="dxa"/>
            <w:vAlign w:val="bottom"/>
            <w:gridSpan w:val="3"/>
          </w:tcPr>
          <w:p>
            <w:pPr>
              <w:jc w:val="center"/>
              <w:ind w:left="2932"/>
              <w:spacing w:after="0"/>
              <w:rPr>
                <w:sz w:val="20"/>
                <w:szCs w:val="20"/>
                <w:color w:val="auto"/>
              </w:rPr>
            </w:pPr>
            <w:r>
              <w:rPr>
                <w:rFonts w:ascii="Arial" w:cs="Arial" w:eastAsia="Arial" w:hAnsi="Arial"/>
                <w:sz w:val="18"/>
                <w:szCs w:val="18"/>
                <w:color w:val="auto"/>
                <w:w w:val="88"/>
              </w:rPr>
              <w:t>$7.05</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$4.94</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2010</w:t>
            </w:r>
          </w:p>
        </w:tc>
        <w:tc>
          <w:tcPr>
            <w:tcW w:w="4180" w:type="dxa"/>
            <w:vAlign w:val="bottom"/>
            <w:gridSpan w:val="3"/>
            <w:shd w:val="clear" w:color="auto" w:fill="CCEEFF"/>
          </w:tcPr>
          <w:p>
            <w:pPr>
              <w:jc w:val="center"/>
              <w:ind w:left="2932"/>
              <w:spacing w:after="0"/>
              <w:rPr>
                <w:sz w:val="20"/>
                <w:szCs w:val="20"/>
                <w:color w:val="auto"/>
              </w:rPr>
            </w:pPr>
            <w:r>
              <w:rPr>
                <w:rFonts w:ascii="Arial" w:cs="Arial" w:eastAsia="Arial" w:hAnsi="Arial"/>
                <w:sz w:val="18"/>
                <w:szCs w:val="18"/>
                <w:color w:val="auto"/>
                <w:w w:val="88"/>
              </w:rPr>
              <w:t>$6.46</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$4.51</w:t>
            </w:r>
          </w:p>
        </w:tc>
        <w:tc>
          <w:tcPr>
            <w:tcW w:w="100" w:type="dxa"/>
            <w:vAlign w:val="bottom"/>
            <w:shd w:val="clear" w:color="auto" w:fill="CCEEFF"/>
          </w:tcPr>
          <w:p>
            <w:pPr>
              <w:spacing w:after="0"/>
              <w:rPr>
                <w:sz w:val="18"/>
                <w:szCs w:val="18"/>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Fourth Quarter 2010</w:t>
            </w:r>
          </w:p>
        </w:tc>
        <w:tc>
          <w:tcPr>
            <w:tcW w:w="4180" w:type="dxa"/>
            <w:vAlign w:val="bottom"/>
            <w:gridSpan w:val="3"/>
          </w:tcPr>
          <w:p>
            <w:pPr>
              <w:jc w:val="center"/>
              <w:ind w:left="2932"/>
              <w:spacing w:after="0"/>
              <w:rPr>
                <w:sz w:val="20"/>
                <w:szCs w:val="20"/>
                <w:color w:val="auto"/>
              </w:rPr>
            </w:pPr>
            <w:r>
              <w:rPr>
                <w:rFonts w:ascii="Arial" w:cs="Arial" w:eastAsia="Arial" w:hAnsi="Arial"/>
                <w:sz w:val="18"/>
                <w:szCs w:val="18"/>
                <w:color w:val="auto"/>
                <w:w w:val="88"/>
              </w:rPr>
              <w:t>$8.08</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$5.71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99060</wp:posOffset>
            </wp:positionV>
            <wp:extent cx="2881630" cy="2675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8163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graph shows the cumulative total return to stockholders of the Company’s common stock from December 27, 2006, the first day of trading of our common stock on the NASDAQ Global Market, through December 31, 2010, the last trading day of our 2010 fiscal year, compared with the return on both the NASDAQ Composite Index and the Russell 2000 Index. The graph assumes initial investments of $100 each on December 27, 2006, in GLDD stock (assuming reinvestment of all dividends paid during the period), the NASDAQ Composite Index and the Russell 2000 Index. The Russell 2000 Index, which includes Great Lakes,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is derived from companies with market capitalization similar to that of the Company. Due to the highly specialized nature of the Company’s primary business and the lack of publicly traded competitors in our industry, the Company does not believe it can reasonably identify either an applicable published industry or line-of-business index or comparable peer group.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3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As of March 4, 2011, the Company had approximately 37 shareholders of record of the Company’s common stock. A substantially greater number of holders of the Company’s common stock are “street name” or beneficial holders, whose shares are held of record by banks, brokers and other financial institutions.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Quarterly dividends per common share for the most recent two years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480" w:type="dxa"/>
            <w:vAlign w:val="bottom"/>
            <w:gridSpan w:val="4"/>
          </w:tcPr>
          <w:p>
            <w:pPr>
              <w:ind w:left="440"/>
              <w:spacing w:after="0"/>
              <w:rPr>
                <w:sz w:val="20"/>
                <w:szCs w:val="20"/>
                <w:color w:val="auto"/>
              </w:rPr>
            </w:pPr>
            <w:r>
              <w:rPr>
                <w:rFonts w:ascii="Arial" w:cs="Arial" w:eastAsia="Arial" w:hAnsi="Arial"/>
                <w:sz w:val="14"/>
                <w:szCs w:val="14"/>
                <w:b w:val="1"/>
                <w:bCs w:val="1"/>
                <w:color w:val="auto"/>
              </w:rPr>
              <w:t>Dividend</w:t>
            </w:r>
          </w:p>
        </w:tc>
      </w:tr>
      <w:tr>
        <w:trPr>
          <w:trHeight w:val="142"/>
        </w:trPr>
        <w:tc>
          <w:tcPr>
            <w:tcW w:w="8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$0.017</w:t>
            </w:r>
          </w:p>
        </w:tc>
        <w:tc>
          <w:tcPr>
            <w:tcW w:w="8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0"/>
              </w:rPr>
              <w:t>$0.017</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$0.017</w:t>
            </w:r>
          </w:p>
        </w:tc>
        <w:tc>
          <w:tcPr>
            <w:tcW w:w="880" w:type="dxa"/>
            <w:vAlign w:val="bottom"/>
            <w:gridSpan w:val="2"/>
          </w:tcPr>
          <w:p>
            <w:pPr>
              <w:jc w:val="center"/>
              <w:ind w:left="292"/>
              <w:spacing w:after="0"/>
              <w:rPr>
                <w:sz w:val="20"/>
                <w:szCs w:val="20"/>
                <w:color w:val="auto"/>
              </w:rPr>
            </w:pPr>
            <w:r>
              <w:rPr>
                <w:rFonts w:ascii="Arial" w:cs="Arial" w:eastAsia="Arial" w:hAnsi="Arial"/>
                <w:sz w:val="18"/>
                <w:szCs w:val="18"/>
                <w:color w:val="auto"/>
                <w:w w:val="90"/>
              </w:rPr>
              <w:t>$0.017</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$0.017</w:t>
            </w:r>
          </w:p>
        </w:tc>
        <w:tc>
          <w:tcPr>
            <w:tcW w:w="8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0"/>
              </w:rPr>
              <w:t>$0.017</w:t>
            </w:r>
          </w:p>
        </w:tc>
        <w:tc>
          <w:tcPr>
            <w:tcW w:w="100" w:type="dxa"/>
            <w:vAlign w:val="bottom"/>
            <w:shd w:val="clear" w:color="auto" w:fill="CCEEFF"/>
          </w:tcPr>
          <w:p>
            <w:pPr>
              <w:spacing w:after="0"/>
              <w:rPr>
                <w:sz w:val="18"/>
                <w:szCs w:val="18"/>
                <w:color w:val="auto"/>
              </w:rPr>
            </w:pP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$0.017</w:t>
            </w:r>
          </w:p>
        </w:tc>
        <w:tc>
          <w:tcPr>
            <w:tcW w:w="880" w:type="dxa"/>
            <w:vAlign w:val="bottom"/>
            <w:gridSpan w:val="2"/>
          </w:tcPr>
          <w:p>
            <w:pPr>
              <w:jc w:val="center"/>
              <w:ind w:left="292"/>
              <w:spacing w:after="0"/>
              <w:rPr>
                <w:sz w:val="20"/>
                <w:szCs w:val="20"/>
                <w:color w:val="auto"/>
              </w:rPr>
            </w:pPr>
            <w:r>
              <w:rPr>
                <w:rFonts w:ascii="Arial" w:cs="Arial" w:eastAsia="Arial" w:hAnsi="Arial"/>
                <w:sz w:val="18"/>
                <w:szCs w:val="18"/>
                <w:color w:val="auto"/>
                <w:w w:val="90"/>
              </w:rPr>
              <w:t>$0.017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assure the size of any such dividend or that the Company will pay any future dividend.</w:t>
      </w:r>
    </w:p>
    <w:p>
      <w:pPr>
        <w:spacing w:after="0" w:line="113"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The Company is a holding company and has no direct operations. The Company’s ability to pay cash dividends depends, in part, on the ability of the Company’s subsidiaries to pay cash dividends. The Company expects to cause the Company’s subsidiaries to pay distributions to it to fund the Company’s expected dividend payments, subject to applicable law and any restrictions contained in the Company’s debt agreements.</w:t>
      </w:r>
    </w:p>
    <w:p>
      <w:pPr>
        <w:spacing w:after="0" w:line="2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137"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The following table sets forth selected financial data and should be read in conjunction with “Management’s Discussion and Analysis of Financial Condition and Results of Operations” and the Company’s audited consolidated financial statements and notes thereto included elsewhere in this annual report. The selected financial data presented below have been derived from the Company’s consolidated financial statements; items may not sum due to rounding.</w:t>
      </w:r>
    </w:p>
    <w:p>
      <w:pPr>
        <w:spacing w:after="0" w:line="8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December 26, 2006, GLDD Acquisitions Corp., then the Company’s parent corporation, was merged with a subsidiary of Aldabra Acquisition Corporation, or “Aldabra.” This merger, referred to in this annual report as the “Aldabra Merger,” was accounted for as a reverse acquisition. Under this method of accounting, the Company was the acquiring company for financial reporting purposes. Accordingly, the merger was treated as the equivalent of the Company issuance of stock for the net monetary assets of Aldabra accompanied by 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recapitalization. The net monetary assets of Aldabra, primarily cash, were stated at their fair value, which was equivalent to the carrying value, and accordingly no goodwill or other intangible assets were recorded.</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Prior to the merger in 2006, the Company had Redeemable Preferred Stock. Dividends on the Company’s Series A and Series B Preferred Stock were cumulative semiannually and payable upon declaration at a rate of 8%. The preferred stock was recorded at its redemption and liquidation value of $1 per share, or $87 million plus accrued and unpaid dividends. Prior to the merger, there was $23.2 million in accumulated dividends outstanding. The holders of Preferred Stock were entitled to payment before any capital distribution was made with respect to any junior securities and had no voting rights. As a result of the merger on December 26, 2006, the preferred stock and accumulated dividends were exchanged for shares of Aldabra stock. The fair value of stock received was in excess of the carrying value of the Redeemable Preferred Stock at the time of the exchange. Therefore, the net loss available to common shareholders for the year ended December 31, 2006 was adjusted by $2.8 million in determining earnings per share. The historical results prior to the merger date of December 26, 2006, were that of GLDD Acquisitions Corp. The merger was considered a reverse acquisition, and therefore the weighted-average shares outstanding for all prior periods were retroactively restated to reflect the shares that were issued to acquire GLDD Acquisitions Corp common stock. Accordingly, 9,287,669, were deemed to be outstanding at the beginning of the earliest period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9"/>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60" w:type="dxa"/>
            <w:vAlign w:val="bottom"/>
            <w:gridSpan w:val="10"/>
          </w:tcPr>
          <w:p>
            <w:pPr>
              <w:jc w:val="right"/>
              <w:ind w:right="1160"/>
              <w:spacing w:after="0" w:line="142" w:lineRule="exact"/>
              <w:rPr>
                <w:sz w:val="20"/>
                <w:szCs w:val="20"/>
                <w:color w:val="auto"/>
              </w:rPr>
            </w:pPr>
            <w:r>
              <w:rPr>
                <w:rFonts w:ascii="Arial" w:cs="Arial" w:eastAsia="Arial" w:hAnsi="Arial"/>
                <w:sz w:val="14"/>
                <w:szCs w:val="14"/>
                <w:b w:val="1"/>
                <w:bCs w:val="1"/>
                <w:color w:val="auto"/>
              </w:rPr>
              <w:t>(in millions except share and per share data)</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Contract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686.9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622.2</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586.9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515.8</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 of contract revenues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Equity in earnings (loss) of joint ventures</w:t>
            </w: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20"/>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Great Lakes Dredge &amp; Dock</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220"/>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Redemption of preferred stock</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5"/>
        </w:trPr>
        <w:tc>
          <w:tcPr>
            <w:tcW w:w="4860" w:type="dxa"/>
            <w:vAlign w:val="bottom"/>
          </w:tcPr>
          <w:p>
            <w:pPr>
              <w:ind w:left="440"/>
              <w:spacing w:after="0"/>
              <w:rPr>
                <w:sz w:val="20"/>
                <w:szCs w:val="20"/>
                <w:color w:val="auto"/>
              </w:rPr>
            </w:pPr>
            <w:r>
              <w:rPr>
                <w:rFonts w:ascii="Arial" w:cs="Arial" w:eastAsia="Arial" w:hAnsi="Arial"/>
                <w:sz w:val="18"/>
                <w:szCs w:val="18"/>
                <w:color w:val="auto"/>
              </w:rPr>
              <w:t>Net income (loss) available to common stockholders of</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660"/>
              <w:spacing w:after="0"/>
              <w:rPr>
                <w:sz w:val="20"/>
                <w:szCs w:val="20"/>
                <w:color w:val="auto"/>
              </w:rPr>
            </w:pPr>
            <w:r>
              <w:rPr>
                <w:rFonts w:ascii="Arial" w:cs="Arial" w:eastAsia="Arial" w:hAnsi="Arial"/>
                <w:sz w:val="18"/>
                <w:szCs w:val="18"/>
                <w:color w:val="auto"/>
              </w:rPr>
              <w:t>Great Lakes Dredge &amp; Dock Corporation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earnings (loss) per share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Basic weighted average shares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58,649,681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58,506,608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58,469,431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48,911,491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9,779,781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(loss) per share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22"/>
        </w:trPr>
        <w:tc>
          <w:tcPr>
            <w:tcW w:w="4860" w:type="dxa"/>
            <w:vAlign w:val="bottom"/>
          </w:tcPr>
          <w:p>
            <w:pPr>
              <w:ind w:left="220"/>
              <w:spacing w:after="0"/>
              <w:rPr>
                <w:sz w:val="20"/>
                <w:szCs w:val="20"/>
                <w:color w:val="auto"/>
              </w:rPr>
            </w:pPr>
            <w:r>
              <w:rPr>
                <w:rFonts w:ascii="Arial" w:cs="Arial" w:eastAsia="Arial" w:hAnsi="Arial"/>
                <w:sz w:val="18"/>
                <w:szCs w:val="18"/>
                <w:color w:val="auto"/>
              </w:rPr>
              <w:t>Diluted weighted average shares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58,873,936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58,612,282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58,477,779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52,211,010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9,779,781</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Note: Items may not sum due to rounding.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60" w:type="dxa"/>
            <w:vAlign w:val="bottom"/>
          </w:tcPr>
          <w:p>
            <w:pPr>
              <w:spacing w:after="0"/>
              <w:rPr>
                <w:sz w:val="12"/>
                <w:szCs w:val="12"/>
                <w:color w:val="auto"/>
              </w:rPr>
            </w:pPr>
          </w:p>
        </w:tc>
        <w:tc>
          <w:tcPr>
            <w:tcW w:w="5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7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EBITDA (2)</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$103.0</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$ 77.6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$ 55.9</w:t>
            </w: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$ 57.5</w:t>
            </w:r>
          </w:p>
        </w:tc>
        <w:tc>
          <w:tcPr>
            <w:tcW w:w="2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$ 52.6</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123.5</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(24.9)</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(26.3)</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(77.8)</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32.9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48.2</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Capital expenditures (3)</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27.3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111.0</w:t>
            </w:r>
          </w:p>
        </w:tc>
        <w:tc>
          <w:tcPr>
            <w:tcW w:w="20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865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4" w:lineRule="exact"/>
        <w:rPr>
          <w:sz w:val="20"/>
          <w:szCs w:val="20"/>
          <w:color w:val="auto"/>
        </w:rPr>
      </w:pPr>
    </w:p>
    <w:p>
      <w:pPr>
        <w:ind w:left="460" w:right="3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Refer to Note 1 in the Company’s Consolidated Financial Statements for the years ended December 31, 2010, 2009 and2008 and above information for additional details regarding these calculations.</w:t>
      </w:r>
    </w:p>
    <w:p>
      <w:pPr>
        <w:spacing w:after="0" w:line="104"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definition of EBITDA below</w:t>
      </w:r>
    </w:p>
    <w:p>
      <w:pPr>
        <w:spacing w:after="0" w:line="144"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Capital expenditures in 2007 included the purchase of three vessels for $40.4 million. It also included the purchase of another vessel for $25.5 million, funded through a sale-leaseback transaction, as well as the buy-out of certain equipment previously under operating leases for $14.6 million. Capital expenditures in 2006 included approximately $3.9 million spent to buy-out certain equipment previously under operating leases and $10.4 million related to the reconfiguration of a dredge into a material handling barge that was funded through a sale-leaseback transaction.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6"/>
              </w:rPr>
              <w:t>As of December 31,</w:t>
            </w: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w w:val="73"/>
              </w:rPr>
              <w:t>(in millions)</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Cash and equivalents</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$ 48.5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  3.3</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$ 10.5</w:t>
            </w:r>
          </w:p>
        </w:tc>
        <w:tc>
          <w:tcPr>
            <w:tcW w:w="500" w:type="dxa"/>
            <w:vAlign w:val="bottom"/>
          </w:tcPr>
          <w:p>
            <w:pPr>
              <w:jc w:val="right"/>
              <w:spacing w:after="0"/>
              <w:rPr>
                <w:sz w:val="20"/>
                <w:szCs w:val="20"/>
                <w:color w:val="auto"/>
              </w:rPr>
            </w:pPr>
            <w:r>
              <w:rPr>
                <w:rFonts w:ascii="Arial" w:cs="Arial" w:eastAsia="Arial" w:hAnsi="Arial"/>
                <w:sz w:val="18"/>
                <w:szCs w:val="18"/>
                <w:color w:val="auto"/>
              </w:rPr>
              <w:t>$  8.2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3.6</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91.3</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Total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693.8</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665.4</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666.2</w:t>
            </w:r>
          </w:p>
        </w:tc>
        <w:tc>
          <w:tcPr>
            <w:tcW w:w="500" w:type="dxa"/>
            <w:vAlign w:val="bottom"/>
          </w:tcPr>
          <w:p>
            <w:pPr>
              <w:jc w:val="right"/>
              <w:spacing w:after="0"/>
              <w:rPr>
                <w:sz w:val="20"/>
                <w:szCs w:val="20"/>
                <w:color w:val="auto"/>
              </w:rPr>
            </w:pPr>
            <w:r>
              <w:rPr>
                <w:rFonts w:ascii="Arial" w:cs="Arial" w:eastAsia="Arial" w:hAnsi="Arial"/>
                <w:sz w:val="18"/>
                <w:szCs w:val="18"/>
                <w:color w:val="auto"/>
              </w:rPr>
              <w:t>624.4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Long term senior debt, promissory notes and subordinated notes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186.0</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8"/>
                <w:szCs w:val="18"/>
                <w:color w:val="auto"/>
              </w:rPr>
            </w:pPr>
          </w:p>
        </w:tc>
      </w:tr>
      <w:tr>
        <w:trPr>
          <w:trHeight w:val="222"/>
        </w:trPr>
        <w:tc>
          <w:tcPr>
            <w:tcW w:w="72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00" w:type="dxa"/>
            <w:vAlign w:val="bottom"/>
          </w:tcPr>
          <w:p>
            <w:pPr>
              <w:jc w:val="right"/>
              <w:spacing w:after="0"/>
              <w:rPr>
                <w:sz w:val="20"/>
                <w:szCs w:val="20"/>
                <w:color w:val="auto"/>
              </w:rPr>
            </w:pPr>
            <w:r>
              <w:rPr>
                <w:rFonts w:ascii="Arial" w:cs="Arial" w:eastAsia="Arial" w:hAnsi="Arial"/>
                <w:sz w:val="18"/>
                <w:szCs w:val="18"/>
                <w:color w:val="auto"/>
              </w:rPr>
              <w:t>279.0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245.8</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228.1</w:t>
            </w:r>
          </w:p>
        </w:tc>
        <w:tc>
          <w:tcPr>
            <w:tcW w:w="500" w:type="dxa"/>
            <w:vAlign w:val="bottom"/>
          </w:tcPr>
          <w:p>
            <w:pPr>
              <w:jc w:val="right"/>
              <w:spacing w:after="0"/>
              <w:rPr>
                <w:sz w:val="20"/>
                <w:szCs w:val="20"/>
                <w:color w:val="auto"/>
              </w:rPr>
            </w:pPr>
            <w:r>
              <w:rPr>
                <w:rFonts w:ascii="Arial" w:cs="Arial" w:eastAsia="Arial" w:hAnsi="Arial"/>
                <w:sz w:val="18"/>
                <w:szCs w:val="18"/>
                <w:color w:val="auto"/>
              </w:rPr>
              <w:t>230.4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EBITDA, as provided herein, represents net income (loss) attributable to Great Lakes Dredge &amp; Dock Corporation, adjusted for net interest expense, income taxes, depreciation and amortization expense. The Company presents EBITDA as an additional measure by which to evaluate the Company’s operating trends. The Company believes that EBITDA is a measure frequently used to evaluate performance of companies with substantial leverage and that all of the Company’s primary stakeholders (i.e. its stockholders, bondholders and banks) use EBITDA to evaluate the Company’s period to period performance. Additionally, management believes that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EBITDA to assess performance for purposes of determining compensation under the Company’s incentive plan. EBITDA should not be considered an alternative to, or more meaningful than, amounts determined in accordance with accounting principles generally accepted in the United States (“GAAP”) including: (a) operating income as an indicator of operating performance; or (b) cash flows from operations as a measure of liquidity. As such, the Company’s use of EBITDA, instead of a GAAP measure, has limitations as an analytical tool, including the inability to determine profitability or liquidity due to the exclusion of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EBITDA only as a supplement. The following is a reconciliation of EBITDA to net income (loss) attributable to Great Lakes Dredge and Dock Corporation: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9"/>
          </w:tcPr>
          <w:p>
            <w:pPr>
              <w:jc w:val="right"/>
              <w:ind w:right="92"/>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(in</w:t>
            </w:r>
          </w:p>
        </w:tc>
        <w:tc>
          <w:tcPr>
            <w:tcW w:w="40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w w:val="76"/>
              </w:rPr>
              <w:t>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Great Lakes Dredge &amp; Dock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Adjusted for:</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20.6</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30.1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103.0</w:t>
            </w:r>
          </w:p>
        </w:tc>
        <w:tc>
          <w:tcPr>
            <w:tcW w:w="3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77.6</w:t>
            </w:r>
          </w:p>
        </w:tc>
        <w:tc>
          <w:tcPr>
            <w:tcW w:w="340" w:type="dxa"/>
            <w:vAlign w:val="bottom"/>
            <w:gridSpan w:val="2"/>
          </w:tcPr>
          <w:p>
            <w:pPr>
              <w:ind w:left="24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55.9</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57.5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NASDI, LLC Selected Financial Data</w:t>
      </w:r>
    </w:p>
    <w:p>
      <w:pPr>
        <w:spacing w:after="0" w:line="13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following table sets forth selected financial data regarding NASDI and should be read in conjunction with NASDI’s financial statements and notes thereto included elsewhere in this report. The balance sheet and income statement data as of and for the years ended December 31, 2010, 2009, 2008 and 2007 presented below have been derived from NASDI’s audited financial statements. The balance sheet and income statement data as of and for the year ended December 31, 2006 presented below have been derived from NASDI’s unaudited financial statements. Effective April 30, 2008, North American Site Developers, Inc. was reorganized as NASDI, LLC. Just prior to the re-organization, $27.2 million of debt owed by NASDI to the Company was converted into equity. All financial information below for periods prior to April 30, 2008 relates to North American Site Developers, Inc.</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Contract revenues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74,945</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$43,790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$102,220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75,923</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48,746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 of contract revenues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68,522</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45,466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64,996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41,340</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40"/>
              <w:spacing w:after="0"/>
              <w:rPr>
                <w:sz w:val="20"/>
                <w:szCs w:val="20"/>
                <w:color w:val="auto"/>
              </w:rPr>
            </w:pPr>
            <w:r>
              <w:rPr>
                <w:rFonts w:ascii="Arial" w:cs="Arial" w:eastAsia="Arial" w:hAnsi="Arial"/>
                <w:sz w:val="18"/>
                <w:szCs w:val="18"/>
                <w:color w:val="auto"/>
              </w:rPr>
              <w:t>Gross profit</w:t>
            </w:r>
          </w:p>
        </w:tc>
        <w:tc>
          <w:tcPr>
            <w:tcW w:w="2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vMerge w:val="continue"/>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6,423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(1,676)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12,203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10,927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7,406</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6,417</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40"/>
              <w:spacing w:after="0"/>
              <w:rPr>
                <w:sz w:val="20"/>
                <w:szCs w:val="20"/>
                <w:color w:val="auto"/>
              </w:rPr>
            </w:pPr>
            <w:r>
              <w:rPr>
                <w:rFonts w:ascii="Arial" w:cs="Arial" w:eastAsia="Arial" w:hAnsi="Arial"/>
                <w:sz w:val="18"/>
                <w:szCs w:val="18"/>
                <w:color w:val="auto"/>
              </w:rPr>
              <w:t>Operating income (loss)</w:t>
            </w:r>
          </w:p>
        </w:tc>
        <w:tc>
          <w:tcPr>
            <w:tcW w:w="2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vMerge w:val="continue"/>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(7,525)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4,024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Interest expense to related party</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(2,745)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(2,400)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before income taxes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Income tax provision</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(7,846)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cash flows from operating activities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(2,875)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(3,695)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4,802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3,078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investing activities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(3,509)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cash flows from financing activities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3,813</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5,463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(2,409)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2,424</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Capital expenditures</w:t>
            </w: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755</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2,103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356"/>
        </w:trPr>
        <w:tc>
          <w:tcPr>
            <w:tcW w:w="4240" w:type="dxa"/>
            <w:vAlign w:val="bottom"/>
          </w:tcPr>
          <w:p>
            <w:pPr>
              <w:spacing w:after="0"/>
              <w:rPr>
                <w:sz w:val="24"/>
                <w:szCs w:val="24"/>
                <w:color w:val="auto"/>
              </w:rPr>
            </w:pPr>
          </w:p>
        </w:tc>
        <w:tc>
          <w:tcPr>
            <w:tcW w:w="2800" w:type="dxa"/>
            <w:vAlign w:val="bottom"/>
          </w:tcPr>
          <w:p>
            <w:pPr>
              <w:jc w:val="right"/>
              <w:ind w:right="115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54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1060" w:type="dxa"/>
            <w:vAlign w:val="bottom"/>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360"/>
              <w:spacing w:after="0"/>
              <w:rPr>
                <w:sz w:val="20"/>
                <w:szCs w:val="20"/>
                <w:color w:val="auto"/>
              </w:rPr>
            </w:pPr>
            <w:r>
              <w:rPr>
                <w:rFonts w:ascii="Arial" w:cs="Arial" w:eastAsia="Arial" w:hAnsi="Arial"/>
                <w:sz w:val="11"/>
                <w:szCs w:val="11"/>
                <w:b w:val="1"/>
                <w:bCs w:val="1"/>
                <w:color w:val="auto"/>
                <w:w w:val="74"/>
              </w:rPr>
              <w:t>(in</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5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Cash and equivalents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41</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   194</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   116</w:t>
            </w:r>
          </w:p>
        </w:tc>
        <w:tc>
          <w:tcPr>
            <w:tcW w:w="580" w:type="dxa"/>
            <w:vAlign w:val="bottom"/>
          </w:tcPr>
          <w:p>
            <w:pPr>
              <w:jc w:val="right"/>
              <w:spacing w:after="0"/>
              <w:rPr>
                <w:sz w:val="20"/>
                <w:szCs w:val="20"/>
                <w:color w:val="auto"/>
              </w:rPr>
            </w:pPr>
            <w:r>
              <w:rPr>
                <w:rFonts w:ascii="Arial" w:cs="Arial" w:eastAsia="Arial" w:hAnsi="Arial"/>
                <w:sz w:val="18"/>
                <w:szCs w:val="18"/>
                <w:color w:val="auto"/>
              </w:rPr>
              <w:t>$   396</w:t>
            </w: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   415</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(6,560)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(7,710)</w:t>
            </w: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877</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(1,997)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54,971</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43,196</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47,215</w:t>
            </w:r>
          </w:p>
        </w:tc>
        <w:tc>
          <w:tcPr>
            <w:tcW w:w="580" w:type="dxa"/>
            <w:vAlign w:val="bottom"/>
          </w:tcPr>
          <w:p>
            <w:pPr>
              <w:jc w:val="right"/>
              <w:spacing w:after="0"/>
              <w:rPr>
                <w:sz w:val="20"/>
                <w:szCs w:val="20"/>
                <w:color w:val="auto"/>
              </w:rPr>
            </w:pPr>
            <w:r>
              <w:rPr>
                <w:rFonts w:ascii="Arial" w:cs="Arial" w:eastAsia="Arial" w:hAnsi="Arial"/>
                <w:sz w:val="18"/>
                <w:szCs w:val="18"/>
                <w:color w:val="auto"/>
              </w:rPr>
              <w:t>51,361</w:t>
            </w: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42,832</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Notes payable-related party</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27,242</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27,242</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Total members' equity (deficit)</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22,216</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22,610</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30,627</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(1,307)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(1,532)</w:t>
            </w:r>
          </w:p>
        </w:tc>
      </w:tr>
      <w:tr>
        <w:trPr>
          <w:trHeight w:val="356"/>
        </w:trPr>
        <w:tc>
          <w:tcPr>
            <w:tcW w:w="3900" w:type="dxa"/>
            <w:vAlign w:val="bottom"/>
          </w:tcPr>
          <w:p>
            <w:pPr>
              <w:spacing w:after="0"/>
              <w:rPr>
                <w:sz w:val="24"/>
                <w:szCs w:val="24"/>
                <w:color w:val="auto"/>
              </w:rPr>
            </w:pPr>
          </w:p>
        </w:tc>
        <w:tc>
          <w:tcPr>
            <w:tcW w:w="2320" w:type="dxa"/>
            <w:vAlign w:val="bottom"/>
          </w:tcPr>
          <w:p>
            <w:pPr>
              <w:jc w:val="right"/>
              <w:ind w:right="3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Yankee Environmental Services, LLC Selected Financial Data</w:t>
      </w:r>
    </w:p>
    <w:p>
      <w:pPr>
        <w:spacing w:after="0" w:line="13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following table sets forth selected financial data regarding Yankee and should be read in conjunction with the financial statements and notes thereto, included elsewhere in this report. The balance sheet and income statement data as of and for the years ended December 31, 2010 and 2009 presented below has been derived from Yankee’s audited financial statements. The balance sheet and income statement data as of and for the years ended December 31, 2008, 2007 and 2006 presented below has been derived from the unaudited financial statements of Yankee Liquidation Corp., formerly Yankee Environmental Services, Inc. (“Yankee, Inc.”). Yankee purchased the assets of Yankee, Inc. on January 1, 2009.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2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(in</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Contract revenues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8,554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7,760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$14,181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5,155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5,533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 of revenues</w:t>
            </w:r>
          </w:p>
        </w:tc>
        <w:tc>
          <w:tcPr>
            <w:tcW w:w="3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10,347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440"/>
              <w:spacing w:after="0"/>
              <w:rPr>
                <w:sz w:val="20"/>
                <w:szCs w:val="20"/>
                <w:color w:val="auto"/>
              </w:rPr>
            </w:pPr>
            <w:r>
              <w:rPr>
                <w:rFonts w:ascii="Arial" w:cs="Arial" w:eastAsia="Arial" w:hAnsi="Arial"/>
                <w:sz w:val="18"/>
                <w:szCs w:val="18"/>
                <w:color w:val="auto"/>
              </w:rPr>
              <w:t>Gross profit (loss)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1,105</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3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440"/>
              <w:spacing w:after="0"/>
              <w:rPr>
                <w:sz w:val="20"/>
                <w:szCs w:val="20"/>
                <w:color w:val="auto"/>
              </w:rPr>
            </w:pPr>
            <w:r>
              <w:rPr>
                <w:rFonts w:ascii="Arial" w:cs="Arial" w:eastAsia="Arial" w:hAnsi="Arial"/>
                <w:sz w:val="18"/>
                <w:szCs w:val="18"/>
                <w:color w:val="auto"/>
              </w:rPr>
              <w:t>Operating income (loss)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2,644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tcPr>
          <w:p>
            <w:pPr>
              <w:ind w:left="440"/>
              <w:spacing w:after="0"/>
              <w:rPr>
                <w:sz w:val="20"/>
                <w:szCs w:val="20"/>
                <w:color w:val="auto"/>
              </w:rPr>
            </w:pPr>
            <w:r>
              <w:rPr>
                <w:rFonts w:ascii="Arial" w:cs="Arial" w:eastAsia="Arial" w:hAnsi="Arial"/>
                <w:sz w:val="18"/>
                <w:szCs w:val="18"/>
                <w:color w:val="auto"/>
              </w:rPr>
              <w:t>Income (loss) before income taxes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2,581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40"/>
              <w:spacing w:after="0"/>
              <w:rPr>
                <w:sz w:val="20"/>
                <w:szCs w:val="20"/>
                <w:color w:val="auto"/>
              </w:rPr>
            </w:pPr>
            <w:r>
              <w:rPr>
                <w:rFonts w:ascii="Arial" w:cs="Arial" w:eastAsia="Arial" w:hAnsi="Arial"/>
                <w:sz w:val="18"/>
                <w:szCs w:val="18"/>
                <w:color w:val="auto"/>
              </w:rPr>
              <w:t>Net income (loss)</w:t>
            </w:r>
          </w:p>
        </w:tc>
        <w:tc>
          <w:tcPr>
            <w:tcW w:w="3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vMerge w:val="continue"/>
          </w:tcPr>
          <w:p>
            <w:pPr>
              <w:spacing w:after="0"/>
              <w:rPr>
                <w:sz w:val="19"/>
                <w:szCs w:val="19"/>
                <w:color w:val="auto"/>
              </w:rPr>
            </w:pPr>
          </w:p>
        </w:tc>
        <w:tc>
          <w:tcPr>
            <w:tcW w:w="3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2,581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3"/>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cash flows from operating activities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(2,545)</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1,703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investing activities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cash flows from financing activities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4,649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(1,562)</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Capital expenditures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58"/>
        </w:trPr>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3"/>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Cash</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(deficiency)</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Total assets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4,920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1,833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 (deficit)</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63"/>
        </w:trPr>
        <w:tc>
          <w:tcPr>
            <w:tcW w:w="4240" w:type="dxa"/>
            <w:vAlign w:val="bottom"/>
          </w:tcPr>
          <w:p>
            <w:pPr>
              <w:spacing w:after="0"/>
              <w:rPr>
                <w:sz w:val="24"/>
                <w:szCs w:val="24"/>
                <w:color w:val="auto"/>
              </w:rPr>
            </w:pPr>
          </w:p>
        </w:tc>
        <w:tc>
          <w:tcPr>
            <w:tcW w:w="3140" w:type="dxa"/>
            <w:vAlign w:val="bottom"/>
          </w:tcPr>
          <w:p>
            <w:pPr>
              <w:jc w:val="right"/>
              <w:ind w:right="149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0"/>
        <w:spacing w:after="0" w:line="394"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is the largest provider of dredging services in the United States. In addition, the Company is the only U.S. dredging service provider with significant international operations, which represented approximately 14% of the Company’s dredging revenues for 2010, down from the Company’s three year average of 23%.</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three primary types of work: capital, beach nourishment and maintenance. The Company’s “bid market” is defined as the aggregate dollar value of domestic projects on which the Company bid or could have bid if not for capacity constraints. The Company has experienced an average combined bid market share in the U.S. of 39% over the past three years, including 44%, 32% and 52% of the capital, beach nourishment and maintenance sectors, respectively. These bid market shares do not reflect the activities of Matteson prior to December 31, 2010.</w:t>
      </w:r>
    </w:p>
    <w:p>
      <w:pPr>
        <w:spacing w:after="0" w:line="1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With its acquisition of Matteson, on January 1, 2011 the Company began to provide the following additional dredging and other services: inland lake and river dredging, inland levee and construction dredging, environmental restoration and habitat improvement and other marine construction. In 2010, Matteson’s revenues were $37.2 million.</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fleet of 35 dredges, of which 10 are deployed internationally, 21 material transportation barges, two drillboats, and numerous other specialized support vessels is the largest and most diverse fleet of any U.S. dredging company. The mobility of the Company’s fleet enables us to move equipment in response to changes in demand for dredging services to take advantage of the most attractive opportunities to employ our dredges. The Company estimates the replacement cost of the Company’s fleet to be in excess of $1.5 billion in the current market.</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largest domestic dredging customer is the Army Corp of Engineers (“Corps”) which is responsible for federally funded projects related to navigation and flood control of U.S. waterways. Approximately 60% of our 2010 dredging revenues resulted from contracts with federal government agencies, including the Corps as well as other federal entities such as the U.S. Coast Guard and the U.S. Navy. This is comparable with the Company’s three year average.</w:t>
      </w:r>
    </w:p>
    <w:p>
      <w:pPr>
        <w:spacing w:after="0" w:line="10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Company also owns a majority interest in NASDI, a demolition service provider headquartered in the Boston, Massachusetts area. NASDI’s principal services consist of interior and exterior demolition of commercial and industrial buildings, salvage and recycling of related materials, and removal of hazardous substances and materials. The majority of NASDI’s work has historically been performed in the New England area; however, NASDI is currently expanding into the New York area and other markets including marine and bridge demolition. In January 2009, the Company acquired a 65% interest in Yankee, a provider of environmental remediation services including asbestos abatement and removal of other hazardous materials for private and governmental entities. Prior to this acquisition, Yankee served as a subcontractor on many NASDI projects, and continues to serve as a subcontractor many NASDI projects subsequent to the acquisition.</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has a 50% ownership interest in Amboy. Amboy’s primary business is mining sand from the entrance channel to New York harbor in order to provide sand and aggregate for use in road and building construction. Together with the Company’s Amboy joint venture partner, the Company owns a 50% interest 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land that is adjacent to Amboy’s property and may be used in conjunction with Amboy’s operations. The Company’s investment in Amboy is accounted for using the equity method.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operates in two reporting segments: dredging and demolition.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Revenues</w:t>
      </w:r>
    </w:p>
    <w:p>
      <w:pPr>
        <w:spacing w:after="0" w:line="13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Most of the Company’s dredging contracts are obtained through competitive bidding on terms specified by the party inviting the bid. The types of equipment required to perform the specified service and the estimated project duration affect the cost of performing the contract and the price that dredging contractors will bid.</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recognizes contract revenues under the percentage-of-completion method, based on the Company’s engineering estimates of the physical percentage completed for dredging projects and using a cost-to-cost approach for demolition projects. For dredging projects, costs of contract revenues are adjusted to reflect the gross profit percentage expected to be achieved upon ultimate completion of each dredging project. For demolition projects, contract revenues are adjusted to reflect the estimated gross profit percentage. Provisions for estimated losses on contracts in progress are made in the period in which such losses are determined.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Contract modifications may be negotiated when a change from the original contract specifications is encountered, necessitating a change in project scope or performance methodology and/or material disposal. Significant expenditures incurred incidental to major contracts are deferred and recognized as costs of contracts based on contract performance over the duration of the related project. These expenditures are reported as prepaid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3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fuel, subcontracts, rentals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cost structure includes significant annual equipment related costs, including depreciation, maintenance, insurance and long-term equipment rentals, averaging approximately 21% to 22% of total costs of contract revenues over the last three years. During the year, both equipment utilization and the timing of cost expenditures fluctuate significantly. Accordingly, the Company allocates these equipment costs to interim periods in proportion to revenues recognized over the year to better match revenues and expenses. Specifically, at each interim reporting date the Company compares actual revenues earned to date on the Company’s dredging contracts to expected annual revenues and recognizes equipment costs on the same proportionate basis. In the fourth quarter, any over and under allocated equipment costs are recognized such that the expense for the year equals actual equipment costs incurred during the year. As a result of this methodology, the recorded expense in any interim period may be higher or lower than the actual equipment costs incurred in that interim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that Determine Operating Profitability</w:t>
      </w:r>
    </w:p>
    <w:p>
      <w:pPr>
        <w:spacing w:after="0" w:line="13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Dredging</w:t>
      </w:r>
      <w:r>
        <w:rPr>
          <w:rFonts w:ascii="Arial" w:cs="Arial" w:eastAsia="Arial" w:hAnsi="Arial"/>
          <w:sz w:val="18"/>
          <w:szCs w:val="18"/>
          <w:color w:val="auto"/>
        </w:rPr>
        <w:t>. The Company’s results of operations for its dredging segment for a calendar or quarterly period are generally determined by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three factors:</w:t>
      </w:r>
    </w:p>
    <w:p>
      <w:pPr>
        <w:spacing w:after="0" w:line="105" w:lineRule="exact"/>
        <w:rPr>
          <w:sz w:val="20"/>
          <w:szCs w:val="20"/>
          <w:color w:val="auto"/>
        </w:rPr>
      </w:pPr>
    </w:p>
    <w:p>
      <w:pPr>
        <w:ind w:left="660" w:right="160" w:hanging="206"/>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Bid wins and dredge employment</w:t>
      </w:r>
      <w:r>
        <w:rPr>
          <w:rFonts w:ascii="Arial" w:cs="Arial" w:eastAsia="Arial" w:hAnsi="Arial"/>
          <w:sz w:val="18"/>
          <w:szCs w:val="18"/>
          <w:color w:val="auto"/>
        </w:rPr>
        <w:t>—The Company’s dredging segment generates revenues when the Company wins a bid for a dredging contract and</w:t>
      </w:r>
      <w:r>
        <w:rPr>
          <w:rFonts w:ascii="Arial" w:cs="Arial" w:eastAsia="Arial" w:hAnsi="Arial"/>
          <w:sz w:val="18"/>
          <w:szCs w:val="18"/>
          <w:i w:val="1"/>
          <w:iCs w:val="1"/>
          <w:color w:val="auto"/>
        </w:rPr>
        <w:t xml:space="preserve"> </w:t>
      </w:r>
      <w:r>
        <w:rPr>
          <w:rFonts w:ascii="Arial" w:cs="Arial" w:eastAsia="Arial" w:hAnsi="Arial"/>
          <w:sz w:val="18"/>
          <w:szCs w:val="18"/>
          <w:color w:val="auto"/>
        </w:rPr>
        <w:t>starts that project. Although the Company’s dredging equipment is subject to downtime for scheduled periodic maintenance and repair, the Company seeks to maximize its revenues by employing its dredging equipment on a full-time basis. If a dredge is idle (i.e., the dredge is not employed on a dredging project or undergoing scheduled periodic maintenance and repair), the Company does not earn revenue with respect to that dredge during the time period for which it is idle.</w:t>
      </w:r>
    </w:p>
    <w:p>
      <w:pPr>
        <w:spacing w:after="0" w:line="115" w:lineRule="exact"/>
        <w:rPr>
          <w:rFonts w:ascii="Arial" w:cs="Arial" w:eastAsia="Arial" w:hAnsi="Arial"/>
          <w:sz w:val="18"/>
          <w:szCs w:val="18"/>
          <w:color w:val="auto"/>
        </w:rPr>
      </w:pPr>
    </w:p>
    <w:p>
      <w:pPr>
        <w:ind w:left="660" w:right="40" w:hanging="206"/>
        <w:spacing w:after="0" w:line="298"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Project and dredge mix</w:t>
      </w:r>
      <w:r>
        <w:rPr>
          <w:rFonts w:ascii="Arial" w:cs="Arial" w:eastAsia="Arial" w:hAnsi="Arial"/>
          <w:sz w:val="16"/>
          <w:szCs w:val="16"/>
          <w:color w:val="auto"/>
        </w:rPr>
        <w:t>—The Company’s domestic dredging projects generally involve domestic capital, maintenance and beach nourishment work and</w:t>
      </w:r>
      <w:r>
        <w:rPr>
          <w:rFonts w:ascii="Arial" w:cs="Arial" w:eastAsia="Arial" w:hAnsi="Arial"/>
          <w:sz w:val="16"/>
          <w:szCs w:val="16"/>
          <w:i w:val="1"/>
          <w:iCs w:val="1"/>
          <w:color w:val="auto"/>
        </w:rPr>
        <w:t xml:space="preserve"> </w:t>
      </w:r>
      <w:r>
        <w:rPr>
          <w:rFonts w:ascii="Arial" w:cs="Arial" w:eastAsia="Arial" w:hAnsi="Arial"/>
          <w:sz w:val="16"/>
          <w:szCs w:val="16"/>
          <w:color w:val="auto"/>
        </w:rPr>
        <w:t>its foreign dredging projects generally involve capital work. In addition, the Company’s dredging projects vary in duration and, in general, projects of longer duration result in less dredge downtime in a given period. Moreover, the Company’s dredges have different physical capabilities and typically work on certain types of dredging projects. Accordingly, the Company’s dredges have different daily revenue generating capacities.</w:t>
      </w:r>
    </w:p>
    <w:p>
      <w:pPr>
        <w:spacing w:after="0" w:line="72" w:lineRule="exact"/>
        <w:rPr>
          <w:sz w:val="20"/>
          <w:szCs w:val="20"/>
          <w:color w:val="auto"/>
        </w:rPr>
      </w:pPr>
    </w:p>
    <w:p>
      <w:pPr>
        <w:ind w:left="700" w:right="100"/>
        <w:spacing w:after="0" w:line="312" w:lineRule="auto"/>
        <w:rPr>
          <w:sz w:val="20"/>
          <w:szCs w:val="20"/>
          <w:color w:val="auto"/>
        </w:rPr>
      </w:pPr>
      <w:r>
        <w:rPr>
          <w:rFonts w:ascii="Arial" w:cs="Arial" w:eastAsia="Arial" w:hAnsi="Arial"/>
          <w:sz w:val="15"/>
          <w:szCs w:val="15"/>
          <w:color w:val="auto"/>
        </w:rPr>
        <w:t>The Company generally expects to achieve different levels of gross margin (i.e., gross profit divided by revenues) for work performed on the different types of dredging projects and for work performed by different types of dredges. The Company’s expected gross margin for a project is based upon the Company’s estimates at the time of the bid. Although the Company seeks to bid on and win projects that will maximize its gross margin, the Company cannot control the type of dredging projects that are bid from time to time, the type of dredge that is needed to complete these projects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the Company works on a mix of dredging projects that, in the aggregate, have relatively low expected gross margins (based on project type and dredges employed).</w:t>
      </w:r>
    </w:p>
    <w:p>
      <w:pPr>
        <w:spacing w:after="0" w:line="78" w:lineRule="exact"/>
        <w:rPr>
          <w:sz w:val="20"/>
          <w:szCs w:val="20"/>
          <w:color w:val="auto"/>
        </w:rPr>
      </w:pPr>
    </w:p>
    <w:p>
      <w:pPr>
        <w:ind w:left="660" w:right="60" w:hanging="206"/>
        <w:spacing w:after="0" w:line="29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Project execution</w:t>
      </w:r>
      <w:r>
        <w:rPr>
          <w:rFonts w:ascii="Arial" w:cs="Arial" w:eastAsia="Arial" w:hAnsi="Arial"/>
          <w:sz w:val="16"/>
          <w:szCs w:val="16"/>
          <w:color w:val="auto"/>
        </w:rPr>
        <w:t>—The Company seeks to execute all of its dredging projects consistent with its project estimates. In general, the Company’s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achieve its project estimates depends upon many factors including weather, variances from estimated project conditions, equipment mobilization time periods, unplanned equipment downtime or other events or circumstances beyond the Company’s control. If the Company experiences any of these events and circumstances, the completion of a dredging project will often be accelerated or delayed, as applicable, and, consequently, the Company will experience project results that are better or worse than its estimates. The Company does its best to estimate for events and circumstances that are not within its control; however, these situations are inherent in dredging.</w:t>
      </w:r>
    </w:p>
    <w:p>
      <w:pPr>
        <w:spacing w:after="0" w:line="12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i w:val="1"/>
          <w:iCs w:val="1"/>
          <w:color w:val="auto"/>
        </w:rPr>
        <w:t xml:space="preserve">Demolition. </w:t>
      </w:r>
      <w:r>
        <w:rPr>
          <w:rFonts w:ascii="Arial" w:cs="Arial" w:eastAsia="Arial" w:hAnsi="Arial"/>
          <w:sz w:val="15"/>
          <w:szCs w:val="15"/>
          <w:color w:val="auto"/>
        </w:rPr>
        <w:t>The Company’s demolition segment generates revenues when the Company is awarded a contract for demolition services and performs the</w:t>
      </w:r>
      <w:r>
        <w:rPr>
          <w:rFonts w:ascii="Arial" w:cs="Arial" w:eastAsia="Arial" w:hAnsi="Arial"/>
          <w:sz w:val="15"/>
          <w:szCs w:val="15"/>
          <w:i w:val="1"/>
          <w:iCs w:val="1"/>
          <w:color w:val="auto"/>
        </w:rPr>
        <w:t xml:space="preserve"> </w:t>
      </w:r>
      <w:r>
        <w:rPr>
          <w:rFonts w:ascii="Arial" w:cs="Arial" w:eastAsia="Arial" w:hAnsi="Arial"/>
          <w:sz w:val="15"/>
          <w:szCs w:val="15"/>
          <w:color w:val="auto"/>
        </w:rPr>
        <w:t>project. The Company’s revenues from its demolition segment increase or decrease based upon market demand. Like the Company’s dredging segment, results of operations for the Company’s demolition segment fluctuate based upon project mix and the Company’s ability to execute its projects consistent with its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significant accounting policies are discussed in the Notes to the Consolidated Financial Statements. The application of certain of these policies requires significant judgments or an estimation process that can affect the Company’s results of operations, financial position and cash flows, as well as the related footnote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disclosures. The Company bases its estimates on historical experience and other assumptions that it believes are reasonable. If actual amounts are ultimately different from previous estimates, the revisions are included in the Company’s results of operations for the period in which the actual amounts become known. The following accounting policies comprise those that management believes are the most critical to aid in fully understanding and evaluating the Company’s reported financial results.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Percentage-of-completion method of revenue recognition</w:t>
      </w:r>
      <w:r>
        <w:rPr>
          <w:rFonts w:ascii="Arial" w:cs="Arial" w:eastAsia="Arial" w:hAnsi="Arial"/>
          <w:sz w:val="16"/>
          <w:szCs w:val="16"/>
          <w:color w:val="auto"/>
        </w:rPr>
        <w:t>—The Company’s contract revenues are recognized under the percentage-of-completion method,</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by its nature based on an estimation process. For dredging projects, the Company uses engineering estimates of the physical percentage of completion. For demolition projects, the Company uses estimates of remaining costs-to-complete to determine the percentage of project completion. In preparing the Company’s estimates, it draws on its extensive experience in the dredging and demolition businesses and its database of historical dredging information to assure that its estimates are as accurate as possible, given current circumstances. Provisions for estimated losses on contracts in progress are made in the period in which such losses are determined. Claims for additional compensation are not recognized in contract revenues until such claims are settled. Cost and profit estimates are reviewed on a periodic basis to reflect changes in expected project performance.</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Impairment of goodwill</w:t>
      </w:r>
      <w:r>
        <w:rPr>
          <w:rFonts w:ascii="Arial" w:cs="Arial" w:eastAsia="Arial" w:hAnsi="Arial"/>
          <w:sz w:val="18"/>
          <w:szCs w:val="18"/>
          <w:color w:val="auto"/>
        </w:rPr>
        <w:t>—Goodwill is tested for impairment at the reporting unit level on an annual basis and between annual tests if an event occurs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The Company performs its annual impairment test as of July 1 each year. The Company operates in two reporting segments: dredging and demolition. These reporting segments are the Company’s operating segments and reporting units at which the Company tests goodwill for impairment.</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assesses the fair values of its reporting units using both a market approach and an income approach. Under the income approach, the fair value of the reporting unit is based on the present value of estimated future cash flows. The income approach is dependent on a number of factors, including estimates of future market growth trends, forecasted revenues and expenses, expected periods the assets will be utilized, appropriate discount rates and other variables. The estimates are based on assumptions that the Company believes to be reasonable, but which are unpredictable and inherently uncertain. Changes in these estimates and assumptions could materially affect the determination of fair value, and may result in the impairment of goodwill in the event that actual results differ from those estimates.</w:t>
      </w:r>
    </w:p>
    <w:p>
      <w:pPr>
        <w:spacing w:after="0" w:line="144"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color w:val="auto"/>
        </w:rPr>
        <w:t>The market approach measures the value of an entity through comparison to comparable companies. Under the market approach, the Company uses the guideline public company method by applying estimated market-based enterprise value multiples to the reporting unit’s estimated revenue and EBITDA. The Company analyzed companies that performed similar services or are considered competitors. Due to the fact that there are no public companies that are direct competitors, the Company weighed the results of this approach less than the income approach.</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At December 31, 2010, the majority of goodwill represents the purchase price in excess of the net amount assigned to assets acquired and liabilities assumed by Madison Dearborn Capital Partners IV, L.P. on December 23, 2003. Goodwill was allocated between the Company’s two reporting segments, dredging and demolition, based on the value assigned to each segment at that time. At both December 31, 2010 and 2009, dredging goodwill was $76.6 million and demolition goodwill was $21.5 million.</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performed its most recent annual test of impairment as of July 1, 2010 for the goodwill in both the dredging and demolition segments with no indication of goodwill impairment as of the test date. As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test date, the fair value of both the dredging segment and the demolition segment were in excess of their carrying values by approximately 25%.</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goodwill impairment test was performed in the fourth quarter for either segment because no triggering event occurred which would require such a test.</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—The Company evaluates the carrying value of long-lived assets whenever events or changes in circumstances indicate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an impairment may exist. Our policy is to recognize an impairment charge when an asset’s carrying value exceeds its net undiscounted future cash flows. The amount of the charge is the difference between the asset’s book value and fair market value. Our policy is to estimate the undiscounted future cash flows using financial projections that require the exercise of significant judgment on the part of management. Changes in these projections may expose us to future impairment charges. If a triggering event requiring impairment testing occurs, the Company would evaluate the remaining useful lives of these assets to determine whether the lives are still appropriate.</w:t>
      </w:r>
    </w:p>
    <w:p>
      <w:pPr>
        <w:spacing w:after="0" w:line="14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Self-insurance reserves</w:t>
      </w:r>
      <w:r>
        <w:rPr>
          <w:rFonts w:ascii="Arial" w:cs="Arial" w:eastAsia="Arial" w:hAnsi="Arial"/>
          <w:sz w:val="18"/>
          <w:szCs w:val="18"/>
          <w:color w:val="auto"/>
        </w:rPr>
        <w:t>—The Company self-insures costs associated with its seagoing employees covered by the provisions of Jones Act, workers’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claims, hull and equipment liability and general business liabilities up to certain limits. Insurance reserves are established for estimates of the loss that the Company will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Operations—Fiscal Years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net income as a percentage of contract revenues for the years ended December 31: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(82.1)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(85.8)</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(7.4)</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Interest expense, net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joint ventures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220"/>
              <w:spacing w:after="0"/>
              <w:rPr>
                <w:sz w:val="20"/>
                <w:szCs w:val="20"/>
                <w:color w:val="auto"/>
              </w:rPr>
            </w:pPr>
            <w:r>
              <w:rPr>
                <w:rFonts w:ascii="Arial" w:cs="Arial" w:eastAsia="Arial" w:hAnsi="Arial"/>
                <w:sz w:val="18"/>
                <w:szCs w:val="18"/>
                <w:color w:val="auto"/>
              </w:rPr>
              <w:t>Income before income taxes</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7.9</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2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4.9</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22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80" w:type="dxa"/>
            <w:vAlign w:val="bottom"/>
            <w:vMerge w:val="continue"/>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700"/>
              <w:spacing w:after="0"/>
              <w:rPr>
                <w:sz w:val="20"/>
                <w:szCs w:val="20"/>
                <w:color w:val="auto"/>
              </w:rPr>
            </w:pPr>
            <w:r>
              <w:rPr>
                <w:rFonts w:ascii="Arial" w:cs="Arial" w:eastAsia="Arial" w:hAnsi="Arial"/>
                <w:sz w:val="18"/>
                <w:szCs w:val="18"/>
                <w:color w:val="auto"/>
              </w:rPr>
              <w:t>40</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Contract Revenues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by segment and type of work, the Company’s contract revenues for the years ended December 31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0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Dredging:</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Capital—U.S.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$300,873</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$203,147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$153,414</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Capital—foreign</w:t>
            </w:r>
          </w:p>
        </w:tc>
        <w:tc>
          <w:tcPr>
            <w:tcW w:w="660" w:type="dxa"/>
            <w:vAlign w:val="bottom"/>
          </w:tcPr>
          <w:p>
            <w:pPr>
              <w:jc w:val="right"/>
              <w:spacing w:after="0"/>
              <w:rPr>
                <w:sz w:val="20"/>
                <w:szCs w:val="20"/>
                <w:color w:val="auto"/>
              </w:rPr>
            </w:pPr>
            <w:r>
              <w:rPr>
                <w:rFonts w:ascii="Arial" w:cs="Arial" w:eastAsia="Arial" w:hAnsi="Arial"/>
                <w:sz w:val="18"/>
                <w:szCs w:val="18"/>
                <w:color w:val="auto"/>
              </w:rPr>
              <w:t>82,898</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134,123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172,345</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Beach nourishment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106,163</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62,133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63,550</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Maintenance</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119,035</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174,908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95,350</w:t>
            </w:r>
          </w:p>
        </w:tc>
        <w:tc>
          <w:tcPr>
            <w:tcW w:w="100" w:type="dxa"/>
            <w:vAlign w:val="bottom"/>
          </w:tcPr>
          <w:p>
            <w:pPr>
              <w:spacing w:after="0"/>
              <w:rPr>
                <w:sz w:val="18"/>
                <w:szCs w:val="18"/>
                <w:color w:val="auto"/>
              </w:rPr>
            </w:pPr>
          </w:p>
        </w:tc>
      </w:tr>
      <w:tr>
        <w:trPr>
          <w:trHeight w:val="27"/>
        </w:trPr>
        <w:tc>
          <w:tcPr>
            <w:tcW w:w="6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dredging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608,969</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574,311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484,659</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Demolition</w:t>
            </w:r>
          </w:p>
        </w:tc>
        <w:tc>
          <w:tcPr>
            <w:tcW w:w="660" w:type="dxa"/>
            <w:vAlign w:val="bottom"/>
          </w:tcPr>
          <w:p>
            <w:pPr>
              <w:jc w:val="right"/>
              <w:spacing w:after="0"/>
              <w:rPr>
                <w:sz w:val="20"/>
                <w:szCs w:val="20"/>
                <w:color w:val="auto"/>
              </w:rPr>
            </w:pPr>
            <w:r>
              <w:rPr>
                <w:rFonts w:ascii="Arial" w:cs="Arial" w:eastAsia="Arial" w:hAnsi="Arial"/>
                <w:sz w:val="18"/>
                <w:szCs w:val="18"/>
                <w:color w:val="auto"/>
              </w:rPr>
              <w:t>77,953</w:t>
            </w:r>
          </w:p>
        </w:tc>
        <w:tc>
          <w:tcPr>
            <w:tcW w:w="3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47,933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102,220</w:t>
            </w:r>
          </w:p>
        </w:tc>
        <w:tc>
          <w:tcPr>
            <w:tcW w:w="100" w:type="dxa"/>
            <w:vAlign w:val="bottom"/>
          </w:tcPr>
          <w:p>
            <w:pPr>
              <w:spacing w:after="0"/>
              <w:rPr>
                <w:sz w:val="18"/>
                <w:szCs w:val="18"/>
                <w:color w:val="auto"/>
              </w:rPr>
            </w:pPr>
          </w:p>
        </w:tc>
      </w:tr>
      <w:tr>
        <w:trPr>
          <w:trHeight w:val="27"/>
        </w:trPr>
        <w:tc>
          <w:tcPr>
            <w:tcW w:w="67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686,922</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622,244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586,879</w:t>
            </w:r>
          </w:p>
        </w:tc>
        <w:tc>
          <w:tcPr>
            <w:tcW w:w="100" w:type="dxa"/>
            <w:vAlign w:val="bottom"/>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Year Ended December 31, 2009</w:t>
      </w:r>
    </w:p>
    <w:p>
      <w:pPr>
        <w:spacing w:after="0" w:line="13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Dredging revenues were $609 million in 2010, an increase of $34.7 million, or 6%, over 2009 dredging revenues of $574.3 million. This increase was primarily due to higher revenues in the capital and beach markets more than offsetting lower revenues in the foreign and maintenance markets. Highlights from the Company’s primary dredging sectors are as follows:</w:t>
      </w:r>
    </w:p>
    <w:p>
      <w:pPr>
        <w:spacing w:after="0" w:line="113" w:lineRule="exact"/>
        <w:rPr>
          <w:sz w:val="20"/>
          <w:szCs w:val="20"/>
          <w:color w:val="auto"/>
        </w:rPr>
      </w:pPr>
    </w:p>
    <w:p>
      <w:pPr>
        <w:ind w:left="660" w:hanging="206"/>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from domestic capital dredging projects of $300.9 million in 2010 increased $97.7 million, or 48.1%, from 2009 revenues of $203.1 million. During the second half of 2010, several of the Company’s dredges and ancillary equipment worked on sand berm construction off the coast of Louisiana in response to the Deepwater Horizon oil spill in the Gulf of Mexico. In addition, capital dredging revenues included continued deepening work in the ports of New York, New Jersey, and Jacksonville.</w:t>
      </w:r>
    </w:p>
    <w:p>
      <w:pPr>
        <w:spacing w:after="0" w:line="116" w:lineRule="exact"/>
        <w:rPr>
          <w:rFonts w:ascii="Arial" w:cs="Arial" w:eastAsia="Arial" w:hAnsi="Arial"/>
          <w:sz w:val="18"/>
          <w:szCs w:val="18"/>
          <w:color w:val="auto"/>
        </w:rPr>
      </w:pPr>
    </w:p>
    <w:p>
      <w:pPr>
        <w:ind w:left="660" w:right="140" w:hanging="206"/>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from beach nourishment projects of $106.2 million in 2010 increased $44.1 million, or 71.0%, from $62.1 million in 2009. The amount of beach work won by the Company in the second half of 2009 significantly exceeded the amount of beach work won by the Company in the second half of 2008. As the Company performs much of its beach work during the first half of each year, when environmental windows are open, the increased backlog at the end of 2009 resulted in increased 2010 beach revenues.</w:t>
      </w:r>
    </w:p>
    <w:p>
      <w:pPr>
        <w:spacing w:after="0" w:line="116" w:lineRule="exact"/>
        <w:rPr>
          <w:rFonts w:ascii="Arial" w:cs="Arial" w:eastAsia="Arial" w:hAnsi="Arial"/>
          <w:sz w:val="18"/>
          <w:szCs w:val="18"/>
          <w:color w:val="auto"/>
        </w:rPr>
      </w:pPr>
    </w:p>
    <w:p>
      <w:pPr>
        <w:ind w:left="660" w:hanging="206"/>
        <w:spacing w:after="0" w:line="294"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Revenues from maintenance dredging projects in 2010 were $119.0 million, a decrease of $55.9 million, or 31.9%, from $174.9 million in 2009. Maintenance revenue in 2009 was uncharacteristically high because the Corps put many delayed projects out to bid. The Company believes that funding of many maintenance projects bid in 2009 was augmented by the federal economic stimulus. The Company believes that substantially all of the stimulus funded projects were completed by June 30, 2010. In addition, the number of maintenance projects worked on during the second half of the year declined due to the dredging industry’s response to the Deepwater Horizon oil spill in the Gulf of Mexico.</w:t>
      </w:r>
    </w:p>
    <w:p>
      <w:pPr>
        <w:spacing w:after="0" w:line="88" w:lineRule="exact"/>
        <w:rPr>
          <w:rFonts w:ascii="Arial" w:cs="Arial" w:eastAsia="Arial" w:hAnsi="Arial"/>
          <w:sz w:val="16"/>
          <w:szCs w:val="16"/>
          <w:color w:val="auto"/>
        </w:rPr>
      </w:pPr>
    </w:p>
    <w:p>
      <w:pPr>
        <w:ind w:left="660" w:right="40" w:hanging="206"/>
        <w:spacing w:after="0" w:line="30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Revenues from foreign dredging operations in 2010 totaled $82.9 million, a decrease of $51.2 million, or 38.2%, from 2009 revenues of $134.1 million. Foreign revenues started to decline in the second half of 2009 as the global recession significantly slowed the rate of infrastructure development in the Middle East. In 2010, the Company worked on international projects outside of Bahrain, including in the United Arab Emirates and Brazil.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Demolition segment revenues in 2010 were $78.0 million, an increase of $30.1 million, or 62.6%, over 2009 revenues of $47.9 million. This increase was primarily related to improved market conditions in Massachusetts and increased activity in New York as well as with respect to bridge demolition, new markets for the demolition segment. In 2009, demolition revenues were negatively impacted by the slowdown in the U.S. construction industry.</w:t>
      </w:r>
    </w:p>
    <w:p>
      <w:pPr>
        <w:spacing w:after="0" w:line="10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Dredging segment gross profit increased 32.4% to $117.7 million from $88.9 million in 2009, and dredging segment gross profit margin (dredging gross profit divided by dredging revenue) was 19.3%, up from 15.6% in 2009. The increases in gross profit and gross profit margin were primarily due to increased dredging revenues and dredging project execution that in the aggregate was better than the Company’s estimates.</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Demolition segment gross profit increased $5.7 million from a gross loss of $0.7 million in 2009 to a gross profit of $5.0 million in 2010 and demolition segment gross profit margin was 6.5%, up from a negative gross profit margin of 1.8% in 2009, primarily due to improved market conditions which resulted in increased revenues. While demolition segment gross profit margins have improved in comparison to 2009, they remain lower than pre-recession gross profit margins, reflecting continuing competitive pricing pressures.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Dredging segment operating income for 2010 increased 41.4% reaching $70.5 million versus $49.8 million in 2009, as increased gross profit offset a 20.9% increase in general and administrative expenses. These expenses increased primarily due to $7.2 million in costs that were incurred for severance, legal and consulting expenses that were incurred in conjunction with the senior management reorganization. See Note 21 “Senior Management Reorganization” in the Notes to Consolidated Financial Statements.</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Demolition segment operating loss for 2010 decreased $5.5 million from $7.6 million in 2009 to $2.1 million in 2010. Despite improved gross profit, the demolition segment incurred losses with respect to certain projects including a large bridge demolition project, one of the demolition segment’s first projects of this type. In 2010, the demolition segment recorded a loss of $3.0 million related to this bridge demolition project. In addition, demolition segment operating results in 2009 were negatively impacted by certain projects that had been worked on in 2008 and canceled in 2009, resulting in write-offs of $3.8 million. Demolition segment general and administrative expenses for 2010 of $6.8 million increased 7.9% compared with $6.3 million in 2009 primarily as a result of an increase in bad debt expense and incentive pay.</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Consolidated general and administrative expenses as a percentage of revenue have been generally consistent, ranging between 7.4% and 7.9% of revenues over the last three years. In 2010, general and administrative expenses increased due to additional expenses related to the Company’s senior management reorganization.</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Company’s net interest expense for 2010 totaled $13.5 million compared with $16.2 million in 2009. This decrease is due to the lower average outstanding borrowings on the Company’s revolving credit facility during 2010. In addition, in 2010 the Company realized a $2.1 million gain on its outstanding interest rate swaps compared to a $0.4 million gain during 2009.</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incurred income tax expense of $20.6 million in 2010 compared with $10.9 million in 2009. This $9.7 million increase is primarily the result of the increase in the Company’s operating income. The effective tax rate for the year ended December 31, 2010 was 37.9% compared to 42.7% for the year ended December 31, 2009. The decrease in the effective tax rate was due to the resolution of certain state tax matters.</w:t>
      </w:r>
    </w:p>
    <w:p>
      <w:pPr>
        <w:spacing w:after="0" w:line="107"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For the year ended December 31, 2010, net income attributable to Great Lakes was $34.6 million compared to $17.5 million for the year ended December 31, 2009. This $17.1 million increase was primarily driven by higher operating income in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1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Dredging revenues were $574.3 million in 2009, an increase of $89.6 million, or 18.7%, over 2008 dredging revenues of $484.7 million, due to a higher level of dredge employment in 2009. In particular, the 2009 increase was the result of increased domestic dredging operations that more than offset decreased foreign dredging activity. Dredging gross margin was 15.6%, up from 11.8% in 2008, primarily due to increased dredging revenues and project execution that was better than the Company’s estimates for certain projects, particularly in the first half of the year. Highlights from the Company’s primary dredging sectors are as follows:</w:t>
      </w:r>
    </w:p>
    <w:p>
      <w:pPr>
        <w:spacing w:after="0" w:line="116" w:lineRule="exact"/>
        <w:rPr>
          <w:sz w:val="20"/>
          <w:szCs w:val="20"/>
          <w:color w:val="auto"/>
        </w:rPr>
      </w:pPr>
    </w:p>
    <w:p>
      <w:pPr>
        <w:ind w:left="660" w:right="26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from domestic capital dredging projects of $203.1 million in 2009 were up $49.7 million, or 32.4%, from 2008 revenues of $153.4 million. This increase was driven by additional capital projects, including deepening work in the ports of New York, New Jersey, Jacksonville and Tampa, Florida and three coastal restoration projects in Louisiana.</w:t>
      </w:r>
    </w:p>
    <w:p>
      <w:pPr>
        <w:spacing w:after="0" w:line="113"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from beach nourishment projects of $62.1 million in 2009 decreased $1.4 million, or 2.2%, from $63.5 million in 2008. Beach revenues were negatively impacted throughout 2008 and the beginning of 2009 as state and local governments experienced delays in getting the necessary funding to put projects out to bid. More beach work was bid and worked in the second half of 2009.</w:t>
      </w:r>
    </w:p>
    <w:p>
      <w:pPr>
        <w:spacing w:after="0" w:line="113" w:lineRule="exact"/>
        <w:rPr>
          <w:rFonts w:ascii="Arial" w:cs="Arial" w:eastAsia="Arial" w:hAnsi="Arial"/>
          <w:sz w:val="18"/>
          <w:szCs w:val="18"/>
          <w:color w:val="auto"/>
        </w:rPr>
      </w:pPr>
    </w:p>
    <w:p>
      <w:pPr>
        <w:ind w:left="660" w:right="26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from maintenance dredging projects in 2009 were $174.9 million, an increase of $79.6 million, or 83.4%, from $95.4 million in 2008. This increase was due to the Corps continuing to put out maintenance work that had long been delayed. The Company believes that many maintenance projects were supported by the federal economic stimulus funding.</w:t>
      </w:r>
    </w:p>
    <w:p>
      <w:pPr>
        <w:spacing w:after="0" w:line="113" w:lineRule="exact"/>
        <w:rPr>
          <w:rFonts w:ascii="Arial" w:cs="Arial" w:eastAsia="Arial" w:hAnsi="Arial"/>
          <w:sz w:val="18"/>
          <w:szCs w:val="18"/>
          <w:color w:val="auto"/>
        </w:rPr>
      </w:pPr>
    </w:p>
    <w:p>
      <w:pPr>
        <w:jc w:val="both"/>
        <w:ind w:left="660" w:right="60" w:hanging="206"/>
        <w:spacing w:after="0" w:line="30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Revenues from foreign dredging operations in 2009 totaled $134.1 million, a decrease of $38.2 million, or 22%, from 2008 revenues of $172.3 million. Revenues decreased due to the postponement of a portion of the Company’s largest foreign project and declining Middle Eastern demand resulting from the global recession, instability in oil prices and the deterioration of the region’s real estate market in 2008 and 2009.</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Demolition segment revenues in 2009 were $47.9 million, a decrease of $54.3 million, or 53%, over 2008 revenues of $102.2 million. As the construction and real estate development market continued to slow in 2009, new project opportunities were scarce. In addition, a few projects that had been worked on in 2008 were canceled in 2009, resulting in write offs related to those projects. Moreover, several large demolition projects were worked on in 2008 and were not replaced in 2009. As a result, the demolition segment recorded negative gross profit margin of 1.8% compared to gross profit margin of 11.9% in 2008.</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Dredging segment operating income for 2009 increased 124% reaching $49.8 million versus $22.2 million in 2008, as strong gross profit performance offset a 12.1% increase in general and administrative expenses. These expenses increased primarily due to higher payroll and incentive costs, legal expenses and other costs related to the Company’s August 2009 secondary offering of stock.</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2009, the demolition segment produced an operating loss of $7.6 million, compared to operating income of $3.9 million in 2008 due to weaker gross profit performance including write offs related to canceled projects. Demolition segment general and administrative expenses for 2009 of $6.3 million decreased 21.6% compared with $8.0 million in 2008 primarily as a result of a decrease in incentive pay.</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Consolidated general and administrative expenses as a percentage of revenue have been generally consistent, ranging between 7.3% and 7.5% of revenues over the last three years.</w:t>
      </w:r>
    </w:p>
    <w:p>
      <w:pPr>
        <w:spacing w:after="0" w:line="132"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Company’s net interest expense for the year ended December 31, 2009 totaled $16.2 million compared with $17.0 million in 2008. While average debt levels were consistent year over year, lower interest rates decreased interest expense. The Company entered into new interest rate swap agreements in 2009 for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which the Company realized a $0.5 million gain during the year. In 2008 the Company also realized a $0.5 million gain on its former swap agreements.</w:t>
      </w:r>
    </w:p>
    <w:p>
      <w:pPr>
        <w:spacing w:after="0" w:line="19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incurred income tax expense of $10.9 million compared with $3.8 million in 2008. This $7.1 million increase is primarily the result of the increase in the Company’s operating income. The effective tax rate for the year ended December 31, 2009 was 42.7% compared to 42.1% for the year ended December 31, 2008.</w:t>
      </w:r>
    </w:p>
    <w:p>
      <w:pPr>
        <w:spacing w:after="0" w:line="140" w:lineRule="exact"/>
        <w:rPr>
          <w:sz w:val="20"/>
          <w:szCs w:val="20"/>
          <w:color w:val="auto"/>
        </w:rPr>
      </w:pPr>
    </w:p>
    <w:p>
      <w:pPr>
        <w:ind w:right="980" w:firstLine="456"/>
        <w:spacing w:after="0" w:line="332" w:lineRule="auto"/>
        <w:rPr>
          <w:sz w:val="20"/>
          <w:szCs w:val="20"/>
          <w:color w:val="auto"/>
        </w:rPr>
      </w:pPr>
      <w:r>
        <w:rPr>
          <w:rFonts w:ascii="Arial" w:cs="Arial" w:eastAsia="Arial" w:hAnsi="Arial"/>
          <w:sz w:val="16"/>
          <w:szCs w:val="16"/>
          <w:color w:val="auto"/>
        </w:rPr>
        <w:t>For the year ended December 31, 2009, net income attributable to Great Lakes was $17.5 million compared to $5.0 million for the year ended December 31, 2008. This $12.5 million increase was driven by higher operating income in 2009 as previously described.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Activity and Backlog</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by segment and type of dredging work, the Company’s backlog as of the dates indicated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6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Backlog</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Dredging:</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Capital—U.S.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117,866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203,294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176,051</w:t>
            </w: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Capital—foreign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65,334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35,715</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139,479*</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Beach nourishment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63,390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18,934</w:t>
            </w: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rPr>
              <w:t>Maintenance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56,140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63,335</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26,726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Rivers &amp; Lakes**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Total dredging backlog</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282,536</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365,734</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361,190</w:t>
            </w:r>
          </w:p>
        </w:tc>
        <w:tc>
          <w:tcPr>
            <w:tcW w:w="0" w:type="dxa"/>
            <w:vAlign w:val="bottom"/>
          </w:tcPr>
          <w:p>
            <w:pPr>
              <w:spacing w:after="0"/>
              <w:rPr>
                <w:sz w:val="1"/>
                <w:szCs w:val="1"/>
                <w:color w:val="auto"/>
              </w:rPr>
            </w:pPr>
          </w:p>
        </w:tc>
      </w:tr>
      <w:tr>
        <w:trPr>
          <w:trHeight w:val="21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Demolition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23,501</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Total backlog</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363,520</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382,182</w:t>
            </w:r>
          </w:p>
        </w:tc>
        <w:tc>
          <w:tcPr>
            <w:tcW w:w="5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384,691</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60" w:right="40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comparison purposes, foreign backlog has been decreased by $56,908 to reflect the portion of the Diyar contract that was reclassified as an option pending award in the first quarter of 2009</w:t>
      </w:r>
    </w:p>
    <w:p>
      <w:pPr>
        <w:spacing w:after="0" w:line="17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backlog acquired by the Company on December 31, 2010 in connection with the Matteson acquisition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necessarily indicative of future revenues or profitability. In addition, a significant amount of the Company’s dredging backlog relates to federal government contracts, which can be canceled at any time without penalty to the government, subject to the Company’s contractual right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Approximately 95% of the Company’s December 31, 2010 backlog is expected to be completed in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Dredging</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2010 domestic dredging bid market totaled $875 million, a 23% decline from the 2009 domestic dredging bid market of $1.1 billion. The 2009 bid market was larger than the 2010 bid market primarily because the 2009 bid market was bolstered by maintenance dredging projects that were funded by the U.S. government economic stimulus package. In addition, the 2010 bid market excludes dredging work related to the construction of sand berms off the coast of Louisiana in response to the Deepwater Horizon oil spill in the Gulf of Mexico. Over $100 million of this sand berm construction work was awarded to the Company directly by the prime contractor rather than through the customary bidding process.</w:t>
      </w:r>
    </w:p>
    <w:p>
      <w:pPr>
        <w:spacing w:after="0" w:line="11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won 30% of the overall 2010 domestic bid market compared to 47% of the overall 2009 domestic bid market. The Company’s five-year average win rate is 41%. This range underscores the variability that can occur in the quarter to quarter and year to year bid results.</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Company’s December 31, 2010 dredging backlog was $282.5 million, which includes $25.1 million attributable to the Matteson acquisition. This represents an increase of $61.2 million, or 27.6%, over the Company’s September 30, 2010 dredging backlog of $221.4 million, but a decrease of $83.2 million, or 22.8%, from the Company’s December 31, 2009 dredging backlog. This decrease in the Company’s annual dredging backlog is primarily the result of the decreased 2010 domestic dredging bid market and the Company’s lower 2010 bid win rate.</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won 21%, or $75 million, of the capital dredging projects awarded in 2010, including a large project in Virginia that was awarded in the fourth quarter. The Company’s 2010 project win rate was adversely affected by the loss of one large capital dredging project, for which the Company may ultimately perform work as a subcontractor. Approximately $117.9 million, or 42%, of the Company’s December 31, 2010 dredging backlog consists of domestic capital dredging work, a substantial portion of which is expected to be performed in 2011. December 31, 2010 capital dredging backlog is less than the prior year because the Company worked off most of its backlog related to deepening projects in the ports of New York and New Jersey and no large capital projects were added to backlog at year end. Predominantly all of the capital work in backlog at the end of 2010 is federally funded. The Company continues to believe that the expansion of the Panama Canal will heighten the need for the U.S. to deepen its East and Gulf Coast ports; however, it does not appear that any sizable new deepening projects probably will be bid until the fourth quarter of 2011. In addition, on October 6, 2010, President Obama signed an executive order establishing the Gulf Coast Restoration Task Force. The Company believes that this emphasis on Gulf coast restoration, including the Corps’ Mississippi Coastal Improvement Program, will provide additional growth opportunities with the domestic capital dredging market.</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won 73%, or $55 million, of the beach nourishment projects awarded in 2010. However, the Company’s December 31, 2010 beach nourishment backlog was $18.1 million at the end of 2010 compared to $63.4 million at the end of 2009. The 2009 beach nourishment bid market was very active in the second half of 2009 and totaled $183 million for that year. This is substantially above the average bid market over the last three years of $127 million. The Company’s beach nourishment backlog fluctuates from period to period based on various factors, including which beaches require nourishment and funding and permitting issues.</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won 30%, or $131 million, of the maintenance dredging projects awarded in 2010. The Company’s December 31, 2010 maintenance dredging backlog was $56.1 million compared to $63.3 million 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end of 2009. The 2010 maintenance dredging bid market was $443.8 million, which is significantly below the 2009 maintenance dredging bid market of $645 million but still above the five year average maintenance dredging bid market of $393 million. The 2009 bid market was atypically large because it included maintenance dredging projects that were funded by the U.S. government economic stimulus package. The Company’s share of the 2010 maintenance dredging bid market was 30%, slightly below its 32% average over the last three years. On January 5, 2011, the Realize America’s Promise Act was introduced into the U.S. House of Representatives and on February 17, 2011, the Harbor Maintenance Act of 2011 was introduced into the U.S. Senate. The two bills are substantially similar and provide that all resources of the Harbor Maintenance Trust Fund may be used only for harbor maintenance programs. If enacted, the Company anticipates that this legislation would increase the Corps’ annual budget by approximately $500 million, with the majority of such amount likely to be allocated for maintenance dredging.</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Foreign capital dredging backlog increased to $65.3 million at the end of 2010 from $35.7 million at the end of 2009, primarily as a result of the last phase of the Diyar land reclamation project being awarded to the Company in the fourth quarter of 2010. The Company cannot predict if or to what extent its operations or business prospects in the Middle East will be affected by the recent civil unrest that many Middle Eastern countries have experienced.</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Demolition. </w:t>
      </w:r>
      <w:r>
        <w:rPr>
          <w:rFonts w:ascii="Arial" w:cs="Arial" w:eastAsia="Arial" w:hAnsi="Arial"/>
          <w:sz w:val="18"/>
          <w:szCs w:val="18"/>
          <w:color w:val="auto"/>
        </w:rPr>
        <w:t>Demolition services backlog was $81.0 million at December 31, 2010, a 392% increase from $16.4 million at 2009 year end, reflecting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continuing progress in expanding into new markets, specifically the New York area, a renewed increase in activity in the Boston area, and the addition of a $26 million bridge demolition project in Louisiana. The demolition business continues to gain momentum. The demolition business faces operating and other challenges that can impact profitability as it moves into new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Company’s principal sources of liquidity are cash flow generated from operations and borrowings under its senior credit facility (see Note 12, “Long-Term Debt” in the Notes to Consolidated Financial Statements). The Company’s principal uses of cash are to meet debt service requirements, finance its capital expenditures, provide working capital and meet other general corporate purposes.</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Company’s net cash provided by operating activities for the years ended December 31, 2010, 2009 and 2008 totaled $123.5 million, $54.0 million and $14.8 million, respectively. Normal increases or decreases in the level of working capital relative to the level of operational activity impact cash flow from operating activities. In 2010, lower activity in foreign operations (which usually experience longer accounts receivable collection periods) coupled with payments being made on foreign accounts receivable that had been outstanding at the end of 2009 drove the increase in cash generated. Additionally, the increase in cash was generated by strong domestic operations in 2010, which have by comparison shorter accounts receivable collections periods. In 2009, an increase in domestic accounts receivable resulting from increased domestic activity, offset by a decrease in pipe and spare parts inventory as well as other working capital items, decreased net cash provided by operating activities. In 2008, the increase in investment in the Company’s foreign operations was partially offset by favorable billing terms on one domestic project. Significant investments in pipe and spare parts inventory were included in 2008.</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Company’s net cash flows used in investing activities for the years ended December 31, 2010, 2009 and 2008 totaled $62.7 million, $24.9 million and $26.3 million, respectively. The increase in 2010 is primarily due to the Company’s acquisition of Matteson on December 31, 2010. See Note 19 “Matteson Acquisition” in the notes to the Consolidated Financial Statements. Investing activities in all years related to normal course upgrades and capital maintenance of our dredging fleet. The 2010 expenditures included $14.6 million on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upgrade of the dredge Ohio. Investing activities in 2008 included $17.7 million of capital expenditures on the dredges Ohio, Reem Island and Noon Island for upgrades and other activities related to placing these vessels into service. Another $5.5 million was spent in 2008 on continuing construction of the power barge that enhanced the operating efficiency of the dredge Florida; $7.2 million was spent on this vessel in 2007. Work on this vessel was completed in October 2008 and the vessel was then sold via a sale leaseback for $16.6 million. An immaterial loss was fully recognized on this transaction.</w:t>
      </w:r>
    </w:p>
    <w:p>
      <w:pPr>
        <w:spacing w:after="0" w:line="11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Company’s net cash flows provided by (used in) financing activities for the years ended December 31, 2010, 2009 and 2008 totaled ($15.6) million, ($36.4) million and $13.7 million, respectively. The Company's financing cash flows represent net repayment or borrowings on its revolving credit facility, approximately $4.0 million in annual dividends, and approximately $1.0 million to $2.0 million of annual repayments on other debt and capital leases.</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June 12, 2007, the Company entered into a credit agreement (the “Credit Agreement”) with Bank of America N.A. and various other financial institutions as lenders. The Credit Agreement provides for a revolving credit facility of up to $145.0 million in borrowings and includes sublimits for the issuance of letters of credit and swingline loans. The revolving credit facility matures on June 12, 2012. The revolving credit facility bears interest at rates selected at the option of Great Lakes, currently equal to either LIBOR plus an applicable margin or the “Base Rate” plus an applicable margin. The applicable margins for LIBOR loans and Base Rate loans, as well as any non-use fee, are subject to adjustment based upon the Company’s ratio of Total Funded Debt to Adjusted Consolidated EBITDA (each as defined in the Credit Agreement). The obligations of Great Lakes under the Credit Agreement are unconditionally guaranteed by its direct and indirect domestic subsidiaries. Additionally, the obligations are secured by a perfected first priority lien on certain equipment of Great Lakes’ subsidiary, Great Lakes Dredge &amp; Dock Company, LLC (“GLDD Company”); a perfected second priority lien on certain other equipment of GLDD Company, subject to a perfected first priority lien in favor of Great Lakes’ bonding company; a perfected first priority lien on the inter-company receivables of Great Lakes and its direct and indirect domestic subsidiaries and having an equal priority to the liens of Great Lakes’ bonding company; and a perfected second priority lien on the accounts receivable of Great Lakes and its direct and indirect subsidiaries that relate to bonded projects. The Credit Agreement contains various covenants and restrictions including (i) limitations on dividends to $5 million per year, (ii) limitations on redemptions and repurchases of capital stock, (iii) limitations on the incurrence of indebtedness, liens, leases and investments, and (iv) maintenance of certain financial covenants.</w:t>
      </w:r>
    </w:p>
    <w:p>
      <w:pPr>
        <w:spacing w:after="0" w:line="12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As of December 31, 2010, the Company had no borrowings and $11.9 million of letters of credit outstanding, resulting in $133.1 million of availability under, the Credit Agreement. On December 31, 2010, the Company amended the Credit Agreement to permit it to increase the principal amount of unsecured debt it may issue to refinance its senior subordinated notes from an aggregate of $175 million to an aggregate of $300 million, subject to compliance with the financial covenants set forth in the Credit Agreement, as amended, and to eliminate the requirement that such refinanced debt be subordinated to the obligations under the Credit Agreement. The Company is evaluating the possibility of extending and increasing the commitments under the Credit Agreement during the first half of 2011. Leading positions in the Company’s credit facility are held by Bank of America, Royal Bank of Scotland, GE Capital Corporation and Wells Fargo Bank.</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obtains performance, bid and payment bonds through a bonding agreement with Travelers Casualty and Surety Company of America.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bonds issued under the bonding agreement are customarily required for dredging and marine construction projects, as well as demolition projects.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the Company had outstanding performance bonds valued at approximately $369.0 million; however, the revenue value remaining in backlog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these projects totaled approximately $176.5 million. On June 12, 2007, the Company and Travelers entered into a fourth amendment to the third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underwriting and continuing indemnity agreement (the “Fourth Amendment”) with Travelers. The Fourth Amendment provides, among other things, for new equipment collateral securing the obligations under the Company’s bonding agreement and permits the Credit Agreement and related collateral securing the obligations under the Credit Agreement. On January 24, 2011, the Company and Travelers entered into a sixth amendment to third amended and restated underwriting and continuing indemnity agreement (the “Sixth Amendment”). The Sixth Amendment was entered into to, among other things, permit the Company to incur up to $250 million of debt as part of the January 2011 refinancing of the Company’s $175 million principal amount senior subordinated notes due December 2013. The amendment also provides that if the Company’s outstanding credit exposure under its senior credit facility exceeds $25 million, then at Travelers’ request the Company is required to provide Travelers with $20 million of additional collateral (in cash or an irrevocable letter of credit, at the Company’s discretion). In addition, the Company is required to grant Travelers a first priority security interest in such additional collateral in accordance with the terms and conditions of the Company’s intercreditor agreement.</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addition to its credit facility, the Company has a $24 million International Letter of Credit Facility with Wells Fargo HSBC Trade Bank. This facility is used for performance and advance payment guarantees on foreign contracts. The obligations under the agreement are guaranteed by the Company’s foreign accounts receivable under Ex-Im Bank’s Working Capital Guarantee Program which covers 90% of the obligations owing under the facility. The Company had $15.7 million of letters of credit issued under this facility at December 31, 2010.</w:t>
      </w:r>
    </w:p>
    <w:p>
      <w:pPr>
        <w:spacing w:after="0" w:line="143"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In January 2011, the Company issued $250 million in aggregate principal amount of its 7.375% senior unsecured notes due February 1, 2019 (the “Senior Unsecured Notes”) in a private placement. Approximately $180 million of the net proceeds from the issuance of the Senior Unsecured Notes was used to prepay all of the Company’s 7.75% senior subordinated notes due December 2013, including prepayment premiums and accrued and unpaid interest. The remaining net proceeds from the issuance of the Senior Unsecured Notes will be used for general corporate purposes, which may include acquisitions. The Indenture governing the Senior Unsecured Notes, among other things, limits the ability of the Company and its restricted subsidiaries to (i) pay dividends, or make certain other restricted payments or investments; (ii) incur additional indebtedness and issue disqualified stock; (iii) create liens on its assets; (iv) transfer and sell assets;</w:t>
      </w:r>
    </w:p>
    <w:p>
      <w:pPr>
        <w:spacing w:after="0" w:line="1"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merge, consolidate or sell all or substantially all of its assets; (vi) enter into certain transactions with affiliates; (vii) create restrictions on dividends or other</w:t>
      </w:r>
    </w:p>
    <w:p>
      <w:pPr>
        <w:spacing w:after="0" w:line="3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payments by its restricted subsidiaries and (viii) create guarantees of indebtedness by restricted subsidiaries. These covenants are subject to a number of important limitations and exceptions that are described in the Indenture governing the Senior Unsecured Notes.</w:t>
      </w:r>
    </w:p>
    <w:p>
      <w:pPr>
        <w:spacing w:after="0" w:line="138" w:lineRule="exact"/>
        <w:rPr>
          <w:sz w:val="20"/>
          <w:szCs w:val="20"/>
          <w:color w:val="auto"/>
        </w:rPr>
      </w:pPr>
    </w:p>
    <w:p>
      <w:pPr>
        <w:ind w:right="280" w:firstLine="456"/>
        <w:spacing w:after="0" w:line="302" w:lineRule="auto"/>
        <w:rPr>
          <w:sz w:val="20"/>
          <w:szCs w:val="20"/>
          <w:color w:val="auto"/>
        </w:rPr>
      </w:pPr>
      <w:r>
        <w:rPr>
          <w:rFonts w:ascii="Arial" w:cs="Arial" w:eastAsia="Arial" w:hAnsi="Arial"/>
          <w:sz w:val="15"/>
          <w:szCs w:val="15"/>
          <w:color w:val="auto"/>
        </w:rPr>
        <w:t>On January 2011, in connection with the issuance of the Senior Unsecured Notes, the Company, its subsidiaries which guaranteed the Senior Unsecured Notes and the initial purchasers of the Senior Unsecured Notes entered into a Registration Rights Agreement (the “Registration Rights Agreement”). The Registration Rights Agreement requires the Company, among other things, to (i) use its commercially reasonable efforts to cause a registration statement with respect to an exchange offer for the Senior Unsecured Notes to become effective within 365 days after the issue date of the Senior Unsecured Notes;</w:t>
      </w:r>
    </w:p>
    <w:p>
      <w:pPr>
        <w:spacing w:after="0" w:line="3" w:lineRule="exact"/>
        <w:rPr>
          <w:sz w:val="20"/>
          <w:szCs w:val="20"/>
          <w:color w:val="auto"/>
        </w:rPr>
      </w:pPr>
    </w:p>
    <w:p>
      <w:pPr>
        <w:ind w:right="100" w:firstLine="8"/>
        <w:spacing w:after="0" w:line="253" w:lineRule="auto"/>
        <w:tabs>
          <w:tab w:leader="none" w:pos="2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consummate the exchange offer within 30 business days after the target date for effectiveness of the registration statement with respect to the exchange offer and (iii) use its commercially reasonable efforts to file a shelf registration statement for the resale of the Senior Unsecured Notes in certain circumstances. If the Company fails to satisfy it registration obligations under the Registration Rights Agreement, then the Company will be required to pay liquidated damages to the holders of the Senior Unsecured Notes, which will accrue at an annual rate of 0.25% of the aggregate principal amount of the outstanding Senior Unsecured Notes.</w:t>
      </w:r>
    </w:p>
    <w:p>
      <w:pPr>
        <w:spacing w:after="0" w:line="14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paid dividends of approximately $1 million each quarter of 2010 and 2009 and in the first quarter of 2011. The declaration and payment of dividends will be at the discretion of the Company’s board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directors and will depend on many factors, including general economic and business conditions, the Company’s strategic plans, its financial results and condition, legal requirements, including restrictions and limitations contained in the Credit Agreement, bonding agreements and the indenture relating to its senior unsecured notes. Accordingly, the Company cannot make any assurances as to the size of any such dividend or that it will pay any such dividend in future quarters.</w:t>
      </w:r>
    </w:p>
    <w:p>
      <w:pPr>
        <w:spacing w:after="0" w:line="88"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The Company believes its anticipated cash flows from operations and availability under its revolving credit facility will be sufficient to fund the Company’s operations, capital expenditures and scheduled debt service requirements for the next twelve months.</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Beyond the next twelve months, the Company’s ability to fund its working capital needs, planned capital expenditures, scheduled debt payments and dividends if any, and to comply with all of the financial covenants under the Credit Agreement and bonding agreement, depends on its future operating performance and cash flow, which in turn, are subject to prevailing economic conditions and to financial, business and other factors, some of which are beyond the Company’s control.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Company’s contractual cash obligations at December 31, 2010. Additional information related to these obligations can be found in Note 11 “Long-Term Debt” and Note 14 “Lease Commitments” to Consolidated Financial Statements.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13"/>
          </w:tcPr>
          <w:p>
            <w:pPr>
              <w:jc w:val="right"/>
              <w:ind w:right="300"/>
              <w:spacing w:after="0"/>
              <w:rPr>
                <w:sz w:val="20"/>
                <w:szCs w:val="20"/>
                <w:color w:val="auto"/>
              </w:rPr>
            </w:pPr>
            <w:r>
              <w:rPr>
                <w:rFonts w:ascii="Arial" w:cs="Arial" w:eastAsia="Arial" w:hAnsi="Arial"/>
                <w:sz w:val="14"/>
                <w:szCs w:val="14"/>
                <w:b w:val="1"/>
                <w:bCs w:val="1"/>
                <w:color w:val="auto"/>
                <w:w w:val="89"/>
              </w:rPr>
              <w:t>Obligations coming due in year(s) ending:</w:t>
            </w: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2015-</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2018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Total</w:t>
            </w:r>
          </w:p>
        </w:tc>
        <w:tc>
          <w:tcPr>
            <w:tcW w:w="30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beyond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9"/>
              </w:rPr>
              <w:t>(in millions)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bank debt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Senior subordinated notes (2)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13.6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202.1</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17.4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39.6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Promissory note (3)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notes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334.0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34.2</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252.1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39.6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98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Company’s senior credit facility. No amounts were outstanding at December 31, 2010.</w:t>
      </w:r>
    </w:p>
    <w:p>
      <w:pPr>
        <w:spacing w:after="0" w:line="144" w:lineRule="exact"/>
        <w:rPr>
          <w:rFonts w:ascii="Arial" w:cs="Arial" w:eastAsia="Arial" w:hAnsi="Arial"/>
          <w:sz w:val="18"/>
          <w:szCs w:val="18"/>
          <w:color w:val="auto"/>
        </w:rPr>
      </w:pPr>
    </w:p>
    <w:p>
      <w:pPr>
        <w:ind w:left="460" w:right="22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cash interest payments calculated at stated fixed rate of 7.75%. In January 2011, the Company refinanced the senior subordinated notes with the issuance of $250 million senior unsecured notes due February 1, 2019. The senior unsecured notes bear interest at 7.375%.</w:t>
      </w:r>
    </w:p>
    <w:p>
      <w:pPr>
        <w:spacing w:after="0" w:line="58" w:lineRule="exact"/>
        <w:rPr>
          <w:rFonts w:ascii="Arial" w:cs="Arial" w:eastAsia="Arial" w:hAnsi="Arial"/>
          <w:sz w:val="16"/>
          <w:szCs w:val="16"/>
          <w:color w:val="auto"/>
        </w:rPr>
      </w:pPr>
    </w:p>
    <w:p>
      <w:pPr>
        <w:ind w:left="460" w:right="1020" w:hanging="452"/>
        <w:spacing w:after="0" w:line="543" w:lineRule="auto"/>
        <w:tabs>
          <w:tab w:leader="none" w:pos="4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cash interest payments calculated at stated fixed rate of 6.00%. This note was issued in connection with the Matteson acquisition. Excluded from the above table are $0.8 million in liabilities for uncertain tax positions for which the period of settlement is not determinable.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Off-Balance Sheet and Contingent Obligations</w:t>
      </w:r>
    </w:p>
    <w:p>
      <w:pPr>
        <w:spacing w:after="0" w:line="13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Company had outstanding letters of credit relating to foreign contract guarantees and insurance payment liabilities totaling $27.6 million at December 31, 2010. All issued letters of credit were undrawn at year-end.</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has granted liens on a substantial portion of its owned operating equipment as security for borrowings under its Credit Agreement and its bonding agreement. The Company’s Credit Agreement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bonding agreement also contain provisions that require the Company to maintain certain financial ratios and restrict its ability to pay dividends, incur indebtedness, create liens, and take certain other actions.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finances certain key vessels used in its operations with off-balance sheet lease arrangements with unrelated lessors, requiring annual rentals of $17.3 million which decline to $0.4 million over the next ten years. These off-balance sheet leases contain default provisions, which are triggered by an acceleration of debt maturity under the terms of the Company’s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16" w:lineRule="exact"/>
        <w:rPr>
          <w:sz w:val="20"/>
          <w:szCs w:val="20"/>
          <w:color w:val="auto"/>
        </w:rPr>
      </w:pPr>
    </w:p>
    <w:p>
      <w:pPr>
        <w:ind w:right="320" w:firstLine="456"/>
        <w:spacing w:after="0" w:line="289"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demolition projects. The Company obtains its performance and bid bonds through its bonding agreement with Travelers, which has been granted a security interest in a substantial portion of the Company’s operating equipment with a net book value of $70.7 million at December 31, 2010. The bonding agreement contains provisions that require the Company to maintain certain financial ratios and that restrict the Company’s ability to pay dividends, incur indebtedness, create liens and take certain other actions. At December 31, 2010, the Company was in compliance with its covenants under the bonding agreement. Bid bonds are generally obtained for a percentage of bid value and amounts outstanding typically range from $1 million to $10 million. At December 31, 2010, the Company had outstanding performance bonds valued at approximately $369.0 million; however, the revenue value remaining in backlog related to these projects totaled approximately $176.5 million.</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three to five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February 2011, the Company was a member of an insurance association that provides personal injury coverage for its maritime workforce in excess of self-insurance retention limits. As part of this arrangement, the Company was subject to retroactive premium adjustments based on the association’s claims experience and investment performance. The Company accrued for retroactive premium adjustments when assessed by the insurance association. During the years ended December 31, 2010 and 2009, there were $2.2 million and $2.0 million recorded for retroactive assessments, respectively. In February 2011, the Company withdrew from this insurance association and purchased insurance to provide personal injury coverage for its maritime workforce in excess of self-insurance retention limits. The Company’s withdrawal from the insurance association and payment of the related release call discharges the Company from any future liability to the insurance association.</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considers it unlikely that it would have to perform under any of the aforementioned contingent obligations, other than operating leases and retroactive insurance premium adjustments associated with the Company’s insurance coverage, and performance has never been required in any of these circumstances in the past.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700"/>
        <w:spacing w:after="0" w:line="394" w:lineRule="auto"/>
        <w:rPr>
          <w:sz w:val="20"/>
          <w:szCs w:val="20"/>
          <w:color w:val="auto"/>
        </w:rPr>
      </w:pPr>
      <w:r>
        <w:rPr>
          <w:rFonts w:ascii="Arial" w:cs="Arial" w:eastAsia="Arial" w:hAnsi="Arial"/>
          <w:sz w:val="18"/>
          <w:szCs w:val="18"/>
          <w:b w:val="1"/>
          <w:bCs w:val="1"/>
          <w:color w:val="auto"/>
        </w:rPr>
        <w:t>NASDI, LLC Management’s Discussion and Analysis of Financial Condition and Results of Operations Company Overview</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NASDI is a demolition service provider headquartered in the Boston, Massachusetts area. NASDI’s principal services consist of interior and exterior demolition of commercial and industrial buildings, salvage and recycling of related materials, and removal of hazardous substances and materials. The majority of NASDI’s work has historically been performed in New England. However, NASDI is currently expanding its footprint, primarily into the New York area and marine demolition market, specifically bridge demolition projects.</w:t>
      </w:r>
    </w:p>
    <w:p>
      <w:pPr>
        <w:spacing w:after="0" w:line="10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 wholly owned subsidiary of the Company is the owner of 100% of the Class A interests. The holder of the Class A interests also owns 65% of the Class B interests, with the remaining 35% owned by Christopher A. Berardi, an employee of the Company’s wholly owned subsidiary.</w:t>
      </w:r>
    </w:p>
    <w:p>
      <w:pPr>
        <w:spacing w:after="0" w:line="4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Pursuant to the terms of the NASDI, LLC Limited Liability Company Agreement, the Company has the ability to call Mr. Berardi’s 35% interest upon Mr. Berardi’s termination of employment, upon a change in control related to the Company or any time after December 31, 2010. The call payment is based upon NASDI LLC’s average annual EBITDA for a two year period, as adjusted for the Class A liquidation preference and outstanding indebtedness of NASDI LLC. The call payment is limited, in certain situations, to a maximum of $1.5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Revenues</w:t>
      </w:r>
    </w:p>
    <w:p>
      <w:pPr>
        <w:spacing w:after="0" w:line="13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NASDI recognizes contract revenues, including salvage revenues, under the percentage-of-completion method, based on a cost-to-cost approach for demolition projects. Contract revenues are adjusted to reflect the estimated gross profit percentage. Provisions for estimated losses on contracts in progress are made in the period in which such losses are determined. Claims for additional compensation due to NASDI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Contract modifications may be negotiated when a change from the original contract specifications is encountered, necessitating a change in project scope or performance methodology and/or material disposal. Significant expenditures incurred incidental to major contracts are deferred and recognized as costs of contracts based on contract performance over the duration of the related project. These expenditures are reported as prepaid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fuel, subcontracts, rentals and project overhead. Hourly labor is generally hired on a project-by-project basis. Costs of contract revenues vary significantly depending on the type and location of work performed and assets utilized.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that Determine Operating Profitability</w:t>
      </w:r>
    </w:p>
    <w:p>
      <w:pPr>
        <w:spacing w:after="0" w:line="13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NASDI generates revenues when it is awarded a contract for demolition services and performs the project. NASDI’s revenues increase or decrease based upon market demand. Results of operations for NASDI fluctuate based upon project mix and NASDI’s ability to execute its projects consistent with its estimates.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components of net income (loss) as a percentage of contract revenues for the years ended December 31:</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(91.4)</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(103.8)</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(loss)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(8.6)</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(13.3)</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expense, net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related party</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220"/>
              <w:spacing w:after="0"/>
              <w:rPr>
                <w:sz w:val="20"/>
                <w:szCs w:val="20"/>
                <w:color w:val="auto"/>
              </w:rPr>
            </w:pPr>
            <w:r>
              <w:rPr>
                <w:rFonts w:ascii="Arial" w:cs="Arial" w:eastAsia="Arial" w:hAnsi="Arial"/>
                <w:sz w:val="18"/>
                <w:szCs w:val="18"/>
                <w:color w:val="auto"/>
              </w:rPr>
              <w:t>Income (loss) before income taxes</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(0.5)</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(17.8)</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220"/>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(0.5)</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(17.8)</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Year Ended December 31, 2009</w:t>
      </w:r>
    </w:p>
    <w:p>
      <w:pPr>
        <w:spacing w:after="0" w:line="13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NASDI’s revenues were $74.9 million in 2010, an increase of $31.1 million, or 71.0%, over 2009 revenues of $43.8 million. This increase was primarily related to improved market conditions in Massachusetts and increased activity in the New York area and bridge demolition, new markets for NASDI. In 2009, NASDI’s revenues were negatively impacted by the slowdown in the U.S. construction industry.</w:t>
      </w:r>
    </w:p>
    <w:p>
      <w:pPr>
        <w:spacing w:after="0" w:line="14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NASDI’s gross profit increased $8.1 million from a gross loss of $1.7 million in 2009 to a gross profit of $6.4 million in 2010. NASDI recorded gross profit margin of 8.6% compared to negative gross profit margin of 3.9% in 2009, primarily due to improved market conditions which resulted in increased revenues. While NASDI gross profit margins have improved in comparison to 2009, they remain lower than pre-recession gross profit margins reflecting the competitive pricing pressures that continue in this market.</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2010, NASDI had essentially no operating income, compared to an operating loss of $7.5 million in 2009 due to higher margins in 2010. Despite improved gross profit, NASDI incurred losses with respect to certain projects including a large bridge demolition project, one of NASDI’s first projects of this type. In 2010, NASDI recorded a loss of $3.0 million related to this bridge demolition project. In addition, NASDI’s operating results in 2009 were negatively impacted by certain projects that had been worked on in 2008 and canceled in 2009, resulting in write-offs of $3.8 million. General and administrative expenses for the year ended December 31, 2010, were $6.4 million, an increase of 10.3% compared to $5.8 million in 2009, primarily as a result of increased bad debt expense and incentive pay.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1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were $43.8 million in 2009, a decrease of $58.4 million, or 57.1%, from $102.2 million in 2008. As the construction and real estate development market continued to slow in 2009, new project opportunities were scarce. In addition, a few projects that had been worked on in 2008 were canceled in 2009, resulting in write-offs of $3.8 million related to those projects. Moreover, several large demolition projects were worked on in 2008 and were not replaced in 2009. NASDI recorded negative gross profit margin of 3.8% in 2009</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compared to gross profit margin of 11.9% in 2008 as a result of 2009 revenues that were not sufficient to offset fixed costs and the various project write-offs due to cancellations.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2009, NASDI produced an operating loss of $7.5 million, compared to operating income of $4.0 million in 2008 due to weaker gross profit performance including write offs related to canceled projects. NASDI general and administrative expenses for 2009 of $5.8 million decreased 29.3% compared with $8.2 million in 2008 primarily as a result of a decrease in incentive pay.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NASDI recorded a net loss of $7.8 million in 2009, compared to net income of $2.9 million in 2008. This was primarily due to the decrease in revenue.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Approximately 76% of NASDI’s December 31, 2010 backlog is expected to be completed in 2011.</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NASDI’s backlog at December 31, 2010 totaled $80.4 million, a 396% increase from backlog of $16.2 million at December 31, 2009, reflecting NASDI’s continuing progress in expanding into new markets, specifically the New York area, a renewed increase in activity in the Boston area, and the addition of a $26 million bridge demolition project in Louisiana. NASDI continues to gain momentum, however it does face challenges with respect to profit margins and project execution as it moves into new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NASDI’s principal source of liquidity is cash flow from operations; however, in recent periods its principal source of liquidity has been advances from its parent, the Company or an affiliate of the Company. The Company or an affiliate has advanced additional funds to NASDI when its operations are unable to fully meet NASDI’s cash needs. NASDI’s principal uses of cash are to finance its capital expenditures, repay affiliate advances, provide working capital and meet other general corporate purposes.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NASDI’s net cash provided by (used in) operating activities for the years ended December 31, 2010, 2009 and 2008 totaled ($3.2) million, ($3.7) million and $4.8 million, respectively. Operational results, as well as normal increases or decreases in the level of working capital relative to the level of operational activity impact cash flow from (or used in) operating activities.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NASDI’s net cash flows used in investing activities for the years ended December 31, 2010, 2009 and 2008 totaled $0.8 million, $1.7 million and $1.4 million, respectively. Investing activities in these periods consisted largely of purchases of vehicles, demolition equipment, including excavators, and cranes; and leasehold improvements.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NASDI’s net cash flows provided by (used in) financing activities for the years ended December 31, 2010, 2009 and 2008 totaled $3.8 million, $5.5 million and ($3.7) million, respectively. In 2010 and 2009, the cash provided related primarily to advances from the Company. In 2008, NASDI repaid $1.6 million owed to its affiliates and repaid $2.1 million of equipment debt.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table summarizes NASDI’s contractual cash obligations at December 31, 2010. Additional information related to these obligations can be found in Note 13 “Related Party Transactions” and Note 14 “Commitments and Contingencies” to NASDI’s Financial Statements.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11"/>
          </w:tcPr>
          <w:p>
            <w:pPr>
              <w:ind w:left="200"/>
              <w:spacing w:after="0"/>
              <w:rPr>
                <w:sz w:val="20"/>
                <w:szCs w:val="20"/>
                <w:color w:val="auto"/>
              </w:rPr>
            </w:pPr>
            <w:r>
              <w:rPr>
                <w:rFonts w:ascii="Arial" w:cs="Arial" w:eastAsia="Arial" w:hAnsi="Arial"/>
                <w:sz w:val="14"/>
                <w:szCs w:val="14"/>
                <w:b w:val="1"/>
                <w:bCs w:val="1"/>
                <w:color w:val="auto"/>
              </w:rPr>
              <w:t>Obligations coming due in year(s) ending: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w w:val="93"/>
              </w:rPr>
              <w:t>2017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beyond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3"/>
              </w:rPr>
              <w:t>(in millions)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debt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$ 11.2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$ 11.2</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on related party debt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0.5</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0.3</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$ 14.9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$ 13.2</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related party debt represents amounts payable to the Company or one of its affiliates and is payable on demand; however, the Company has provided a letter to NASDI indicating that it will not demand repayment prior to January 2, 2013. NASDI has no other contingent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NASDI, along with other subsidiaries of the Company, has guaranteed the repayment of amounts outstanding under the Company’s Credit Agreement, bonding agreements and senior subordinated notes. At December 31, 2010, the Company had no borrowings and $11.9 million letters of credit outstanding under its credit facility. In January 2011, the Company refinanced its $175.0 million senior subordinated notes with the issuance of $250.0 million senior unsecured notes. NASDI is not a guarantor of the new senior unsecured notes.</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Performance and/or bid bonds are occasionally required for NASDI’s demolition projects. NASDI obtains its performance and bid bonds through the Company’s bonding agreement with its surety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60"/>
        <w:spacing w:after="0" w:line="394" w:lineRule="auto"/>
        <w:rPr>
          <w:sz w:val="20"/>
          <w:szCs w:val="20"/>
          <w:color w:val="auto"/>
        </w:rPr>
      </w:pPr>
      <w:r>
        <w:rPr>
          <w:rFonts w:ascii="Arial" w:cs="Arial" w:eastAsia="Arial" w:hAnsi="Arial"/>
          <w:sz w:val="18"/>
          <w:szCs w:val="18"/>
          <w:b w:val="1"/>
          <w:bCs w:val="1"/>
          <w:color w:val="auto"/>
        </w:rPr>
        <w:t>Yankee Environmental Services, LLC Management’s Discussion and Analysis of Financial Condition and Results of Operations Company Overview</w:t>
      </w:r>
    </w:p>
    <w:p>
      <w:pPr>
        <w:spacing w:after="0" w:line="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Yankee is a provider of environmental remediation services including asbestos abatement and removal of other hazardous materials in the Boston, Massachusetts area. Yankee’s principal services consist of lead paint and asbestos abatement along with demolition services to private and government entities including schools, universities, hospitals and other businesses. Yankee was acquired by the Company on January 1, 2009.</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wholly owned subsidiary of the Company is the owner of 100% of Yankee’s Class A membership interests. Yankee’s Class B membership interests are held by third parties, one of which is Mr. Christopher A. Berardi, an employee of the Company’s wholly-owned subsidiary. The holder of the Class A membership interests owns 65% of Yankee’s equity interests and the holders of Yankee’s Class B membership interests own 35% of Yankee’s equity.</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same wholly owned subsidiary also has a 65% interest in NASDI, LLC (“NASDI”), a demolition service provider headquartered in the Boston, Massachusetts area.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Revenues</w:t>
      </w:r>
    </w:p>
    <w:p>
      <w:pPr>
        <w:spacing w:after="0" w:line="13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Yankee recognizes contract revenues under the percentage-of-completion method, based on a cost-to-cost approach for environmental remediation projects. Contract revenues are adjusted to reflect the estimated gross profit percentage. Provisions for estimated losses on contracts in progress are made in the period in which such losses are determined. Claims for additional compensation due to Yankee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Contract modifications may be negotiated when a change from the original contract specifications is encountered, necessitating a change in project scope or performance methodology and/or material disposal. Significant expenditures incurred incidental to major contracts are deferred and recognized as costs of revenues based on contract performance over the duration of the related project. These expenditures are reported as prepaid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3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components of costs of revenues include labor, equipment (including depreciation, maintenance, insurance and long-term rentals), fuel, rentals and project overhead. Hourly labor is generally hired on a project-by-project basis. Costs of revenues vary significantly depending on the type and location of work performed and assets utilized.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that Determine Operating Profitability</w:t>
      </w:r>
    </w:p>
    <w:p>
      <w:pPr>
        <w:spacing w:after="0" w:line="13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Yankee generates revenues when Yankee is awarded a contract for environmental remediation services and performs the project. Yankee’s revenues increase or decrease based upon market demand. Results of operations for Yankee fluctuate based upon project mix and Yankee’s ability to execute its projects consistent with its estimates.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the components of net income (loss) as a percentage of contract revenues for the three years ended December 31, 2010, 2009 and 2008. Information for 2008 represents financial information of Yankee’s predecessor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Costs of revenues</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(107.9)</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(96.3)</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(73.0)</w:t>
            </w:r>
          </w:p>
        </w:tc>
      </w:tr>
      <w:tr>
        <w:trPr>
          <w:trHeight w:val="27"/>
        </w:trPr>
        <w:tc>
          <w:tcPr>
            <w:tcW w:w="8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(loss)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(8.2)</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(13.3)</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r>
      <w:tr>
        <w:trPr>
          <w:trHeight w:val="27"/>
        </w:trPr>
        <w:tc>
          <w:tcPr>
            <w:tcW w:w="8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(16.1)</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Interest expense, net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7"/>
        </w:trPr>
        <w:tc>
          <w:tcPr>
            <w:tcW w:w="8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income taxes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(17.2)</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Income tax provision</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r>
      <w:tr>
        <w:trPr>
          <w:trHeight w:val="20"/>
        </w:trPr>
        <w:tc>
          <w:tcPr>
            <w:tcW w:w="8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Year Ended December 31, 2009</w:t>
      </w:r>
    </w:p>
    <w:p>
      <w:pPr>
        <w:spacing w:after="0" w:line="13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Revenues were $8.6 million in 2010, an increase of $0.8 million, or 10.2%, from $7.8 million in 2009. Yankee’s largest customer, NASDI, has seen an increase in activity in the Boston area that has helped increase revenue for Yankee. NASDI accounted for $5.1 million, or 59%, of Yankee’s total contract revenues in 2010. Contract revenues from NASDI were $4.1 million or 53% of total contract revenues in 2009.</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Yankee’s gross profit decreased $1.0 million from a gross profit of $0.3 million in 2009 to a gross loss of $0.7 million in 2010. Yankee recorded negative gross profit margin of 7.9% compared to positive gross profit margin of 3.7% in 2009, primarily due to a significant loss on one project. NASDI was not the customer on the one project with a significant loss. Yankee continues to struggle to cover its fixed costs at this level of revenue, resulting in the significant decrease in gross profit margin.</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2010, Yankee recorded an operating loss of $1.4 million, compared to an operating loss of $0.7 million in 2009 due to weaker gross profit largely attributable to one project.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Yankee incurred general and administrative expenses of $0.7 million and $1.0 million in 2010 and 2009,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137" w:lineRule="exact"/>
        <w:rPr>
          <w:sz w:val="20"/>
          <w:szCs w:val="20"/>
          <w:color w:val="auto"/>
        </w:rPr>
      </w:pPr>
    </w:p>
    <w:p>
      <w:pPr>
        <w:jc w:val="both"/>
        <w:ind w:right="280" w:firstLine="456"/>
        <w:spacing w:after="0" w:line="323" w:lineRule="auto"/>
        <w:rPr>
          <w:sz w:val="20"/>
          <w:szCs w:val="20"/>
          <w:color w:val="auto"/>
        </w:rPr>
      </w:pPr>
      <w:r>
        <w:rPr>
          <w:rFonts w:ascii="Arial" w:cs="Arial" w:eastAsia="Arial" w:hAnsi="Arial"/>
          <w:sz w:val="15"/>
          <w:szCs w:val="15"/>
          <w:color w:val="auto"/>
        </w:rPr>
        <w:t>Revenues were $7.8 million in 2009, a decrease of $6.4 million, or 45.1%, from $14.2 million in 2008. As the construction and real estate development market continued to slow in 2009, new project opportunities were scarce. In addition, Yankee’s largest customer, NASDI, was encountering similar issues and subcontracting less to Yankee. Moreover, several large demolition projects were worked on in 2008 and were not replaced in 2009. NASDI accounted for $4.1 million or 53% of Yankee’s total contract revenues in 2009. Contract revenues from NASDI were $13.1 million or 92.2% of total contract revenues in 2008.</w:t>
      </w:r>
    </w:p>
    <w:p>
      <w:pPr>
        <w:spacing w:after="0" w:line="98"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As a result of the constricted market and reduced revenue Yankee recorded gross profit margin of 3.7% in 2009 compared to gross profit margin of 27.0% in 2008, The lower level of revenue in 2009 was not sufficient to cover all Yankee’s fixed costs, resulting in the significant decrease in gross profit margin.</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2009, the Yankee recorded an operating loss of $0.7 million, compared to operating income of $2.6 million in 2008 due to weaker gross profit and the significant decrease in projects. Yankee general and administrative expenses for 2009 of $1.0 million decreased 17% compared with $1.2 million in 2008 primarily as a result of a decrease in payroll and incentive pay.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Yankee recorded a net loss of $0.9 million in 2009, compared to net income of $2.6 million in 2008. This was primarily due to the decrease in revenue at Yankee.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Approximately 95% of Yankee’s December 31, 2010 backlog is expected to be completed in 2011.</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Yankee’s backlog at December 31, 2010 totaled $2.0 million, a 122% increase from backlog of $0.9 million at December 31, 2009. Approximately 69% of backlog at December 31, 2010 is from projects with NASDI. This increase reflects the increase in activity in the Boston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Yankee’s principal source of liquidity is cash flow from operations, however in 2010 and 2009 its principal source of liquidity has been advances from its parent, the Company or an affiliate of the Company. The Company or an affiliate has advanced additional funds to Yankee when its operations are unable to fully meet Yankee’s cash needs. Yankee’s principal uses of cash are to finance its capital expenditures, provide working capital, repay affiliate advances and meet other general corporate purposes.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Yankee’s net cash provided by (used in) operating activities for the years ended December 31, 2010, 2009 and 2008 totaled ($1.0) million, ($2.5) million and $1.7 million, respectively. Operational results, as well as normal increases or decreases in the level of working capital relative to the level of operational activity impact cash flow from (or used in) operating activities.</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Yankee’s net cash flows used in investing activities for the years ended December 31, 2010, 2009 and 2008 totaled $0.04 million, $1.9 million and $0.2 million, respectively. 2010 activity reflects the purchase of vehicles. 2009 activity represents the acquisition of Yankee, Inc. The 2008 purchases were primarily related to vehicles and tools.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Yankee’s net cash flows provided by (used in) financing activities for the years ended December 31, 2010, 2009 and 2008 totaled $0.9 million, $4.6 million and ($1.6) million, respectively. In 2010 and 2009, the cash provided related primarily to advances from the Company. Cash flow in 2009 also includes contributions to fund the acquisition of Yankee, Inc. In 2008 the amounts related to amounts paid to shareholders and payments of debt.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following table summarizes Yankee’s contractual cash obligations at December 31, 2010. Additional information related to these obligations can be found in Note 11 “Related Party Transactions” and Note 12 “Commitments and Contingencies” to Yankee’s Financial Statements.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0"/>
          </w:tcPr>
          <w:p>
            <w:pPr>
              <w:jc w:val="right"/>
              <w:ind w:right="72"/>
              <w:spacing w:after="0"/>
              <w:rPr>
                <w:sz w:val="20"/>
                <w:szCs w:val="20"/>
                <w:color w:val="auto"/>
              </w:rPr>
            </w:pPr>
            <w:r>
              <w:rPr>
                <w:rFonts w:ascii="Arial" w:cs="Arial" w:eastAsia="Arial" w:hAnsi="Arial"/>
                <w:sz w:val="14"/>
                <w:szCs w:val="14"/>
                <w:b w:val="1"/>
                <w:bCs w:val="1"/>
                <w:color w:val="auto"/>
                <w:w w:val="97"/>
              </w:rPr>
              <w:t>Obligations coming due in year(s) ending:</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82"/>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1"/>
                <w:szCs w:val="11"/>
                <w:color w:val="auto"/>
              </w:rPr>
            </w:pPr>
          </w:p>
        </w:tc>
        <w:tc>
          <w:tcPr>
            <w:tcW w:w="6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1"/>
                <w:szCs w:val="11"/>
                <w:color w:val="auto"/>
              </w:rPr>
            </w:pPr>
          </w:p>
        </w:tc>
        <w:tc>
          <w:tcPr>
            <w:tcW w:w="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2017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00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4"/>
                <w:szCs w:val="14"/>
                <w:color w:val="auto"/>
              </w:rPr>
            </w:pPr>
          </w:p>
        </w:tc>
        <w:tc>
          <w:tcPr>
            <w:tcW w:w="90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beyond</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w w:val="93"/>
              </w:rPr>
              <w:t>(in</w:t>
            </w:r>
          </w:p>
        </w:tc>
        <w:tc>
          <w:tcPr>
            <w:tcW w:w="6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76"/>
              </w:rPr>
              <w:t>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debt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$3,655.0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$3,655.0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on related party debt</w:t>
            </w:r>
          </w:p>
        </w:tc>
        <w:tc>
          <w:tcPr>
            <w:tcW w:w="620" w:type="dxa"/>
            <w:vAlign w:val="bottom"/>
          </w:tcPr>
          <w:p>
            <w:pPr>
              <w:jc w:val="right"/>
              <w:spacing w:after="0"/>
              <w:rPr>
                <w:sz w:val="20"/>
                <w:szCs w:val="20"/>
                <w:color w:val="auto"/>
              </w:rPr>
            </w:pPr>
            <w:r>
              <w:rPr>
                <w:rFonts w:ascii="Arial" w:cs="Arial" w:eastAsia="Arial" w:hAnsi="Arial"/>
                <w:sz w:val="18"/>
                <w:szCs w:val="18"/>
                <w:color w:val="auto"/>
              </w:rPr>
              <w:t>310.7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155.3</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155.4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82.0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Totals</w:t>
            </w: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4,375.7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237.3</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4,056.4</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82.0</w:t>
            </w: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related party debt represents amounts payable to the Company or one of its affiliates and is payable on demand; however, the Company has provided a letter to Yankee indicating that it will not demand repayment prior to January 2, 2013. Yankee has no other contingent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Yankee, along with other subsidiaries of the Company, has guaranteed the repayment of amounts outstanding under the Company’s Credit Agreement, bonding agreements and senior subordinated notes. At December 31, 2010, the Company had no borrowings and $11.9 million letters of credit outstanding under its credit facility. In January 2011, the Company refinanced its $175.0 million senior subordinated notes with the issuance of $250.0 million senior unsecured notes. Yankee is not a guarantor of the new senior unsecured notes.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Performance and/or bid bonds are occasionally required for Yankee’s demolition projects. Yankee obtains its performance and bid bonds through the Company’s bonding agreement with its surety company.</w:t>
      </w:r>
    </w:p>
    <w:p>
      <w:pPr>
        <w:spacing w:after="0" w:line="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3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A significant portion of the Company’s current dredging operations are conducted outside of the U.S., primarily in the Middle East. It is the Company’s policy to hedge foreign currency exchange risk on contracts denominated in currencies other than the U.S. dollar, if available. Currently, the majority of the Company’s foreign dredging work is in Bahrain. The currency in Bahrain, the Bahraini Dinar, is linked to the U.S. dollar. Therefore, the Company has not purchased any forward exchange contracts for trading purposes and has none outstanding at December 31, 2010 or 2009.</w:t>
      </w:r>
    </w:p>
    <w:p>
      <w:pPr>
        <w:spacing w:after="0" w:line="7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At December 31, 2010 and 2009, the Company had long-term senior subordinated notes outstanding with a recorded book value of $175.0 million. The fair value of these notes, which bear interest at a fixed rate of 7.75%, was $177.2 million at December 31, 2010 based on market prices. Assuming a 10% decrease in interest rates from the rates at December 31, 2010 the fair value of this fixed rate debt would have increased to $182.3 million. These notes were redeemed as part of the Company’s January 2011 refinancing.</w:t>
      </w:r>
    </w:p>
    <w:p>
      <w:pPr>
        <w:spacing w:after="0" w:line="103"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In May 2009, the Company entered into two interest rate swap arrangements, which are effective until December 15, 2012, to swap a notional amount of $50.0 million from a fixed rate of 7.75% to a floating LIBOR-based rate in order to manage the interest rate paid with respect to the Company’s 7.75% senior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subordinated notes. The current portion of the fair value asset of the swaps at December 31, 2010 was $0.8 million and is recorded in current assets. The long term portion of the fair value of the swaps at December 31, 2010 was $0.5 million and is recorded in other assets. The swap is not accounted for as a hedge; therefore, the changes in fair value are recorded as adjustments to interest expense in each reporting period. Assuming a 10% increase in interest rates at December 31, 2010, the fair value of the long-term liability would decline by $0.6 million.</w:t>
      </w:r>
    </w:p>
    <w:p>
      <w:pPr>
        <w:spacing w:after="0" w:line="7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significant operating cost for the Company is diesel fuel, which represents approximately 10% of the Company’s costs of contract revenues. The Company uses fuel commodity forward contracts, typically with durations of less than one year, to reduce the impacts of changing fuel prices on operations. The Company does not purchase fuel hedges for trading purposes. Based on the Company’s 2011 projected domestic fuel consumption, a 10% increase in the average price per gallon of fuel would have an immaterial effect on fuel expense, after the effect of fuel commodity contracts in place at December 31, 2010. At December 31, 2010 the Company had outstanding arrangements to hedge the price of a portion of its fuel purchases related to domestic dredging work in backlog, representing approximately 80% of its anticipated domestic fuel requirements for 2011. As of December 31, 2010, there were 5.3 million gallons remaining on these contracts. Under these agreements, the Company will pay fixed prices ranging from $2.13 to $2.55 per gallon. At December 31, 2010, the fair value asset on these contracts was estimated to be $0.6 million, based on quoted market prices and is recorded in accrued expenses. A 10% change in forward fuel prices would result in an immaterial change in the fair value of fuel hedges outstanding at December 31, 2010.</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137"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The consolidated financial statements (including financial statement schedules listed under Item 15 of this Report) of the Company called for by this Item, together with the Report of Independent Registered Public Accounting Firm dated March 14, 2011, are set forth on pages 65 to 112 inclusive, of this Report, and are hereby incorporated by reference into this Item. The financial statements of NASDI and Yankee called for by this Item, together with the related Reports of Independent Registered Public Accounting Firm dated March 14, 2011 as to NASDI and dated March 14, 2011 as to Yankee, are set forth on pages F-1 to F-16 and F-17 to F-37, respectively,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13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following tables set forth our unaudited quarterly results of operations for 2010 and 2009. We have prepared this unaudited information on a basis consistent with the audited consolidated financial statements contained in this report and this unaudited information includes all adjustments, consisting only of normal recurring adjustments that we consider necessary for a fair presentation of our results of operations for the quarters presented. You should read this quarterly financial data along with the Condensed Consolidated Financial Statements and the related notes to those statements included in our Quarterly Reports on Form 10-Q filed with the Commission. The operating results for any quarter are not necessarily indicative of the results for the annual period or any future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9"/>
              </w:rPr>
              <w:t>March 31,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June 30,</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Unaudited</w:t>
            </w:r>
          </w:p>
        </w:tc>
        <w:tc>
          <w:tcPr>
            <w:tcW w:w="1600" w:type="dxa"/>
            <w:vAlign w:val="bottom"/>
            <w:gridSpan w:val="3"/>
          </w:tcPr>
          <w:p>
            <w:pPr>
              <w:jc w:val="right"/>
              <w:ind w:right="740"/>
              <w:spacing w:after="0" w:line="142" w:lineRule="exact"/>
              <w:rPr>
                <w:sz w:val="20"/>
                <w:szCs w:val="20"/>
                <w:color w:val="auto"/>
              </w:rPr>
            </w:pPr>
            <w:r>
              <w:rPr>
                <w:rFonts w:ascii="Arial" w:cs="Arial" w:eastAsia="Arial" w:hAnsi="Arial"/>
                <w:sz w:val="14"/>
                <w:szCs w:val="14"/>
                <w:b w:val="1"/>
                <w:bCs w:val="1"/>
                <w:color w:val="auto"/>
                <w:w w:val="87"/>
              </w:rPr>
              <w:t>September 30,</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86"/>
              </w:rPr>
              <w:t>(in millions except share and per share data)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Contract revenues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161.4</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180.1</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173.3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Costs of contract revenues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2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attributable to Great Lakes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Dredge &amp; Dock Corporation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58,547,990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58,601,649</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58,698,299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58,750,621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58,705,175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58,780,611</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58,900,824</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59,067,964</w:t>
            </w:r>
          </w:p>
        </w:tc>
        <w:tc>
          <w:tcPr>
            <w:tcW w:w="0" w:type="dxa"/>
            <w:vAlign w:val="bottom"/>
          </w:tcPr>
          <w:p>
            <w:pPr>
              <w:spacing w:after="0"/>
              <w:rPr>
                <w:sz w:val="1"/>
                <w:szCs w:val="1"/>
                <w:color w:val="auto"/>
              </w:rPr>
            </w:pPr>
          </w:p>
        </w:tc>
      </w:tr>
      <w:tr>
        <w:trPr>
          <w:trHeight w:val="356"/>
        </w:trPr>
        <w:tc>
          <w:tcPr>
            <w:tcW w:w="56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4"/>
                <w:szCs w:val="14"/>
                <w:b w:val="1"/>
                <w:bCs w:val="1"/>
                <w:color w:val="auto"/>
                <w:w w:val="90"/>
              </w:rPr>
              <w:t>Quarter Ended</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752"/>
              <w:spacing w:after="0" w:line="142" w:lineRule="exact"/>
              <w:rPr>
                <w:sz w:val="20"/>
                <w:szCs w:val="20"/>
                <w:color w:val="auto"/>
              </w:rPr>
            </w:pPr>
            <w:r>
              <w:rPr>
                <w:rFonts w:ascii="Arial" w:cs="Arial" w:eastAsia="Arial" w:hAnsi="Arial"/>
                <w:sz w:val="14"/>
                <w:szCs w:val="14"/>
                <w:b w:val="1"/>
                <w:bCs w:val="1"/>
                <w:color w:val="auto"/>
              </w:rPr>
              <w:t>June 30,</w:t>
            </w:r>
          </w:p>
        </w:tc>
        <w:tc>
          <w:tcPr>
            <w:tcW w:w="1520" w:type="dxa"/>
            <w:vAlign w:val="bottom"/>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w w:val="87"/>
              </w:rPr>
              <w:t>September 30,</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6"/>
              </w:rPr>
              <w:t>(in millions except share and per share data)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Contract revenues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179.2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52"/>
              <w:spacing w:after="0"/>
              <w:rPr>
                <w:sz w:val="20"/>
                <w:szCs w:val="20"/>
                <w:color w:val="auto"/>
              </w:rPr>
            </w:pPr>
            <w:r>
              <w:rPr>
                <w:rFonts w:ascii="Arial" w:cs="Arial" w:eastAsia="Arial" w:hAnsi="Arial"/>
                <w:sz w:val="18"/>
                <w:szCs w:val="18"/>
                <w:color w:val="auto"/>
              </w:rPr>
              <w:t>142.5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Costs of contract revenues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2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5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2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5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9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Net income attributable to Great Lakes Dredge &amp; Dock Corporation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Basic earnings (loss) per share</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60" w:type="dxa"/>
            <w:vAlign w:val="bottom"/>
            <w:vMerge w:val="continue"/>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52"/>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8"/>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58,488,394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6"/>
              </w:rPr>
              <w:t>58,499,312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58,506,332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58,532,394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52"/>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58,488,394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6"/>
              </w:rPr>
              <w:t>58,553,842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58,688,696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58,745,421</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Note: Items may not sum due to rounding.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3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Company’s disclosure controls and procedures, as required by Rule 13a-15(b) and 15d-15(b) under the Securities Exchange Act of 1934 (the “Exchange Act”) as of December 31, 2010. Our disclosure controls and procedures are designed to reasonably assure that information required to be disclosed by us in reports we file or submit under the Exchange Act is accumulated and communicated to our management, including our Chief Executive Officer and Chief Financial Officer, as appropriate to allow timely decisions regarding disclosure and is recorded, processed, summarized and reported within the time periods specified in the Securities and Exchange Commission’s rules and forms.</w:t>
      </w:r>
    </w:p>
    <w:p>
      <w:pPr>
        <w:spacing w:after="0" w:line="10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management, with the participation of the Chief Executive Officer and Chief Financial Officer, believes that our disclosure controls and procedures are effective to provide such reasonable assurance. Our management, including the Chief Executive Officer and Chief Financial Officer, believes that any disclosure controls and procedures or internal controls and procedures, no matter how well conceived and operated, can provide only reasonable, not absolute, assurance that the objectives of the control system are met. Further, the design of a control system must consider the benefits of controls relative to their costs.</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Inherent limitations within a control system include the realities that judgments in decision-making can be faulty, and that breakdowns can occur because of simple error or mistake. Additionally, controls can be circumvented by the individual acts of some persons, by collusion of two or more people, or by unauthorized override of the control. The design of any system of controls also is based in part upon certain assumptions about the likelihood of future events, and there can be no assurance that any design will succeed in achieving its stated goals under all potential future conditions. Accordingly, because of the inherent limitations in a cost effective control system, misstatements due to error or fraud may occur and may not be prevented or detected.</w:t>
      </w:r>
    </w:p>
    <w:p>
      <w:pPr>
        <w:spacing w:after="0" w:line="7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management has also conducted an assessment of the Company’s internal control over financial reporting as of December 31, 2010 as required by Section 404 of the Sarbanes-Oxley Act. Management’s report on our internal control over financial reporting is included on page 63. Management has concluded that internal control over financial reporting is effective as of December 31, 2010. The Independent Registered Public Accounting Firm’s report with respect to the effectiveness of our internal control over financial reporting is included on page 65.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3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There have been no changes in our internal controls over financial reporting during the fiscal quarter ended December 31, 2010 that have materially affected, or are reasonably likely to materially affect, our internal controls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3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The management of Great Lakes Dredge &amp; Dock Corporation is responsible for establishing and maintaining adequate internal control over financial reporting (as defined in Rules 13a-15(f), and 15d-15(f) under the Securities Exchange Act of 1934). Management has used the framework set forth in the report entitled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published by the COSO of the Treadway Commission to evaluate the effectiveness of the Company’s internal control over financial reporting, with the exception of the Matteson business.</w:t>
      </w:r>
    </w:p>
    <w:p>
      <w:pPr>
        <w:spacing w:after="0" w:line="10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completed the acquisition of Matteson on December 31, 2010. Since the Company has not fully incorporated the internal controls and procedures of this business into the Company’s internal control over financial reporting, management excluded this business from its assessment of the effectiveness of the Company’s internal control over financial reporting as of December 31, 2010. As of December 31, 2010, Matteson constitutes approximately 7% and 14% of the Company’s total and net assets respectively, and given the date of acquisition, had no impact on the Company’s revenues or operating income in 2010.</w:t>
      </w:r>
    </w:p>
    <w:p>
      <w:pPr>
        <w:spacing w:after="0" w:line="10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6" w:lineRule="exact"/>
        <w:rPr>
          <w:sz w:val="20"/>
          <w:szCs w:val="20"/>
          <w:color w:val="auto"/>
        </w:rPr>
      </w:pPr>
    </w:p>
    <w:p>
      <w:pPr>
        <w:ind w:left="660" w:right="66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04" w:lineRule="exact"/>
        <w:rPr>
          <w:rFonts w:ascii="Arial" w:cs="Arial" w:eastAsia="Arial" w:hAnsi="Arial"/>
          <w:sz w:val="18"/>
          <w:szCs w:val="18"/>
          <w:color w:val="auto"/>
        </w:rPr>
      </w:pPr>
    </w:p>
    <w:p>
      <w:pPr>
        <w:ind w:left="660" w:right="560" w:hanging="20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spacing w:after="0" w:line="11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9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independent registered public accounting firm, Deloitte &amp; Touche LLP, who audited Great Lakes’ consolidated financial statements included in this Form 10-K, has issued a report on Great Lakes’ internal control over financial reporting, which is included herein.</w:t>
      </w:r>
    </w:p>
    <w:p>
      <w:pPr>
        <w:spacing w:after="0" w:line="9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Management has concluded that our internal controls over financial reporting and our disclosure controls and procedures were effective, at a reasonable assurance level, as of December 31,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ONATHAN</w:t>
      </w:r>
      <w:r>
        <w:rPr>
          <w:rFonts w:ascii="Arial" w:cs="Arial" w:eastAsia="Arial" w:hAnsi="Arial"/>
          <w:sz w:val="18"/>
          <w:szCs w:val="18"/>
          <w:color w:val="auto"/>
        </w:rPr>
        <w:t xml:space="preserve"> W. B</w:t>
      </w:r>
      <w:r>
        <w:rPr>
          <w:rFonts w:ascii="Arial" w:cs="Arial" w:eastAsia="Arial" w:hAnsi="Arial"/>
          <w:sz w:val="14"/>
          <w:szCs w:val="14"/>
          <w:color w:val="auto"/>
        </w:rPr>
        <w:t>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Officer and Director</w:t>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J. B</w:t>
      </w:r>
      <w:r>
        <w:rPr>
          <w:rFonts w:ascii="Arial" w:cs="Arial" w:eastAsia="Arial" w:hAnsi="Arial"/>
          <w:sz w:val="14"/>
          <w:szCs w:val="14"/>
          <w:color w:val="auto"/>
        </w:rPr>
        <w:t>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Director</w:t>
      </w:r>
    </w:p>
    <w:p>
      <w:pPr>
        <w:spacing w:after="0" w:line="2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March 14,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Great Lakes Dredge &amp; Dock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12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We have audited the internal control over financial reporting of Great Lakes Dredge &amp; Dock Corporation and subsidiaries (the “Company”) as of December 31,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As described in Management’s Annual Report on Internal Control over Financial Reporting, management excluded from its assessment the internal control over financial reporting of its Matteson business (“Matteson”), which was acquired on December 31, 2010 and whose financial statements constitute approximately 7% and 14% of total and net assets, respectively, and no revenues or operating income of the consolidated financial statement amounts for the year ended December 31, 2010. Accordingly, our audit did not include the internal control over financial reporting at Matteson.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7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2010,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4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2010 of the Company and our report dated March 14, 2011 expressed an unqualified opinion on those financial statements and financial statement schedule.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2011</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80"/>
          </w:cols>
          <w:pgMar w:left="240" w:top="459" w:right="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19"/>
          </w:cols>
          <w:pgMar w:left="240" w:top="45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3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Information regarding our executive officers is incorporated by reference herein from the discussion under </w:t>
      </w:r>
      <w:r>
        <w:rPr>
          <w:rFonts w:ascii="Arial" w:cs="Arial" w:eastAsia="Arial" w:hAnsi="Arial"/>
          <w:sz w:val="18"/>
          <w:szCs w:val="18"/>
          <w:i w:val="1"/>
          <w:iCs w:val="1"/>
          <w:color w:val="auto"/>
        </w:rPr>
        <w:t>Item 1. Business—Executive Officers</w:t>
      </w:r>
      <w:r>
        <w:rPr>
          <w:rFonts w:ascii="Arial" w:cs="Arial" w:eastAsia="Arial" w:hAnsi="Arial"/>
          <w:sz w:val="18"/>
          <w:szCs w:val="18"/>
          <w:color w:val="auto"/>
        </w:rPr>
        <w:t xml:space="preserve">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adopted a written code of business conduct and ethics that applies to all of its employees, including its principal executive officer, principal financial officer, controller, and persons performing similar functions. The Company’s code of ethics can be found on its website at www.gldd.com. The Company will post on our website any amendments to or waivers of the code of business conduct and ethics for executive officers or directors, in accordance with applicable laws and regulations.</w:t>
      </w:r>
    </w:p>
    <w:p>
      <w:pPr>
        <w:spacing w:after="0" w:line="10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remaining information called for by this Item 10 is incorporated by reference herein from the discussions under the headings “Election of Directors,” “Board of Directors and Corporate Governance” and “Security Ownership of Certain Beneficial Owners and Management” and “Section 16(a) Beneficial Ownership Reporting Compliance” in the definitive Proxy Statement for the 2011 Annual Meeting of Stockholders.</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3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information required by Item 11 of Form 10-K is incorporated by reference herein from the discussions under the headings “Executive Compensation” and “Compensation Discussion and Analysis” and “Board of Directors and Corporate Governance” in the definitive Proxy Statement for the 2011 Annual Meeting of Stockholders.</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Related Stockholder Matters</w:t>
      </w:r>
    </w:p>
    <w:p>
      <w:pPr>
        <w:spacing w:after="0" w:line="13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information required by Item 12 of Form 10-K with respect to directors, executive officers and certain beneficial owners is incorporated by reference herein from the discussion under the heading “Security Ownership of Certain Beneficial Owners and Management” and “Change of Control of the Company” in our definitive Proxy Statement for the 2011 Annual Meeting of Stockholders.</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3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information required by Item 13 of Form 10-K is incorporated by reference herein from the discussions under the headings “Board of Directors and Corporate Governance” and “Change of Control of the Company” and “Certain Relationships and Related Transactions” in the definitive Proxy Statement for the 2011 Annual Meeting of Stockholders.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37"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The information required by Item 14 of Form 10-K is incorporated by reference herein from the discussion under the heading “Matters Related to Independent Registered Public Accounting Firm” in the definitive Proxy Statement for the 2011 Annual Meeting of Stockholders.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Statements Schedules</w:t>
      </w:r>
    </w:p>
    <w:p>
      <w:pPr>
        <w:spacing w:after="0" w:line="14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1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Financial Statements</w:t>
      </w:r>
    </w:p>
    <w:p>
      <w:pPr>
        <w:spacing w:after="0" w:line="13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financial statements listed below are set forth on pages 79 to 110, F-3 to F-15 and F-19 to F-37 inclusive, of this Report and are incorporated by reference in Item 8 of this Report.</w:t>
      </w:r>
    </w:p>
    <w:p>
      <w:pPr>
        <w:spacing w:after="0" w:line="1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10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Great Lakes Dredge &amp; Dock Corporation: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1"/>
        </w:trPr>
        <w:tc>
          <w:tcPr>
            <w:tcW w:w="9100" w:type="dxa"/>
            <w:vAlign w:val="bottom"/>
            <w:gridSpan w:val="20"/>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40" w:type="dxa"/>
            <w:vAlign w:val="bottom"/>
            <w:tcBorders>
              <w:bottom w:val="single" w:sz="8" w:color="0000EE"/>
            </w:tcBorders>
            <w:gridSpan w:val="6"/>
          </w:tcPr>
          <w:p>
            <w:pPr>
              <w:spacing w:after="0" w:line="184"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Report of Independent Registered Public Accounting Firm</w:t>
              </w:r>
            </w:hyperlink>
          </w:p>
        </w:tc>
        <w:tc>
          <w:tcPr>
            <w:tcW w:w="4520" w:type="dxa"/>
            <w:vAlign w:val="bottom"/>
            <w:gridSpan w:val="13"/>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5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81">
              <w:r>
                <w:rPr>
                  <w:rFonts w:ascii="Arial" w:cs="Arial" w:eastAsia="Arial" w:hAnsi="Arial"/>
                  <w:sz w:val="18"/>
                  <w:szCs w:val="18"/>
                  <w:color w:val="0000EE"/>
                  <w:w w:val="86"/>
                </w:rPr>
                <w:t>Consolidated Balance Sheets as of December 31, 2010 and 2009</w:t>
              </w:r>
            </w:hyperlink>
          </w:p>
        </w:tc>
        <w:tc>
          <w:tcPr>
            <w:tcW w:w="412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660" w:type="dxa"/>
            <w:vAlign w:val="bottom"/>
            <w:gridSpan w:val="1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Operations for the years ended December 31, 2010, 2009 and 2008</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680" w:type="dxa"/>
            <w:vAlign w:val="bottom"/>
            <w:tcBorders>
              <w:top w:val="single" w:sz="8" w:color="0000EE"/>
            </w:tcBorders>
            <w:gridSpan w:val="17"/>
          </w:tcPr>
          <w:p>
            <w:pPr>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Consolidated Statements of Equity for the years ended December 31, 2010, 2009 and 2008</w:t>
              </w:r>
            </w:hyperlink>
          </w:p>
        </w:tc>
        <w:tc>
          <w:tcPr>
            <w:tcW w:w="19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74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84">
              <w:r>
                <w:rPr>
                  <w:rFonts w:ascii="Arial" w:cs="Arial" w:eastAsia="Arial" w:hAnsi="Arial"/>
                  <w:sz w:val="18"/>
                  <w:szCs w:val="18"/>
                  <w:color w:val="0000EE"/>
                  <w:w w:val="86"/>
                </w:rPr>
                <w:t>Consolidated Statements of Cash Flows for the years ended December 31, 2010, 2009 and 2008</w:t>
              </w:r>
            </w:hyperlink>
          </w:p>
        </w:tc>
        <w:tc>
          <w:tcPr>
            <w:tcW w:w="19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Notes to Consolidated Financial Statements</w:t>
              </w:r>
            </w:hyperlink>
          </w:p>
        </w:tc>
        <w:tc>
          <w:tcPr>
            <w:tcW w:w="558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8"/>
        </w:trPr>
        <w:tc>
          <w:tcPr>
            <w:tcW w:w="9100" w:type="dxa"/>
            <w:vAlign w:val="bottom"/>
            <w:gridSpan w:val="20"/>
          </w:tcPr>
          <w:p>
            <w:pPr>
              <w:spacing w:after="0"/>
              <w:rPr>
                <w:sz w:val="20"/>
                <w:szCs w:val="20"/>
                <w:color w:val="auto"/>
              </w:rPr>
            </w:pPr>
            <w:r>
              <w:rPr>
                <w:rFonts w:ascii="Arial" w:cs="Arial" w:eastAsia="Arial" w:hAnsi="Arial"/>
                <w:sz w:val="18"/>
                <w:szCs w:val="18"/>
                <w:b w:val="1"/>
                <w:bCs w:val="1"/>
                <w:color w:val="auto"/>
              </w:rPr>
              <w:t>NASDI, LLC:</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5"/>
          </w:tcPr>
          <w:p>
            <w:pPr>
              <w:spacing w:after="0" w:line="184"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Report of Independent Registered Public Accounting Firm</w:t>
              </w:r>
            </w:hyperlink>
          </w:p>
        </w:tc>
        <w:tc>
          <w:tcPr>
            <w:tcW w:w="4540" w:type="dxa"/>
            <w:vAlign w:val="bottom"/>
            <w:gridSpan w:val="14"/>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660" w:type="dxa"/>
            <w:vAlign w:val="bottom"/>
            <w:gridSpan w:val="19"/>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Balance Sheets as of December 31, 2010 and 2009</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72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117">
              <w:r>
                <w:rPr>
                  <w:rFonts w:ascii="Arial" w:cs="Arial" w:eastAsia="Arial" w:hAnsi="Arial"/>
                  <w:sz w:val="18"/>
                  <w:szCs w:val="18"/>
                  <w:color w:val="0000EE"/>
                  <w:w w:val="86"/>
                </w:rPr>
                <w:t>Statements of Operations for the years ended December 31, 2010, 2009 and 2008</w:t>
              </w:r>
            </w:hyperlink>
          </w:p>
        </w:tc>
        <w:tc>
          <w:tcPr>
            <w:tcW w:w="294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1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18">
              <w:r>
                <w:rPr>
                  <w:rFonts w:ascii="Arial" w:cs="Arial" w:eastAsia="Arial" w:hAnsi="Arial"/>
                  <w:sz w:val="18"/>
                  <w:szCs w:val="18"/>
                  <w:color w:val="0000EE"/>
                  <w:w w:val="87"/>
                </w:rPr>
                <w:t>Statements of Members’ Equity for the years ended December 31, 2010, 2009 and 2008</w:t>
              </w:r>
            </w:hyperlink>
          </w:p>
        </w:tc>
        <w:tc>
          <w:tcPr>
            <w:tcW w:w="24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660" w:type="dxa"/>
            <w:vAlign w:val="bottom"/>
            <w:gridSpan w:val="19"/>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Statements of Cash Flows for the years ended December 31, 2010, 2009 and 2008</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7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Notes to Financial Statements</w:t>
              </w:r>
            </w:hyperlink>
          </w:p>
        </w:tc>
        <w:tc>
          <w:tcPr>
            <w:tcW w:w="290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100" w:type="dxa"/>
            <w:vAlign w:val="bottom"/>
            <w:gridSpan w:val="20"/>
          </w:tcPr>
          <w:p>
            <w:pPr>
              <w:spacing w:after="0"/>
              <w:rPr>
                <w:sz w:val="20"/>
                <w:szCs w:val="20"/>
                <w:color w:val="auto"/>
              </w:rPr>
            </w:pPr>
            <w:r>
              <w:rPr>
                <w:rFonts w:ascii="Arial" w:cs="Arial" w:eastAsia="Arial" w:hAnsi="Arial"/>
                <w:sz w:val="18"/>
                <w:szCs w:val="18"/>
                <w:b w:val="1"/>
                <w:bCs w:val="1"/>
                <w:color w:val="auto"/>
              </w:rPr>
              <w:t>Yankee Environmental Services, LLC:</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5"/>
          </w:tcPr>
          <w:p>
            <w:pPr>
              <w:spacing w:after="0" w:line="184" w:lineRule="exact"/>
              <w:rPr>
                <w:rFonts w:ascii="Arial" w:cs="Arial" w:eastAsia="Arial" w:hAnsi="Arial"/>
                <w:sz w:val="18"/>
                <w:szCs w:val="18"/>
                <w:color w:val="0000EE"/>
                <w:w w:val="89"/>
              </w:rPr>
            </w:pPr>
            <w:hyperlink w:anchor="page131">
              <w:r>
                <w:rPr>
                  <w:rFonts w:ascii="Arial" w:cs="Arial" w:eastAsia="Arial" w:hAnsi="Arial"/>
                  <w:sz w:val="18"/>
                  <w:szCs w:val="18"/>
                  <w:color w:val="0000EE"/>
                  <w:w w:val="89"/>
                </w:rPr>
                <w:t>Report of Independent Registered Public Accounting Firm</w:t>
              </w:r>
            </w:hyperlink>
          </w:p>
        </w:tc>
        <w:tc>
          <w:tcPr>
            <w:tcW w:w="4540" w:type="dxa"/>
            <w:vAlign w:val="bottom"/>
            <w:gridSpan w:val="14"/>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w w:val="97"/>
              </w:rPr>
              <w:t>F-18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660" w:type="dxa"/>
            <w:vAlign w:val="bottom"/>
            <w:gridSpan w:val="19"/>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Balance Sheets as of December 31, 2010 and 2009</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F-19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8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133">
              <w:r>
                <w:rPr>
                  <w:rFonts w:ascii="Arial" w:cs="Arial" w:eastAsia="Arial" w:hAnsi="Arial"/>
                  <w:sz w:val="18"/>
                  <w:szCs w:val="18"/>
                  <w:color w:val="0000EE"/>
                  <w:w w:val="86"/>
                </w:rPr>
                <w:t>Statements of Operations for the years ended December 31, 2010 and 2009</w:t>
              </w:r>
            </w:hyperlink>
          </w:p>
        </w:tc>
        <w:tc>
          <w:tcPr>
            <w:tcW w:w="338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660" w:type="dxa"/>
            <w:vAlign w:val="bottom"/>
            <w:gridSpan w:val="19"/>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Statements of Members’ Equity (Deficit) for the years ended December 31, 2010 and 2009</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Statements of Cash Flows for the years ended December 31, 2010 and 2009</w:t>
              </w:r>
            </w:hyperlink>
          </w:p>
        </w:tc>
        <w:tc>
          <w:tcPr>
            <w:tcW w:w="22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Notes to Financial Statements</w:t>
              </w:r>
            </w:hyperlink>
          </w:p>
        </w:tc>
        <w:tc>
          <w:tcPr>
            <w:tcW w:w="334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100" w:type="dxa"/>
            <w:vAlign w:val="bottom"/>
            <w:gridSpan w:val="20"/>
          </w:tcPr>
          <w:p>
            <w:pPr>
              <w:spacing w:after="0"/>
              <w:rPr>
                <w:sz w:val="20"/>
                <w:szCs w:val="20"/>
                <w:color w:val="auto"/>
              </w:rPr>
            </w:pPr>
            <w:r>
              <w:rPr>
                <w:rFonts w:ascii="Arial" w:cs="Arial" w:eastAsia="Arial" w:hAnsi="Arial"/>
                <w:sz w:val="18"/>
                <w:szCs w:val="18"/>
                <w:b w:val="1"/>
                <w:bCs w:val="1"/>
                <w:color w:val="auto"/>
              </w:rPr>
              <w:t>Yankee Environmental Services, Inc.</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8660" w:type="dxa"/>
            <w:vAlign w:val="bottom"/>
            <w:gridSpan w:val="19"/>
          </w:tcPr>
          <w:p>
            <w:pPr>
              <w:spacing w:after="0" w:line="184" w:lineRule="exact"/>
              <w:rPr>
                <w:rFonts w:ascii="Arial" w:cs="Arial" w:eastAsia="Arial" w:hAnsi="Arial"/>
                <w:sz w:val="18"/>
                <w:szCs w:val="18"/>
                <w:color w:val="0000EE"/>
              </w:rPr>
            </w:pPr>
            <w:hyperlink w:anchor="page146">
              <w:r>
                <w:rPr>
                  <w:rFonts w:ascii="Arial" w:cs="Arial" w:eastAsia="Arial" w:hAnsi="Arial"/>
                  <w:sz w:val="18"/>
                  <w:szCs w:val="18"/>
                  <w:color w:val="0000EE"/>
                </w:rPr>
                <w:t>Statements of Operations for the year ended December 31, 2008 (Unaudited)</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w w:val="97"/>
              </w:rPr>
              <w:t>F-33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240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660" w:type="dxa"/>
            <w:vAlign w:val="bottom"/>
            <w:gridSpan w:val="19"/>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Statements of Shareholders’ Equity for the year ended December 31, 2008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F-34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148">
              <w:r>
                <w:rPr>
                  <w:rFonts w:ascii="Arial" w:cs="Arial" w:eastAsia="Arial" w:hAnsi="Arial"/>
                  <w:sz w:val="18"/>
                  <w:szCs w:val="18"/>
                  <w:color w:val="0000EE"/>
                  <w:w w:val="87"/>
                </w:rPr>
                <w:t>Statements of Cash Flows for the year ended December 31, 2008 (Unaudited)</w:t>
              </w:r>
            </w:hyperlink>
          </w:p>
        </w:tc>
        <w:tc>
          <w:tcPr>
            <w:tcW w:w="660" w:type="dxa"/>
            <w:vAlign w:val="bottom"/>
            <w:tcBorders>
              <w:top w:val="single" w:sz="8" w:color="0000EE"/>
            </w:tcBorders>
            <w:gridSpan w:val="3"/>
          </w:tcPr>
          <w:p>
            <w:pPr>
              <w:spacing w:after="0"/>
              <w:rPr>
                <w:sz w:val="17"/>
                <w:szCs w:val="17"/>
                <w:color w:val="auto"/>
              </w:rPr>
            </w:pPr>
          </w:p>
        </w:tc>
        <w:tc>
          <w:tcPr>
            <w:tcW w:w="254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F-35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49">
              <w:r>
                <w:rPr>
                  <w:rFonts w:ascii="Arial" w:cs="Arial" w:eastAsia="Arial" w:hAnsi="Arial"/>
                  <w:sz w:val="18"/>
                  <w:szCs w:val="18"/>
                  <w:color w:val="0000EE"/>
                  <w:w w:val="87"/>
                </w:rPr>
                <w:t>Notes to Financial Statements (Unaudited)</w:t>
              </w:r>
            </w:hyperlink>
          </w:p>
        </w:tc>
        <w:tc>
          <w:tcPr>
            <w:tcW w:w="566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F-36</w:t>
            </w:r>
          </w:p>
        </w:tc>
        <w:tc>
          <w:tcPr>
            <w:tcW w:w="0" w:type="dxa"/>
            <w:vAlign w:val="bottom"/>
          </w:tcPr>
          <w:p>
            <w:pPr>
              <w:spacing w:after="0"/>
              <w:rPr>
                <w:sz w:val="1"/>
                <w:szCs w:val="1"/>
                <w:color w:val="auto"/>
              </w:rPr>
            </w:pPr>
          </w:p>
        </w:tc>
      </w:tr>
      <w:tr>
        <w:trPr>
          <w:trHeight w:val="383"/>
        </w:trPr>
        <w:tc>
          <w:tcPr>
            <w:tcW w:w="4980" w:type="dxa"/>
            <w:vAlign w:val="bottom"/>
            <w:gridSpan w:val="8"/>
          </w:tcPr>
          <w:p>
            <w:pPr>
              <w:ind w:left="4700"/>
              <w:spacing w:after="0"/>
              <w:rPr>
                <w:sz w:val="20"/>
                <w:szCs w:val="20"/>
                <w:color w:val="auto"/>
              </w:rPr>
            </w:pPr>
            <w:r>
              <w:rPr>
                <w:rFonts w:ascii="Arial" w:cs="Arial" w:eastAsia="Arial" w:hAnsi="Arial"/>
                <w:sz w:val="18"/>
                <w:szCs w:val="18"/>
                <w:color w:val="auto"/>
              </w:rPr>
              <w:t>68</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459" w:right="7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Financial Statement Schedules</w:t>
      </w:r>
    </w:p>
    <w:p>
      <w:pPr>
        <w:spacing w:after="0" w:line="13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All other schedules, except Schedule II—Valuation and Qualifying Accounts on pages 112 and F-16, are omitted because they are not required or the required information is shown in the financial statements or notes thereto</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Exhibits</w:t>
      </w:r>
    </w:p>
    <w:p>
      <w:pPr>
        <w:spacing w:after="0" w:line="13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exhibits required to be filed by Item 601 of Regulation S-K are listed in the “Exhibit Index” which is attached hereto and incorporated by reference herein.</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240" w:top="459" w:right="5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3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3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J. B</w:t>
            </w:r>
            <w:r>
              <w:rPr>
                <w:rFonts w:ascii="Arial" w:cs="Arial" w:eastAsia="Arial" w:hAnsi="Arial"/>
                <w:sz w:val="14"/>
                <w:szCs w:val="14"/>
                <w:color w:val="auto"/>
              </w:rPr>
              <w:t>IEMECK</w:t>
            </w:r>
          </w:p>
        </w:tc>
      </w:tr>
      <w:tr>
        <w:trPr>
          <w:trHeight w:val="202"/>
        </w:trPr>
        <w:tc>
          <w:tcPr>
            <w:tcW w:w="260" w:type="dxa"/>
            <w:vAlign w:val="bottom"/>
          </w:tcPr>
          <w:p>
            <w:pPr>
              <w:spacing w:after="0"/>
              <w:rPr>
                <w:sz w:val="17"/>
                <w:szCs w:val="17"/>
                <w:color w:val="auto"/>
              </w:rPr>
            </w:pPr>
          </w:p>
        </w:tc>
        <w:tc>
          <w:tcPr>
            <w:tcW w:w="4300" w:type="dxa"/>
            <w:vAlign w:val="bottom"/>
          </w:tcPr>
          <w:p>
            <w:pPr>
              <w:jc w:val="center"/>
              <w:spacing w:after="0" w:line="202" w:lineRule="exact"/>
              <w:rPr>
                <w:sz w:val="20"/>
                <w:szCs w:val="20"/>
                <w:color w:val="auto"/>
              </w:rPr>
            </w:pPr>
            <w:r>
              <w:rPr>
                <w:rFonts w:ascii="Arial" w:cs="Arial" w:eastAsia="Arial" w:hAnsi="Arial"/>
                <w:sz w:val="18"/>
                <w:szCs w:val="18"/>
                <w:color w:val="auto"/>
                <w:w w:val="88"/>
              </w:rPr>
              <w:t>Bruce J. Biemeck</w:t>
            </w:r>
          </w:p>
        </w:tc>
      </w:tr>
      <w:tr>
        <w:trPr>
          <w:trHeight w:val="222"/>
        </w:trPr>
        <w:tc>
          <w:tcPr>
            <w:tcW w:w="26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Financial Officer</w:t>
            </w:r>
          </w:p>
        </w:tc>
      </w:tr>
    </w:tbl>
    <w:p>
      <w:pPr>
        <w:spacing w:after="0" w:line="1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March 14, 2011</w:t>
      </w:r>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38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86"/>
              </w:rPr>
              <w:t>Signature</w:t>
            </w:r>
          </w:p>
        </w:tc>
        <w:tc>
          <w:tcPr>
            <w:tcW w:w="1360" w:type="dxa"/>
            <w:vAlign w:val="bottom"/>
            <w:gridSpan w:val="3"/>
          </w:tcPr>
          <w:p>
            <w:pPr>
              <w:ind w:left="940"/>
              <w:spacing w:after="0"/>
              <w:rPr>
                <w:sz w:val="20"/>
                <w:szCs w:val="20"/>
                <w:color w:val="auto"/>
              </w:rPr>
            </w:pPr>
            <w:r>
              <w:rPr>
                <w:rFonts w:ascii="Arial" w:cs="Arial" w:eastAsia="Arial" w:hAnsi="Arial"/>
                <w:sz w:val="14"/>
                <w:szCs w:val="14"/>
                <w:b w:val="1"/>
                <w:bCs w:val="1"/>
                <w:color w:val="auto"/>
              </w:rPr>
              <w:t>Date</w:t>
            </w:r>
          </w:p>
        </w:tc>
        <w:tc>
          <w:tcPr>
            <w:tcW w:w="5700" w:type="dxa"/>
            <w:vAlign w:val="bottom"/>
            <w:gridSpan w:val="3"/>
          </w:tcPr>
          <w:p>
            <w:pPr>
              <w:jc w:val="center"/>
              <w:ind w:left="834"/>
              <w:spacing w:after="0"/>
              <w:rPr>
                <w:sz w:val="20"/>
                <w:szCs w:val="20"/>
                <w:color w:val="auto"/>
              </w:rPr>
            </w:pPr>
            <w:r>
              <w:rPr>
                <w:rFonts w:ascii="Arial" w:cs="Arial" w:eastAsia="Arial" w:hAnsi="Arial"/>
                <w:sz w:val="14"/>
                <w:szCs w:val="14"/>
                <w:b w:val="1"/>
                <w:bCs w:val="1"/>
                <w:color w:val="auto"/>
                <w:w w:val="90"/>
              </w:rPr>
              <w:t>Title</w:t>
            </w:r>
          </w:p>
        </w:tc>
      </w:tr>
      <w:tr>
        <w:trPr>
          <w:trHeight w:val="20"/>
        </w:trPr>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25"/>
        </w:trPr>
        <w:tc>
          <w:tcPr>
            <w:tcW w:w="4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6"/>
              </w:rPr>
              <w:t>/s/  J</w:t>
            </w:r>
            <w:r>
              <w:rPr>
                <w:rFonts w:ascii="Arial" w:cs="Arial" w:eastAsia="Arial" w:hAnsi="Arial"/>
                <w:sz w:val="14"/>
                <w:szCs w:val="14"/>
                <w:color w:val="auto"/>
                <w:w w:val="96"/>
              </w:rPr>
              <w:t>ONATHAN</w:t>
            </w:r>
            <w:r>
              <w:rPr>
                <w:rFonts w:ascii="Arial" w:cs="Arial" w:eastAsia="Arial" w:hAnsi="Arial"/>
                <w:sz w:val="18"/>
                <w:szCs w:val="18"/>
                <w:color w:val="auto"/>
                <w:w w:val="96"/>
              </w:rPr>
              <w:t xml:space="preserve"> W. B</w:t>
            </w:r>
            <w:r>
              <w:rPr>
                <w:rFonts w:ascii="Arial" w:cs="Arial" w:eastAsia="Arial" w:hAnsi="Arial"/>
                <w:sz w:val="14"/>
                <w:szCs w:val="14"/>
                <w:color w:val="auto"/>
                <w:w w:val="96"/>
              </w:rPr>
              <w:t>ERGER</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w w:val="89"/>
              </w:rPr>
              <w:t>March 14, 2011</w:t>
            </w:r>
          </w:p>
        </w:tc>
        <w:tc>
          <w:tcPr>
            <w:tcW w:w="5700" w:type="dxa"/>
            <w:vAlign w:val="bottom"/>
            <w:gridSpan w:val="3"/>
          </w:tcPr>
          <w:p>
            <w:pPr>
              <w:ind w:left="800"/>
              <w:spacing w:after="0"/>
              <w:rPr>
                <w:sz w:val="20"/>
                <w:szCs w:val="20"/>
                <w:color w:val="auto"/>
              </w:rPr>
            </w:pPr>
            <w:r>
              <w:rPr>
                <w:rFonts w:ascii="Arial" w:cs="Arial" w:eastAsia="Arial" w:hAnsi="Arial"/>
                <w:sz w:val="18"/>
                <w:szCs w:val="18"/>
                <w:color w:val="auto"/>
                <w:w w:val="95"/>
              </w:rPr>
              <w:t>Chief Executive Officer and Director (Principal Executive Officer)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6"/>
              </w:rPr>
              <w:t>Jonathan W. Berger</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37"/>
        </w:trPr>
        <w:tc>
          <w:tcPr>
            <w:tcW w:w="42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9"/>
              </w:rPr>
              <w:t>/s/ B</w:t>
            </w:r>
            <w:r>
              <w:rPr>
                <w:rFonts w:ascii="Arial" w:cs="Arial" w:eastAsia="Arial" w:hAnsi="Arial"/>
                <w:sz w:val="14"/>
                <w:szCs w:val="14"/>
                <w:color w:val="auto"/>
                <w:w w:val="99"/>
              </w:rPr>
              <w:t>RUCE</w:t>
            </w:r>
            <w:r>
              <w:rPr>
                <w:rFonts w:ascii="Arial" w:cs="Arial" w:eastAsia="Arial" w:hAnsi="Arial"/>
                <w:sz w:val="18"/>
                <w:szCs w:val="18"/>
                <w:color w:val="auto"/>
                <w:w w:val="99"/>
              </w:rPr>
              <w:t xml:space="preserve"> J. B</w:t>
            </w:r>
            <w:r>
              <w:rPr>
                <w:rFonts w:ascii="Arial" w:cs="Arial" w:eastAsia="Arial" w:hAnsi="Arial"/>
                <w:sz w:val="14"/>
                <w:szCs w:val="14"/>
                <w:color w:val="auto"/>
                <w:w w:val="99"/>
              </w:rPr>
              <w:t>IEMECK</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w w:val="89"/>
              </w:rPr>
              <w:t>March 14, 2011</w:t>
            </w:r>
          </w:p>
        </w:tc>
        <w:tc>
          <w:tcPr>
            <w:tcW w:w="5700" w:type="dxa"/>
            <w:vAlign w:val="bottom"/>
            <w:gridSpan w:val="3"/>
          </w:tcPr>
          <w:p>
            <w:pPr>
              <w:jc w:val="center"/>
              <w:ind w:left="834"/>
              <w:spacing w:after="0"/>
              <w:rPr>
                <w:sz w:val="20"/>
                <w:szCs w:val="20"/>
                <w:color w:val="auto"/>
              </w:rPr>
            </w:pPr>
            <w:r>
              <w:rPr>
                <w:rFonts w:ascii="Arial" w:cs="Arial" w:eastAsia="Arial" w:hAnsi="Arial"/>
                <w:sz w:val="18"/>
                <w:szCs w:val="18"/>
                <w:color w:val="auto"/>
                <w:w w:val="89"/>
              </w:rPr>
              <w:t>President, Chief Financial Officer, Treasurer and Director (Principal</w:t>
            </w:r>
          </w:p>
        </w:tc>
      </w:tr>
      <w:tr>
        <w:trPr>
          <w:trHeight w:val="218"/>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8"/>
              </w:rPr>
              <w:t>Bruce J. Biemeck</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00" w:type="dxa"/>
            <w:vAlign w:val="bottom"/>
            <w:gridSpan w:val="3"/>
          </w:tcPr>
          <w:p>
            <w:pPr>
              <w:jc w:val="center"/>
              <w:ind w:left="854"/>
              <w:spacing w:after="0" w:line="202" w:lineRule="exact"/>
              <w:rPr>
                <w:sz w:val="20"/>
                <w:szCs w:val="20"/>
                <w:color w:val="auto"/>
              </w:rPr>
            </w:pPr>
            <w:r>
              <w:rPr>
                <w:rFonts w:ascii="Arial" w:cs="Arial" w:eastAsia="Arial" w:hAnsi="Arial"/>
                <w:sz w:val="18"/>
                <w:szCs w:val="18"/>
                <w:color w:val="auto"/>
                <w:w w:val="91"/>
              </w:rPr>
              <w:t>Financial Officer and Principal Accounting Officer)</w:t>
            </w:r>
          </w:p>
        </w:tc>
      </w:tr>
      <w:tr>
        <w:trPr>
          <w:trHeight w:val="438"/>
        </w:trPr>
        <w:tc>
          <w:tcPr>
            <w:tcW w:w="4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A. A</w:t>
            </w:r>
            <w:r>
              <w:rPr>
                <w:rFonts w:ascii="Arial" w:cs="Arial" w:eastAsia="Arial" w:hAnsi="Arial"/>
                <w:sz w:val="14"/>
                <w:szCs w:val="14"/>
                <w:color w:val="auto"/>
              </w:rPr>
              <w:t>LBERT</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w w:val="89"/>
              </w:rPr>
              <w:t>March 14, 2011</w:t>
            </w:r>
          </w:p>
        </w:tc>
        <w:tc>
          <w:tcPr>
            <w:tcW w:w="5700" w:type="dxa"/>
            <w:vAlign w:val="bottom"/>
            <w:gridSpan w:val="3"/>
          </w:tcPr>
          <w:p>
            <w:pPr>
              <w:jc w:val="center"/>
              <w:ind w:left="834"/>
              <w:spacing w:after="0"/>
              <w:rPr>
                <w:sz w:val="20"/>
                <w:szCs w:val="20"/>
                <w:color w:val="auto"/>
              </w:rPr>
            </w:pPr>
            <w:r>
              <w:rPr>
                <w:rFonts w:ascii="Arial" w:cs="Arial" w:eastAsia="Arial" w:hAnsi="Arial"/>
                <w:sz w:val="18"/>
                <w:szCs w:val="18"/>
                <w:color w:val="auto"/>
                <w:w w:val="91"/>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3"/>
              </w:rPr>
              <w:t>Carl A. Albert</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9"/>
              </w:rPr>
              <w:t>/s/ S</w:t>
            </w:r>
            <w:r>
              <w:rPr>
                <w:rFonts w:ascii="Arial" w:cs="Arial" w:eastAsia="Arial" w:hAnsi="Arial"/>
                <w:sz w:val="14"/>
                <w:szCs w:val="14"/>
                <w:color w:val="auto"/>
                <w:w w:val="99"/>
              </w:rPr>
              <w:t>TEPHEN</w:t>
            </w:r>
            <w:r>
              <w:rPr>
                <w:rFonts w:ascii="Arial" w:cs="Arial" w:eastAsia="Arial" w:hAnsi="Arial"/>
                <w:sz w:val="18"/>
                <w:szCs w:val="18"/>
                <w:color w:val="auto"/>
                <w:w w:val="99"/>
              </w:rPr>
              <w:t xml:space="preserve"> H. B</w:t>
            </w:r>
            <w:r>
              <w:rPr>
                <w:rFonts w:ascii="Arial" w:cs="Arial" w:eastAsia="Arial" w:hAnsi="Arial"/>
                <w:sz w:val="14"/>
                <w:szCs w:val="14"/>
                <w:color w:val="auto"/>
                <w:w w:val="99"/>
              </w:rPr>
              <w:t>ITTEL</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w w:val="89"/>
              </w:rPr>
              <w:t>March 14, 2011</w:t>
            </w:r>
          </w:p>
        </w:tc>
        <w:tc>
          <w:tcPr>
            <w:tcW w:w="5700" w:type="dxa"/>
            <w:vAlign w:val="bottom"/>
            <w:gridSpan w:val="3"/>
          </w:tcPr>
          <w:p>
            <w:pPr>
              <w:jc w:val="center"/>
              <w:ind w:left="834"/>
              <w:spacing w:after="0"/>
              <w:rPr>
                <w:sz w:val="20"/>
                <w:szCs w:val="20"/>
                <w:color w:val="auto"/>
              </w:rPr>
            </w:pPr>
            <w:r>
              <w:rPr>
                <w:rFonts w:ascii="Arial" w:cs="Arial" w:eastAsia="Arial" w:hAnsi="Arial"/>
                <w:sz w:val="18"/>
                <w:szCs w:val="18"/>
                <w:color w:val="auto"/>
                <w:w w:val="91"/>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8"/>
              </w:rPr>
              <w:t>Stephen H. Bittel</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w w:val="96"/>
              </w:rPr>
              <w:t>/s/ P</w:t>
            </w:r>
            <w:r>
              <w:rPr>
                <w:rFonts w:ascii="Arial" w:cs="Arial" w:eastAsia="Arial" w:hAnsi="Arial"/>
                <w:sz w:val="14"/>
                <w:szCs w:val="14"/>
                <w:color w:val="auto"/>
                <w:w w:val="96"/>
              </w:rPr>
              <w:t>ETER</w:t>
            </w:r>
            <w:r>
              <w:rPr>
                <w:rFonts w:ascii="Arial" w:cs="Arial" w:eastAsia="Arial" w:hAnsi="Arial"/>
                <w:sz w:val="18"/>
                <w:szCs w:val="18"/>
                <w:color w:val="auto"/>
                <w:w w:val="96"/>
              </w:rPr>
              <w:t xml:space="preserve"> R. D</w:t>
            </w:r>
            <w:r>
              <w:rPr>
                <w:rFonts w:ascii="Arial" w:cs="Arial" w:eastAsia="Arial" w:hAnsi="Arial"/>
                <w:sz w:val="14"/>
                <w:szCs w:val="14"/>
                <w:color w:val="auto"/>
                <w:w w:val="96"/>
              </w:rPr>
              <w:t>EUTSCH</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w w:val="89"/>
              </w:rPr>
              <w:t>March 14, 2011</w:t>
            </w:r>
          </w:p>
        </w:tc>
        <w:tc>
          <w:tcPr>
            <w:tcW w:w="5700" w:type="dxa"/>
            <w:vAlign w:val="bottom"/>
            <w:gridSpan w:val="3"/>
          </w:tcPr>
          <w:p>
            <w:pPr>
              <w:jc w:val="center"/>
              <w:ind w:left="834"/>
              <w:spacing w:after="0"/>
              <w:rPr>
                <w:sz w:val="20"/>
                <w:szCs w:val="20"/>
                <w:color w:val="auto"/>
              </w:rPr>
            </w:pPr>
            <w:r>
              <w:rPr>
                <w:rFonts w:ascii="Arial" w:cs="Arial" w:eastAsia="Arial" w:hAnsi="Arial"/>
                <w:sz w:val="18"/>
                <w:szCs w:val="18"/>
                <w:color w:val="auto"/>
                <w:w w:val="91"/>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7"/>
              </w:rPr>
              <w:t>Peter R. Deutsch</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rPr>
              <w:t>/s/ N</w:t>
            </w:r>
            <w:r>
              <w:rPr>
                <w:rFonts w:ascii="Arial" w:cs="Arial" w:eastAsia="Arial" w:hAnsi="Arial"/>
                <w:sz w:val="14"/>
                <w:szCs w:val="14"/>
                <w:color w:val="auto"/>
              </w:rPr>
              <w:t>ATHAN</w:t>
            </w:r>
            <w:r>
              <w:rPr>
                <w:rFonts w:ascii="Arial" w:cs="Arial" w:eastAsia="Arial" w:hAnsi="Arial"/>
                <w:sz w:val="18"/>
                <w:szCs w:val="18"/>
                <w:color w:val="auto"/>
              </w:rPr>
              <w:t xml:space="preserve"> D. L</w:t>
            </w:r>
            <w:r>
              <w:rPr>
                <w:rFonts w:ascii="Arial" w:cs="Arial" w:eastAsia="Arial" w:hAnsi="Arial"/>
                <w:sz w:val="14"/>
                <w:szCs w:val="14"/>
                <w:color w:val="auto"/>
              </w:rPr>
              <w:t>EIGHT</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w w:val="89"/>
              </w:rPr>
              <w:t>March 14, 2011</w:t>
            </w:r>
          </w:p>
        </w:tc>
        <w:tc>
          <w:tcPr>
            <w:tcW w:w="5700" w:type="dxa"/>
            <w:vAlign w:val="bottom"/>
            <w:gridSpan w:val="3"/>
          </w:tcPr>
          <w:p>
            <w:pPr>
              <w:jc w:val="center"/>
              <w:ind w:left="834"/>
              <w:spacing w:after="0"/>
              <w:rPr>
                <w:sz w:val="20"/>
                <w:szCs w:val="20"/>
                <w:color w:val="auto"/>
              </w:rPr>
            </w:pPr>
            <w:r>
              <w:rPr>
                <w:rFonts w:ascii="Arial" w:cs="Arial" w:eastAsia="Arial" w:hAnsi="Arial"/>
                <w:sz w:val="18"/>
                <w:szCs w:val="18"/>
                <w:color w:val="auto"/>
                <w:w w:val="91"/>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1"/>
              </w:rPr>
              <w:t>Nathan D. Leight</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OUGLAS</w:t>
            </w:r>
            <w:r>
              <w:rPr>
                <w:rFonts w:ascii="Arial" w:cs="Arial" w:eastAsia="Arial" w:hAnsi="Arial"/>
                <w:sz w:val="18"/>
                <w:szCs w:val="18"/>
                <w:color w:val="auto"/>
              </w:rPr>
              <w:t xml:space="preserve"> B. M</w:t>
            </w:r>
            <w:r>
              <w:rPr>
                <w:rFonts w:ascii="Arial" w:cs="Arial" w:eastAsia="Arial" w:hAnsi="Arial"/>
                <w:sz w:val="14"/>
                <w:szCs w:val="14"/>
                <w:color w:val="auto"/>
              </w:rPr>
              <w:t>ACKIE</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w w:val="89"/>
              </w:rPr>
              <w:t>March 14, 2011</w:t>
            </w:r>
          </w:p>
        </w:tc>
        <w:tc>
          <w:tcPr>
            <w:tcW w:w="5700" w:type="dxa"/>
            <w:vAlign w:val="bottom"/>
            <w:gridSpan w:val="3"/>
          </w:tcPr>
          <w:p>
            <w:pPr>
              <w:jc w:val="center"/>
              <w:ind w:left="834"/>
              <w:spacing w:after="0"/>
              <w:rPr>
                <w:sz w:val="20"/>
                <w:szCs w:val="20"/>
                <w:color w:val="auto"/>
              </w:rPr>
            </w:pPr>
            <w:r>
              <w:rPr>
                <w:rFonts w:ascii="Arial" w:cs="Arial" w:eastAsia="Arial" w:hAnsi="Arial"/>
                <w:sz w:val="18"/>
                <w:szCs w:val="18"/>
                <w:color w:val="auto"/>
                <w:w w:val="91"/>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90"/>
              </w:rPr>
              <w:t>Douglas B. Mackie</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38"/>
        </w:trPr>
        <w:tc>
          <w:tcPr>
            <w:tcW w:w="42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5"/>
              </w:rPr>
              <w:t>/s/ J</w:t>
            </w:r>
            <w:r>
              <w:rPr>
                <w:rFonts w:ascii="Arial" w:cs="Arial" w:eastAsia="Arial" w:hAnsi="Arial"/>
                <w:sz w:val="14"/>
                <w:szCs w:val="14"/>
                <w:color w:val="auto"/>
                <w:w w:val="95"/>
              </w:rPr>
              <w:t>ASON</w:t>
            </w:r>
            <w:r>
              <w:rPr>
                <w:rFonts w:ascii="Arial" w:cs="Arial" w:eastAsia="Arial" w:hAnsi="Arial"/>
                <w:sz w:val="18"/>
                <w:szCs w:val="18"/>
                <w:color w:val="auto"/>
                <w:w w:val="95"/>
              </w:rPr>
              <w:t xml:space="preserve"> G. W</w:t>
            </w:r>
            <w:r>
              <w:rPr>
                <w:rFonts w:ascii="Arial" w:cs="Arial" w:eastAsia="Arial" w:hAnsi="Arial"/>
                <w:sz w:val="14"/>
                <w:szCs w:val="14"/>
                <w:color w:val="auto"/>
                <w:w w:val="95"/>
              </w:rPr>
              <w:t>EISS</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w w:val="89"/>
              </w:rPr>
              <w:t>March 14, 2011</w:t>
            </w:r>
          </w:p>
        </w:tc>
        <w:tc>
          <w:tcPr>
            <w:tcW w:w="5700" w:type="dxa"/>
            <w:vAlign w:val="bottom"/>
            <w:gridSpan w:val="3"/>
          </w:tcPr>
          <w:p>
            <w:pPr>
              <w:jc w:val="center"/>
              <w:ind w:left="834"/>
              <w:spacing w:after="0"/>
              <w:rPr>
                <w:sz w:val="20"/>
                <w:szCs w:val="20"/>
                <w:color w:val="auto"/>
              </w:rPr>
            </w:pPr>
            <w:r>
              <w:rPr>
                <w:rFonts w:ascii="Arial" w:cs="Arial" w:eastAsia="Arial" w:hAnsi="Arial"/>
                <w:sz w:val="18"/>
                <w:szCs w:val="18"/>
                <w:color w:val="auto"/>
                <w:w w:val="91"/>
              </w:rPr>
              <w:t>Director</w:t>
            </w:r>
          </w:p>
        </w:tc>
      </w:tr>
      <w:tr>
        <w:trPr>
          <w:trHeight w:val="217"/>
        </w:trPr>
        <w:tc>
          <w:tcPr>
            <w:tcW w:w="4240" w:type="dxa"/>
            <w:vAlign w:val="bottom"/>
            <w:gridSpan w:val="3"/>
          </w:tcPr>
          <w:p>
            <w:pPr>
              <w:jc w:val="center"/>
              <w:spacing w:after="0"/>
              <w:rPr>
                <w:sz w:val="20"/>
                <w:szCs w:val="20"/>
                <w:color w:val="auto"/>
              </w:rPr>
            </w:pPr>
            <w:r>
              <w:rPr>
                <w:rFonts w:ascii="Arial" w:cs="Arial" w:eastAsia="Arial" w:hAnsi="Arial"/>
                <w:sz w:val="18"/>
                <w:szCs w:val="18"/>
                <w:color w:val="auto"/>
                <w:w w:val="85"/>
              </w:rPr>
              <w:t>Jason G. Weiss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70"/>
        </w:trPr>
        <w:tc>
          <w:tcPr>
            <w:tcW w:w="1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Pr>
          <w:p>
            <w:pPr>
              <w:jc w:val="right"/>
              <w:ind w:right="2894"/>
              <w:spacing w:after="0"/>
              <w:rPr>
                <w:sz w:val="20"/>
                <w:szCs w:val="20"/>
                <w:color w:val="auto"/>
              </w:rPr>
            </w:pPr>
            <w:r>
              <w:rPr>
                <w:rFonts w:ascii="Arial" w:cs="Arial" w:eastAsia="Arial" w:hAnsi="Arial"/>
                <w:sz w:val="18"/>
                <w:szCs w:val="18"/>
                <w:color w:val="auto"/>
                <w:w w:val="89"/>
              </w:rPr>
              <w:t>70</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980" w:type="dxa"/>
            <w:vAlign w:val="bottom"/>
            <w:gridSpan w:val="2"/>
          </w:tcPr>
          <w:p>
            <w:pPr>
              <w:jc w:val="center"/>
              <w:ind w:right="4372"/>
              <w:spacing w:after="0"/>
              <w:rPr>
                <w:sz w:val="20"/>
                <w:szCs w:val="20"/>
                <w:color w:val="auto"/>
              </w:rPr>
            </w:pPr>
            <w:r>
              <w:rPr>
                <w:rFonts w:ascii="Arial" w:cs="Arial" w:eastAsia="Arial" w:hAnsi="Arial"/>
                <w:sz w:val="18"/>
                <w:szCs w:val="18"/>
                <w:b w:val="1"/>
                <w:bCs w:val="1"/>
                <w:color w:val="auto"/>
              </w:rPr>
              <w:t>I.  EXHIBIT INDEX</w:t>
            </w:r>
          </w:p>
        </w:tc>
      </w:tr>
      <w:tr>
        <w:trPr>
          <w:trHeight w:val="367"/>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Document Description</w:t>
            </w: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2.1</w:t>
            </w:r>
          </w:p>
        </w:tc>
        <w:tc>
          <w:tcPr>
            <w:tcW w:w="540" w:type="dxa"/>
            <w:vAlign w:val="bottom"/>
          </w:tcPr>
          <w:p>
            <w:pPr>
              <w:spacing w:after="0"/>
              <w:rPr>
                <w:sz w:val="17"/>
                <w:szCs w:val="17"/>
                <w:color w:val="auto"/>
              </w:rPr>
            </w:pPr>
          </w:p>
        </w:tc>
        <w:tc>
          <w:tcPr>
            <w:tcW w:w="10380" w:type="dxa"/>
            <w:vAlign w:val="bottom"/>
            <w:gridSpan w:val="3"/>
          </w:tcPr>
          <w:p>
            <w:pPr>
              <w:spacing w:after="0" w:line="201" w:lineRule="exact"/>
              <w:rPr>
                <w:sz w:val="20"/>
                <w:szCs w:val="20"/>
                <w:color w:val="auto"/>
              </w:rPr>
            </w:pPr>
            <w:r>
              <w:rPr>
                <w:rFonts w:ascii="Arial" w:cs="Arial" w:eastAsia="Arial" w:hAnsi="Arial"/>
                <w:sz w:val="18"/>
                <w:szCs w:val="18"/>
                <w:color w:val="auto"/>
                <w:w w:val="89"/>
              </w:rPr>
              <w:t>Amended and Restated Agreement and Plan of Merger dated as of December 22, 2003, among Great Lakes Dredge &amp; Dock Corporation, GLDD</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Acquisitions Corp., GLDD Merger Sub, Inc. and Vectura Holding Company LLC.(1)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1"/>
              </w:rPr>
              <w:t>Agreement and Plan of Merger by and among GLDD Acquisitions Corp., Aldabra Acquisition Corporation, and certain shareholders of Aldabra</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Acquisition Corporation and GLDD Acquisitions Corp., dated as of June 20, 2006.(2)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7"/>
              </w:rPr>
              <w:t>Agreement and Plan of Merger, dated as of August 21, 2006, among Great Lakes Dredge &amp; Dock Holdings Corp., Aldabra Acquisition</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Corporation, and GLH Merger Sub, L.L.C.(3)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0"/>
              </w:rPr>
              <w:t>Amended and Restated Certificate of Incorporation of Great Lakes Dredge &amp; Dock Holdings Corp., effective December 26, 2006 (now renamed</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Great Lakes Dredge &amp; Dock Corporation).(4)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Third Amended and Restated Bylaws of Great Lakes Dredge &amp; Dock Corporation, effective as of March 8, 2011.(5)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2"/>
              </w:rPr>
              <w:t>Certificate of Ownership and Merger of Great Lakes Dredge &amp; Dock Corporation with and into Great Lakes Dredge &amp; Dock Holdings Corp.(6)</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1"/>
              </w:rPr>
              <w:t>Indenture, dated January 28, 2011, by and among the Company, certain subsidiary guarantors named therein and Wells Fargo Bank, National</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Association, as trustee.(7)</w:t>
            </w:r>
          </w:p>
        </w:tc>
      </w:tr>
      <w:tr>
        <w:trPr>
          <w:trHeight w:val="286"/>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88"/>
              </w:rPr>
              <w:t>Form of 7.375% Senior Note due 2019 (filed as Exhibit A to the Indenture, dated January 28, 2011, by and among the Company, certain subsidiary</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35"/>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guarantors named therein and Wells Fargo Bank, National Association, as trustee).(7)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Specimen Common Stock Certificate for Great Lakes Dredge &amp; Dock Corporation.(12)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2"/>
              </w:rPr>
              <w:t>Credit Agreement, dated as of June 12, 2007, among Great Lakes Dredge &amp; Dock Corporation, the other loan parties from time to time party</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5"/>
              </w:rPr>
              <w:t>thereto, the financial institutions from time to time party thereto and LaSalle Bank National Association, as Swing Line Lender, Sole Lead</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Arranger and Administrative Agent.(13)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88"/>
              </w:rPr>
              <w:t>Amendment No. 1 to Credit Agreement, dated as of January 30, 2009, among Great Lakes Dredge &amp; Dock Corporation, the other loan parties from</w:t>
            </w: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0"/>
              </w:rPr>
              <w:t>time to time party thereto, the financial institutions from time to time party thereto and Bank of America, N.A., as successor by merger to LaSalle</w:t>
            </w: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Bank National Association, as Swing Line Lender, Sole Lead Arranger, Issuing Lender and Administrative Agent.(10)</w:t>
            </w:r>
          </w:p>
        </w:tc>
      </w:tr>
      <w:tr>
        <w:trPr>
          <w:trHeight w:val="365"/>
        </w:trPr>
        <w:tc>
          <w:tcPr>
            <w:tcW w:w="500" w:type="dxa"/>
            <w:vAlign w:val="bottom"/>
          </w:tcPr>
          <w:p>
            <w:pPr>
              <w:spacing w:after="0"/>
              <w:rPr>
                <w:sz w:val="24"/>
                <w:szCs w:val="24"/>
                <w:color w:val="auto"/>
              </w:rPr>
            </w:pPr>
          </w:p>
        </w:tc>
        <w:tc>
          <w:tcPr>
            <w:tcW w:w="10920" w:type="dxa"/>
            <w:vAlign w:val="bottom"/>
            <w:gridSpan w:val="4"/>
          </w:tcPr>
          <w:p>
            <w:pPr>
              <w:jc w:val="right"/>
              <w:ind w:right="5552"/>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80" w:hanging="809"/>
        <w:spacing w:after="0" w:line="306"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No. 2 to Credit Agreement, dated as of May 10, 2010, among Great Lakes Dredge &amp; Dock Corporation, the other loan parties from time to time party thereto, the financial institutions from time to time party thereto and Bank of America, N.A., as successor by merger to LaSalle Bank National Association, as Swing Line Lender, Sole Lead Arranger, Issuing Lender and Administrative Agent. (30)</w:t>
      </w:r>
    </w:p>
    <w:p>
      <w:pPr>
        <w:spacing w:after="0" w:line="53" w:lineRule="exact"/>
        <w:rPr>
          <w:sz w:val="20"/>
          <w:szCs w:val="20"/>
          <w:color w:val="auto"/>
        </w:rPr>
      </w:pPr>
    </w:p>
    <w:p>
      <w:pPr>
        <w:jc w:val="both"/>
        <w:ind w:left="820" w:hanging="809"/>
        <w:spacing w:after="0" w:line="306"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Consent and Amendment No. 3 to Credit Agreement, dated as of December 31, 2010, among Great Lakes Dredge &amp; Dock Corporation, the other loan parties from time to time party thereto, the financial institutions from time to time party thereto and Bank of America, N.A., as successor by merger to LaSalle Bank National Association, as Swing Line Lender, Sole Lead Arranger, Issuing Lender and Administrative Agent. (8)</w:t>
      </w:r>
    </w:p>
    <w:p>
      <w:pPr>
        <w:spacing w:after="0" w:line="53" w:lineRule="exact"/>
        <w:rPr>
          <w:sz w:val="20"/>
          <w:szCs w:val="20"/>
          <w:color w:val="auto"/>
        </w:rPr>
      </w:pPr>
    </w:p>
    <w:p>
      <w:pPr>
        <w:ind w:left="820" w:right="260" w:hanging="809"/>
        <w:spacing w:after="0" w:line="370"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Third Amended and Restated Underwriting and Continuing Indemnity Agreement, dated as of December 22, 2003, among Great Lakes Dredge &amp; Dock Corporation, certain of its subsidiaries, Travelers Casualty and Surety Company and Travelers Casualty and Surety Company of America.(9)</w:t>
      </w:r>
    </w:p>
    <w:p>
      <w:pPr>
        <w:spacing w:after="0" w:line="8" w:lineRule="exact"/>
        <w:rPr>
          <w:sz w:val="20"/>
          <w:szCs w:val="20"/>
          <w:color w:val="auto"/>
        </w:rPr>
      </w:pPr>
    </w:p>
    <w:p>
      <w:pPr>
        <w:jc w:val="both"/>
        <w:ind w:left="820" w:right="400" w:hanging="809"/>
        <w:spacing w:after="0" w:line="259"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First Amendment to Third Amended and Restated Underwriting and Continuing Indemnity Agreement, dated as of September 30, 2004, by and among Great Lakes Dredge &amp; Dock Corporation, certain of its subsidiaries, Travelers Casualty and Surety Company and Travelers Casualty and Surety Company of America.(11)</w:t>
      </w:r>
    </w:p>
    <w:p>
      <w:pPr>
        <w:spacing w:after="0" w:line="86" w:lineRule="exact"/>
        <w:rPr>
          <w:sz w:val="20"/>
          <w:szCs w:val="20"/>
          <w:color w:val="auto"/>
        </w:rPr>
      </w:pPr>
    </w:p>
    <w:p>
      <w:pPr>
        <w:ind w:left="820" w:right="180" w:hanging="809"/>
        <w:spacing w:after="0" w:line="256"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Second Amendment to Third Amended and Restated Underwriting and Continuing Indemnity Agreement, dated as of November 14, 2005, by and among the Great Lakes Dredge &amp; Dock Corporation, the subsidiaries of Great Lakes Dredge &amp; Dock Company, Travelers Casualty and Surety Company, United Pacific Insurance Company, Reliance National Insurance Company, Reliance Surety Company and Travelers Casualty and Surety Company of America.(15)</w:t>
      </w:r>
    </w:p>
    <w:p>
      <w:pPr>
        <w:spacing w:after="0" w:line="89" w:lineRule="exact"/>
        <w:rPr>
          <w:sz w:val="20"/>
          <w:szCs w:val="20"/>
          <w:color w:val="auto"/>
        </w:rPr>
      </w:pPr>
    </w:p>
    <w:p>
      <w:pPr>
        <w:jc w:val="both"/>
        <w:ind w:left="820" w:right="400" w:hanging="809"/>
        <w:spacing w:after="0" w:line="259"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Third Amendment to Third Amended and Restated Underwriting and Continuing Indemnity Agreement dated as of September 28, 2006, by and among Great Lakes Dredge &amp; Dock Corporation, certain of its subsidiaries, Travelers Casualty and Surety Company and Travelers Casualty and Surety Company of America.(16)</w:t>
      </w:r>
    </w:p>
    <w:p>
      <w:pPr>
        <w:spacing w:after="0" w:line="86" w:lineRule="exact"/>
        <w:rPr>
          <w:sz w:val="20"/>
          <w:szCs w:val="20"/>
          <w:color w:val="auto"/>
        </w:rPr>
      </w:pPr>
    </w:p>
    <w:p>
      <w:pPr>
        <w:ind w:left="820" w:right="280" w:hanging="809"/>
        <w:spacing w:after="0" w:line="332"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Fourth Amendment to Third Amended and Restated Underwriting and Continuing Indemnity Agreement dated as of June 12, 2007, by and among Great Lakes Dredge &amp; Dock Corporation, certain of its subsidiaries, Travelers Casualty and Surety Company of America.(20)</w:t>
      </w:r>
    </w:p>
    <w:p>
      <w:pPr>
        <w:spacing w:after="0" w:line="31" w:lineRule="exact"/>
        <w:rPr>
          <w:sz w:val="20"/>
          <w:szCs w:val="20"/>
          <w:color w:val="auto"/>
        </w:rPr>
      </w:pPr>
    </w:p>
    <w:p>
      <w:pPr>
        <w:ind w:left="820" w:right="360" w:hanging="809"/>
        <w:spacing w:after="0" w:line="332" w:lineRule="auto"/>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Fifth Amendment to Third Amended and Restated Underwriting and Continuing Indemnity Agreement dated as of April 27, 2009, by and among Great Lakes Dredge &amp; Dock Corporation, certain of its subsidiaries, Travelers Casualty and Surety Company of America.(17)</w:t>
      </w:r>
    </w:p>
    <w:p>
      <w:pPr>
        <w:spacing w:after="0" w:line="31" w:lineRule="exact"/>
        <w:rPr>
          <w:sz w:val="20"/>
          <w:szCs w:val="20"/>
          <w:color w:val="auto"/>
        </w:rPr>
      </w:pPr>
    </w:p>
    <w:p>
      <w:pPr>
        <w:jc w:val="both"/>
        <w:ind w:left="820" w:right="240" w:hanging="809"/>
        <w:spacing w:after="0" w:line="259"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Sixth Amendment to Third Amended and Restated Underwriting and Continuing Indemnity Agreement, dated January 24, 2011, by and among the Company, the subsidiaries of the Company party thereto, Travelers Casualty and Surety Company and Travelers Casualty and Surety Company of America. (7)</w:t>
      </w:r>
    </w:p>
    <w:p>
      <w:pPr>
        <w:spacing w:after="0" w:line="86" w:lineRule="exact"/>
        <w:rPr>
          <w:sz w:val="20"/>
          <w:szCs w:val="20"/>
          <w:color w:val="auto"/>
        </w:rPr>
      </w:pPr>
    </w:p>
    <w:p>
      <w:pPr>
        <w:ind w:left="820" w:right="60" w:hanging="809"/>
        <w:spacing w:after="0" w:line="268"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International Letter of Credit Agreement, dated September 29, 2006, by and among Great Lakes Dredge &amp; Dock Corporation and Wells Fargo HSBC Trade Bank.(29)</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60" w:hanging="809"/>
        <w:spacing w:after="0" w:line="268"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First Amendment to International Letter of Credit Agreement, dated July 16, 2007, by and among Great Lakes Dredge &amp; Dock Corporation and Wells Fargo HSBC Trade Bank.(18)</w:t>
      </w:r>
    </w:p>
    <w:p>
      <w:pPr>
        <w:spacing w:after="0" w:line="78" w:lineRule="exact"/>
        <w:rPr>
          <w:sz w:val="20"/>
          <w:szCs w:val="20"/>
          <w:color w:val="auto"/>
        </w:rPr>
      </w:pPr>
    </w:p>
    <w:p>
      <w:pPr>
        <w:ind w:left="820" w:right="140" w:hanging="809"/>
        <w:spacing w:after="0" w:line="268"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Second Amendment to International Letter of Credit Agreement dated September 29, 2009, by and among Great Lakes Dredge &amp; Dock Corporation, Great Lakes Dredge &amp; Dock Company, LLC and Wells Fargo HSBC Trade Bank, NA.(19)</w:t>
      </w:r>
    </w:p>
    <w:p>
      <w:pPr>
        <w:spacing w:after="0" w:line="78" w:lineRule="exact"/>
        <w:rPr>
          <w:sz w:val="20"/>
          <w:szCs w:val="20"/>
          <w:color w:val="auto"/>
        </w:rPr>
      </w:pPr>
    </w:p>
    <w:p>
      <w:pPr>
        <w:ind w:left="820" w:right="700" w:hanging="809"/>
        <w:spacing w:after="0" w:line="332"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Reaffirmation, Ratification and Assumption Agreement dated December 26, 2006, by and between Great Lakes Dredge &amp; Dock Corporation (formerly named Great Lakes Dredge &amp; Dock Holdings Corp.) and Wells Fargo HSBC Trade Bank, N.A.(6)</w:t>
      </w:r>
    </w:p>
    <w:p>
      <w:pPr>
        <w:spacing w:after="0" w:line="31" w:lineRule="exact"/>
        <w:rPr>
          <w:sz w:val="20"/>
          <w:szCs w:val="20"/>
          <w:color w:val="auto"/>
        </w:rPr>
      </w:pPr>
    </w:p>
    <w:p>
      <w:pPr>
        <w:ind w:left="820" w:right="480" w:hanging="809"/>
        <w:spacing w:after="0" w:line="332"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Amended and Restated Management Equity Agreement dated December 26, 2006 by and among Aldabra Acquisition Corporation, Great Lakes Dredge &amp; Dock Holdings Corp. and each of the other persons identified on the signature pages thereto.†(6)</w:t>
      </w:r>
    </w:p>
    <w:p>
      <w:pPr>
        <w:spacing w:after="0" w:line="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Employment Agreement between the Company and Jonathan W. Berger.†(14)</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Employment Agreement between the Company and Bruce J. Biemeck.†(14)</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Summary of Oral Employment Agreements with Named Executive Officers.†(12)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Great Lakes Dredge &amp; Dock Company, LLC Annual Bonus Plan effective as of January 1, 2011.†(21)</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401(k) Savings Plan.†(22)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401(k) Lost Benefit Plan.†(12)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Secured Promissory Note dated December 31, 2006 executed by MJC Berry Enterprises, LLC, in favor of North American Site Developers, Inc.(23)</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Lease Agreement between North American Site Developers, Inc. and MJC Berry Enterprises, LLC, dated as of December 31, 2006.(23)</w:t>
      </w:r>
    </w:p>
    <w:p>
      <w:pPr>
        <w:spacing w:after="0" w:line="117" w:lineRule="exact"/>
        <w:rPr>
          <w:sz w:val="20"/>
          <w:szCs w:val="20"/>
          <w:color w:val="auto"/>
        </w:rPr>
      </w:pPr>
    </w:p>
    <w:p>
      <w:pPr>
        <w:ind w:left="820" w:hanging="809"/>
        <w:spacing w:after="0" w:line="332" w:lineRule="auto"/>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Form of Investor Rights Agreement among Aldabra Acquisition Corporation, Great Lakes Dredge &amp; Dock Holdings Corp., Madison Dearborn Capital Partners IV, L.P., certain stockholders of Aldabra Acquisition Corporation and certain stockholders of GLDD Acquisitions Corp.(3)</w:t>
      </w:r>
    </w:p>
    <w:p>
      <w:pPr>
        <w:spacing w:after="0" w:line="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Limited Liability Company Agreement, dated April 30, 2008, by and among NASDI Holdings Corporation, Christopher A. Berardi and NASDI, LLC.</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(24)</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Employment Agreement, dated as of April 30, 2008, by and between NADSI Holdings Corporation and Christopher A. Berardi.†(24)</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Great Lakes Dredge &amp; Dock Corporation 2007 Long-Term Incentive Plan.†(25)</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Form of Great Lakes Dredge &amp; Dock Corporation Non-Qualified Stock Option Agreement pursuant to the Great Lakes Dredge &amp; Dock Corporation</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2007 Long-Term Incentive Plan.†(26)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Form of Great Lakes Dredge &amp; Dock Corporation Restricted Stock Unit Award Agreement pursuant to the Great Lakes Dredge &amp; Dock Corporation</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2007 Long-Term Incentive Plan.†(26)</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5"/>
          <w:szCs w:val="15"/>
          <w:color w:val="auto"/>
        </w:rPr>
        <w:t>Separation Agreement with Douglas B. Mackie effective as of September 7, 2010.†(14)</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Consulting Agreement with Douglas B. Mackie effective as of September 8, 2010.†(14)</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5"/>
          <w:szCs w:val="15"/>
          <w:color w:val="auto"/>
        </w:rPr>
        <w:t>Consulting and Separation Agreement and General Release with Deborah A. Wensel effective as of September 7, 2010.†(14)</w:t>
      </w:r>
    </w:p>
    <w:p>
      <w:pPr>
        <w:spacing w:after="0" w:line="117" w:lineRule="exact"/>
        <w:rPr>
          <w:sz w:val="20"/>
          <w:szCs w:val="20"/>
          <w:color w:val="auto"/>
        </w:rPr>
      </w:pPr>
    </w:p>
    <w:p>
      <w:pPr>
        <w:ind w:left="820" w:right="360" w:hanging="809"/>
        <w:spacing w:after="0" w:line="268" w:lineRule="auto"/>
        <w:tabs>
          <w:tab w:leader="none" w:pos="8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Asset Purchase Agreement dated as of December 31, 2010 among Great Lakes Dredge &amp; Dock Corporation, L.W. Matteson, Inc., Lawrence W. Matteson and Larry W. Matteson.(8)</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Lease Agreement dated as of December 31, 2010 between, L.W. Matteson, Inc. and Great Lakes Dredge &amp; Dock Corporation.(8)</w:t>
      </w:r>
    </w:p>
    <w:p>
      <w:pPr>
        <w:spacing w:after="0" w:line="117" w:lineRule="exact"/>
        <w:rPr>
          <w:sz w:val="20"/>
          <w:szCs w:val="20"/>
          <w:color w:val="auto"/>
        </w:rPr>
      </w:pPr>
    </w:p>
    <w:p>
      <w:pPr>
        <w:ind w:left="820" w:right="500" w:hanging="809"/>
        <w:spacing w:after="0" w:line="268" w:lineRule="auto"/>
        <w:tabs>
          <w:tab w:leader="none" w:pos="8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Secured Subordinated Promissory Note dated December 31, 2010, made and delivered by Great Lakes Dredge &amp; Dock, LLC in favor of L.W. Matteson, Inc.(8)</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Employment Agreement between the Company and Richard Lowry.†(27)</w:t>
      </w:r>
    </w:p>
    <w:p>
      <w:pPr>
        <w:spacing w:after="0" w:line="117" w:lineRule="exact"/>
        <w:rPr>
          <w:sz w:val="20"/>
          <w:szCs w:val="20"/>
          <w:color w:val="auto"/>
        </w:rPr>
      </w:pPr>
    </w:p>
    <w:p>
      <w:pPr>
        <w:ind w:left="820" w:right="340" w:hanging="809"/>
        <w:spacing w:after="0" w:line="268" w:lineRule="auto"/>
        <w:tabs>
          <w:tab w:leader="none" w:pos="8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Registration Rights Agreement, dated January 28, 2011, by and among the Company, certain subsidiary guarantors named therein and the initial purchasers named therein.(7)</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Ratio of Earnings to Fixed Charges.*</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Code of Business Conduct and Ethics.(28)</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Great Lakes Dredge &amp; Dock Corporation.*</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J.H. Cohn LLP.*</w:t>
      </w:r>
    </w:p>
    <w:p>
      <w:pPr>
        <w:spacing w:after="0" w:line="117" w:lineRule="exact"/>
        <w:rPr>
          <w:sz w:val="20"/>
          <w:szCs w:val="20"/>
          <w:color w:val="auto"/>
        </w:rPr>
      </w:pPr>
    </w:p>
    <w:p>
      <w:pPr>
        <w:ind w:left="820" w:right="80" w:hanging="809"/>
        <w:spacing w:after="0" w:line="268" w:lineRule="auto"/>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Rules 13a-14 and 15d-14 under the Securities Exchange Act of 1934, as Adopted Pursuant to Section 302 of the Sarbanes-Oxley Act of 2002.*</w:t>
      </w:r>
    </w:p>
    <w:p>
      <w:pPr>
        <w:spacing w:after="0" w:line="78" w:lineRule="exact"/>
        <w:rPr>
          <w:sz w:val="20"/>
          <w:szCs w:val="20"/>
          <w:color w:val="auto"/>
        </w:rPr>
      </w:pPr>
    </w:p>
    <w:p>
      <w:pPr>
        <w:ind w:left="820" w:right="80" w:hanging="809"/>
        <w:spacing w:after="0" w:line="268" w:lineRule="auto"/>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Rules 13a-14 and 15d-14 under the Securities Exchange Act of 1934, as Adopted Pursuant to Section 302 of the Sarbanes-Oxley Act of 2002.*</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80"/>
          </w:cols>
          <w:pgMar w:left="240" w:top="459" w:right="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40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6, 2004 (Commission file no. 333-64687).</w:t>
      </w:r>
    </w:p>
    <w:p>
      <w:pPr>
        <w:spacing w:after="0" w:line="104" w:lineRule="exact"/>
        <w:rPr>
          <w:rFonts w:ascii="Arial" w:cs="Arial" w:eastAsia="Arial" w:hAnsi="Arial"/>
          <w:sz w:val="18"/>
          <w:szCs w:val="18"/>
          <w:color w:val="auto"/>
        </w:rPr>
      </w:pPr>
    </w:p>
    <w:p>
      <w:pPr>
        <w:ind w:left="580" w:right="54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June 22, 2006 (Commission file no. 333-64687).</w:t>
      </w:r>
    </w:p>
    <w:p>
      <w:pPr>
        <w:spacing w:after="0" w:line="104" w:lineRule="exact"/>
        <w:rPr>
          <w:rFonts w:ascii="Arial" w:cs="Arial" w:eastAsia="Arial" w:hAnsi="Arial"/>
          <w:sz w:val="18"/>
          <w:szCs w:val="18"/>
          <w:color w:val="auto"/>
        </w:rPr>
      </w:pPr>
    </w:p>
    <w:p>
      <w:pPr>
        <w:ind w:left="580" w:right="8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Holding Corp.’s Registration Statement on Form S-4 filed with the Commission on August 24, 2006 (Commission file no. 333-136861-01).</w:t>
      </w:r>
    </w:p>
    <w:p>
      <w:pPr>
        <w:spacing w:after="0" w:line="104"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Registration Statement on Form 8-A filed with the Commission on December 26, 2006 (Commission file no. 001-33225).</w:t>
      </w:r>
    </w:p>
    <w:p>
      <w:pPr>
        <w:spacing w:after="0" w:line="104" w:lineRule="exact"/>
        <w:rPr>
          <w:rFonts w:ascii="Arial" w:cs="Arial" w:eastAsia="Arial" w:hAnsi="Arial"/>
          <w:sz w:val="18"/>
          <w:szCs w:val="18"/>
          <w:color w:val="auto"/>
        </w:rPr>
      </w:pPr>
    </w:p>
    <w:p>
      <w:pPr>
        <w:ind w:left="580" w:right="42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March 14, 2011 (Commission file no. 001-33225).</w:t>
      </w:r>
    </w:p>
    <w:p>
      <w:pPr>
        <w:spacing w:after="0" w:line="104" w:lineRule="exact"/>
        <w:rPr>
          <w:rFonts w:ascii="Arial" w:cs="Arial" w:eastAsia="Arial" w:hAnsi="Arial"/>
          <w:sz w:val="18"/>
          <w:szCs w:val="18"/>
          <w:color w:val="auto"/>
        </w:rPr>
      </w:pPr>
    </w:p>
    <w:p>
      <w:pPr>
        <w:ind w:left="580" w:right="14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December 29, 2006 (Commission file no. 001-33225).</w:t>
      </w:r>
    </w:p>
    <w:p>
      <w:pPr>
        <w:spacing w:after="0" w:line="104" w:lineRule="exact"/>
        <w:rPr>
          <w:rFonts w:ascii="Arial" w:cs="Arial" w:eastAsia="Arial" w:hAnsi="Arial"/>
          <w:sz w:val="18"/>
          <w:szCs w:val="18"/>
          <w:color w:val="auto"/>
        </w:rPr>
      </w:pPr>
    </w:p>
    <w:p>
      <w:pPr>
        <w:ind w:left="580" w:right="32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28, 2011 (Commission file no. 001-33225).</w:t>
      </w:r>
    </w:p>
    <w:p>
      <w:pPr>
        <w:spacing w:after="0" w:line="104" w:lineRule="exact"/>
        <w:rPr>
          <w:rFonts w:ascii="Arial" w:cs="Arial" w:eastAsia="Arial" w:hAnsi="Arial"/>
          <w:sz w:val="18"/>
          <w:szCs w:val="18"/>
          <w:color w:val="auto"/>
        </w:rPr>
      </w:pPr>
    </w:p>
    <w:p>
      <w:pPr>
        <w:ind w:left="580" w:right="42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3, 2011 (Commission file no. 001-33225).</w:t>
      </w:r>
    </w:p>
    <w:p>
      <w:pPr>
        <w:spacing w:after="0" w:line="104"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spacing w:after="0" w:line="104" w:lineRule="exact"/>
        <w:rPr>
          <w:rFonts w:ascii="Arial" w:cs="Arial" w:eastAsia="Arial" w:hAnsi="Arial"/>
          <w:sz w:val="18"/>
          <w:szCs w:val="18"/>
          <w:color w:val="auto"/>
        </w:rPr>
      </w:pPr>
    </w:p>
    <w:p>
      <w:pPr>
        <w:ind w:left="580" w:right="32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February 5, 2009 (Commission file no. 001-33225).</w:t>
      </w:r>
    </w:p>
    <w:p>
      <w:pPr>
        <w:spacing w:after="0" w:line="104"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spacing w:after="0" w:line="104" w:lineRule="exact"/>
        <w:rPr>
          <w:rFonts w:ascii="Arial" w:cs="Arial" w:eastAsia="Arial" w:hAnsi="Arial"/>
          <w:sz w:val="18"/>
          <w:szCs w:val="18"/>
          <w:color w:val="auto"/>
        </w:rPr>
      </w:pPr>
    </w:p>
    <w:p>
      <w:pPr>
        <w:ind w:left="580" w:right="34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Annual Report on Form 10-K filed with the Commission on March 22, 2007 (Commission file no. 001-33225).</w:t>
      </w:r>
    </w:p>
    <w:p>
      <w:pPr>
        <w:spacing w:after="0" w:line="104" w:lineRule="exact"/>
        <w:rPr>
          <w:rFonts w:ascii="Arial" w:cs="Arial" w:eastAsia="Arial" w:hAnsi="Arial"/>
          <w:sz w:val="18"/>
          <w:szCs w:val="18"/>
          <w:color w:val="auto"/>
        </w:rPr>
      </w:pPr>
    </w:p>
    <w:p>
      <w:pPr>
        <w:ind w:left="580" w:right="54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June 15, 2007 (Commission file no. 001-33225).</w:t>
      </w:r>
    </w:p>
    <w:p>
      <w:pPr>
        <w:spacing w:after="0" w:line="104" w:lineRule="exact"/>
        <w:rPr>
          <w:rFonts w:ascii="Arial" w:cs="Arial" w:eastAsia="Arial" w:hAnsi="Arial"/>
          <w:sz w:val="18"/>
          <w:szCs w:val="18"/>
          <w:color w:val="auto"/>
        </w:rPr>
      </w:pPr>
    </w:p>
    <w:p>
      <w:pPr>
        <w:ind w:left="580" w:right="20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September 8, 2010 (Commission file no. 001-33225).</w:t>
      </w:r>
    </w:p>
    <w:p>
      <w:pPr>
        <w:spacing w:after="0" w:line="104" w:lineRule="exact"/>
        <w:rPr>
          <w:rFonts w:ascii="Arial" w:cs="Arial" w:eastAsia="Arial" w:hAnsi="Arial"/>
          <w:sz w:val="18"/>
          <w:szCs w:val="18"/>
          <w:color w:val="auto"/>
        </w:rPr>
      </w:pPr>
    </w:p>
    <w:p>
      <w:pPr>
        <w:ind w:left="580" w:right="12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November 17, 2005 (Commission file no. 333-64687).</w:t>
      </w:r>
    </w:p>
    <w:p>
      <w:pPr>
        <w:spacing w:after="0" w:line="104" w:lineRule="exact"/>
        <w:rPr>
          <w:rFonts w:ascii="Arial" w:cs="Arial" w:eastAsia="Arial" w:hAnsi="Arial"/>
          <w:sz w:val="18"/>
          <w:szCs w:val="18"/>
          <w:color w:val="auto"/>
        </w:rPr>
      </w:pPr>
    </w:p>
    <w:p>
      <w:pPr>
        <w:ind w:left="580" w:right="38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October 4, 2006 (Commission file no. 333-64687).</w:t>
      </w:r>
    </w:p>
    <w:p>
      <w:pPr>
        <w:spacing w:after="0" w:line="104" w:lineRule="exact"/>
        <w:rPr>
          <w:rFonts w:ascii="Arial" w:cs="Arial" w:eastAsia="Arial" w:hAnsi="Arial"/>
          <w:sz w:val="18"/>
          <w:szCs w:val="18"/>
          <w:color w:val="auto"/>
        </w:rPr>
      </w:pPr>
    </w:p>
    <w:p>
      <w:pPr>
        <w:ind w:left="580" w:right="50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April 29, 2009 (Commission file no. 001-33225).</w:t>
      </w:r>
    </w:p>
    <w:p>
      <w:pPr>
        <w:spacing w:after="0" w:line="104" w:lineRule="exact"/>
        <w:rPr>
          <w:rFonts w:ascii="Arial" w:cs="Arial" w:eastAsia="Arial" w:hAnsi="Arial"/>
          <w:sz w:val="18"/>
          <w:szCs w:val="18"/>
          <w:color w:val="auto"/>
        </w:rPr>
      </w:pPr>
    </w:p>
    <w:p>
      <w:pPr>
        <w:ind w:left="580" w:right="18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spacing w:after="0" w:line="104" w:lineRule="exact"/>
        <w:rPr>
          <w:rFonts w:ascii="Arial" w:cs="Arial" w:eastAsia="Arial" w:hAnsi="Arial"/>
          <w:sz w:val="18"/>
          <w:szCs w:val="18"/>
          <w:color w:val="auto"/>
        </w:rPr>
      </w:pPr>
    </w:p>
    <w:p>
      <w:pPr>
        <w:ind w:left="580" w:right="38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October 5, 2009 (Commission file no. 001-33225).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2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spacing w:after="0" w:line="104" w:lineRule="exact"/>
        <w:rPr>
          <w:rFonts w:ascii="Arial" w:cs="Arial" w:eastAsia="Arial" w:hAnsi="Arial"/>
          <w:sz w:val="18"/>
          <w:szCs w:val="18"/>
          <w:color w:val="auto"/>
        </w:rPr>
      </w:pPr>
    </w:p>
    <w:p>
      <w:pPr>
        <w:ind w:left="580" w:right="48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18, 2009 (Commission file no. 001-33225).</w:t>
      </w:r>
    </w:p>
    <w:p>
      <w:pPr>
        <w:spacing w:after="0" w:line="104" w:lineRule="exact"/>
        <w:rPr>
          <w:rFonts w:ascii="Arial" w:cs="Arial" w:eastAsia="Arial" w:hAnsi="Arial"/>
          <w:sz w:val="18"/>
          <w:szCs w:val="18"/>
          <w:color w:val="auto"/>
        </w:rPr>
      </w:pPr>
    </w:p>
    <w:p>
      <w:pPr>
        <w:ind w:left="580" w:right="28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Annual Report on Form 10-K filed with the Commission on March 30, 2005 (Commission file no. 333-64687).</w:t>
      </w:r>
    </w:p>
    <w:p>
      <w:pPr>
        <w:spacing w:after="0" w:line="104" w:lineRule="exact"/>
        <w:rPr>
          <w:rFonts w:ascii="Arial" w:cs="Arial" w:eastAsia="Arial" w:hAnsi="Arial"/>
          <w:sz w:val="18"/>
          <w:szCs w:val="18"/>
          <w:color w:val="auto"/>
        </w:rPr>
      </w:pPr>
    </w:p>
    <w:p>
      <w:pPr>
        <w:ind w:left="580" w:right="16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February 20, 2007 (Commission file no. 001-33225).</w:t>
      </w:r>
    </w:p>
    <w:p>
      <w:pPr>
        <w:spacing w:after="0" w:line="104" w:lineRule="exact"/>
        <w:rPr>
          <w:rFonts w:ascii="Arial" w:cs="Arial" w:eastAsia="Arial" w:hAnsi="Arial"/>
          <w:sz w:val="18"/>
          <w:szCs w:val="18"/>
          <w:color w:val="auto"/>
        </w:rPr>
      </w:pPr>
    </w:p>
    <w:p>
      <w:pPr>
        <w:ind w:left="580" w:right="56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6, 2008 (Commission file no. 001-33225).</w:t>
      </w:r>
    </w:p>
    <w:p>
      <w:pPr>
        <w:spacing w:after="0" w:line="104"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Registration Statement on Form S-8 filed with the Commission on April 3, 2008 (Commission file no. 333-150067).</w:t>
      </w:r>
    </w:p>
    <w:p>
      <w:pPr>
        <w:spacing w:after="0" w:line="104" w:lineRule="exact"/>
        <w:rPr>
          <w:rFonts w:ascii="Arial" w:cs="Arial" w:eastAsia="Arial" w:hAnsi="Arial"/>
          <w:sz w:val="18"/>
          <w:szCs w:val="18"/>
          <w:color w:val="auto"/>
        </w:rPr>
      </w:pPr>
    </w:p>
    <w:p>
      <w:pPr>
        <w:ind w:left="580" w:right="48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22, 2008 (Commission file no. 001-33225).</w:t>
      </w:r>
    </w:p>
    <w:p>
      <w:pPr>
        <w:spacing w:after="0" w:line="104" w:lineRule="exact"/>
        <w:rPr>
          <w:rFonts w:ascii="Arial" w:cs="Arial" w:eastAsia="Arial" w:hAnsi="Arial"/>
          <w:sz w:val="18"/>
          <w:szCs w:val="18"/>
          <w:color w:val="auto"/>
        </w:rPr>
      </w:pPr>
    </w:p>
    <w:p>
      <w:pPr>
        <w:ind w:left="580" w:right="60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July 9, 2007 (Commission file no. 001-33225).</w:t>
      </w:r>
    </w:p>
    <w:p>
      <w:pPr>
        <w:spacing w:after="0" w:line="104" w:lineRule="exact"/>
        <w:rPr>
          <w:rFonts w:ascii="Arial" w:cs="Arial" w:eastAsia="Arial" w:hAnsi="Arial"/>
          <w:sz w:val="18"/>
          <w:szCs w:val="18"/>
          <w:color w:val="auto"/>
        </w:rPr>
      </w:pPr>
    </w:p>
    <w:p>
      <w:pPr>
        <w:ind w:left="580" w:right="24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October 24, 2005 (Commission file no. 333-64687).</w:t>
      </w:r>
    </w:p>
    <w:p>
      <w:pPr>
        <w:spacing w:after="0" w:line="104" w:lineRule="exact"/>
        <w:rPr>
          <w:rFonts w:ascii="Arial" w:cs="Arial" w:eastAsia="Arial" w:hAnsi="Arial"/>
          <w:sz w:val="18"/>
          <w:szCs w:val="18"/>
          <w:color w:val="auto"/>
        </w:rPr>
      </w:pPr>
    </w:p>
    <w:p>
      <w:pPr>
        <w:ind w:left="580" w:right="12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spacing w:after="0" w:line="104" w:lineRule="exact"/>
        <w:rPr>
          <w:rFonts w:ascii="Arial" w:cs="Arial" w:eastAsia="Arial" w:hAnsi="Arial"/>
          <w:sz w:val="18"/>
          <w:szCs w:val="18"/>
          <w:color w:val="auto"/>
        </w:rPr>
      </w:pPr>
    </w:p>
    <w:p>
      <w:pPr>
        <w:ind w:left="580" w:right="48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11, 2010 (Commission file no. 001-33225).</w:t>
      </w:r>
    </w:p>
    <w:p>
      <w:pPr>
        <w:spacing w:after="0" w:line="105"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4"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8"/>
            <w:vMerge w:val="restart"/>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REPORT OF INDEPENDENT REGISTERED PUBLIC ACCOUNTING FIRM</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040" w:type="dxa"/>
            <w:vAlign w:val="bottom"/>
            <w:gridSpan w:val="8"/>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1040" w:type="dxa"/>
            <w:vAlign w:val="bottom"/>
            <w:gridSpan w:val="8"/>
          </w:tcPr>
          <w:p>
            <w:pPr>
              <w:spacing w:after="0"/>
              <w:rPr>
                <w:sz w:val="20"/>
                <w:szCs w:val="20"/>
                <w:color w:val="auto"/>
              </w:rPr>
            </w:pPr>
            <w:r>
              <w:rPr>
                <w:rFonts w:ascii="Arial" w:cs="Arial" w:eastAsia="Arial" w:hAnsi="Arial"/>
                <w:sz w:val="18"/>
                <w:szCs w:val="18"/>
                <w:color w:val="auto"/>
                <w:w w:val="95"/>
              </w:rPr>
              <w:t>CONSOLIDATED FINANCIAL STATEMENTS AS OF DECEMBER 31, 2010 AND 2009, AND FOR THE YEARS ENDED DECEMBER 31, 2010,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10820" w:type="dxa"/>
            <w:vAlign w:val="bottom"/>
            <w:gridSpan w:val="7"/>
          </w:tcPr>
          <w:p>
            <w:pPr>
              <w:spacing w:after="0"/>
              <w:rPr>
                <w:sz w:val="20"/>
                <w:szCs w:val="20"/>
                <w:color w:val="auto"/>
              </w:rPr>
            </w:pPr>
            <w:r>
              <w:rPr>
                <w:rFonts w:ascii="Arial" w:cs="Arial" w:eastAsia="Arial" w:hAnsi="Arial"/>
                <w:sz w:val="18"/>
                <w:szCs w:val="18"/>
                <w:color w:val="auto"/>
              </w:rPr>
              <w:t>2009 AND 2008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20" w:type="dxa"/>
            <w:vAlign w:val="bottom"/>
          </w:tcPr>
          <w:p>
            <w:pPr>
              <w:spacing w:after="0"/>
              <w:rPr>
                <w:sz w:val="24"/>
                <w:szCs w:val="24"/>
                <w:color w:val="auto"/>
              </w:rPr>
            </w:pPr>
          </w:p>
        </w:tc>
        <w:tc>
          <w:tcPr>
            <w:tcW w:w="10820" w:type="dxa"/>
            <w:vAlign w:val="bottom"/>
            <w:gridSpan w:val="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10820" w:type="dxa"/>
            <w:vAlign w:val="bottom"/>
            <w:gridSpan w:val="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04"/>
        </w:trPr>
        <w:tc>
          <w:tcPr>
            <w:tcW w:w="220" w:type="dxa"/>
            <w:vAlign w:val="bottom"/>
          </w:tcPr>
          <w:p>
            <w:pPr>
              <w:spacing w:after="0"/>
              <w:rPr>
                <w:sz w:val="24"/>
                <w:szCs w:val="24"/>
                <w:color w:val="auto"/>
              </w:rPr>
            </w:pPr>
          </w:p>
        </w:tc>
        <w:tc>
          <w:tcPr>
            <w:tcW w:w="2740" w:type="dxa"/>
            <w:vAlign w:val="bottom"/>
            <w:tcBorders>
              <w:top w:val="single" w:sz="8" w:color="0000EE"/>
            </w:tcBorders>
            <w:gridSpan w:val="3"/>
          </w:tcPr>
          <w:p>
            <w:pPr>
              <w:spacing w:after="0"/>
              <w:rPr>
                <w:rFonts w:ascii="Arial" w:cs="Arial" w:eastAsia="Arial" w:hAnsi="Arial"/>
                <w:sz w:val="18"/>
                <w:szCs w:val="18"/>
                <w:color w:val="0000EE"/>
                <w:w w:val="98"/>
              </w:rPr>
            </w:pPr>
            <w:hyperlink w:anchor="page83">
              <w:r>
                <w:rPr>
                  <w:rFonts w:ascii="Arial" w:cs="Arial" w:eastAsia="Arial" w:hAnsi="Arial"/>
                  <w:sz w:val="18"/>
                  <w:szCs w:val="18"/>
                  <w:color w:val="0000EE"/>
                  <w:w w:val="98"/>
                </w:rPr>
                <w:t>Consolidated Statements of Equity</w:t>
              </w:r>
            </w:hyperlink>
          </w:p>
        </w:tc>
        <w:tc>
          <w:tcPr>
            <w:tcW w:w="80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10820" w:type="dxa"/>
            <w:vAlign w:val="bottom"/>
            <w:gridSpan w:val="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30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85">
              <w:r>
                <w:rPr>
                  <w:rFonts w:ascii="Arial" w:cs="Arial" w:eastAsia="Arial" w:hAnsi="Arial"/>
                  <w:sz w:val="18"/>
                  <w:szCs w:val="18"/>
                  <w:color w:val="0000EE"/>
                  <w:w w:val="87"/>
                </w:rPr>
                <w:t>Notes to Consolidated Financial Statements</w:t>
              </w:r>
            </w:hyperlink>
          </w:p>
        </w:tc>
        <w:tc>
          <w:tcPr>
            <w:tcW w:w="77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83"/>
        </w:trPr>
        <w:tc>
          <w:tcPr>
            <w:tcW w:w="11040" w:type="dxa"/>
            <w:vAlign w:val="bottom"/>
            <w:gridSpan w:val="8"/>
          </w:tcPr>
          <w:p>
            <w:pPr>
              <w:jc w:val="right"/>
              <w:ind w:right="524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Great Lakes Dredge &amp; Dock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124"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Great Lakes Dredge &amp; Dock Corporation and subsidiaries (the “Company”) as of December 31, 2010 and 2009, and the related consolidated statements of operations, equity, and cash flows for each of the three years in the period ended December 31, 2010.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Great Lakes Dredge &amp; Dock Corporation and subsidiaries as of December 31, 2010 and 2009, and the results of their operations and their cash flows for each of the three years in the period ended December 31, 2010,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0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2010,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March 14, 2011 expressed an unqualified opinion on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 AND 2009</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r>
      <w:tr>
        <w:trPr>
          <w:trHeight w:val="216"/>
        </w:trPr>
        <w:tc>
          <w:tcPr>
            <w:tcW w:w="20" w:type="dxa"/>
            <w:vAlign w:val="bottom"/>
          </w:tcPr>
          <w:p>
            <w:pPr>
              <w:spacing w:after="0"/>
              <w:rPr>
                <w:sz w:val="18"/>
                <w:szCs w:val="18"/>
                <w:color w:val="auto"/>
              </w:rPr>
            </w:pPr>
          </w:p>
        </w:tc>
        <w:tc>
          <w:tcPr>
            <w:tcW w:w="9620" w:type="dxa"/>
            <w:vAlign w:val="bottom"/>
          </w:tcPr>
          <w:p>
            <w:pPr>
              <w:ind w:left="200"/>
              <w:spacing w:after="0"/>
              <w:rPr>
                <w:sz w:val="20"/>
                <w:szCs w:val="20"/>
                <w:color w:val="auto"/>
              </w:rPr>
            </w:pPr>
            <w:r>
              <w:rPr>
                <w:rFonts w:ascii="Arial" w:cs="Arial" w:eastAsia="Arial" w:hAnsi="Arial"/>
                <w:sz w:val="18"/>
                <w:szCs w:val="18"/>
                <w:color w:val="auto"/>
              </w:rPr>
              <w:t>Accounts receivable—net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153,901</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28,004</w:t>
            </w:r>
          </w:p>
        </w:tc>
      </w:tr>
      <w:tr>
        <w:trPr>
          <w:trHeight w:val="216"/>
        </w:trPr>
        <w:tc>
          <w:tcPr>
            <w:tcW w:w="20" w:type="dxa"/>
            <w:vAlign w:val="bottom"/>
          </w:tcPr>
          <w:p>
            <w:pPr>
              <w:spacing w:after="0"/>
              <w:rPr>
                <w:sz w:val="18"/>
                <w:szCs w:val="18"/>
                <w:color w:val="auto"/>
              </w:rPr>
            </w:pPr>
          </w:p>
        </w:tc>
        <w:tc>
          <w:tcPr>
            <w:tcW w:w="96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29,192</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w:t>
            </w:r>
          </w:p>
        </w:tc>
      </w:tr>
      <w:tr>
        <w:trPr>
          <w:trHeight w:val="223"/>
        </w:trPr>
        <w:tc>
          <w:tcPr>
            <w:tcW w:w="20" w:type="dxa"/>
            <w:vAlign w:val="bottom"/>
          </w:tcPr>
          <w:p>
            <w:pPr>
              <w:spacing w:after="0"/>
              <w:rPr>
                <w:sz w:val="19"/>
                <w:szCs w:val="19"/>
                <w:color w:val="auto"/>
              </w:rPr>
            </w:pPr>
          </w:p>
        </w:tc>
        <w:tc>
          <w:tcPr>
            <w:tcW w:w="962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222,969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232,436</w:t>
            </w: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323,231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291,157</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98,049</w:t>
            </w: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INTANGIBLE ASSETS—Net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27,662</w:t>
            </w: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7,943</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00" w:type="dxa"/>
            <w:vAlign w:val="bottom"/>
            <w:shd w:val="clear" w:color="auto" w:fill="CCEEFF"/>
          </w:tcPr>
          <w:p>
            <w:pPr>
              <w:spacing w:after="0"/>
              <w:rPr>
                <w:sz w:val="18"/>
                <w:szCs w:val="18"/>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693,825</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665,426</w:t>
            </w: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83,783</w:t>
            </w:r>
          </w:p>
        </w:tc>
      </w:tr>
      <w:tr>
        <w:trPr>
          <w:trHeight w:val="216"/>
        </w:trPr>
        <w:tc>
          <w:tcPr>
            <w:tcW w:w="20" w:type="dxa"/>
            <w:vAlign w:val="bottom"/>
          </w:tcPr>
          <w:p>
            <w:pPr>
              <w:spacing w:after="0"/>
              <w:rPr>
                <w:sz w:val="18"/>
                <w:szCs w:val="18"/>
                <w:color w:val="auto"/>
              </w:rPr>
            </w:pPr>
          </w:p>
        </w:tc>
        <w:tc>
          <w:tcPr>
            <w:tcW w:w="96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31,265</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24,901</w:t>
            </w:r>
          </w:p>
        </w:tc>
      </w:tr>
      <w:tr>
        <w:trPr>
          <w:trHeight w:val="216"/>
        </w:trPr>
        <w:tc>
          <w:tcPr>
            <w:tcW w:w="20" w:type="dxa"/>
            <w:vAlign w:val="bottom"/>
          </w:tcPr>
          <w:p>
            <w:pPr>
              <w:spacing w:after="0"/>
              <w:rPr>
                <w:sz w:val="18"/>
                <w:szCs w:val="18"/>
                <w:color w:val="auto"/>
              </w:rPr>
            </w:pPr>
          </w:p>
        </w:tc>
        <w:tc>
          <w:tcPr>
            <w:tcW w:w="9620" w:type="dxa"/>
            <w:vAlign w:val="bottom"/>
          </w:tcPr>
          <w:p>
            <w:pPr>
              <w:ind w:left="200"/>
              <w:spacing w:after="0"/>
              <w:rPr>
                <w:sz w:val="20"/>
                <w:szCs w:val="20"/>
                <w:color w:val="auto"/>
              </w:rPr>
            </w:pPr>
            <w:r>
              <w:rPr>
                <w:rFonts w:ascii="Arial" w:cs="Arial" w:eastAsia="Arial" w:hAnsi="Arial"/>
                <w:sz w:val="18"/>
                <w:szCs w:val="18"/>
                <w:color w:val="auto"/>
              </w:rPr>
              <w:t>Current portion of note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equipment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62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132,817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141,149</w:t>
            </w: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LONG TERM NOTE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7.75% SENIOR SUBORDINATED NOTES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175,000</w:t>
            </w: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92,466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81,642</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62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417,000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420,877</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96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Common stock—$0.0001 par value; authorized, 90,000,000 shares; issued and outstanding, 58,770,369 shares and 58,542,038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at December 31, 2010 and 2009,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6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266,329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263,579</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(18,336)</w:t>
            </w:r>
          </w:p>
        </w:tc>
      </w:tr>
      <w:tr>
        <w:trPr>
          <w:trHeight w:val="223"/>
        </w:trPr>
        <w:tc>
          <w:tcPr>
            <w:tcW w:w="20" w:type="dxa"/>
            <w:vAlign w:val="bottom"/>
          </w:tcPr>
          <w:p>
            <w:pPr>
              <w:spacing w:after="0"/>
              <w:rPr>
                <w:sz w:val="19"/>
                <w:szCs w:val="19"/>
                <w:color w:val="auto"/>
              </w:rPr>
            </w:pPr>
          </w:p>
        </w:tc>
        <w:tc>
          <w:tcPr>
            <w:tcW w:w="96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278,953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245,788</w:t>
            </w: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(1,239)</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276,825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244,549</w:t>
            </w:r>
          </w:p>
        </w:tc>
        <w:tc>
          <w:tcPr>
            <w:tcW w:w="100" w:type="dxa"/>
            <w:vAlign w:val="bottom"/>
            <w:shd w:val="clear" w:color="auto" w:fill="CCEEFF"/>
          </w:tcPr>
          <w:p>
            <w:pPr>
              <w:spacing w:after="0"/>
              <w:rPr>
                <w:sz w:val="18"/>
                <w:szCs w:val="18"/>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693,825</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665,426</w:t>
            </w: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321" w:lineRule="auto"/>
        <w:rPr>
          <w:sz w:val="20"/>
          <w:szCs w:val="20"/>
          <w:color w:val="auto"/>
        </w:rPr>
      </w:pPr>
      <w:r>
        <w:rPr>
          <w:rFonts w:ascii="Arial" w:cs="Arial" w:eastAsia="Arial" w:hAnsi="Arial"/>
          <w:sz w:val="18"/>
          <w:szCs w:val="18"/>
          <w:b w:val="1"/>
          <w:bCs w:val="1"/>
          <w:color w:val="auto"/>
        </w:rPr>
        <w:t>GREAT LAKES DREDGE &amp; DOCK CORPORATION AND SUBSIDIARIES CONSOLIDATED STATEMENTS OF OPERATIONS FOR THE YEARS ENDED DECEMBER 31, 2010, 2009 AND 2008 (In thousands, except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686,922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622,244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586,879</w:t>
            </w:r>
          </w:p>
        </w:tc>
        <w:tc>
          <w:tcPr>
            <w:tcW w:w="0" w:type="dxa"/>
            <w:vAlign w:val="bottom"/>
          </w:tcPr>
          <w:p>
            <w:pPr>
              <w:spacing w:after="0"/>
              <w:rPr>
                <w:sz w:val="1"/>
                <w:szCs w:val="1"/>
                <w:color w:val="auto"/>
              </w:rPr>
            </w:pPr>
          </w:p>
        </w:tc>
      </w:tr>
      <w:tr>
        <w:trPr>
          <w:trHeight w:val="323"/>
        </w:trPr>
        <w:tc>
          <w:tcPr>
            <w:tcW w:w="8280" w:type="dxa"/>
            <w:vAlign w:val="bottom"/>
            <w:gridSpan w:val="2"/>
          </w:tcPr>
          <w:p>
            <w:pPr>
              <w:spacing w:after="0"/>
              <w:rPr>
                <w:sz w:val="20"/>
                <w:szCs w:val="20"/>
                <w:color w:val="auto"/>
              </w:rPr>
            </w:pPr>
            <w:r>
              <w:rPr>
                <w:rFonts w:ascii="Arial" w:cs="Arial" w:eastAsia="Arial" w:hAnsi="Arial"/>
                <w:sz w:val="18"/>
                <w:szCs w:val="18"/>
                <w:color w:val="auto"/>
              </w:rPr>
              <w:t>COSTS OF CONTRACT REVENUES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564,140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534,000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517,576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122,782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88,244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69,303</w:t>
            </w:r>
          </w:p>
        </w:tc>
        <w:tc>
          <w:tcPr>
            <w:tcW w:w="0" w:type="dxa"/>
            <w:vAlign w:val="bottom"/>
          </w:tcPr>
          <w:p>
            <w:pPr>
              <w:spacing w:after="0"/>
              <w:rPr>
                <w:sz w:val="1"/>
                <w:szCs w:val="1"/>
                <w:color w:val="auto"/>
              </w:rPr>
            </w:pPr>
          </w:p>
        </w:tc>
      </w:tr>
      <w:tr>
        <w:trPr>
          <w:trHeight w:val="323"/>
        </w:trPr>
        <w:tc>
          <w:tcPr>
            <w:tcW w:w="82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54,352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45,993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43,206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26,097</w:t>
            </w:r>
          </w:p>
        </w:tc>
        <w:tc>
          <w:tcPr>
            <w:tcW w:w="0" w:type="dxa"/>
            <w:vAlign w:val="bottom"/>
          </w:tcPr>
          <w:p>
            <w:pPr>
              <w:spacing w:after="0"/>
              <w:rPr>
                <w:sz w:val="1"/>
                <w:szCs w:val="1"/>
                <w:color w:val="auto"/>
              </w:rPr>
            </w:pPr>
          </w:p>
        </w:tc>
      </w:tr>
      <w:tr>
        <w:trPr>
          <w:trHeight w:val="330"/>
        </w:trPr>
        <w:tc>
          <w:tcPr>
            <w:tcW w:w="828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(13,542)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Equity in loss of joint ventures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(14,156)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(16,534)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(16,986)</w:t>
            </w:r>
          </w:p>
        </w:tc>
        <w:tc>
          <w:tcPr>
            <w:tcW w:w="0" w:type="dxa"/>
            <w:vAlign w:val="bottom"/>
          </w:tcPr>
          <w:p>
            <w:pPr>
              <w:spacing w:after="0"/>
              <w:rPr>
                <w:sz w:val="1"/>
                <w:szCs w:val="1"/>
                <w:color w:val="auto"/>
              </w:rPr>
            </w:pPr>
          </w:p>
        </w:tc>
      </w:tr>
      <w:tr>
        <w:trPr>
          <w:trHeight w:val="329"/>
        </w:trPr>
        <w:tc>
          <w:tcPr>
            <w:tcW w:w="8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54,274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(20,554)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(10,983)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329"/>
        </w:trPr>
        <w:tc>
          <w:tcPr>
            <w:tcW w:w="8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33,720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323"/>
        </w:trPr>
        <w:tc>
          <w:tcPr>
            <w:tcW w:w="8280" w:type="dxa"/>
            <w:vAlign w:val="bottom"/>
            <w:gridSpan w:val="2"/>
          </w:tcPr>
          <w:p>
            <w:pPr>
              <w:spacing w:after="0"/>
              <w:rPr>
                <w:sz w:val="20"/>
                <w:szCs w:val="20"/>
                <w:color w:val="auto"/>
              </w:rPr>
            </w:pPr>
            <w:r>
              <w:rPr>
                <w:rFonts w:ascii="Arial" w:cs="Arial" w:eastAsia="Arial" w:hAnsi="Arial"/>
                <w:sz w:val="18"/>
                <w:szCs w:val="18"/>
                <w:color w:val="auto"/>
                <w:w w:val="98"/>
              </w:rPr>
              <w:t>NET INCOME ATTRIBUTABLE TO COMMON STOCKHOLDERS OF GREAT LAKES DREDGE &amp; DOCK</w:t>
            </w: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34,609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17,468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Basic weighted-average shares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58,647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58,507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58,469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Diluted weighted-average shares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58,871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58,612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58,478</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321" w:lineRule="auto"/>
        <w:rPr>
          <w:sz w:val="20"/>
          <w:szCs w:val="20"/>
          <w:color w:val="auto"/>
        </w:rPr>
      </w:pPr>
      <w:r>
        <w:rPr>
          <w:rFonts w:ascii="Arial" w:cs="Arial" w:eastAsia="Arial" w:hAnsi="Arial"/>
          <w:sz w:val="18"/>
          <w:szCs w:val="18"/>
          <w:b w:val="1"/>
          <w:bCs w:val="1"/>
          <w:color w:val="auto"/>
        </w:rPr>
        <w:t>GREAT LAKES DREDGE &amp; DOCK CORPORATION AND SUBSIDIARIES CONSOLIDATED STATEMENTS OF EQUITY FOR THE YEARS ENDED DECEMBER 31, 2010, 2009 AND 2008 (In thousands, except share and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Retained</w:t>
            </w:r>
          </w:p>
        </w:tc>
        <w:tc>
          <w:tcPr>
            <w:tcW w:w="16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Earnings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34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Deficit)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58,459,824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$260,669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(32,810)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Acquisition of NASDI Noncontrolling Interest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1,373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(1,521)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shares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28,040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declared and paid</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Reclassification of derivative losses to</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640"/>
              <w:spacing w:after="0"/>
              <w:rPr>
                <w:sz w:val="20"/>
                <w:szCs w:val="20"/>
                <w:color w:val="auto"/>
              </w:rPr>
            </w:pPr>
            <w:r>
              <w:rPr>
                <w:rFonts w:ascii="Arial" w:cs="Arial" w:eastAsia="Arial" w:hAnsi="Arial"/>
                <w:sz w:val="18"/>
                <w:szCs w:val="18"/>
                <w:color w:val="auto"/>
              </w:rPr>
              <w:t>earnings (net of tax of $145)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Change in fair value of derivatives (net of tax</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$2,720)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ind w:left="640"/>
              <w:spacing w:after="0"/>
              <w:rPr>
                <w:sz w:val="20"/>
                <w:szCs w:val="20"/>
                <w:color w:val="auto"/>
              </w:rPr>
            </w:pPr>
            <w:r>
              <w:rPr>
                <w:rFonts w:ascii="Arial" w:cs="Arial" w:eastAsia="Arial" w:hAnsi="Arial"/>
                <w:sz w:val="18"/>
                <w:szCs w:val="18"/>
                <w:color w:val="auto"/>
              </w:rPr>
              <w:t>Total comprehensive income:</w:t>
            </w: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58,484,242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262,501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w w:val="99"/>
              </w:rPr>
              <w:t>Acquisition of Yankee Environmental Services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Dividends declared and paid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(3,992)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 (loss):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17,468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(2,734)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14,734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derivative losses to</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earnings (net of tax of $2,101)</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w w:val="96"/>
              </w:rPr>
              <w:t>Change in fair value of derivatives (net of tax</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640"/>
              <w:spacing w:after="0"/>
              <w:rPr>
                <w:sz w:val="20"/>
                <w:szCs w:val="20"/>
                <w:color w:val="auto"/>
              </w:rPr>
            </w:pPr>
            <w:r>
              <w:rPr>
                <w:rFonts w:ascii="Arial" w:cs="Arial" w:eastAsia="Arial" w:hAnsi="Arial"/>
                <w:sz w:val="18"/>
                <w:szCs w:val="18"/>
                <w:color w:val="auto"/>
              </w:rPr>
              <w:t>of $524)</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comprehensive income (loss):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18,688</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BALANCE—December 31, 2009</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3"/>
              </w:rPr>
              <w:t>58,542,038</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263,579</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(18,336)</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(1,239)</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244,549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Vesting of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13,302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Dividends declared and paid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(4,012)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 (loss):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34,609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(889)</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33,720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derivative gains to</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earnings (net of tax of $213)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w w:val="96"/>
              </w:rPr>
              <w:t>Change in fair value of derivatives (net of tax</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640"/>
              <w:spacing w:after="0"/>
              <w:rPr>
                <w:sz w:val="20"/>
                <w:szCs w:val="20"/>
                <w:color w:val="auto"/>
              </w:rPr>
            </w:pPr>
            <w:r>
              <w:rPr>
                <w:rFonts w:ascii="Arial" w:cs="Arial" w:eastAsia="Arial" w:hAnsi="Arial"/>
                <w:sz w:val="18"/>
                <w:szCs w:val="18"/>
                <w:color w:val="auto"/>
              </w:rPr>
              <w:t>of $92)</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comprehensive income (loss):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33,538</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BALANCE—December 31, 2010</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3"/>
              </w:rPr>
              <w:t>58,770,369</w:t>
            </w:r>
          </w:p>
        </w:tc>
        <w:tc>
          <w:tcPr>
            <w:tcW w:w="200" w:type="dxa"/>
            <w:vAlign w:val="bottom"/>
          </w:tcPr>
          <w:p>
            <w:pPr>
              <w:spacing w:after="0" w:line="20" w:lineRule="exact"/>
              <w:rPr>
                <w:sz w:val="1"/>
                <w:szCs w:val="1"/>
                <w:color w:val="auto"/>
              </w:rPr>
            </w:pP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266,329</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12,261</w:t>
            </w:r>
          </w:p>
        </w:tc>
        <w:tc>
          <w:tcPr>
            <w:tcW w:w="34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(2,128)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321" w:lineRule="auto"/>
        <w:rPr>
          <w:sz w:val="20"/>
          <w:szCs w:val="20"/>
          <w:color w:val="auto"/>
        </w:rPr>
      </w:pPr>
      <w:r>
        <w:rPr>
          <w:rFonts w:ascii="Arial" w:cs="Arial" w:eastAsia="Arial" w:hAnsi="Arial"/>
          <w:sz w:val="18"/>
          <w:szCs w:val="18"/>
          <w:b w:val="1"/>
          <w:bCs w:val="1"/>
          <w:color w:val="auto"/>
        </w:rPr>
        <w:t>GREAT LAKES DREDGE &amp; DOCK CORPORATION AND SUBSIDIARIES CONSOLIDATED STATEMENTS OF CASH FLOWS FOR THE YEARS ENDED DECEMBER 31, 2010, 2009 AND 2008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33,720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14,734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33,023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Distribution from equity joint ventures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56,603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(33,281)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9,836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(5,053)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12,591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(11,078)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640"/>
              <w:spacing w:after="0"/>
              <w:rPr>
                <w:sz w:val="20"/>
                <w:szCs w:val="20"/>
                <w:color w:val="auto"/>
              </w:rPr>
            </w:pPr>
            <w:r>
              <w:rPr>
                <w:rFonts w:ascii="Arial" w:cs="Arial" w:eastAsia="Arial" w:hAnsi="Arial"/>
                <w:sz w:val="18"/>
                <w:szCs w:val="18"/>
                <w:color w:val="auto"/>
              </w:rPr>
              <w:t>Other noncurrent assets and liabilities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flows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123,531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53,998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14,805</w:t>
            </w:r>
          </w:p>
        </w:tc>
        <w:tc>
          <w:tcPr>
            <w:tcW w:w="0" w:type="dxa"/>
            <w:vAlign w:val="bottom"/>
          </w:tcPr>
          <w:p>
            <w:pPr>
              <w:spacing w:after="0"/>
              <w:rPr>
                <w:sz w:val="1"/>
                <w:szCs w:val="1"/>
                <w:color w:val="auto"/>
              </w:rPr>
            </w:pP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(25,258)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Dispositions of property and equipment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Matteson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(37,869)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Acquisition of controlling interest in Yankee Environmental Services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Purchase of noncontrolling interest in NASDI, LLC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(62,696)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(26,257)</w:t>
            </w:r>
          </w:p>
        </w:tc>
        <w:tc>
          <w:tcPr>
            <w:tcW w:w="0" w:type="dxa"/>
            <w:vAlign w:val="bottom"/>
          </w:tcPr>
          <w:p>
            <w:pPr>
              <w:spacing w:after="0"/>
              <w:rPr>
                <w:sz w:val="1"/>
                <w:szCs w:val="1"/>
                <w:color w:val="auto"/>
              </w:rPr>
            </w:pP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revolving loans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158,877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Repayments of revolving loans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(25,968)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(189,377)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(4,012)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(3,992)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long-term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Repayment of capital lease debt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preferred and common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ind w:left="860"/>
              <w:spacing w:after="0"/>
              <w:rPr>
                <w:sz w:val="20"/>
                <w:szCs w:val="20"/>
                <w:color w:val="auto"/>
              </w:rPr>
            </w:pPr>
            <w:r>
              <w:rPr>
                <w:rFonts w:ascii="Arial" w:cs="Arial" w:eastAsia="Arial" w:hAnsi="Arial"/>
                <w:sz w:val="18"/>
                <w:szCs w:val="18"/>
                <w:color w:val="auto"/>
              </w:rPr>
              <w:t>Net cash flows provided by (used in) financing activities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(15,607)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(36,359)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EQUIVALENTS—Beginning of year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10,478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ind w:left="200"/>
              <w:spacing w:after="0"/>
              <w:rPr>
                <w:sz w:val="20"/>
                <w:szCs w:val="20"/>
                <w:color w:val="auto"/>
              </w:rPr>
            </w:pPr>
            <w:r>
              <w:rPr>
                <w:rFonts w:ascii="Arial" w:cs="Arial" w:eastAsia="Arial" w:hAnsi="Arial"/>
                <w:sz w:val="18"/>
                <w:szCs w:val="18"/>
                <w:color w:val="auto"/>
              </w:rPr>
              <w:t>Cash paid for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16,332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8,677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Property and equipment purchased but not yet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8,559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purchased on equipment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ind w:left="200"/>
              <w:spacing w:after="0"/>
              <w:rPr>
                <w:sz w:val="20"/>
                <w:szCs w:val="20"/>
                <w:color w:val="auto"/>
              </w:rPr>
            </w:pPr>
            <w:r>
              <w:rPr>
                <w:rFonts w:ascii="Arial" w:cs="Arial" w:eastAsia="Arial" w:hAnsi="Arial"/>
                <w:sz w:val="18"/>
                <w:szCs w:val="18"/>
                <w:color w:val="auto"/>
              </w:rPr>
              <w:t>Purchase price of Matteson comprised of promissory notes and other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9,140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00" w:right="2720"/>
        <w:spacing w:after="0" w:line="391" w:lineRule="auto"/>
        <w:rPr>
          <w:sz w:val="20"/>
          <w:szCs w:val="20"/>
          <w:color w:val="auto"/>
        </w:rPr>
      </w:pPr>
      <w:r>
        <w:rPr>
          <w:rFonts w:ascii="Arial" w:cs="Arial" w:eastAsia="Arial" w:hAnsi="Arial"/>
          <w:sz w:val="18"/>
          <w:szCs w:val="18"/>
          <w:b w:val="1"/>
          <w:bCs w:val="1"/>
          <w:color w:val="auto"/>
        </w:rPr>
        <w:t>GREAT LAKES DREDGE &amp; DOCK CORPORATION AND SUBSIDIARIES NOTES TO CONSOLIDATED FINANCIAL STATEMENTS AS OF DECEMBER 31, 2010 AND 2009 AND FOR THE YEARS ENDED DECEMBER 31, 2010, 2009 AND 2008</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1"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w:t>
      </w:r>
    </w:p>
    <w:p>
      <w:pPr>
        <w:spacing w:after="0" w:line="63"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Organization</w:t>
      </w:r>
      <w:r>
        <w:rPr>
          <w:rFonts w:ascii="Arial" w:cs="Arial" w:eastAsia="Arial" w:hAnsi="Arial"/>
          <w:sz w:val="18"/>
          <w:szCs w:val="18"/>
          <w:color w:val="auto"/>
        </w:rPr>
        <w:t>—Great Lakes Dredge &amp; Dock Corporation and its subsidiaries (the “Company” or “Great Lakes”) are in the business of marine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primarily dredging, and commercial and industrial demolition. The Company’s primary dredging customers are domestic and foreign government agencies, as well as private entities, and its primary demolition customers are general contractors, corporations that commission projects, nonprofit institutions such as universities and hospitals, and local government and municipal agencies.</w:t>
      </w:r>
    </w:p>
    <w:p>
      <w:pPr>
        <w:spacing w:after="0" w:line="96"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Principles of Consolidation and Basis of Presentation</w:t>
      </w:r>
      <w:r>
        <w:rPr>
          <w:rFonts w:ascii="Arial" w:cs="Arial" w:eastAsia="Arial" w:hAnsi="Arial"/>
          <w:sz w:val="16"/>
          <w:szCs w:val="16"/>
          <w:color w:val="auto"/>
        </w:rPr>
        <w:t>—The consolidated financial statements include the accounts of Great Lakes Dredge &amp; Dock</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spacing w:after="0" w:line="57"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(“GAAP”) requires management to make estimates and assumptions that affect certain reported amounts and disclosures. Accordingly, actual results could differ from those estimates.</w:t>
      </w:r>
    </w:p>
    <w:p>
      <w:pPr>
        <w:spacing w:after="0" w:line="9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Revenue and Cost Recognition on Contracts</w:t>
      </w:r>
      <w:r>
        <w:rPr>
          <w:rFonts w:ascii="Arial" w:cs="Arial" w:eastAsia="Arial" w:hAnsi="Arial"/>
          <w:sz w:val="16"/>
          <w:szCs w:val="16"/>
          <w:color w:val="auto"/>
        </w:rPr>
        <w:t>—Substantially all of the Company’s contracts for dredging services are fixed-price contracts,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for remeasurement based on actual quantities dredged. The majority of the Company’s demolition contracts are also fixed-price contracts, with others managed as time-and-materials. Contract revenues are recognized under the percentage-of-completion method, based on the Company’s engineering estimates of the physical percentage completed for dredging projects and using a cost-to-cost approach for demolition projects. For dredging projects, costs of contract revenues are adjusted to reflect the gross profit percentage expected to be achieved upon ultimate completion. For demolition contracts, contract revenues are adjusted to reflect the estimated gross profit percentage. Provisions for estimated losses on contracts in progress are made in the period in which such losses are determined.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Modifications may be negotiated when a change from the original contract specification is encountered, and a change in project scope, performance methodology and/or material disposal is necessary. Thus, the resulting modification is considered a change in the scope of the original project to which it relates. Significant expenditures incurred incidental to major contracts are deferred and recognized as contract costs based on contract performance over the duration of the related project. These expenditures are reported as prepaid expenses.</w:t>
      </w:r>
    </w:p>
    <w:p>
      <w:pPr>
        <w:spacing w:after="0" w:line="8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w:t>
      </w:r>
    </w:p>
    <w:p>
      <w:pPr>
        <w:spacing w:after="0" w:line="7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21% to 22% of total costs of contract revenues over the last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and under allocated equipment costs are recognized such that the expense for the year equals actual equipment costs incurred during the year.</w:t>
      </w:r>
    </w:p>
    <w:p>
      <w:pPr>
        <w:spacing w:after="0" w:line="58"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Classification of Current Assets and Liabilities</w:t>
      </w:r>
      <w:r>
        <w:rPr>
          <w:rFonts w:ascii="Arial" w:cs="Arial" w:eastAsia="Arial" w:hAnsi="Arial"/>
          <w:sz w:val="18"/>
          <w:szCs w:val="18"/>
          <w:color w:val="auto"/>
        </w:rPr>
        <w:t>—The Company includes in current assets and liabilities amounts realizable and payable in the normal</w:t>
      </w:r>
      <w:r>
        <w:rPr>
          <w:rFonts w:ascii="Arial" w:cs="Arial" w:eastAsia="Arial" w:hAnsi="Arial"/>
          <w:sz w:val="18"/>
          <w:szCs w:val="18"/>
          <w:b w:val="1"/>
          <w:bCs w:val="1"/>
          <w:color w:val="auto"/>
        </w:rPr>
        <w:t xml:space="preserve"> </w:t>
      </w:r>
      <w:r>
        <w:rPr>
          <w:rFonts w:ascii="Arial" w:cs="Arial" w:eastAsia="Arial" w:hAnsi="Arial"/>
          <w:sz w:val="18"/>
          <w:szCs w:val="18"/>
          <w:color w:val="auto"/>
        </w:rPr>
        <w:t>course of contract completion, unless completion of such contracts extends significantly beyond one year.</w:t>
      </w:r>
    </w:p>
    <w:p>
      <w:pPr>
        <w:spacing w:after="0" w:line="79" w:lineRule="exact"/>
        <w:rPr>
          <w:sz w:val="20"/>
          <w:szCs w:val="20"/>
          <w:color w:val="auto"/>
        </w:rPr>
      </w:pPr>
    </w:p>
    <w:p>
      <w:pPr>
        <w:jc w:val="center"/>
        <w:ind w:left="260" w:right="440"/>
        <w:spacing w:after="0" w:line="447" w:lineRule="auto"/>
        <w:rPr>
          <w:sz w:val="20"/>
          <w:szCs w:val="20"/>
          <w:color w:val="auto"/>
        </w:rPr>
      </w:pPr>
      <w:r>
        <w:rPr>
          <w:rFonts w:ascii="Arial" w:cs="Arial" w:eastAsia="Arial" w:hAnsi="Arial"/>
          <w:sz w:val="18"/>
          <w:szCs w:val="18"/>
          <w:b w:val="1"/>
          <w:bCs w:val="1"/>
          <w:color w:val="auto"/>
        </w:rPr>
        <w:t>Cash Equivalents</w:t>
      </w:r>
      <w:r>
        <w:rPr>
          <w:rFonts w:ascii="Arial" w:cs="Arial" w:eastAsia="Arial" w:hAnsi="Arial"/>
          <w:sz w:val="18"/>
          <w:szCs w:val="18"/>
          <w:color w:val="auto"/>
        </w:rPr>
        <w:t>—The Company considers all highly liquid investments with a maturity at purchase of three months or less to be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26" w:lineRule="auto"/>
        <w:rPr>
          <w:sz w:val="20"/>
          <w:szCs w:val="20"/>
          <w:color w:val="auto"/>
        </w:rPr>
      </w:pPr>
      <w:r>
        <w:rPr>
          <w:rFonts w:ascii="Arial" w:cs="Arial" w:eastAsia="Arial" w:hAnsi="Arial"/>
          <w:sz w:val="15"/>
          <w:szCs w:val="15"/>
          <w:b w:val="1"/>
          <w:bCs w:val="1"/>
          <w:color w:val="auto"/>
        </w:rPr>
        <w:t>Accounts receivable-net</w:t>
      </w:r>
      <w:r>
        <w:rPr>
          <w:rFonts w:ascii="Arial" w:cs="Arial" w:eastAsia="Arial" w:hAnsi="Arial"/>
          <w:sz w:val="15"/>
          <w:szCs w:val="15"/>
          <w:color w:val="auto"/>
        </w:rPr>
        <w:t>—Accounts receivable represent amounts due or billable under the terms of contracts with customers, including amounts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to retainage. The Company anticipates collection of retainage generally within one year, and accordingly presents retainage as a current asset. In 2010 it was concluded that a portion of retainage would not be collected until after one year. This amount, $5,923, is classified as other non-current assets. The Company provides an allowance for estimated uncollectible accounts receivable when events or conditions indicate that amounts outstanding are not recoverable.</w:t>
      </w:r>
    </w:p>
    <w:p>
      <w:pPr>
        <w:spacing w:after="0" w:line="49"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—Inventories consist of pipe and spare parts used in the Company’s dredging operations. Pipe and spare parts are purchased in large quantities;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a certain amount of pipe and spare part inventories is not anticipated to be used within the current year and is classified as long-term. Inventories are stated at the weighted average historical cost.</w:t>
      </w:r>
    </w:p>
    <w:p>
      <w:pPr>
        <w:spacing w:after="0" w:line="92"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—Capital additions, improvements, and major renewals are classified as property and equipment and are carried at depreciated</w:t>
      </w:r>
      <w:r>
        <w:rPr>
          <w:rFonts w:ascii="Arial" w:cs="Arial" w:eastAsia="Arial" w:hAnsi="Arial"/>
          <w:sz w:val="18"/>
          <w:szCs w:val="18"/>
          <w:b w:val="1"/>
          <w:bCs w:val="1"/>
          <w:color w:val="auto"/>
        </w:rPr>
        <w:t xml:space="preserve"> </w:t>
      </w:r>
      <w:r>
        <w:rPr>
          <w:rFonts w:ascii="Arial" w:cs="Arial" w:eastAsia="Arial" w:hAnsi="Arial"/>
          <w:sz w:val="18"/>
          <w:szCs w:val="18"/>
          <w:color w:val="auto"/>
        </w:rPr>
        <w:t>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p>
      <w:pPr>
        <w:spacing w:after="0" w:line="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Useful Life</w:t>
            </w:r>
          </w:p>
        </w:tc>
      </w:tr>
      <w:tr>
        <w:trPr>
          <w:trHeight w:val="161"/>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(years)</w:t>
            </w:r>
          </w:p>
        </w:tc>
      </w:tr>
      <w:tr>
        <w:trPr>
          <w:trHeight w:val="20"/>
        </w:trPr>
        <w:tc>
          <w:tcPr>
            <w:tcW w:w="30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6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dozers, and other light operating equipment and systems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Heavy operating equipment (dredges and barges)</w:t>
            </w:r>
          </w:p>
        </w:tc>
        <w:tc>
          <w:tcPr>
            <w:tcW w:w="62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amortized over the shorter of their remaining useful lives or the remaining terms of the leases.</w:t>
      </w:r>
    </w:p>
    <w:p>
      <w:pPr>
        <w:spacing w:after="0" w:line="12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Goodwill and Other Intangibles</w:t>
      </w:r>
      <w:r>
        <w:rPr>
          <w:rFonts w:ascii="Arial" w:cs="Arial" w:eastAsia="Arial" w:hAnsi="Arial"/>
          <w:sz w:val="18"/>
          <w:szCs w:val="18"/>
          <w:color w:val="auto"/>
        </w:rPr>
        <w:t>—Goodwill represents the excess of cost over fair value. Other identifiable intangibles mainly represent 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 databases, customer relationships, and customer contracts acquired in business combinations and are being amortized over a one to ten-year period. Goodwill is tested annually for impairment 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spacing w:after="0" w:line="10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expected periods the assets will be utilized, appropriate discount rates and other variables. The estimates are based on assumptions that the Company believes to be reasonable, but which are unpredictable and inherently uncertain. Changes in these estimates and assumptions could materially affect the determination of fair value, and may result in the impairment of goodwill in the event that actual results differ from those estimates.</w:t>
      </w:r>
    </w:p>
    <w:p>
      <w:pPr>
        <w:spacing w:after="0" w:line="10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market approach measures the value of an entity through comparison to comparable companies. Under the market approach, the Company uses the guideline public company method by applying estimated market-based enterprise value multiples to the reporting unit’s estimated revenue and EBITDA. The Company analyzed companies that performed similar services or are considered peers. Due to the fact that there are no public companies that are our direct competitors, the Company weighed the results of this approach less than the income approach.</w:t>
      </w:r>
    </w:p>
    <w:p>
      <w:pPr>
        <w:spacing w:after="0" w:line="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operates in two reportable segments: dredging and demolition. These reportable segments are the Company’s operating segments and the reporting units at which the Company tests goodwill for impairment. The Company performed its most recent annual test of impairment as of July 1, 2010 for the goodwill in both the dredging and demolition segments with no indication of goodwill impairment as of the test date. As of the test date, the fair value of both the dredging segment and the demolition segment were in excess of their carrying values by approximately 25%. No test was performed in the fourth quarter as based on the segments’ current forecasts no triggering events which would require a test were deemed to have occurred. The Company will perform its next scheduled annual test of goodwill in the third quarter of 2011 should no triggering events occur which would require a test prior to the next annual test.</w:t>
      </w:r>
    </w:p>
    <w:p>
      <w:pPr>
        <w:spacing w:after="0" w:line="7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Long-Lived Assets</w:t>
      </w:r>
      <w:r>
        <w:rPr>
          <w:rFonts w:ascii="Arial" w:cs="Arial" w:eastAsia="Arial" w:hAnsi="Arial"/>
          <w:sz w:val="18"/>
          <w:szCs w:val="18"/>
          <w:color w:val="auto"/>
        </w:rPr>
        <w:t>—Long-lived assets are comprised of property and equipment and intangible assets subject to amortization. Long-lived assets to be held</w:t>
      </w:r>
      <w:r>
        <w:rPr>
          <w:rFonts w:ascii="Arial" w:cs="Arial" w:eastAsia="Arial" w:hAnsi="Arial"/>
          <w:sz w:val="18"/>
          <w:szCs w:val="18"/>
          <w:b w:val="1"/>
          <w:bCs w:val="1"/>
          <w:color w:val="auto"/>
        </w:rPr>
        <w:t xml:space="preserve"> </w:t>
      </w:r>
      <w:r>
        <w:rPr>
          <w:rFonts w:ascii="Arial" w:cs="Arial" w:eastAsia="Arial" w:hAnsi="Arial"/>
          <w:sz w:val="18"/>
          <w:szCs w:val="18"/>
          <w:color w:val="auto"/>
        </w:rPr>
        <w:t>and used are 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If long-lived assets are to be disposed,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depreciation is discontinued, if applicable, and the assets are reclassified as held for sale at the lower of their carrying amounts or fair values less estimated costs to sell. No triggering events were identified in 2010 or 2009.</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Self-insurance Reserves</w:t>
      </w:r>
      <w:r>
        <w:rPr>
          <w:rFonts w:ascii="Arial" w:cs="Arial" w:eastAsia="Arial" w:hAnsi="Arial"/>
          <w:sz w:val="18"/>
          <w:szCs w:val="18"/>
          <w:color w:val="auto"/>
        </w:rPr>
        <w:t>—The Company self-insures costs associated with its seagoing employees covered by the provisions of Jones Act,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claims, hull and equipment liability, and general business liabilities up to certain limits. Insurance reserves are established for estimates of the loss that the Company will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10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is a member of an insurance association that provides personal injury coverage for its maritime workforce in excess of self-insurance retention limits. The Company is subject to retroactive premium adjustments based on the association’s claims experience and investment performance. The Company accrues for retroactive premium adjustments when assessed by the insurance association. During the years ended December 31, 2010, 2009 and 2008, there were $2,207, $1,983 and $2,183 recorded for retroactive assessments, respectively.</w:t>
      </w:r>
    </w:p>
    <w:p>
      <w:pPr>
        <w:spacing w:after="0" w:line="66"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provision for income taxes includes federal, foreign, and state income taxes currently payable and those deferred because of</w:t>
      </w:r>
      <w:r>
        <w:rPr>
          <w:rFonts w:ascii="Arial" w:cs="Arial" w:eastAsia="Arial" w:hAnsi="Arial"/>
          <w:sz w:val="16"/>
          <w:szCs w:val="16"/>
          <w:b w:val="1"/>
          <w:bCs w:val="1"/>
          <w:color w:val="auto"/>
        </w:rPr>
        <w:t xml:space="preserve"> </w:t>
      </w:r>
      <w:r>
        <w:rPr>
          <w:rFonts w:ascii="Arial" w:cs="Arial" w:eastAsia="Arial" w:hAnsi="Arial"/>
          <w:sz w:val="16"/>
          <w:szCs w:val="16"/>
          <w:color w:val="auto"/>
        </w:rPr>
        <w:t>temporary differences between the financial statement and tax basis of assets and liabilities. Recorded deferred income tax assets and liabilities are based on the estimated future tax effects of differences between the financial and tax basis of assets and liabilities, given the effect of currently enacted tax laws.</w:t>
      </w:r>
    </w:p>
    <w:p>
      <w:pPr>
        <w:spacing w:after="0" w:line="57"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color w:val="auto"/>
        </w:rPr>
        <w:t>Fair Value of Financial Instruments</w:t>
      </w:r>
      <w:r>
        <w:rPr>
          <w:rFonts w:ascii="Arial" w:cs="Arial" w:eastAsia="Arial" w:hAnsi="Arial"/>
          <w:sz w:val="16"/>
          <w:szCs w:val="16"/>
          <w:color w:val="auto"/>
        </w:rPr>
        <w:t>—The carrying value of financial instruments included in current assets and current liabilities approximates fair</w:t>
      </w:r>
      <w:r>
        <w:rPr>
          <w:rFonts w:ascii="Arial" w:cs="Arial" w:eastAsia="Arial" w:hAnsi="Arial"/>
          <w:sz w:val="16"/>
          <w:szCs w:val="16"/>
          <w:b w:val="1"/>
          <w:bCs w:val="1"/>
          <w:color w:val="auto"/>
        </w:rPr>
        <w:t xml:space="preserve"> </w:t>
      </w:r>
      <w:r>
        <w:rPr>
          <w:rFonts w:ascii="Arial" w:cs="Arial" w:eastAsia="Arial" w:hAnsi="Arial"/>
          <w:sz w:val="16"/>
          <w:szCs w:val="16"/>
          <w:color w:val="auto"/>
        </w:rPr>
        <w:t>values due to the short-term maturities of these instruments. The fair value of the Company’s long-term senior subordinated notes is $177,188 at December 31, 2010. The fair value of other financial instruments approximates their carrying values at December 31, 2010.</w:t>
      </w:r>
    </w:p>
    <w:p>
      <w:pPr>
        <w:spacing w:after="0" w:line="5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Noncontrolling Interest</w:t>
      </w:r>
      <w:r>
        <w:rPr>
          <w:rFonts w:ascii="Arial" w:cs="Arial" w:eastAsia="Arial" w:hAnsi="Arial"/>
          <w:sz w:val="18"/>
          <w:szCs w:val="18"/>
          <w:color w:val="auto"/>
        </w:rPr>
        <w:t>—The Company previously owned 85% of the capital stock of North American Site Developers, Inc. (“NASDI Inc”), a demolition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 located in the Boston, Massachusetts area. On April 30, 2008, the Company acquired the remaining 15% of the capital stock from Christopher A. Berardi, the then President of NASDI Inc. Additionally, the Company entered into a series of transactions for the purpose of restructuring the Company’s arrangements with Mr. Berardi. Noncontrolling interest as currently recorded represents the 35% Class B interests in NASDI, LLC (“NASDI”) currently owned by Mr. Berardi.</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1, 2009 the Company acquired a 65% interest in Yankee Environmental Services (“Yankee”) (See Note 20).</w:t>
      </w:r>
    </w:p>
    <w:p>
      <w:pPr>
        <w:spacing w:after="0" w:line="12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Earnings Per Share</w:t>
      </w:r>
      <w:r>
        <w:rPr>
          <w:rFonts w:ascii="Arial" w:cs="Arial" w:eastAsia="Arial" w:hAnsi="Arial"/>
          <w:sz w:val="16"/>
          <w:szCs w:val="16"/>
          <w:color w:val="auto"/>
        </w:rPr>
        <w:t>—Basic earnings per share is computed by dividing net income attributable to common stockholders by the weighted-average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At December 31, 2010, the impact of options to purchase shares of common stock (“NQSO”) was dilutive and, accordingly, no options are excluded from the calculation of diluted earnings per share based on the application of the treasury stock method. At December 31, 2009 and 2008, 356,774 stock options would have an antidilutive effect on earnings per share and therefore are excluded from the calculation.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computations for basic and diluted earnings per share for the years ended December 31, 2010, 2009 and 2008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shareholders of Great Lakes Dredge &amp; Dock Corporation</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34,609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Weighted-average common shares outstanding—basic</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58,647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58,507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outstanding—diluted</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58,871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58,612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share—basic</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780" w:type="dxa"/>
            <w:vAlign w:val="bottom"/>
          </w:tcPr>
          <w:p>
            <w:pPr>
              <w:ind w:left="5620"/>
              <w:spacing w:after="0"/>
              <w:rPr>
                <w:sz w:val="20"/>
                <w:szCs w:val="20"/>
                <w:color w:val="auto"/>
              </w:rPr>
            </w:pPr>
            <w:r>
              <w:rPr>
                <w:rFonts w:ascii="Arial" w:cs="Arial" w:eastAsia="Arial" w:hAnsi="Arial"/>
                <w:sz w:val="18"/>
                <w:szCs w:val="18"/>
                <w:color w:val="auto"/>
              </w:rPr>
              <w:t>85</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2.  ACCOUNTS RECEIVABLE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8740" w:type="dxa"/>
            <w:vAlign w:val="bottom"/>
            <w:gridSpan w:val="2"/>
          </w:tcPr>
          <w:p>
            <w:pPr>
              <w:ind w:left="460"/>
              <w:spacing w:after="0"/>
              <w:rPr>
                <w:sz w:val="20"/>
                <w:szCs w:val="20"/>
                <w:color w:val="auto"/>
              </w:rPr>
            </w:pPr>
            <w:r>
              <w:rPr>
                <w:rFonts w:ascii="Arial" w:cs="Arial" w:eastAsia="Arial" w:hAnsi="Arial"/>
                <w:sz w:val="18"/>
                <w:szCs w:val="18"/>
                <w:color w:val="auto"/>
              </w:rPr>
              <w:t>Accounts receivable at December 31, 2010 and 2009, are as follows: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9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$20,093</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Contracts in progress</w:t>
            </w:r>
          </w:p>
        </w:tc>
        <w:tc>
          <w:tcPr>
            <w:tcW w:w="580" w:type="dxa"/>
            <w:vAlign w:val="bottom"/>
          </w:tcPr>
          <w:p>
            <w:pPr>
              <w:jc w:val="right"/>
              <w:spacing w:after="0"/>
              <w:rPr>
                <w:sz w:val="20"/>
                <w:szCs w:val="20"/>
                <w:color w:val="auto"/>
              </w:rPr>
            </w:pPr>
            <w:r>
              <w:rPr>
                <w:rFonts w:ascii="Arial" w:cs="Arial" w:eastAsia="Arial" w:hAnsi="Arial"/>
                <w:sz w:val="18"/>
                <w:szCs w:val="18"/>
                <w:color w:val="auto"/>
              </w:rPr>
              <w:t>64,399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105,717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97,203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155,151</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820" w:type="dxa"/>
            <w:vAlign w:val="bottom"/>
            <w:vMerge w:val="restart"/>
          </w:tcPr>
          <w:p>
            <w:pPr>
              <w:spacing w:after="0"/>
              <w:rPr>
                <w:sz w:val="20"/>
                <w:szCs w:val="20"/>
                <w:color w:val="auto"/>
              </w:rPr>
            </w:pPr>
            <w:r>
              <w:rPr>
                <w:rFonts w:ascii="Arial" w:cs="Arial" w:eastAsia="Arial" w:hAnsi="Arial"/>
                <w:sz w:val="18"/>
                <w:szCs w:val="18"/>
                <w:color w:val="auto"/>
              </w:rPr>
              <w:t>Total accounts receivable—net</w:t>
            </w: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78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95,548</w:t>
            </w:r>
          </w:p>
        </w:tc>
        <w:tc>
          <w:tcPr>
            <w:tcW w:w="24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153,901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CONTRACTS IN PROGRESS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contracts in progress at December 31, 2010 and 2009, are as follows:</w:t>
      </w:r>
    </w:p>
    <w:p>
      <w:pPr>
        <w:spacing w:after="0" w:line="140" w:lineRule="exact"/>
        <w:rPr>
          <w:sz w:val="20"/>
          <w:szCs w:val="20"/>
          <w:color w:val="auto"/>
        </w:rPr>
      </w:pPr>
    </w:p>
    <w:p>
      <w:pPr>
        <w:ind w:left="8780"/>
        <w:spacing w:after="0"/>
        <w:tabs>
          <w:tab w:leader="none" w:pos="988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ectPr>
          <w:pgSz w:w="11900" w:h="16838" w:orient="portrait"/>
          <w:cols w:equalWidth="0" w:num="1">
            <w:col w:w="10500"/>
          </w:cols>
          <w:pgMar w:left="240" w:top="459" w:right="1159" w:bottom="1440" w:gutter="0" w:footer="0" w:header="0"/>
        </w:sectPr>
      </w:pPr>
    </w:p>
    <w:tbl>
      <w:tblPr>
        <w:tblLayout w:type="fixed"/>
        <w:tblInd w:w="920" w:type="dxa"/>
        <w:tblCellMar>
          <w:top w:w="0" w:type="dxa"/>
          <w:left w:w="0" w:type="dxa"/>
          <w:bottom w:w="0" w:type="dxa"/>
          <w:right w:w="0" w:type="dxa"/>
        </w:tblCellMar>
      </w:tblPr>
      <w:tr>
        <w:trPr>
          <w:trHeight w:val="201"/>
        </w:trPr>
        <w:tc>
          <w:tcPr>
            <w:tcW w:w="7620" w:type="dxa"/>
            <w:vAlign w:val="bottom"/>
          </w:tcPr>
          <w:p>
            <w:pPr>
              <w:spacing w:after="0" w:line="201" w:lineRule="exact"/>
              <w:rPr>
                <w:sz w:val="20"/>
                <w:szCs w:val="20"/>
                <w:color w:val="auto"/>
              </w:rPr>
            </w:pPr>
            <w:r>
              <w:rPr>
                <w:rFonts w:ascii="Arial" w:cs="Arial" w:eastAsia="Arial" w:hAnsi="Arial"/>
                <w:sz w:val="18"/>
                <w:szCs w:val="18"/>
                <w:color w:val="auto"/>
              </w:rPr>
              <w:t>Costs and earnings in excess of billings:</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287,291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ind w:left="220"/>
              <w:spacing w:after="0"/>
              <w:rPr>
                <w:sz w:val="20"/>
                <w:szCs w:val="20"/>
                <w:color w:val="auto"/>
              </w:rPr>
            </w:pPr>
            <w:r>
              <w:rPr>
                <w:rFonts w:ascii="Arial" w:cs="Arial" w:eastAsia="Arial" w:hAnsi="Arial"/>
                <w:sz w:val="18"/>
                <w:szCs w:val="18"/>
                <w:color w:val="auto"/>
              </w:rPr>
              <w:t>Amounts billed</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(263,665)</w:t>
            </w:r>
          </w:p>
        </w:tc>
        <w:tc>
          <w:tcPr>
            <w:tcW w:w="0" w:type="dxa"/>
            <w:vAlign w:val="bottom"/>
          </w:tcPr>
          <w:p>
            <w:pPr>
              <w:spacing w:after="0"/>
              <w:rPr>
                <w:sz w:val="1"/>
                <w:szCs w:val="1"/>
                <w:color w:val="auto"/>
              </w:rPr>
            </w:pPr>
          </w:p>
        </w:tc>
      </w:tr>
      <w:tr>
        <w:trPr>
          <w:trHeight w:val="217"/>
        </w:trPr>
        <w:tc>
          <w:tcPr>
            <w:tcW w:w="7620" w:type="dxa"/>
            <w:vAlign w:val="bottom"/>
          </w:tcPr>
          <w:p>
            <w:pPr>
              <w:ind w:left="44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ind w:left="440"/>
              <w:spacing w:after="0"/>
              <w:rPr>
                <w:sz w:val="20"/>
                <w:szCs w:val="20"/>
                <w:color w:val="auto"/>
              </w:rPr>
            </w:pPr>
            <w:r>
              <w:rPr>
                <w:rFonts w:ascii="Arial" w:cs="Arial" w:eastAsia="Arial" w:hAnsi="Arial"/>
                <w:sz w:val="18"/>
                <w:szCs w:val="18"/>
                <w:color w:val="auto"/>
              </w:rPr>
              <w:t>Costs and earnings in excess of billings for completed contracts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 contract revenues in excess of billings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Billings in excess of costs and earnings:</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8"/>
                <w:szCs w:val="18"/>
                <w:color w:val="auto"/>
              </w:rPr>
              <w:t>Amounts billed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(429,688)</w:t>
            </w:r>
          </w:p>
        </w:tc>
        <w:tc>
          <w:tcPr>
            <w:tcW w:w="0" w:type="dxa"/>
            <w:vAlign w:val="bottom"/>
          </w:tcPr>
          <w:p>
            <w:pPr>
              <w:spacing w:after="0"/>
              <w:rPr>
                <w:sz w:val="1"/>
                <w:szCs w:val="1"/>
                <w:color w:val="auto"/>
              </w:rPr>
            </w:pPr>
          </w:p>
        </w:tc>
      </w:tr>
      <w:tr>
        <w:trPr>
          <w:trHeight w:val="222"/>
        </w:trPr>
        <w:tc>
          <w:tcPr>
            <w:tcW w:w="762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415,204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20" w:type="dxa"/>
            <w:vAlign w:val="bottom"/>
          </w:tcPr>
          <w:p>
            <w:pPr>
              <w:spacing w:after="0"/>
              <w:rPr>
                <w:sz w:val="20"/>
                <w:szCs w:val="20"/>
                <w:color w:val="auto"/>
              </w:rPr>
            </w:pPr>
            <w:r>
              <w:rPr>
                <w:rFonts w:ascii="Arial" w:cs="Arial" w:eastAsia="Arial" w:hAnsi="Arial"/>
                <w:sz w:val="18"/>
                <w:szCs w:val="18"/>
                <w:color w:val="auto"/>
              </w:rPr>
              <w:t>Total billings in excess of contract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-1208405</wp:posOffset>
            </wp:positionV>
            <wp:extent cx="608012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-916940</wp:posOffset>
            </wp:positionV>
            <wp:extent cx="608012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-591185</wp:posOffset>
            </wp:positionV>
            <wp:extent cx="608012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-316865</wp:posOffset>
            </wp:positionV>
            <wp:extent cx="608012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GOODWILL</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 in the carrying amount of goodwill during the years ended December 31, 2010 and 2009 is as follows:</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7"/>
              </w:rPr>
              <w:t>Dredging</w:t>
            </w:r>
          </w:p>
        </w:tc>
        <w:tc>
          <w:tcPr>
            <w:tcW w:w="46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Demolition</w:t>
            </w:r>
          </w:p>
        </w:tc>
        <w:tc>
          <w:tcPr>
            <w:tcW w:w="0" w:type="dxa"/>
            <w:vAlign w:val="bottom"/>
          </w:tcPr>
          <w:p>
            <w:pPr>
              <w:spacing w:after="0"/>
              <w:rPr>
                <w:sz w:val="1"/>
                <w:szCs w:val="1"/>
                <w:color w:val="auto"/>
              </w:rPr>
            </w:pPr>
          </w:p>
        </w:tc>
      </w:tr>
      <w:tr>
        <w:trPr>
          <w:trHeight w:val="161"/>
        </w:trPr>
        <w:tc>
          <w:tcPr>
            <w:tcW w:w="5240" w:type="dxa"/>
            <w:vAlign w:val="bottom"/>
            <w:vMerge w:val="restart"/>
          </w:tcPr>
          <w:p>
            <w:pPr>
              <w:spacing w:after="0"/>
              <w:rPr>
                <w:sz w:val="20"/>
                <w:szCs w:val="20"/>
                <w:color w:val="auto"/>
              </w:rPr>
            </w:pPr>
            <w:r>
              <w:rPr>
                <w:rFonts w:ascii="Arial" w:cs="Arial" w:eastAsia="Arial" w:hAnsi="Arial"/>
                <w:sz w:val="18"/>
                <w:szCs w:val="18"/>
                <w:color w:val="auto"/>
              </w:rPr>
              <w:t>Balance—January 1, 2009</w:t>
            </w:r>
          </w:p>
        </w:tc>
        <w:tc>
          <w:tcPr>
            <w:tcW w:w="1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7"/>
              </w:rPr>
              <w:t>Segment</w:t>
            </w:r>
          </w:p>
        </w:tc>
        <w:tc>
          <w:tcPr>
            <w:tcW w:w="4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Segment</w:t>
            </w:r>
          </w:p>
        </w:tc>
        <w:tc>
          <w:tcPr>
            <w:tcW w:w="0" w:type="dxa"/>
            <w:vAlign w:val="bottom"/>
          </w:tcPr>
          <w:p>
            <w:pPr>
              <w:spacing w:after="0"/>
              <w:rPr>
                <w:sz w:val="1"/>
                <w:szCs w:val="1"/>
                <w:color w:val="auto"/>
              </w:rPr>
            </w:pPr>
          </w:p>
        </w:tc>
      </w:tr>
      <w:tr>
        <w:trPr>
          <w:trHeight w:val="201"/>
        </w:trPr>
        <w:tc>
          <w:tcPr>
            <w:tcW w:w="524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$76,575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$ 26,040</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Accumulated impairment losses</w:t>
            </w:r>
          </w:p>
        </w:tc>
        <w:tc>
          <w:tcPr>
            <w:tcW w:w="1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222"/>
        </w:trPr>
        <w:tc>
          <w:tcPr>
            <w:tcW w:w="5240" w:type="dxa"/>
            <w:vAlign w:val="bottom"/>
            <w:vMerge w:val="restart"/>
          </w:tcPr>
          <w:p>
            <w:pPr>
              <w:spacing w:after="0"/>
              <w:rPr>
                <w:sz w:val="20"/>
                <w:szCs w:val="20"/>
                <w:color w:val="auto"/>
              </w:rPr>
            </w:pPr>
            <w:r>
              <w:rPr>
                <w:rFonts w:ascii="Arial" w:cs="Arial" w:eastAsia="Arial" w:hAnsi="Arial"/>
                <w:sz w:val="18"/>
                <w:szCs w:val="18"/>
                <w:color w:val="auto"/>
              </w:rPr>
              <w:t>Goodwill acquired during 2009:</w:t>
            </w:r>
          </w:p>
        </w:tc>
        <w:tc>
          <w:tcPr>
            <w:tcW w:w="1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76,575</w:t>
            </w:r>
          </w:p>
        </w:tc>
        <w:tc>
          <w:tcPr>
            <w:tcW w:w="4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ind w:left="220"/>
              <w:spacing w:after="0"/>
              <w:rPr>
                <w:sz w:val="20"/>
                <w:szCs w:val="20"/>
                <w:color w:val="auto"/>
              </w:rPr>
            </w:pPr>
            <w:r>
              <w:rPr>
                <w:rFonts w:ascii="Arial" w:cs="Arial" w:eastAsia="Arial" w:hAnsi="Arial"/>
                <w:sz w:val="18"/>
                <w:szCs w:val="18"/>
                <w:color w:val="auto"/>
              </w:rPr>
              <w:t>Acquisition of Yankee Environmental Services Inc.</w:t>
            </w:r>
          </w:p>
        </w:tc>
        <w:tc>
          <w:tcPr>
            <w:tcW w:w="1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-838200</wp:posOffset>
            </wp:positionV>
            <wp:extent cx="608012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-563880</wp:posOffset>
            </wp:positionV>
            <wp:extent cx="608012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-272415</wp:posOffset>
            </wp:positionV>
            <wp:extent cx="608012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160" w:hanging="156"/>
        <w:spacing w:after="0"/>
        <w:tabs>
          <w:tab w:leader="none" w:pos="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264,073</w:t>
      </w:r>
    </w:p>
    <w:p>
      <w:pPr>
        <w:spacing w:after="0" w:line="38"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6"/>
          <w:szCs w:val="16"/>
          <w:u w:val="single" w:color="auto"/>
          <w:color w:val="auto"/>
        </w:rPr>
        <w:t>(236,780</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6"/>
          <w:szCs w:val="16"/>
          <w:color w:val="auto"/>
        </w:rPr>
        <w:t>27,293</w:t>
      </w:r>
    </w:p>
    <w:p>
      <w:pPr>
        <w:spacing w:after="0" w:line="38"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8"/>
          <w:szCs w:val="18"/>
          <w:color w:val="auto"/>
        </w:rPr>
        <w:t>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4629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0"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28,004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4629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59" w:lineRule="exact"/>
        <w:rPr>
          <w:sz w:val="20"/>
          <w:szCs w:val="20"/>
          <w:color w:val="auto"/>
        </w:rPr>
      </w:pPr>
    </w:p>
    <w:p>
      <w:pPr>
        <w:ind w:left="100" w:hanging="96"/>
        <w:spacing w:after="0"/>
        <w:tabs>
          <w:tab w:leader="none" w:pos="1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(434,893)</w:t>
      </w:r>
    </w:p>
    <w:p>
      <w:pPr>
        <w:spacing w:after="0" w:line="38"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409,992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4629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(24,901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42545</wp:posOffset>
            </wp:positionV>
            <wp:extent cx="4629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0</wp:posOffset>
            </wp:positionV>
            <wp:extent cx="4286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2" w:lineRule="exact"/>
        <w:rPr>
          <w:sz w:val="20"/>
          <w:szCs w:val="20"/>
          <w:color w:val="auto"/>
        </w:rPr>
      </w:pPr>
    </w:p>
    <w:p>
      <w:pPr>
        <w:ind w:left="160" w:hanging="102"/>
        <w:spacing w:after="0"/>
        <w:tabs>
          <w:tab w:leader="none" w:pos="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102,615</w:t>
      </w:r>
    </w:p>
    <w:p>
      <w:pPr>
        <w:spacing w:after="0" w:line="38"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6"/>
          <w:szCs w:val="16"/>
          <w:color w:val="auto"/>
        </w:rPr>
        <w:t>(4,816)</w:t>
      </w:r>
    </w:p>
    <w:p>
      <w:pPr>
        <w:spacing w:after="0" w:line="52"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6"/>
          <w:szCs w:val="16"/>
          <w:color w:val="auto"/>
        </w:rPr>
        <w:t>97,799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-128270</wp:posOffset>
            </wp:positionV>
            <wp:extent cx="4286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250</w:t>
      </w:r>
    </w:p>
    <w:p>
      <w:pPr>
        <w:spacing w:after="0" w:line="35" w:lineRule="exact"/>
        <w:rPr>
          <w:sz w:val="20"/>
          <w:szCs w:val="20"/>
          <w:color w:val="auto"/>
        </w:rPr>
      </w:pPr>
    </w:p>
    <w:p>
      <w:pPr>
        <w:sectPr>
          <w:pgSz w:w="11900" w:h="16838" w:orient="portrait"/>
          <w:cols w:equalWidth="0" w:num="2">
            <w:col w:w="9340" w:space="320"/>
            <w:col w:w="840"/>
          </w:cols>
          <w:pgMar w:left="240" w:top="459" w:right="1159" w:bottom="1440" w:gutter="0" w:footer="0" w:header="0"/>
          <w:type w:val="continuous"/>
        </w:sectPr>
      </w:pPr>
    </w:p>
    <w:tbl>
      <w:tblPr>
        <w:tblLayout w:type="fixed"/>
        <w:tblInd w:w="920" w:type="dxa"/>
        <w:tblCellMar>
          <w:top w:w="0" w:type="dxa"/>
          <w:left w:w="0" w:type="dxa"/>
          <w:bottom w:w="0" w:type="dxa"/>
          <w:right w:w="0" w:type="dxa"/>
        </w:tblCellMar>
      </w:tblPr>
      <w:tr>
        <w:trPr>
          <w:trHeight w:val="20"/>
        </w:trPr>
        <w:tc>
          <w:tcPr>
            <w:tcW w:w="4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44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Balance—December 31, 2009</w:t>
            </w:r>
          </w:p>
        </w:tc>
        <w:tc>
          <w:tcPr>
            <w:tcW w:w="2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76,575</w:t>
            </w:r>
          </w:p>
        </w:tc>
        <w:tc>
          <w:tcPr>
            <w:tcW w:w="1100" w:type="dxa"/>
            <w:vAlign w:val="bottom"/>
            <w:gridSpan w:val="3"/>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21,474</w:t>
            </w:r>
          </w:p>
        </w:tc>
        <w:tc>
          <w:tcPr>
            <w:tcW w:w="1020" w:type="dxa"/>
            <w:vAlign w:val="bottom"/>
            <w:gridSpan w:val="3"/>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98,049</w:t>
            </w:r>
          </w:p>
        </w:tc>
      </w:tr>
      <w:tr>
        <w:trPr>
          <w:trHeight w:val="216"/>
        </w:trPr>
        <w:tc>
          <w:tcPr>
            <w:tcW w:w="44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2010</w:t>
            </w:r>
          </w:p>
        </w:tc>
        <w:tc>
          <w:tcPr>
            <w:tcW w:w="2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76,575</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$ 21,474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$ 98,049</w:t>
            </w:r>
          </w:p>
        </w:tc>
      </w:tr>
      <w:tr>
        <w:trPr>
          <w:trHeight w:val="20"/>
        </w:trPr>
        <w:tc>
          <w:tcPr>
            <w:tcW w:w="4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in goodwill during 2010 as the Matteson acquisition resulted in no recognition of goodwill.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500"/>
          </w:cols>
          <w:pgMar w:left="240" w:top="459" w:right="115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at December 31, 2010 and 2009 are as follows:</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2,870</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5,190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4,629</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Operating equipment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499,976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435,103</w:t>
            </w:r>
          </w:p>
        </w:tc>
        <w:tc>
          <w:tcPr>
            <w:tcW w:w="100" w:type="dxa"/>
            <w:vAlign w:val="bottom"/>
          </w:tcPr>
          <w:p>
            <w:pPr>
              <w:spacing w:after="0"/>
              <w:rPr>
                <w:sz w:val="19"/>
                <w:szCs w:val="19"/>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511,110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445,339</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(187,879)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(154,182)</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323,231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291,157</w:t>
            </w:r>
          </w:p>
        </w:tc>
        <w:tc>
          <w:tcPr>
            <w:tcW w:w="100" w:type="dxa"/>
            <w:vAlign w:val="bottom"/>
            <w:shd w:val="clear" w:color="auto" w:fill="CCEEFF"/>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$33,874, $32,251, and $29,684 for the years ended December 31, 2010, 2009, and 2008, respectively.</w:t>
      </w:r>
    </w:p>
    <w:p>
      <w:pPr>
        <w:spacing w:after="0" w:line="2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SHARE-BASED COMPENSATION</w:t>
      </w:r>
    </w:p>
    <w:p>
      <w:pPr>
        <w:spacing w:after="0" w:line="1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2007 Long-Term Incentive Plan (the “Incentive Plan”), as approved by the Board of Directors on September 18, 2007, permits the grant of stock options, stock appreciation rights, restricted stock and restricted stock units (“RSUs”) to its employees and directors for up to 5.8 million shares of common stock.</w:t>
      </w:r>
    </w:p>
    <w:p>
      <w:pPr>
        <w:spacing w:after="0" w:line="10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Compensation cost charged to expense related to these stock-based compensation arrangements was $2,094, $1,078 and $315 for the years ended December 31, 2010, 2009 and 2008, respectively.</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Non-qualified stock options</w:t>
      </w:r>
    </w:p>
    <w:p>
      <w:pPr>
        <w:spacing w:after="0" w:line="13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spacing w:after="0" w:line="4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 NQSOs. The expected life of the NQSOs was determined based upon a simplified assumption that the NQSOs will be exercised evenly from vesting to expiration, as the Company does not have sufficient historical exercise data to provide a reasonable basis upon which to estimate the expected life.</w:t>
      </w:r>
    </w:p>
    <w:p>
      <w:pPr>
        <w:spacing w:after="0" w:line="7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grants issued in 2010, the volatility assumptions were based on historical volatility of Great Lakes and comparable publicly-traded companies, primarily more mature and well-established companies in the engineering and construction sector.</w:t>
      </w:r>
    </w:p>
    <w:p>
      <w:pPr>
        <w:spacing w:after="0" w:line="9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For grants issued in 2009 and 2008, the volatility assumptions were based upon historical volatilities of comparable companies whose shares are traded using daily stock price returns equivalent to the expected term of the option. Due to a lack of sufficient historical information at the time these NQSOs were issued (since the Company’s shares were not publicly traded until December of 2006) the historical volatility data for the Company was not considered in determining expected volatility. The Company also considered implied volatility data for comparable companies, using current exchange traded options.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is not an active market for options on the Company’s common stock and, as such, implied volatility for the Company’s stock was not considered.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Company’s general policy is to issue new shares of registered common stock to satisfy stock option exercises or grants of restricted stock.</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weighted-average grant-date fair value of options granted during the years ended December 31, 2010, 2009 and 2008 was $2.52, $1.86 and $2.24 respectively. The fair value of each option was estimated using the following assumptions:</w:t>
      </w:r>
    </w:p>
    <w:p>
      <w:pPr>
        <w:spacing w:after="0" w:line="1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Expected dividends</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5.5 - 6.5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5.0 - 6.0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5.5 - 6.5</w:t>
            </w:r>
          </w:p>
        </w:tc>
        <w:tc>
          <w:tcPr>
            <w:tcW w:w="100" w:type="dxa"/>
            <w:vAlign w:val="bottom"/>
            <w:shd w:val="clear" w:color="auto" w:fill="CCEEFF"/>
          </w:tcPr>
          <w:p>
            <w:pPr>
              <w:spacing w:after="0"/>
              <w:rPr>
                <w:sz w:val="18"/>
                <w:szCs w:val="18"/>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Risk free rate</w:t>
            </w:r>
          </w:p>
        </w:tc>
        <w:tc>
          <w:tcPr>
            <w:tcW w:w="940" w:type="dxa"/>
            <w:vAlign w:val="bottom"/>
          </w:tcPr>
          <w:p>
            <w:pPr>
              <w:jc w:val="right"/>
              <w:spacing w:after="0"/>
              <w:rPr>
                <w:sz w:val="20"/>
                <w:szCs w:val="20"/>
                <w:color w:val="auto"/>
              </w:rPr>
            </w:pPr>
            <w:r>
              <w:rPr>
                <w:rFonts w:ascii="Arial" w:cs="Arial" w:eastAsia="Arial" w:hAnsi="Arial"/>
                <w:sz w:val="18"/>
                <w:szCs w:val="18"/>
                <w:color w:val="auto"/>
                <w:w w:val="93"/>
              </w:rPr>
              <w:t>2.2% - 2.8%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2.2%</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summary of stock option activity under the Incentive Plan as of December 31, 2010 and 2009, and changes during the years ended December 31, 2010 and 2009 is presented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00" w:type="dxa"/>
            <w:vAlign w:val="bottom"/>
          </w:tcPr>
          <w:p>
            <w:pPr>
              <w:spacing w:after="0"/>
              <w:rPr>
                <w:sz w:val="12"/>
                <w:szCs w:val="12"/>
                <w:color w:val="auto"/>
              </w:rPr>
            </w:pP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Exercise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Contract</w:t>
            </w:r>
          </w:p>
        </w:tc>
        <w:tc>
          <w:tcPr>
            <w:tcW w:w="500" w:type="dxa"/>
            <w:vAlign w:val="bottom"/>
          </w:tcPr>
          <w:p>
            <w:pPr>
              <w:spacing w:after="0"/>
              <w:rPr>
                <w:sz w:val="12"/>
                <w:szCs w:val="12"/>
                <w:color w:val="auto"/>
              </w:rPr>
            </w:pPr>
          </w:p>
        </w:tc>
        <w:tc>
          <w:tcPr>
            <w:tcW w:w="6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Options</w:t>
            </w:r>
          </w:p>
        </w:tc>
        <w:tc>
          <w:tcPr>
            <w:tcW w:w="5060" w:type="dxa"/>
            <w:vAlign w:val="bottom"/>
          </w:tcPr>
          <w:p>
            <w:pPr>
              <w:spacing w:after="0"/>
              <w:rPr>
                <w:sz w:val="14"/>
                <w:szCs w:val="14"/>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5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 (yrs)</w:t>
            </w:r>
          </w:p>
        </w:tc>
        <w:tc>
          <w:tcPr>
            <w:tcW w:w="500" w:type="dxa"/>
            <w:vAlign w:val="bottom"/>
          </w:tcPr>
          <w:p>
            <w:pPr>
              <w:spacing w:after="0"/>
              <w:rPr>
                <w:sz w:val="14"/>
                <w:szCs w:val="14"/>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000’s)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2010</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727,843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347,485</w:t>
            </w:r>
          </w:p>
        </w:tc>
        <w:tc>
          <w:tcPr>
            <w:tcW w:w="10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5.70</w:t>
            </w: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(135,962)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(98,922)</w:t>
            </w:r>
          </w:p>
        </w:tc>
        <w:tc>
          <w:tcPr>
            <w:tcW w:w="10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Vested at December 31, 2010</w:t>
            </w: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400,510</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4.84</w:t>
            </w: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2010</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 units</w:t>
      </w:r>
    </w:p>
    <w:p>
      <w:pPr>
        <w:spacing w:after="0" w:line="13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RSUs generally vest in one installment on the third anniversary of the grant date. The fair value of RSUs was based upon the Company’s stock price on the date of grant. A summary of the status of the Company’s non-vested RSUs as of December 31, 2010 and 2009, and changes during the years ended December 31, 2010 and 2009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Grant Date</w:t>
            </w:r>
          </w:p>
        </w:tc>
        <w:tc>
          <w:tcPr>
            <w:tcW w:w="5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Average Grant-</w:t>
            </w:r>
          </w:p>
        </w:tc>
        <w:tc>
          <w:tcPr>
            <w:tcW w:w="0" w:type="dxa"/>
            <w:vAlign w:val="bottom"/>
          </w:tcPr>
          <w:p>
            <w:pPr>
              <w:spacing w:after="0"/>
              <w:rPr>
                <w:sz w:val="1"/>
                <w:szCs w:val="1"/>
                <w:color w:val="auto"/>
              </w:rPr>
            </w:pPr>
          </w:p>
        </w:tc>
      </w:tr>
      <w:tr>
        <w:trPr>
          <w:trHeight w:val="161"/>
        </w:trPr>
        <w:tc>
          <w:tcPr>
            <w:tcW w:w="7920" w:type="dxa"/>
            <w:vAlign w:val="bottom"/>
            <w:gridSpan w:val="3"/>
          </w:tcPr>
          <w:p>
            <w:pPr>
              <w:spacing w:after="0"/>
              <w:rPr>
                <w:sz w:val="20"/>
                <w:szCs w:val="20"/>
                <w:color w:val="auto"/>
              </w:rPr>
            </w:pPr>
            <w:r>
              <w:rPr>
                <w:rFonts w:ascii="Arial" w:cs="Arial" w:eastAsia="Arial" w:hAnsi="Arial"/>
                <w:sz w:val="14"/>
                <w:szCs w:val="14"/>
                <w:b w:val="1"/>
                <w:bCs w:val="1"/>
                <w:color w:val="auto"/>
              </w:rPr>
              <w:t>Nonvested Restricted Stock Units</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Price</w:t>
            </w:r>
          </w:p>
        </w:tc>
        <w:tc>
          <w:tcPr>
            <w:tcW w:w="5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285,600</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122,716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(39,716)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355,298</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97</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3"/>
            <w:vMerge w:val="restart"/>
          </w:tcPr>
          <w:p>
            <w:pPr>
              <w:spacing w:after="0"/>
              <w:rPr>
                <w:sz w:val="20"/>
                <w:szCs w:val="20"/>
                <w:color w:val="auto"/>
              </w:rPr>
            </w:pPr>
            <w:r>
              <w:rPr>
                <w:rFonts w:ascii="Arial" w:cs="Arial" w:eastAsia="Arial" w:hAnsi="Arial"/>
                <w:sz w:val="18"/>
                <w:szCs w:val="18"/>
                <w:color w:val="auto"/>
              </w:rPr>
              <w:t>Vested at December 31, 2010</w:t>
            </w: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20" w:type="dxa"/>
            <w:vAlign w:val="bottom"/>
            <w:gridSpan w:val="3"/>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13,302</w:t>
            </w:r>
          </w:p>
        </w:tc>
        <w:tc>
          <w:tcPr>
            <w:tcW w:w="32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5.41</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319,035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2010, there was $1.1 million of total unrecognized compensation cost related to non-vested NQSOs and RSUs granted under the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That cost is expected to be recognized over a weighted-average period of 1.1 years.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Director Compensation</w:t>
      </w:r>
    </w:p>
    <w:p>
      <w:pPr>
        <w:spacing w:after="0" w:line="171"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Beginning in May 2008, the Company used a combination of cash and stock-based compensation to attract and retain qualified candidates to serve on our Board of Directors. Compensation is paid to non-employee directors. Directors who are not outside directors receive no additional compensation for services as members of the Board or any of its committees. All of our directors are outside directors with the exception of Jonathan W. Berger and Bruce J. Biemeck.</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Douglas B. Mackie, remains a director but is no longer an employee of the Company. Through December 31, 2010, he has not yet received any compensation as a director.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based compensation is paid pursuant to the Incentive Plan. Each non-employee director of the Company received an annual retainer of $125,000, payable quarterly in arrears, and was paid 50% in cash and 50% in common stock of the Company.</w:t>
      </w:r>
    </w:p>
    <w:p>
      <w:pPr>
        <w:spacing w:after="0" w:line="9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the years ended December 31, 2010 and 2009, 60,651 and 57,796 shares, respectively, of the Company’s common stock were issued to non-employee directors under the Incentive Plan.</w:t>
      </w:r>
    </w:p>
    <w:p>
      <w:pPr>
        <w:spacing w:after="0" w:line="9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September 2010, Messrs Berger and Biemeck each received 9,208 shares of the Company’s common stock per the terms of their respective employment agreements.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INTANGIBLE ASSETS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2010, the net book value of identifiable intangible assets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 of December 31, 2010</w:t>
            </w:r>
          </w:p>
        </w:tc>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$1,481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2,611</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and databases</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Non-compete agreement</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w w:val="95"/>
              </w:rPr>
              <w:t>At December 31, 2009, the net book value of identifiable intangible assets was as follows:</w:t>
            </w: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82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 of December 31, 2009</w:t>
            </w:r>
          </w:p>
        </w:tc>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$1,481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Demolition backlog</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and databases</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Non-compete agreement</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3,546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January 1, 2009 the Company acquired a 65% interest in Yankee Environmental Services, Inc. (“Yankee”) resulting in the recognition of additional intangible assets (See Note 20). The weighted average amortization period for intangible assets acquired in 2009 is 3.2 years.</w:t>
      </w:r>
    </w:p>
    <w:p>
      <w:pPr>
        <w:spacing w:after="0" w:line="4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December 31, 2010 the Company acquired the assets of L.W. Matteson, Inc. (“Matteson”) resulting in the recognition of additional intangible assets (See Note 19). The weighted average amortization period for intangible assets acquired in 2010 is 1.8 years.</w:t>
      </w:r>
    </w:p>
    <w:p>
      <w:pPr>
        <w:spacing w:after="0" w:line="9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Amortization expense was $427, $773 and $440, for the years ended December 31, 2010, 2009 and 2008, respectively. Prior to 2010, amortization expense was shown separately in the consolidated statements of operations, but is now included as a component of general and administrative expenses. Amortization expense related to these intangible assets is estimated to be $2,466 in 2011, $254 in 2012, $254 in 2013, $163 2014 and $143 in 2015.</w:t>
      </w:r>
    </w:p>
    <w:p>
      <w:pPr>
        <w:spacing w:after="0" w:line="1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OTHER NONCURRENT ASSETS</w:t>
      </w:r>
    </w:p>
    <w:p>
      <w:pPr>
        <w:spacing w:after="0" w:line="13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2010 and 2009, other noncurrent assets include $1,500 of cash held in escrow as security for the Company’s lease rental obligation under a long-term equipment operating lease.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ACCRUED EXPENSES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at December 31, 2010 and 2009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3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$13,573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$11,233</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Insurance</w:t>
            </w:r>
          </w:p>
        </w:tc>
        <w:tc>
          <w:tcPr>
            <w:tcW w:w="3620" w:type="dxa"/>
            <w:vAlign w:val="bottom"/>
            <w:gridSpan w:val="3"/>
          </w:tcPr>
          <w:p>
            <w:pPr>
              <w:jc w:val="right"/>
              <w:ind w:right="380"/>
              <w:spacing w:after="0"/>
              <w:rPr>
                <w:sz w:val="20"/>
                <w:szCs w:val="20"/>
                <w:color w:val="auto"/>
              </w:rPr>
            </w:pPr>
            <w:r>
              <w:rPr>
                <w:rFonts w:ascii="Arial" w:cs="Arial" w:eastAsia="Arial" w:hAnsi="Arial"/>
                <w:sz w:val="18"/>
                <w:szCs w:val="18"/>
                <w:color w:val="auto"/>
              </w:rPr>
              <w:t>11,039</w:t>
            </w:r>
          </w:p>
        </w:tc>
        <w:tc>
          <w:tcPr>
            <w:tcW w:w="580" w:type="dxa"/>
            <w:vAlign w:val="bottom"/>
          </w:tcPr>
          <w:p>
            <w:pPr>
              <w:jc w:val="right"/>
              <w:spacing w:after="0"/>
              <w:rPr>
                <w:sz w:val="20"/>
                <w:szCs w:val="20"/>
                <w:color w:val="auto"/>
              </w:rPr>
            </w:pPr>
            <w:r>
              <w:rPr>
                <w:rFonts w:ascii="Arial" w:cs="Arial" w:eastAsia="Arial" w:hAnsi="Arial"/>
                <w:sz w:val="18"/>
                <w:szCs w:val="18"/>
                <w:color w:val="auto"/>
              </w:rPr>
              <w:t>8,521</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3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2,977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Percentage of completion adjustment</w:t>
            </w:r>
          </w:p>
        </w:tc>
        <w:tc>
          <w:tcPr>
            <w:tcW w:w="3620" w:type="dxa"/>
            <w:vAlign w:val="bottom"/>
            <w:gridSpan w:val="3"/>
          </w:tcPr>
          <w:p>
            <w:pPr>
              <w:jc w:val="right"/>
              <w:ind w:right="380"/>
              <w:spacing w:after="0"/>
              <w:rPr>
                <w:sz w:val="20"/>
                <w:szCs w:val="20"/>
                <w:color w:val="auto"/>
              </w:rPr>
            </w:pPr>
            <w:r>
              <w:rPr>
                <w:rFonts w:ascii="Arial" w:cs="Arial" w:eastAsia="Arial" w:hAnsi="Arial"/>
                <w:sz w:val="18"/>
                <w:szCs w:val="18"/>
                <w:color w:val="auto"/>
              </w:rPr>
              <w:t>3,232</w:t>
            </w:r>
          </w:p>
        </w:tc>
        <w:tc>
          <w:tcPr>
            <w:tcW w:w="580" w:type="dxa"/>
            <w:vAlign w:val="bottom"/>
          </w:tcPr>
          <w:p>
            <w:pPr>
              <w:jc w:val="right"/>
              <w:spacing w:after="0"/>
              <w:rPr>
                <w:sz w:val="20"/>
                <w:szCs w:val="20"/>
                <w:color w:val="auto"/>
              </w:rPr>
            </w:pPr>
            <w:r>
              <w:rPr>
                <w:rFonts w:ascii="Arial" w:cs="Arial" w:eastAsia="Arial" w:hAnsi="Arial"/>
                <w:sz w:val="18"/>
                <w:szCs w:val="18"/>
                <w:color w:val="auto"/>
              </w:rPr>
              <w:t>5,901</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26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1,384</w:t>
            </w:r>
          </w:p>
        </w:tc>
        <w:tc>
          <w:tcPr>
            <w:tcW w:w="58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r>
      <w:tr>
        <w:trPr>
          <w:trHeight w:val="27"/>
        </w:trPr>
        <w:tc>
          <w:tcPr>
            <w:tcW w:w="5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32,809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31,265</w:t>
            </w:r>
          </w:p>
        </w:tc>
        <w:tc>
          <w:tcPr>
            <w:tcW w:w="100" w:type="dxa"/>
            <w:vAlign w:val="bottom"/>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RELATED-PARTY TRANSACTIONS</w:t>
      </w:r>
    </w:p>
    <w:p>
      <w:pPr>
        <w:spacing w:after="0" w:line="13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demolition business is operated out of a building owned by Christopher A. Berardi, who has a 35% profits interest in NASDI. In 2010, 2009 and 2008, NASDI paid Mr. Berardi $312, $312 and $359, respectively, for rent and property taxes.</w:t>
      </w:r>
    </w:p>
    <w:p>
      <w:pPr>
        <w:spacing w:after="0" w:line="9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Matteson operates out of a facility owned by Lawrence W. Matteson, former owner of Matteson. The Company will pay $95 in rent to Mr. Matteson during 2011. As the purchase of Matteson occurred on December 31, 2010, no rents were paid in 2010.</w:t>
      </w:r>
    </w:p>
    <w:p>
      <w:pPr>
        <w:spacing w:after="0" w:line="207"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at December 31, 2010 and 2009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Equipment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Note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7.75% senior subordinated notes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175,000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182,866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187,450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Current portion of note payable</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equipment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180,063</w:t>
            </w:r>
          </w:p>
        </w:tc>
        <w:tc>
          <w:tcPr>
            <w:tcW w:w="2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186,250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12, 2007, the Company entered into a credit agreement (the “Credit Agreement”) with Bank of America N.A. as Administrative Agent and Issuing Lender, various other financial institutions as lenders and certain subsidiaries of the Company as Loan Parties. The Credit Agreement, provides for a revolving credit facility of up to $145,000 in borrowings and includes sublimits for the issuance of letters of credit and swingline loans. The revolving credit facility matures on June 12, 2012. The revolving credit facility bears interest at rates selected at the option of Great Lakes, currently equal to either LIBOR plus an applicable margin or the Base Rate plus an applicable margin. The applicable margins for LIBOR loans and Base Rate loans, as well as any non-use fee, are subject to adjustment based upon the Company’s ratio of Total Funded Debt to Adjusted Consolidated Earnings before interest, taxes, depreciation and amortization (“EBITDA”) (each as defined in the Credit Agreement).</w:t>
      </w:r>
    </w:p>
    <w:p>
      <w:pPr>
        <w:spacing w:after="0" w:line="7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obligations of Great Lakes under the Credit Agreement are unconditionally guaranteed by its direct and indirect domestic subsidiaries. Additionally, the obligations are secured by a perfected first priority lien on certain equipment of Great Lakes’ subsidiary, Great Lakes Dredge &amp; Dock Company, LLC (“GLDD Company”); a perfected second priority lien on certain other equipment of GLDD Company, subject to a perfected first priority lien in favor of Great Lakes’ bonding company; a perfected first priority lien on the intercompany receivables of Great Lakes and its direct and indirect domestic subsidiaries and having an equal priority to the liens of Great Lakes’ bonding company; and a perfected second priority lien on the accounts receivable of Great Lakes and its direct and indirect subsidiaries that relate to bonded projects. The Credit Agreement contains various covenants and restrictions, including (i) limitations on dividends to $5 million per year, (ii) limitations on redemptions and repurchases of capital stock, (iii) limitations on the incurrence of indebtedness, liens, leases, and investments, and (iv) maintenance of certain financial covenants.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31, 2010, the Company had no borrowings and $11,923 of letters of credit outstanding, resulting in $133,077 of availability under the Credit Agreement.</w:t>
      </w:r>
    </w:p>
    <w:p>
      <w:pPr>
        <w:spacing w:after="0" w:line="9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a year, the Company frequently borrows and repays amounts under its revolving credit facility. The net activity in 2010 and 2009 resulted in a decrease in debt balances of $11,000 and $30,500, respectively.</w:t>
      </w:r>
    </w:p>
    <w:p>
      <w:pPr>
        <w:spacing w:after="0" w:line="9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incurred amortization of deferred financing fees related to the Credit Agreement of $590 and $593 for the years ended December 31, 2010 and 2009, respectively.</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2010, the Company was in compliance with its various covenants under its Credit Agreement.</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Great Lakes has a $24,000 International Letter of Credit Facility with Wells Fargo HSBC Trade Bank. This facility is used for performance and advance payment guarantees on foreign contracts, including our long-term land reclamation project in Bahrain (“Diyar”). The Company’s obligations under the agreement are guaranteed by the Company’s foreign accounts receivable. In addition, the Export-Import Bank of the United States (“Ex-Im”) has issued a guarantee under the Ex-Im Bank’s Working Capital Guarantee Program, which covers 90% of the obligations owing under the facility. At December 31, 2010, there were $15,703 letters of credit outstanding on this facility.</w:t>
      </w:r>
    </w:p>
    <w:p>
      <w:pPr>
        <w:spacing w:after="0" w:line="10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has $175,000 of 7.75% senior subordinated notes (“Notes”) outstanding that mature on December 15, 2013. The Notes are general unsecured obligations of the Company, subordinated in right of payment to all existing and future senior debt, including borrowings under the Credit Agreement. The Company’s obligations under the Notes are guaranteed on a senior subordinated basis by all of the Company’s domestic subsidiaries.</w:t>
      </w:r>
    </w:p>
    <w:p>
      <w:pPr>
        <w:spacing w:after="0" w:line="6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accordance with the purchase of Matteson (See Note 19), the Company issued a secured promissory note in the amount of $7,500 to the former owners of Matteson. Principal payments of $2,500 are due on December 31, 2011, 2012 and 2013. Interest payments at the rate of 6% are due quarterly.</w:t>
      </w:r>
    </w:p>
    <w:p>
      <w:pPr>
        <w:spacing w:after="0" w:line="4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scheduled principal payments through the maturity date of the Company’s long-term debt, excluding equipment notes, at December 31, 2010,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Years Ending December 31</w:t>
            </w:r>
          </w:p>
        </w:tc>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2012</w:t>
            </w:r>
          </w:p>
        </w:tc>
        <w:tc>
          <w:tcPr>
            <w:tcW w:w="7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2014</w:t>
            </w:r>
          </w:p>
        </w:tc>
        <w:tc>
          <w:tcPr>
            <w:tcW w:w="7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7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620" w:type="dxa"/>
            <w:vAlign w:val="bottom"/>
            <w:vMerge w:val="continue"/>
          </w:tcPr>
          <w:p>
            <w:pPr>
              <w:spacing w:after="0"/>
              <w:rPr>
                <w:sz w:val="19"/>
                <w:szCs w:val="19"/>
                <w:color w:val="auto"/>
              </w:rPr>
            </w:pPr>
          </w:p>
        </w:tc>
        <w:tc>
          <w:tcPr>
            <w:tcW w:w="7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January 2011, the Company redeemed all of the Notes for $180,014, which included a premium, a redemption fee and accrued and unpaid interest. Also in January 2011 the Company issued $250,000 of 7.375% senior unsecured notes due February 1, 2019. The notes were priced at 100% of face value and the proceeds were used to redeem the Company’s Notes. Proceeds received from the issuance of these notes, net of expenses were $244,899. These new notes are senior unsecured obligations of the Company and its subsidiaries that guarantee the Notes. Each of the Company’s existing and future wholly owned domestic subsidiaries are guarantors of the Notes.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sometimes enters into equipment note arrangements to finance the acquisition of dozers and excavators. In 2010 and 2009, the Company entered into equipment notes totaling $109 and $615, respectively. The current portion of equipment notes payable is $303 and $1,200, at December 31, 2010 and 2009, respectively. The long-term portion of these equipment notes is included in other long-term liabilities and totaled $63 and $250 at December 31, 2010 and 2009, respectively. The terms of these equipment notes extend through 2012. The net book value of the related assets was $1,335 and $3,499 at December 31, 2010 and 2009, respectively. Payments on these equipment notes will be $303, $39, and $24 in 2011, 2012, and 2013.</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tab/>
        <w:t>RISK MANAGEMENT ACTIVITIES</w:t>
      </w:r>
    </w:p>
    <w:p>
      <w:pPr>
        <w:spacing w:after="0" w:line="13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31" w:lineRule="exact"/>
        <w:rPr>
          <w:sz w:val="20"/>
          <w:szCs w:val="20"/>
          <w:color w:val="auto"/>
        </w:rPr>
      </w:pPr>
    </w:p>
    <w:p>
      <w:pPr>
        <w:ind w:left="920" w:right="140"/>
        <w:spacing w:after="0" w:line="370" w:lineRule="auto"/>
        <w:rPr>
          <w:sz w:val="20"/>
          <w:szCs w:val="20"/>
          <w:color w:val="auto"/>
        </w:rPr>
      </w:pPr>
      <w:r>
        <w:rPr>
          <w:rFonts w:ascii="Arial" w:cs="Arial" w:eastAsia="Arial" w:hAnsi="Arial"/>
          <w:sz w:val="15"/>
          <w:szCs w:val="15"/>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54"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December 31, 2010 and 2009, the Company held certain derivative contracts that it uses to manage commodity price risk and interest rate risk. Such instruments are not used for trading purposes. The fair value of these derivative contracts is summarized as follows: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8"/>
              </w:rPr>
              <w:t>Fair Value Measurements at Reporting Date</w:t>
            </w:r>
          </w:p>
        </w:tc>
        <w:tc>
          <w:tcPr>
            <w:tcW w:w="0" w:type="dxa"/>
            <w:vAlign w:val="bottom"/>
          </w:tcPr>
          <w:p>
            <w:pPr>
              <w:spacing w:after="0"/>
              <w:rPr>
                <w:sz w:val="1"/>
                <w:szCs w:val="1"/>
                <w:color w:val="auto"/>
              </w:rPr>
            </w:pPr>
          </w:p>
        </w:tc>
      </w:tr>
      <w:tr>
        <w:trPr>
          <w:trHeight w:val="161"/>
        </w:trPr>
        <w:tc>
          <w:tcPr>
            <w:tcW w:w="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2"/>
              </w:rPr>
              <w:t>Using</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Other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rPr>
              <w:t>At</w:t>
            </w:r>
          </w:p>
        </w:tc>
        <w:tc>
          <w:tcPr>
            <w:tcW w:w="1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3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6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8"/>
              </w:rPr>
              <w:t>Assets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Inputs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2010</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1"/>
              </w:rPr>
              <w:t>(Level 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Interest rate swap contracts-assets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8"/>
              </w:rPr>
              <w:t>Fair Value Measurements at Reporting Date</w:t>
            </w:r>
          </w:p>
        </w:tc>
        <w:tc>
          <w:tcPr>
            <w:tcW w:w="0" w:type="dxa"/>
            <w:vAlign w:val="bottom"/>
          </w:tcPr>
          <w:p>
            <w:pPr>
              <w:spacing w:after="0"/>
              <w:rPr>
                <w:sz w:val="1"/>
                <w:szCs w:val="1"/>
                <w:color w:val="auto"/>
              </w:rPr>
            </w:pPr>
          </w:p>
        </w:tc>
      </w:tr>
      <w:tr>
        <w:trPr>
          <w:trHeight w:val="161"/>
        </w:trPr>
        <w:tc>
          <w:tcPr>
            <w:tcW w:w="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2"/>
              </w:rPr>
              <w:t>Using</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32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Other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rPr>
              <w:t>At</w:t>
            </w:r>
          </w:p>
        </w:tc>
        <w:tc>
          <w:tcPr>
            <w:tcW w:w="1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3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6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8"/>
              </w:rPr>
              <w:t>Assets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Inputs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2009</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1"/>
              </w:rPr>
              <w:t>(Level 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Interest rate swap contracts-assets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contracts-liabilities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877</w:t>
            </w:r>
          </w:p>
        </w:tc>
        <w:tc>
          <w:tcPr>
            <w:tcW w:w="6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897</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Swaps</w:t>
      </w:r>
    </w:p>
    <w:p>
      <w:pPr>
        <w:spacing w:after="0" w:line="1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The current portion of the fair value asset of the swaps at December 31, 2010 is $816 and is recorded in other current assets. The long-term portion of the fair value asset of the swaps at December 31, 2010 was $448 and is recorded in other assets. The current portion of the fair value asset of the swap at December 31, 2009 is $1,529 and is recorded in current assets. The long-term portion of the fair value liability of the swaps at December 31, 2009 was $1,549 and is recorded in other long-term liabilities. The swap is not accounted for as a hedge; therefore, the changes in fair value are recorded as adjustments to interest expense in each reporting period.</w:t>
      </w:r>
    </w:p>
    <w:p>
      <w:pPr>
        <w:spacing w:after="0" w:line="8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verifies the fair value of the interest rate swaps using a quantitative model that contains both observable and unobservable inputs. The unobservable inputs relate primarily to the LIBOR rate and long-term nature of the contracts. The Company believes that these unobservable inputs are significant and accordingly the Company determines the fair value of these interest rate swap contracts using Level 3 inputs.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Fair Value Measurements</w:t>
            </w:r>
          </w:p>
        </w:tc>
      </w:tr>
      <w:tr>
        <w:trPr>
          <w:trHeight w:val="149"/>
        </w:trPr>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Using Significant</w:t>
            </w:r>
          </w:p>
        </w:tc>
      </w:tr>
      <w:tr>
        <w:trPr>
          <w:trHeight w:val="149"/>
        </w:trPr>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Unobservable Inputs</w:t>
            </w:r>
          </w:p>
        </w:tc>
      </w:tr>
      <w:tr>
        <w:trPr>
          <w:trHeight w:val="149"/>
        </w:trPr>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(Level 3)</w:t>
            </w:r>
          </w:p>
        </w:tc>
      </w:tr>
      <w:tr>
        <w:trPr>
          <w:trHeight w:val="161"/>
        </w:trPr>
        <w:tc>
          <w:tcPr>
            <w:tcW w:w="7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5"/>
              </w:rPr>
              <w:t>Interest Rate Swaps</w:t>
            </w:r>
          </w:p>
        </w:tc>
        <w:tc>
          <w:tcPr>
            <w:tcW w:w="100" w:type="dxa"/>
            <w:vAlign w:val="bottom"/>
          </w:tcPr>
          <w:p>
            <w:pPr>
              <w:spacing w:after="0"/>
              <w:rPr>
                <w:sz w:val="14"/>
                <w:szCs w:val="14"/>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Transfers to Level 3</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unrealized gains or (losses) included in earnings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Total gains or (losses) included in other comprehensive income</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Purchases and settlements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Balance at December 31, 2009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Transfers to Level 3</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Total unrealized gains or (losses) included in earnings</w:t>
            </w:r>
          </w:p>
        </w:tc>
        <w:tc>
          <w:tcPr>
            <w:tcW w:w="1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gains or (losses) included in other comprehensive income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Purchases and settlements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w:t>
            </w:r>
          </w:p>
        </w:tc>
      </w:tr>
      <w:tr>
        <w:trPr>
          <w:trHeight w:val="20"/>
        </w:trPr>
        <w:tc>
          <w:tcPr>
            <w:tcW w:w="7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Fuel Hedge Contracts</w:t>
      </w:r>
    </w:p>
    <w:p>
      <w:pPr>
        <w:spacing w:after="0" w:line="15" w:lineRule="exact"/>
        <w:rPr>
          <w:sz w:val="20"/>
          <w:szCs w:val="20"/>
          <w:color w:val="auto"/>
        </w:rPr>
      </w:pPr>
    </w:p>
    <w:p>
      <w:pPr>
        <w:ind w:right="300" w:firstLine="456"/>
        <w:spacing w:after="0" w:line="295" w:lineRule="auto"/>
        <w:rPr>
          <w:sz w:val="20"/>
          <w:szCs w:val="20"/>
          <w:color w:val="auto"/>
        </w:rPr>
      </w:pPr>
      <w:r>
        <w:rPr>
          <w:rFonts w:ascii="Arial" w:cs="Arial" w:eastAsia="Arial" w:hAnsi="Arial"/>
          <w:sz w:val="16"/>
          <w:szCs w:val="16"/>
          <w:color w:val="auto"/>
        </w:rPr>
        <w:t>The Company is exposed to certain market risks, primarily commodity price risk as it relates to the diesel fuel purchase requirements that occur in the normal course of business. The Company enters into heating oil commodity swap contracts to hedge the risk that fluctuations in diesel fuel prices will have an adverse impact on cash flows associated with its domestic dredging contracts. The Company does not hold or issue derivatives for speculative or trading purposes. The Company’s goal is to hedge approximately 80% of the fuel requirements for work in backlog.</w:t>
      </w:r>
    </w:p>
    <w:p>
      <w:pPr>
        <w:spacing w:after="0" w:line="7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of December 31, 2010, the Company was party to various swap arrangements to hedge the price of a portion of its diesel fuel purchase requirements for work in its backlog to be performed through October 2011. As of December 31, 2010, there were 5.3 million gallons remaining on these contracts which represent approximately 80% of the Company’s forecasted fuel purchases through October 2011. Under these swap agreements, the Company will pay fixed prices ranging from $2.13 to $2.55 per gallon.</w:t>
      </w:r>
    </w:p>
    <w:p>
      <w:pPr>
        <w:spacing w:after="0" w:line="10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Company designates the commodity swap contracts as a cash flow hedge as defined by GAAP. Accordingly, the Company formally documents, at the inception of each hedge, all relationships between hedging instruments and hedged items, as well as our risk-management objective and strategy for undertaking hedge transactions. This process includes linking all derivatives to highly-probable forecasted transactions.</w:t>
      </w:r>
    </w:p>
    <w:p>
      <w:pPr>
        <w:spacing w:after="0" w:line="6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formally assesses, at inception and on an ongoing basis, the effectiveness of hedges in offsetting changes in the cash flows of hedged items. Hedge accounting treatment is discontinued when (1) it is determined that the derivative is no longer highly effective in offsetting changes in the cash flows of a hedged item (including hedged items for forecasted fuel purchases), (2) 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for its fuel hedges, it would be on a prospective basis and any hedges in place would be recognized in Accumulated Other Comprehensive Income (Loss) (“AOCI”) until all the related forecasted fuel purchases are utilized.</w:t>
      </w:r>
    </w:p>
    <w:p>
      <w:pPr>
        <w:spacing w:after="0" w:line="8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is exposed to counterparty credit risk associated with non-performance of its hedging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each balance sheet date, unrealized gains and losses on fuel hedge contracts are recorded as a component of AOCI in the consolidated balance</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sheets. Gains and losses realized upon settlement of fuel hedge contracts are reclassified from AOCI as the fuel is utilized, as a reduction of fuel expense, which is a component of costs of contract revenues in the consolidated statements of operations.</w:t>
      </w:r>
    </w:p>
    <w:p>
      <w:pPr>
        <w:spacing w:after="0" w:line="9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At December 31, 2010 and 2009, the fair value asset on the fuel hedge contracts was estimated to be $595 and $897, respectively, and is recorded in other current assets. The gain reclassified to earnings from changes in fair value of derivatives, net of taxes, in 2010 was $321. The remaining gains included in accumulated other comprehensive income at December 31, 2010 will be reclassified into earnings over the next ten months, corresponding to the period during which the hedged fuel is expected to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utilized. The fair values of fuel hedges are corroborated using inputs that are readily observable in public markets; therefore, the Company determines fair value of these fuel hedges using Level 2 inputs.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interest rate and fuel hedge contracts outstanding as of December 31, 2010 and 2009, respectively,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5"/>
          </w:tcPr>
          <w:p>
            <w:pPr>
              <w:spacing w:after="0"/>
              <w:rPr>
                <w:sz w:val="20"/>
                <w:szCs w:val="20"/>
                <w:color w:val="auto"/>
              </w:rPr>
            </w:pPr>
            <w:r>
              <w:rPr>
                <w:rFonts w:ascii="Arial" w:cs="Arial" w:eastAsia="Arial" w:hAnsi="Arial"/>
                <w:sz w:val="14"/>
                <w:szCs w:val="14"/>
                <w:b w:val="1"/>
                <w:bCs w:val="1"/>
                <w:color w:val="auto"/>
              </w:rPr>
              <w:t>Fair Value of Derivatives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40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At December 31, 2010</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40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Balance Sheet</w:t>
            </w:r>
          </w:p>
        </w:tc>
        <w:tc>
          <w:tcPr>
            <w:tcW w:w="360" w:type="dxa"/>
            <w:vAlign w:val="bottom"/>
          </w:tcPr>
          <w:p>
            <w:pPr>
              <w:spacing w:after="0"/>
              <w:rPr>
                <w:sz w:val="11"/>
                <w:szCs w:val="11"/>
                <w:color w:val="auto"/>
              </w:rPr>
            </w:pPr>
          </w:p>
        </w:tc>
        <w:tc>
          <w:tcPr>
            <w:tcW w:w="9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1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3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1"/>
                <w:szCs w:val="11"/>
                <w:color w:val="auto"/>
              </w:rPr>
            </w:pPr>
          </w:p>
        </w:tc>
      </w:tr>
      <w:tr>
        <w:trPr>
          <w:trHeight w:val="161"/>
        </w:trPr>
        <w:tc>
          <w:tcPr>
            <w:tcW w:w="440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Asset</w:t>
            </w:r>
          </w:p>
        </w:tc>
        <w:tc>
          <w:tcPr>
            <w:tcW w:w="360" w:type="dxa"/>
            <w:vAlign w:val="bottom"/>
            <w:gridSpan w:val="2"/>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4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4"/>
                <w:szCs w:val="14"/>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Other current assets</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Accrued expenses</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Interest rate swaps</w:t>
            </w:r>
          </w:p>
        </w:tc>
        <w:tc>
          <w:tcPr>
            <w:tcW w:w="1460" w:type="dxa"/>
            <w:vAlign w:val="bottom"/>
          </w:tcPr>
          <w:p>
            <w:pPr>
              <w:ind w:left="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34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Other current assets</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Accrued expenses</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Total Derivatives</w:t>
            </w:r>
          </w:p>
        </w:tc>
        <w:tc>
          <w:tcPr>
            <w:tcW w:w="1460" w:type="dxa"/>
            <w:vAlign w:val="bottom"/>
          </w:tcPr>
          <w:p>
            <w:pPr>
              <w:spacing w:after="0"/>
              <w:rPr>
                <w:sz w:val="19"/>
                <w:szCs w:val="19"/>
                <w:color w:val="auto"/>
              </w:rPr>
            </w:pP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1,859</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4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4"/>
                <w:szCs w:val="14"/>
                <w:b w:val="1"/>
                <w:bCs w:val="1"/>
                <w:color w:val="auto"/>
              </w:rPr>
              <w:t>Fair Value of Derivatives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440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At December 31, 2009</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40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360" w:type="dxa"/>
            <w:vAlign w:val="bottom"/>
          </w:tcPr>
          <w:p>
            <w:pPr>
              <w:spacing w:after="0"/>
              <w:rPr>
                <w:sz w:val="11"/>
                <w:szCs w:val="11"/>
                <w:color w:val="auto"/>
              </w:rPr>
            </w:pPr>
          </w:p>
        </w:tc>
        <w:tc>
          <w:tcPr>
            <w:tcW w:w="9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1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3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1"/>
                <w:szCs w:val="11"/>
                <w:color w:val="auto"/>
              </w:rPr>
            </w:pPr>
          </w:p>
        </w:tc>
      </w:tr>
      <w:tr>
        <w:trPr>
          <w:trHeight w:val="161"/>
        </w:trPr>
        <w:tc>
          <w:tcPr>
            <w:tcW w:w="440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Asset</w:t>
            </w:r>
          </w:p>
        </w:tc>
        <w:tc>
          <w:tcPr>
            <w:tcW w:w="360" w:type="dxa"/>
            <w:vAlign w:val="bottom"/>
            <w:gridSpan w:val="2"/>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4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4"/>
                <w:szCs w:val="14"/>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Other current assets</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1,529</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(1,549)</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Fuel hedge contracts</w:t>
            </w:r>
          </w:p>
        </w:tc>
        <w:tc>
          <w:tcPr>
            <w:tcW w:w="1460" w:type="dxa"/>
            <w:vAlign w:val="bottom"/>
          </w:tcPr>
          <w:p>
            <w:pPr>
              <w:ind w:left="60"/>
              <w:spacing w:after="0"/>
              <w:rPr>
                <w:sz w:val="20"/>
                <w:szCs w:val="20"/>
                <w:color w:val="auto"/>
              </w:rPr>
            </w:pPr>
            <w:r>
              <w:rPr>
                <w:rFonts w:ascii="Arial" w:cs="Arial" w:eastAsia="Arial" w:hAnsi="Arial"/>
                <w:sz w:val="18"/>
                <w:szCs w:val="18"/>
                <w:color w:val="auto"/>
                <w:w w:val="84"/>
              </w:rPr>
              <w:t>Other current assets</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w w:val="85"/>
              </w:rPr>
              <w:t>Accrued expenses</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2,426</w:t>
            </w: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(1,549)</w:t>
            </w: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INCOME TAXES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as of December 31, 2010, 2009 and 2008 is as follows:</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4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Current</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$11,602</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7,632</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1,737</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State:</w:t>
            </w:r>
          </w:p>
        </w:tc>
        <w:tc>
          <w:tcPr>
            <w:tcW w:w="4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1,967</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2960" w:type="dxa"/>
            <w:vAlign w:val="bottom"/>
          </w:tcPr>
          <w:p>
            <w:pPr>
              <w:ind w:left="220"/>
              <w:spacing w:after="0"/>
              <w:rPr>
                <w:sz w:val="20"/>
                <w:szCs w:val="20"/>
                <w:color w:val="auto"/>
              </w:rPr>
            </w:pPr>
            <w:r>
              <w:rPr>
                <w:rFonts w:ascii="Arial" w:cs="Arial" w:eastAsia="Arial" w:hAnsi="Arial"/>
                <w:sz w:val="18"/>
                <w:szCs w:val="18"/>
                <w:color w:val="auto"/>
              </w:rPr>
              <w:t>Deferred</w:t>
            </w:r>
          </w:p>
        </w:tc>
        <w:tc>
          <w:tcPr>
            <w:tcW w:w="5060" w:type="dxa"/>
            <w:vAlign w:val="bottom"/>
            <w:gridSpan w:val="3"/>
          </w:tcPr>
          <w:p>
            <w:pPr>
              <w:jc w:val="right"/>
              <w:ind w:right="320"/>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Foreign—current</w:t>
            </w:r>
          </w:p>
        </w:tc>
        <w:tc>
          <w:tcPr>
            <w:tcW w:w="4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60" w:type="dxa"/>
            <w:vAlign w:val="bottom"/>
          </w:tcPr>
          <w:p>
            <w:pPr>
              <w:spacing w:after="0"/>
              <w:rPr>
                <w:sz w:val="20"/>
                <w:szCs w:val="20"/>
                <w:color w:val="auto"/>
              </w:rPr>
            </w:pPr>
            <w:r>
              <w:rPr>
                <w:rFonts w:ascii="Arial" w:cs="Arial" w:eastAsia="Arial" w:hAnsi="Arial"/>
                <w:sz w:val="18"/>
                <w:szCs w:val="18"/>
                <w:color w:val="auto"/>
              </w:rPr>
              <w:t>Total</w:t>
            </w:r>
          </w:p>
        </w:tc>
        <w:tc>
          <w:tcPr>
            <w:tcW w:w="4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20,554</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10,983</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100" w:type="dxa"/>
            <w:vAlign w:val="bottom"/>
            <w:vMerge w:val="restart"/>
          </w:tcPr>
          <w:p>
            <w:pPr>
              <w:jc w:val="right"/>
              <w:ind w:right="2095"/>
              <w:spacing w:after="0"/>
              <w:rPr>
                <w:sz w:val="20"/>
                <w:szCs w:val="20"/>
                <w:color w:val="auto"/>
              </w:rPr>
            </w:pPr>
            <w:r>
              <w:rPr>
                <w:rFonts w:ascii="Arial" w:cs="Arial" w:eastAsia="Arial" w:hAnsi="Arial"/>
                <w:sz w:val="18"/>
                <w:szCs w:val="18"/>
                <w:color w:val="auto"/>
              </w:rPr>
              <w:t>94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income tax provision reconciles to the provision at the statutory U.S. federal income tax rate as of December 31, 2010, 2009 and 2008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statutory U.S. federal income tax rate</w:t>
            </w:r>
          </w:p>
        </w:tc>
        <w:tc>
          <w:tcPr>
            <w:tcW w:w="2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$18,996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State income tax—net of federal income tax benefit</w:t>
            </w:r>
          </w:p>
        </w:tc>
        <w:tc>
          <w:tcPr>
            <w:tcW w:w="2380" w:type="dxa"/>
            <w:vAlign w:val="bottom"/>
            <w:gridSpan w:val="3"/>
          </w:tcPr>
          <w:p>
            <w:pPr>
              <w:jc w:val="right"/>
              <w:ind w:right="360"/>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729</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 benefit</w:t>
            </w:r>
          </w:p>
        </w:tc>
        <w:tc>
          <w:tcPr>
            <w:tcW w:w="2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Secondary offering expenses</w:t>
            </w:r>
          </w:p>
        </w:tc>
        <w:tc>
          <w:tcPr>
            <w:tcW w:w="14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Tax on (income) loss attributable to noncontrolling interests</w:t>
            </w:r>
          </w:p>
        </w:tc>
        <w:tc>
          <w:tcPr>
            <w:tcW w:w="2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Changes in unrecognized tax benefits</w:t>
            </w:r>
          </w:p>
        </w:tc>
        <w:tc>
          <w:tcPr>
            <w:tcW w:w="2380" w:type="dxa"/>
            <w:vAlign w:val="bottom"/>
            <w:gridSpan w:val="3"/>
          </w:tcPr>
          <w:p>
            <w:pPr>
              <w:jc w:val="right"/>
              <w:ind w:right="32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2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10,983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3,839</w:t>
            </w:r>
          </w:p>
        </w:tc>
      </w:tr>
      <w:tr>
        <w:trPr>
          <w:trHeight w:val="20"/>
        </w:trPr>
        <w:tc>
          <w:tcPr>
            <w:tcW w:w="5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December 31, 2010 and 2009, the Company had net operating loss carryforwards for state income tax purposes totaling $17,481 and $7,778, respectively. The outstanding carryforwards will expire between 2017 and 2024. At December 31, 2010, a valuation allowance has been established for a portion of the deferred tax asset related to these state net operating loss carryforwards in the amount of $271.</w:t>
      </w:r>
    </w:p>
    <w:p>
      <w:pPr>
        <w:spacing w:after="0" w:line="14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Company also has foreign net operating loss carryforwards of approximately $7,463 and $5,445 as of December 31, 2010 and 2009, respectively. The net operating losses expire between 2010 and 2030. At December 31, 2010 and 2009, a full valuation allowance has been established for the deferred tax asset of $1,265 and $1,477 respectively, related to foreign net operating loss carryforwards, as the Company believes it is more likely than not that the net operating loss carryforwards will not be realized.</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2010 and 2009, the Company had $630 and $2,038, respectively, in unrecognized tax benefits, the recognition of which would have an impact of $345 and $1,078 on the effective tax rate.</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does not expect that total unrecognized tax benefits will significantly increase or decrease within the next 12 months. Below is a tabular reconciliation of the total amounts of unrecognized tax benefits at the beginning and end of the period.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benefits—January 1</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2,038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$2,220</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$1,867</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Gross increases—tax positions in prior period</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increases—current period tax positions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Gross decreases—expirations in prior period</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(113)</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decreases—tax positions in prior period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(1,015)</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(280)</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benefits—December 31,</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2,038</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2,220</w:t>
            </w:r>
          </w:p>
        </w:tc>
        <w:tc>
          <w:tcPr>
            <w:tcW w:w="100" w:type="dxa"/>
            <w:vAlign w:val="bottom"/>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As of December 31, 2010 and 2009, the Company had approximately $175 and $765, respectively, of interest and penalties recorded.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files income tax returns at the U.S. federal level and in various state and foreign jurisdictions. U.S. federal income tax years prior to 2007 are closed and no longer subject to examination. With few exceptions, the statute of limitations in state taxing jurisdictions in which the Company operates has expired for all years prior to 2006. In foreign jurisdictions in which the Company operates all significant years are closed and are no longer subject to examination.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deferred tax assets (liabilities) at December 31, 2010 and 2009 are as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10,387</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NOLs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State NOLs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10,893</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(94,713)</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(83,694)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NASDI, LLC and Yankee Environmental Services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Fuel hedges</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(95,105)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(84,628)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Net deferred tax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(84,212)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(76,928)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As reported in the balance sheet: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20"/>
              <w:spacing w:after="0"/>
              <w:rPr>
                <w:sz w:val="20"/>
                <w:szCs w:val="20"/>
                <w:color w:val="auto"/>
              </w:rPr>
            </w:pPr>
            <w:r>
              <w:rPr>
                <w:rFonts w:ascii="Arial" w:cs="Arial" w:eastAsia="Arial" w:hAnsi="Arial"/>
                <w:sz w:val="18"/>
                <w:szCs w:val="18"/>
                <w:color w:val="auto"/>
              </w:rPr>
              <w:t>Net current deferred tax assets (included in other 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8,254</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noncurrent deferred tax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(92,466)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(81,642)</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Net deferred tax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(84,212)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(76,928)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Deferred tax assets relate primarily to reserves and other liabilities for costs and expenses not currently deductible for tax purposes. Deferred tax liabilities relate primarily to the cumulative difference between book depreciation and amounts deducted for tax purposes. With the exception of certain state and foreign net operating loss carryforwards, a valuation allowance has not been recorded to reduce the balance of deferred tax assets at either December 31, 2010, or December 31, 2009, because the Company believes that it is more likely than not that the deferred income tax assets will ultimately be realized.</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tab/>
        <w:t>LEASE COMMITMENTS</w:t>
      </w:r>
    </w:p>
    <w:p>
      <w:pPr>
        <w:spacing w:after="0" w:line="1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leases certain operating equipment and office facilities under long-term operating leases expiring at various dates through 2020. The equipment leases contain renewal or purchase options that specify prices at the then fair value upon the expiration of the lease terms. The leases also contain default provisions that are triggered by an acceleration of debt maturity under the terms of the Company’s Credit Agreement, or, in certain instances, cross default to other equipment leases and certain lease arrangements require that the Company maintain certain financial ratios comparable to those required by its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2008 the Company entered into a sale-leaseback transaction for the vessel GL177. The Company sold the vessel for $16,665, and an immaterial loss was recorded on the sale. Proceeds of the sale were used for general corporate purposes. The Company will lease the vessel through November 2017 under a long-term operating lease.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Future minimum operating lease payments at December 31, 2010, are as follows:</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2012</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2014</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Thereafter</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operating lease payments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Total rent expense under long-term operating lease arrangements for the years ended December 31, 2010, 2009 and 2008 was $17,397, $17,718, and $17,480, respectively. This excludes expenses for equipment and facilities rented on a short-term, as-needed basis.</w:t>
      </w:r>
    </w:p>
    <w:p>
      <w:pPr>
        <w:spacing w:after="0" w:line="1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RETIREMENT PLANS</w:t>
      </w:r>
    </w:p>
    <w:p>
      <w:pPr>
        <w:spacing w:after="0" w:line="137" w:lineRule="exact"/>
        <w:rPr>
          <w:sz w:val="20"/>
          <w:szCs w:val="20"/>
          <w:color w:val="auto"/>
        </w:rPr>
      </w:pPr>
    </w:p>
    <w:p>
      <w:pPr>
        <w:jc w:val="both"/>
        <w:ind w:right="240" w:firstLine="456"/>
        <w:spacing w:after="0" w:line="284" w:lineRule="auto"/>
        <w:rPr>
          <w:sz w:val="20"/>
          <w:szCs w:val="20"/>
          <w:color w:val="auto"/>
        </w:rPr>
      </w:pPr>
      <w:r>
        <w:rPr>
          <w:rFonts w:ascii="Arial" w:cs="Arial" w:eastAsia="Arial" w:hAnsi="Arial"/>
          <w:sz w:val="16"/>
          <w:szCs w:val="16"/>
          <w:color w:val="auto"/>
        </w:rPr>
        <w:t>The Company sponsors three 401(k) savings plans, one covering substantially all non-union salaried employees (“Salaried Plan”), a second covering its non-union hourly employees (“Hourly Plan”) and a third plan specifically for its employees that are members of a tugboat union. Under the Salaried Plan and Hourly Plan, individual employees may contribute a percentage of compensation and the Company will match a portion of the employees’ contributions.</w:t>
      </w:r>
    </w:p>
    <w:p>
      <w:pPr>
        <w:spacing w:after="0" w:line="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Additionally, the Salaried Plan includes a profit-sharing component, permitting the Company to make discretionary employer contributions to all eligible employees of the Salaried Plan. The Company’s expense for matching and discretionary contributions for 2010, 2009 and 2008, was $4,726, $4,086, and $3,853, respectively. Participation in and contributions to the plan for the tugboat union employees are not significant.</w:t>
      </w:r>
    </w:p>
    <w:p>
      <w:pPr>
        <w:spacing w:after="0" w:line="10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also contributes to various multi-employer pension plans pursuant to collective bargaining agreements.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 Total contributions to multi-employer pension plans for the years ended December 31, 2010, 2009 and 2008, were $8,058, $6,662, and $6,013, respectively.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3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2010, 2009 and 2008, is provided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70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68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Dredging:</w:t>
            </w: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Contract revenues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7"/>
              </w:rPr>
              <w:t>$608,969</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$ 574,311</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$484,659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70,504</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49,844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31,532</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29,853</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646,158</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626,746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Property and equipment—net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315,140</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281,520</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287,614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Investment in joint ventures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7,329</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7,943</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28,838</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Demolition:</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revenues</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77,953</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47,933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(2,074)</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(7,593)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47,667</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38,680</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equipment—net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21,474</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21,474</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revenues</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686,922</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622,244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68,430</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42,251</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34,301</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33,023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693,825</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665,426</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666,155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equipment—net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323,231</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291,157</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98,049</w:t>
            </w: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98,049</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97,799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joint ventures</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70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29,863</w:t>
            </w: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27,299</w:t>
            </w: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7160" w:type="dxa"/>
            <w:vAlign w:val="bottom"/>
            <w:gridSpan w:val="2"/>
          </w:tcPr>
          <w:p>
            <w:pPr>
              <w:jc w:val="right"/>
              <w:spacing w:after="0"/>
              <w:rPr>
                <w:sz w:val="20"/>
                <w:szCs w:val="20"/>
                <w:color w:val="auto"/>
              </w:rPr>
            </w:pPr>
            <w:r>
              <w:rPr>
                <w:rFonts w:ascii="Arial" w:cs="Arial" w:eastAsia="Arial" w:hAnsi="Arial"/>
                <w:sz w:val="18"/>
                <w:szCs w:val="18"/>
                <w:color w:val="auto"/>
                <w:w w:val="89"/>
              </w:rPr>
              <w:t>The Company classifies the revenue related to its dredging projects into the following types of work:</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Capital dredging—U.S.</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$300,873</w:t>
            </w:r>
          </w:p>
        </w:tc>
        <w:tc>
          <w:tcPr>
            <w:tcW w:w="3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7"/>
              </w:rPr>
              <w:t>$203,147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Capital dredging—foreign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82,898</w:t>
            </w:r>
          </w:p>
        </w:tc>
        <w:tc>
          <w:tcPr>
            <w:tcW w:w="36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134,123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172,345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Beach nourishment dredging</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106,163</w:t>
            </w:r>
          </w:p>
        </w:tc>
        <w:tc>
          <w:tcPr>
            <w:tcW w:w="3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62,133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Maintenance dredging</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119,035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174,908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Dredging</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608,969</w:t>
            </w:r>
          </w:p>
        </w:tc>
        <w:tc>
          <w:tcPr>
            <w:tcW w:w="3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2"/>
              </w:rPr>
              <w:t>$ 574,311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732"/>
              <w:spacing w:after="0"/>
              <w:rPr>
                <w:sz w:val="20"/>
                <w:szCs w:val="20"/>
                <w:color w:val="auto"/>
              </w:rPr>
            </w:pPr>
            <w:r>
              <w:rPr>
                <w:rFonts w:ascii="Arial" w:cs="Arial" w:eastAsia="Arial" w:hAnsi="Arial"/>
                <w:sz w:val="18"/>
                <w:szCs w:val="18"/>
                <w:color w:val="auto"/>
              </w:rPr>
              <w:t>98</w:t>
            </w: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1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Company derived revenues and gross profit from foreign project operations for the years ended December 31, 2010, 2009 and 2008,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82,898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134,123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172,345</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(76,708)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(124,355)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(143,333)</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29,012</w:t>
            </w: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2010, 2009 and 2008, the majority of the Company’s foreign revenue came from projects in the Middle East, primarily Bahrain. The majority of the Company’s long-lived assets are marine vessels and related equipment. At any point in time, the Company may employ certain assets outside of the U.S., as needed, to perform work on the Company’s foreign projects. As of December 31, 2010 and 2009, long-lived assets with a net book value of $110,586 and $102,285, respectively, were located outside of the U.S.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pre- tax income from domestic and foreign operations for the years ended December 31, 2010, 2009 and 2008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Pre-tax income from domestic operations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$56,333</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$28,745</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(1,827)</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Pre-tax income from foreign operations</w:t>
            </w:r>
          </w:p>
        </w:tc>
        <w:tc>
          <w:tcPr>
            <w:tcW w:w="20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(2,059)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(3,028)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10,938</w:t>
            </w:r>
          </w:p>
        </w:tc>
      </w:tr>
      <w:tr>
        <w:trPr>
          <w:trHeight w:val="27"/>
        </w:trPr>
        <w:tc>
          <w:tcPr>
            <w:tcW w:w="4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pre-tax income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54,274</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25,717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9,111</w:t>
            </w:r>
          </w:p>
        </w:tc>
      </w:tr>
      <w:tr>
        <w:trPr>
          <w:trHeight w:val="20"/>
        </w:trPr>
        <w:tc>
          <w:tcPr>
            <w:tcW w:w="4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RISK</w:t>
      </w:r>
    </w:p>
    <w:p>
      <w:pPr>
        <w:spacing w:after="0" w:line="13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Company’s primary dredging customer is the U.S. Army Corps of Engineers (the “Corps”), which has responsibility for federally funded projects related to waterway navigation and flood control. In 2010, 2009 and 2008, 53.5%, 56.0%, and 48.6%, respectively, of contract revenues were earned from dredging contracts with federal government agencies, including the Corps, as well as other federal entities such as the U.S. Coast Guard and U.S. Navy. At December 31, 2010 and 2009, approximately 32.9% and 47.4%, respectively, of accounts receivable, including contract revenues in excess of billings, were due on dredging contracts with federal government agencies. The Company depends on its ability to continue to obtain federal government dredging contracts, and indirectly, on the amount of federal funding for new and current government dredging projects. Therefore, the Company’s dredging operations can be influenced by the level and timing of federal funding.</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Company’s work overseas is primarily with the government of Bahrain which accounted for 8.1%, 20.3%, and 27.5% of total revenue in 2010, 2009 and 2008, respectively. At December 31, 2010 and 2009, approximately 20.7% and 35.5%, respectively, of accounts receivable, including contract revenues in excess of billings, were due on dredging contracts with the government of Bahrain. There is a dependence on future projects in the Bahrain region, as vessels are currently located there. However, certain of the vessels located in Bahrain can be moved back to the US or all can be moved to other international markets as opportunities arise.</w:t>
      </w:r>
    </w:p>
    <w:p>
      <w:pPr>
        <w:spacing w:after="0" w:line="218"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Performance and bid bonds are customarily required for dredging and marine construction projects, as well as some demolition projects. The Company obtains its performance and bid bonds through a bonding agreement with a surety company that has been granted a security interest in a substantial portion of the Company’s operating equipment with a net book value of $70,662 at December 31, 2010. The bonding agreement contains provisions requiring the Company to maintain certain financial ratios and restricting the Company’s ability to pay dividends, incur indebtedness, create liens and take certain other actions. At December 31, 2010, the Company was in compliance with its various covenants under the bonding agreement. Bid bonds are generally obtained for a percentage of bid value and amounts outstanding typically range from $1 million to $10 million. At December 31, 2010, the Company had outstanding performance bonds valued at approximately $368,964; however, the revenue value remaining in backlog related to these projects totaled approximately $176,487.</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results of such audit. Any such audits have not had, and are not expected to have, a material impact on the financial position, operations, or cash flows of the Company.</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Although the Company is subject to various claims and legal actions that arise in the ordinary course of business, except as described below, the Company is not currently a party to any material legal proceedings or environmental claims.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or its former subsidiary, NATCO Limited Partnership, is named as a defendant in approximately 251 asbestos-related personal injury lawsuits, the majority of which were filed between 1989 and 2000. All of the cases, filed against the Company prior to 1996, were administratively dismissed in May 1996 and any cases filed since that time have similarly been administratively transferred to the inactive docket. Over the last year, hundreds of lawsuits have been reactivated in an effort to clean out the administrative docket. Prior to the commencement of discovery in any of the reactivated cases, counsel for plaintiffs agreed to name a group of cases that they intended to pursue and to dismiss the remaining cases without prejudice. Plaintiffs have now named 33 cases against the Company that they intend to pursue, each of which involves one plaintiff. The remaining cases against the Company, either have been or will be dismissed. Plaintiffs in the dismissed cases could file a new lawsuit if they develop a new disease allegedly caused by exposure to asbestos on board our vessels. Management does not believe that any of the 33 lawsuits will have a material adverse impact on our consolidated financial statements. We are presently unable to quantify the amounts of damages being sought in these lawsuits because none of the complaints specify a damage amount; therefore, we have not accrued any amounts in respect of these lawsuits. We do not believe that it is probable that losses from these claims could be material, and an estimate of a range of losses relating to these claims cannot reasonably be made.</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August 26, 2009, NASDI received a letter stating that the Attorney General for the Commonwealth of Massachusetts is investigating alleged violations of the Massachusetts Solid Waste Act. NASDI believes that the Attorney General is investigating illegal dumping activities at a dump site NASDI contracted with to have waste materials disposed of between September 2007 and July 2008. Although the matter remains open, no lawsuit has been filed. Per the Attorney General’s request, NASDI executed a tolling agreement regarding the matter. Should charges be brought, NASDI intends to defend itself vigorously on this matter. Based on consideration of all of the facts and circumstances now known, the Company does not believe this claim will have a material adverse impact on its financial position or results of operations and cash flows.</w:t>
      </w:r>
    </w:p>
    <w:p>
      <w:pPr>
        <w:spacing w:after="0" w:line="219"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MATTESON ACQUISITION</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December 31, 2010, the Company acquired the assets of L.W. Matteson, Inc., a maintenance dredging, environmental dredging and levee construction company located in Burlington, IA, for a base purchase price of $45 million. The Matteson acquisition expands the Company’s service offering into inland river, lakes and environmental dredging and levee construction using dredge material. The purchase price was subject to an adjustment based upon the closing working capital balance, which resulted in the recognition of additional purchase price of $369. Furthermore, the seller may receive cash payments for any of the calendar years ended 2011, 2012 and 2013 if certain earnings based criteria are met. Per the purchase agreement, if Business EBITDA for any of these calendar years exceeds $9.0 million but is equal to or less than $12.0 million, the earnout payment shall be an amount equal to the product of (i) the amount by which Business EBITDA for such earnout period exceeds $9.0 million multiplied by (ii) 15%, and if Business EBITDA for such earnout period is greater than $12.0 million, the earnout payment shall be in an amount equal to the sum of (i) $450 plus (ii) the product of (x) the amount by which Business EBITDA for such earnout period exceeds $12.0 million multiplied by (y) 25%. There is no limit to the amount of earnout the seller may receive. The fair value of the recorded earnout liability is $1,640 of which $547 is recorded in accrued liabilities and $1,093 is recorded in other liabilities.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Matteson operates within the dredging segment.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acquisition was funded with $37.5 million in cash and a seller note of $7.5 million. The following table summarizes the allocation of purchase price:</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$36,173</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Inventories</w:t>
            </w:r>
          </w:p>
        </w:tc>
        <w:tc>
          <w:tcPr>
            <w:tcW w:w="580" w:type="dxa"/>
            <w:vAlign w:val="bottom"/>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Intangible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liabilities - net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47,009</w:t>
            </w:r>
          </w:p>
        </w:tc>
        <w:tc>
          <w:tcPr>
            <w:tcW w:w="100" w:type="dxa"/>
            <w:vAlign w:val="bottom"/>
          </w:tcPr>
          <w:p>
            <w:pPr>
              <w:spacing w:after="0"/>
              <w:rPr>
                <w:sz w:val="19"/>
                <w:szCs w:val="19"/>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purchase price has been preliminarily allocated to the assets acquired and liabilities assumed using estimated fair values as of the acquisition date.</w:t>
      </w:r>
    </w:p>
    <w:p>
      <w:pPr>
        <w:spacing w:after="0" w:line="19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Amortization expense related to these intangible assets is estimated to be $2,239 in 2011, and $108 in 2012, 2013, 2014 and 2015. See Note 7 for more details on intangible assets.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the acquisition took place on December 31, 2010, no income or earnings of Matteson were included in the consolidated statement of operations of the Company for the period ended December 31,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The following unaudited pro forma consolidated financial information present the consolidated results of operations of the Company as they may have appeared had the acquisition described above occurred as of January 1, 2009 for purposes of the unaudited pro forma consolidated statements of operations.</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unaudited pro forma consolidated financial information are provided for illustrative purposes only and do not purport to present what the actual results of operations would have been had the transaction actually occurred on the date indicated, nor does it purport to represent results of operations for any future period. The information does not reflect any cost savings or other benefits that may be obtained through synergies among the operations of the Company.</w:t>
      </w:r>
    </w:p>
    <w:p>
      <w:pPr>
        <w:spacing w:after="0" w:line="182" w:lineRule="exact"/>
        <w:rPr>
          <w:sz w:val="20"/>
          <w:szCs w:val="20"/>
          <w:color w:val="auto"/>
        </w:rPr>
      </w:pPr>
    </w:p>
    <w:p>
      <w:pPr>
        <w:jc w:val="center"/>
        <w:ind w:left="320" w:right="2700"/>
        <w:spacing w:after="0" w:line="381" w:lineRule="auto"/>
        <w:rPr>
          <w:sz w:val="20"/>
          <w:szCs w:val="20"/>
          <w:color w:val="auto"/>
        </w:rPr>
      </w:pPr>
      <w:r>
        <w:rPr>
          <w:rFonts w:ascii="Arial" w:cs="Arial" w:eastAsia="Arial" w:hAnsi="Arial"/>
          <w:sz w:val="16"/>
          <w:szCs w:val="16"/>
          <w:b w:val="1"/>
          <w:bCs w:val="1"/>
          <w:color w:val="auto"/>
        </w:rPr>
        <w:t>GREAT LAKES DREDGE &amp; DOCK CORPORATION AND SUBSIDIARIES PRO FORMA CONSOLIDATED STATEMENTS OF OPERATIONS FOR THE YEARS ENDED DECEMBER 31, 2010 AND 2009</w:t>
      </w:r>
    </w:p>
    <w:p>
      <w:pPr>
        <w:spacing w:after="0" w:line="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ind w:left="420"/>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686,922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622,244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Revenue of purchased businesses for the period prior to acquisition</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724,105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663,247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w w:val="93"/>
              </w:rPr>
              <w:t>Net income attributable to common stockholders of Great Lakes Dredge &amp; Dock Corporation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8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34,609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 of Matteson including pro forma acquisition accounting adjustments</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gridSpan w:val="2"/>
          </w:tcPr>
          <w:p>
            <w:pPr>
              <w:spacing w:after="0"/>
              <w:rPr>
                <w:sz w:val="20"/>
                <w:szCs w:val="20"/>
                <w:color w:val="auto"/>
              </w:rPr>
            </w:pPr>
            <w:r>
              <w:rPr>
                <w:rFonts w:ascii="Arial" w:cs="Arial" w:eastAsia="Arial" w:hAnsi="Arial"/>
                <w:sz w:val="18"/>
                <w:szCs w:val="18"/>
                <w:color w:val="auto"/>
                <w:w w:val="95"/>
              </w:rPr>
              <w:t>Pro forma net income attributable to common stockholders of Great Lakes Dredge &amp; Dock</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37,866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YANKEE ACQUISITION</w:t>
      </w:r>
    </w:p>
    <w:p>
      <w:pPr>
        <w:spacing w:after="0" w:line="1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January 1, 2009, the Company acquired Yankee. The acquisition of this business was accomplished as an asset purchase through a new subsidiary, Yankee Environmental Services, LLC. The total purchase price was $1,891 of which NASDI Holdings, contributed 65% of the purchase price, $1,229, with the remaining 35% of the purchase price paid by other investors, one of which is Christopher A. Berardi. Yankee provides environmental remediation services including asbestos abatement and removal of other hazardous materials to private and government entities including schools, universities, hospitals and other businesses throughout the New England area. Yankee has previously been a subcontractor on many NASDI projects, and continues to serve as a subcontractor on many NASDI projects subsequent to the acquisition. The acquisition of Yankee provides an avenue to diversify the Company’s demolition business to include abatement capabilities and make NASDI more competitive on jobs requiring these services. Yankee operates within the demolition segment.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assets and liabilities associated with this 65% interest were adjusted to their estimated fair values. A summary of the allocation of purchase price to the assets acquired is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Other assets and liabilities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1,891</w:t>
            </w:r>
          </w:p>
        </w:tc>
        <w:tc>
          <w:tcPr>
            <w:tcW w:w="100" w:type="dxa"/>
            <w:vAlign w:val="bottom"/>
            <w:shd w:val="clear" w:color="auto" w:fill="CCEEFF"/>
          </w:tcPr>
          <w:p>
            <w:pPr>
              <w:spacing w:after="0"/>
              <w:rPr>
                <w:sz w:val="18"/>
                <w:szCs w:val="18"/>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Company’s interest in Yankee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1,229</w:t>
            </w:r>
          </w:p>
        </w:tc>
        <w:tc>
          <w:tcPr>
            <w:tcW w:w="100" w:type="dxa"/>
            <w:vAlign w:val="bottom"/>
            <w:shd w:val="clear" w:color="auto" w:fill="CCEEFF"/>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Amortization expense related to these intangible assets is estimated to be $125 in 2011, $43 in 2012 and 2013 and $26 in 2014 and 2015. See Note 7 for more details on intangible assets.</w:t>
      </w:r>
    </w:p>
    <w:p>
      <w:pPr>
        <w:spacing w:after="0" w:line="207"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SENIOR MANAGEMENT REORGANIZATION</w:t>
      </w:r>
    </w:p>
    <w:p>
      <w:pPr>
        <w:spacing w:after="0" w:line="1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April 2010, the Board of Directors of the Company eliminated the position of Chief Operating Officer and created a new position, President of Dredging Operations. In connection with this operational restructuring, Richard M. Lowry, Chief Operating Officer, left the Company and is receiving severance in accordance with his Employment Agreement.</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On September 7, 2010, the Company announced the resignation of Douglas B. Mackie as President and Chief Executive Officer and the appointment of Jonathan W. Berger as Chief Executive Officer. Mr. Mackie will serve as Chairman Emeritus and Senior Advisor and continue as a director through his current term which expires at the 2011 Annual Meeting of Stockholders. Also, on September 7, 2010, the Company announced the resignation of Deborah A. Wensel as Senior Vice President, Chief Financial Officer, Treasurer and Secretary and the appointment of Bruce J. Biemeck as the President and Chief Financial Officer.</w:t>
      </w:r>
    </w:p>
    <w:p>
      <w:pPr>
        <w:spacing w:after="0" w:line="9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 recorded expense of $6,428, in connection with these arrangements during 2010. These payments are being made over a one to three year period per the terms of each former executive’s arrangement and, as of December 31, 2010, $4,474 remained unpaid and was included in accrued expense and other liabilities.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Effective September 7, 2010, Messrs. Berger and Biemeck continue as directors but are no longer appointed to Board Committees and Mr. Biemeck no longer serves as Lead Director.</w:t>
      </w:r>
    </w:p>
    <w:p>
      <w:pPr>
        <w:spacing w:after="0" w:line="207"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13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Company’s long-term debt at December 31, 2010 includes $175,000 of 7.75% senior subordinated notes which mature on December 15, 2013. The Company’s obligations under the senior subordinated notes are guaranteed by the Company’s domestic subsidiaries (the “Subsidiary Guarantors”). Such guarantees are full, unconditional and joint and several. In January 2011, the Company redeemed these Notes (See Note 11).</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following supplemental financial information sets forth for the Company’s 100%-Owned Subsidiary Guarantors (on a combined basis), each of the Company’s Non 100%-Owned Subsidiary Guarantors, the Company’s non-guarantor subsidiary and Great Lakes Dredge &amp; Dock Corporation, exclusive of its subsidiaries (“GLDD Corporation”):</w:t>
      </w:r>
    </w:p>
    <w:p>
      <w:pPr>
        <w:spacing w:after="0" w:line="113"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balance sheets as of December 31, 2010 and 2009;</w:t>
      </w:r>
    </w:p>
    <w:p>
      <w:pPr>
        <w:spacing w:after="0" w:line="144"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statements of operations for the years ended December 31, 2010, 2009 and 2008; and</w:t>
      </w:r>
    </w:p>
    <w:p>
      <w:pPr>
        <w:spacing w:after="0" w:line="144"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statements of cash flows for the year ended December 31, 2010, 2009 and 2008.</w:t>
      </w:r>
    </w:p>
    <w:p>
      <w:pPr>
        <w:spacing w:after="0" w:line="13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Company’s Form 10-K for the year ended December 31, 2010 includes separate financial statements for NASDI and Yankee. The separate financial information for NASDI and Yankee reconciles to the respective NASDI and Yankee financial information included in this supplemental consolidating financial information after considering timing differences in reflecting audit adjustments for each company that are immaterial to the Company’s consolidated financial statements. The NASDI difference results from a 2009 audit adjustment that was made to its separate financial statements in April 2010, subsequent to the filing of 2009 supplemental consolidating financial statements in the Company’s 2009 Form 10-K. The Yankee difference also results from a 2009 audit adjustment to its separate financial statements. That adjustment was identified upon completion of the Yankee 2009 audit in December 2010. The adjustments have been reflected in 2010 and 2009 activity.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Subsidiary Guarantors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GLDD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100%-Owned</w:t>
            </w:r>
          </w:p>
        </w:tc>
        <w:tc>
          <w:tcPr>
            <w:tcW w:w="14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NASDI</w:t>
            </w: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Yankee</w:t>
            </w: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48,375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Accounts receivable—net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76,062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17,921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from 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(55,753)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Contract revenues in excess of billings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16,972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229,419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25,800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4,774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16,005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(55,782)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222,969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315,139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76,575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21,224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528,425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(552,952)</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7,329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690,710</w:t>
            </w: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54,971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5,560</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548,780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(608,949)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67,351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14,183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Payables to affiliates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37,872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14,151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3,655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(55,678)</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Billings in excess of contract revenues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13,227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note payable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Current portion of equipment debt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148,632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32,360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6,002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(55,782)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LONG TERM NOTE PAYABLE</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 3/4% SENIOR SUBORDINATED NOTES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92,681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162,285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32,755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6,002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271,955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(55,997)</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Great Lakes Dredge &amp; Dock Corporation Equity</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528,425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22,216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278,953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(552,952)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528,425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22,216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276,825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(552,952)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276,825</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690,710</w:t>
            </w: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54,971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5,560</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548,780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(608,949)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ind w:left="14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Subsidiary Guarantors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GLDD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100%-Owned</w:t>
            </w:r>
          </w:p>
        </w:tc>
        <w:tc>
          <w:tcPr>
            <w:tcW w:w="14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NASDI</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Yankee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Accounts receivable—net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142,080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from 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Contract revenues in excess of billings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25,560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215,710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12,961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3,838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24,317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(27,142)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232,436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281,520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76,575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21,224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490,191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(517,285)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INVENTORIES—Noncurrent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5,509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638,999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4,936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520,017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(544,929)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665,426</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75,765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7,623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Payables to 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(27,142)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26,597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Billings in excess of contract revenues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Current portion of equipment debt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141,572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20,155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(27,142)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7 3/4% SENIOR SUBORDINATED NOTES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NOTES PAYABLE TO AFFILIATES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82,081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148,808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20,586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275,468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(27,644)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Total Great Lakes Dredge &amp; Dock Corporation Equity</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490,191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23,065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245,788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(517,285)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490,191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23,065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244,549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(517,285)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244,549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638,999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4,936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520,017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(544,929)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ind w:left="14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321"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OPERATIONS FOR THE YEAR ENDED DECEMBER 31, 2010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Subsidiary Guarantors</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GLDD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100%-Owned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6"/>
              </w:rPr>
              <w:t>NASDI</w:t>
            </w:r>
          </w:p>
        </w:tc>
        <w:tc>
          <w:tcPr>
            <w:tcW w:w="3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Yankee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Subsidiary</w:t>
            </w:r>
          </w:p>
        </w:tc>
        <w:tc>
          <w:tcPr>
            <w:tcW w:w="36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Corporation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608,970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74,490</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$ 8,538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686,922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(491,232)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(68,522)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(9,462)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5,076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(564,140)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122,782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(43,667)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(6,417)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(3,566)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(54,352)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(400)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(13,473)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(13,542)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(70,316)</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IN LOSS OF JOINT VENTURE</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(70,316)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(22,127)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(20,554)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(70,316)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 ATTRIBUTABLE TO</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GREAT LAKES DREDGE &amp; DOCK</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34,609</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(70,316)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321"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OPERATIONS FOR THE YEAR ENDED DECEMBER 31, 2009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Subsidiary Guarantors</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 Guarantor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GLDD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100%-Owned</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NASDI</w:t>
            </w:r>
          </w:p>
        </w:tc>
        <w:tc>
          <w:tcPr>
            <w:tcW w:w="34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Yankee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Subsidiary</w:t>
            </w:r>
          </w:p>
        </w:tc>
        <w:tc>
          <w:tcPr>
            <w:tcW w:w="36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Corporation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Eliminations</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574,311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44,245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7,776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622,244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(485,337)</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(45,466)</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(7,240)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4,088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(534,000)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(35,960)</w:t>
            </w: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(5,849)</w:t>
            </w: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(45,993)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(15,994)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(16,150)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(39,304)</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IN LOSS OF JOINT VENTURE</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(39,304)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(13,385)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(39,304)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LOSS ATTRIBUTABLE TO</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GREAT LAKES DREDGE &amp; DOCK</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47,308</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17,468</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(39,304)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352"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OPERATIONS FOR THE YEAR ENDED DECEMBER 31, 2008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Subsidiary Guarantors</w:t>
            </w:r>
          </w:p>
        </w:tc>
        <w:tc>
          <w:tcPr>
            <w:tcW w:w="1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Non- Guarantor</w:t>
            </w:r>
          </w:p>
        </w:tc>
        <w:tc>
          <w:tcPr>
            <w:tcW w:w="12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100%-Owned</w:t>
            </w:r>
          </w:p>
        </w:tc>
        <w:tc>
          <w:tcPr>
            <w:tcW w:w="3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NASDI</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Subsidiary</w:t>
            </w:r>
          </w:p>
        </w:tc>
        <w:tc>
          <w:tcPr>
            <w:tcW w:w="3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Corporation</w:t>
            </w:r>
          </w:p>
        </w:tc>
        <w:tc>
          <w:tcPr>
            <w:tcW w:w="38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484,659</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102,220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586,879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(427,362)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(90,017)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(517,576)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57,297</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(33,288)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(8,198)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(1,656)</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income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24,009</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EXPENSE—Net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(15,944)</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(28,833)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EQUITY IN LOSS OF JOINT VENTURE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(28,833)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(2,877)</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25,946</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(28,833)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8"/>
              </w:rPr>
              <w:t>NET INCOME ATTRIBUTABLE TO NONCONTROLLING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INCOME (LOSS) LOSS ATTRIBUTABLE TO GREAT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LAKES DREDGE &amp; DOCK CORPORATION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25,946</w:t>
            </w:r>
          </w:p>
        </w:tc>
        <w:tc>
          <w:tcPr>
            <w:tcW w:w="3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(28,833)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352"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YEAR ENDED DECEMBER 31, 2010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rPr>
              <w:t>Subsidiary Guarantors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gridSpan w:val="6"/>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6"/>
                <w:szCs w:val="6"/>
                <w:color w:val="auto"/>
              </w:rPr>
            </w:pPr>
          </w:p>
        </w:tc>
        <w:tc>
          <w:tcPr>
            <w:tcW w:w="82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GLDD</w:t>
            </w: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100%-Owned</w:t>
            </w:r>
          </w:p>
        </w:tc>
        <w:tc>
          <w:tcPr>
            <w:tcW w:w="14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NASDI</w:t>
            </w:r>
          </w:p>
        </w:tc>
        <w:tc>
          <w:tcPr>
            <w:tcW w:w="40" w:type="dxa"/>
            <w:vAlign w:val="bottom"/>
          </w:tcPr>
          <w:p>
            <w:pPr>
              <w:spacing w:after="0"/>
              <w:rPr>
                <w:sz w:val="14"/>
                <w:szCs w:val="14"/>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Yankee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Eliminations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Net cash flows provided by (used in) operating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activities</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160,459</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(3,211)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(32,691)</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123,531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(24,449)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(755)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Dispositions of property and equipment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Acquisition of L.W. Matteson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(37,869)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(37,869)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(62,696)</w:t>
            </w: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revolving loans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Repayments of revolving loans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(25,968)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(4,012)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accounts with affiliates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5,006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Repayments of long-term debt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capital lease debt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w w:val="97"/>
              </w:rPr>
              <w:t>Net cash flows provided by (used in) financing</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3,813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32,691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(15,607)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EQUIVALENTS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CASH AND CASH EQUIVALENTS—Beginning of</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year</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year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3"/>
          </w:tcPr>
          <w:p>
            <w:pPr>
              <w:jc w:val="right"/>
              <w:ind w:right="132"/>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352"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YEAR ENDED DECEMBER 31, 2009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rPr>
              <w:t>Subsidiary Guarantors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4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gridSpan w:val="6"/>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0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6"/>
                <w:szCs w:val="6"/>
                <w:color w:val="auto"/>
              </w:rPr>
            </w:pPr>
          </w:p>
        </w:tc>
        <w:tc>
          <w:tcPr>
            <w:tcW w:w="84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GLDD</w:t>
            </w: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48"/>
        </w:trPr>
        <w:tc>
          <w:tcPr>
            <w:tcW w:w="4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100%-Owned</w:t>
            </w:r>
          </w:p>
        </w:tc>
        <w:tc>
          <w:tcPr>
            <w:tcW w:w="14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NASDI</w:t>
            </w:r>
          </w:p>
        </w:tc>
        <w:tc>
          <w:tcPr>
            <w:tcW w:w="40" w:type="dxa"/>
            <w:vAlign w:val="bottom"/>
          </w:tcPr>
          <w:p>
            <w:pPr>
              <w:spacing w:after="0"/>
              <w:rPr>
                <w:sz w:val="14"/>
                <w:szCs w:val="14"/>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Yankee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tcPr>
          <w:p>
            <w:pPr>
              <w:ind w:left="220"/>
              <w:spacing w:after="0"/>
              <w:rPr>
                <w:sz w:val="20"/>
                <w:szCs w:val="20"/>
                <w:color w:val="auto"/>
              </w:rPr>
            </w:pPr>
            <w:r>
              <w:rPr>
                <w:rFonts w:ascii="Arial" w:cs="Arial" w:eastAsia="Arial" w:hAnsi="Arial"/>
                <w:sz w:val="18"/>
                <w:szCs w:val="18"/>
                <w:color w:val="auto"/>
              </w:rPr>
              <w:t>Net cash flows provided by (used in) operating</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ind w:left="440"/>
              <w:spacing w:after="0"/>
              <w:rPr>
                <w:sz w:val="20"/>
                <w:szCs w:val="20"/>
                <w:color w:val="auto"/>
              </w:rPr>
            </w:pPr>
            <w:r>
              <w:rPr>
                <w:rFonts w:ascii="Arial" w:cs="Arial" w:eastAsia="Arial" w:hAnsi="Arial"/>
                <w:sz w:val="18"/>
                <w:szCs w:val="18"/>
                <w:color w:val="auto"/>
              </w:rPr>
              <w:t>activities</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86,641</w:t>
            </w:r>
          </w:p>
        </w:tc>
        <w:tc>
          <w:tcPr>
            <w:tcW w:w="2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(3,695)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(2,545)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(26,403)</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53,998</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(22,563)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(2,103)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(24,666)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Dispositions of property and equipment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8"/>
        </w:trPr>
        <w:tc>
          <w:tcPr>
            <w:tcW w:w="4040" w:type="dxa"/>
            <w:vAlign w:val="bottom"/>
          </w:tcPr>
          <w:p>
            <w:pPr>
              <w:ind w:left="220"/>
              <w:spacing w:after="0"/>
              <w:rPr>
                <w:sz w:val="20"/>
                <w:szCs w:val="20"/>
                <w:color w:val="auto"/>
              </w:rPr>
            </w:pPr>
            <w:r>
              <w:rPr>
                <w:rFonts w:ascii="Arial" w:cs="Arial" w:eastAsia="Arial" w:hAnsi="Arial"/>
                <w:sz w:val="18"/>
                <w:szCs w:val="18"/>
                <w:color w:val="auto"/>
              </w:rPr>
              <w:t>Acquisition of controlling interest in Yankee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440"/>
              <w:spacing w:after="0"/>
              <w:rPr>
                <w:sz w:val="20"/>
                <w:szCs w:val="20"/>
                <w:color w:val="auto"/>
              </w:rPr>
            </w:pPr>
            <w:r>
              <w:rPr>
                <w:rFonts w:ascii="Arial" w:cs="Arial" w:eastAsia="Arial" w:hAnsi="Arial"/>
                <w:sz w:val="18"/>
                <w:szCs w:val="18"/>
                <w:color w:val="auto"/>
              </w:rPr>
              <w:t>Environmental Services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(1,891)</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8"/>
        </w:trPr>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(23,177)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(1,690)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(1,891)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(24,867)</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under revolving loans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158,877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158,877</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Repayments of revolving loans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(189,377)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(189,377)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08"/>
        </w:trPr>
        <w:tc>
          <w:tcPr>
            <w:tcW w:w="4040" w:type="dxa"/>
            <w:vAlign w:val="bottom"/>
          </w:tcPr>
          <w:p>
            <w:pPr>
              <w:ind w:left="220"/>
              <w:spacing w:after="0"/>
              <w:rPr>
                <w:sz w:val="20"/>
                <w:szCs w:val="20"/>
                <w:color w:val="auto"/>
              </w:rPr>
            </w:pPr>
            <w:r>
              <w:rPr>
                <w:rFonts w:ascii="Arial" w:cs="Arial" w:eastAsia="Arial" w:hAnsi="Arial"/>
                <w:sz w:val="18"/>
                <w:szCs w:val="18"/>
                <w:color w:val="auto"/>
                <w:w w:val="96"/>
              </w:rPr>
              <w:t>Members’ capital contribution to acquire assets of</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440"/>
              <w:spacing w:after="0"/>
              <w:rPr>
                <w:sz w:val="20"/>
                <w:szCs w:val="20"/>
                <w:color w:val="auto"/>
              </w:rPr>
            </w:pPr>
            <w:r>
              <w:rPr>
                <w:rFonts w:ascii="Arial" w:cs="Arial" w:eastAsia="Arial" w:hAnsi="Arial"/>
                <w:sz w:val="18"/>
                <w:szCs w:val="18"/>
                <w:color w:val="auto"/>
              </w:rPr>
              <w:t>Yankee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1,891</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accounts with affiliates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(71,064)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7,407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2,758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Repayments of long-term debt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(1,773)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capital lease debt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4040" w:type="dxa"/>
            <w:vAlign w:val="bottom"/>
          </w:tcPr>
          <w:p>
            <w:pPr>
              <w:ind w:left="220"/>
              <w:spacing w:after="0"/>
              <w:rPr>
                <w:sz w:val="20"/>
                <w:szCs w:val="20"/>
                <w:color w:val="auto"/>
              </w:rPr>
            </w:pPr>
            <w:r>
              <w:rPr>
                <w:rFonts w:ascii="Arial" w:cs="Arial" w:eastAsia="Arial" w:hAnsi="Arial"/>
                <w:sz w:val="18"/>
                <w:szCs w:val="18"/>
                <w:color w:val="auto"/>
              </w:rPr>
              <w:t>Distributions from subsidiaries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Net cash flows provided by (used in) financing</w:t>
            </w: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(70,987)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5,463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4,649</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(36,359)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NET CHANGE IN CASH AND EQUIVALENTS</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(7,523)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(7,228)</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CASH AND CASH EQUIVALENTS—End of year</w:t>
            </w: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3"/>
          </w:tcPr>
          <w:p>
            <w:pPr>
              <w:jc w:val="right"/>
              <w:ind w:right="132"/>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760"/>
        <w:spacing w:after="0" w:line="352"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YEAR ENDED DECEMBER 31, 2008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w w:val="91"/>
              </w:rPr>
              <w:t>Subsidiary Guarantors</w:t>
            </w:r>
          </w:p>
        </w:tc>
        <w:tc>
          <w:tcPr>
            <w:tcW w:w="12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100" w:type="dxa"/>
            <w:vAlign w:val="bottom"/>
            <w:gridSpan w:val="6"/>
            <w:vMerge w:val="continue"/>
          </w:tcPr>
          <w:p>
            <w:pPr>
              <w:spacing w:after="0"/>
              <w:rPr>
                <w:sz w:val="6"/>
                <w:szCs w:val="6"/>
                <w:color w:val="auto"/>
              </w:rPr>
            </w:pPr>
          </w:p>
        </w:tc>
        <w:tc>
          <w:tcPr>
            <w:tcW w:w="9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2"/>
            <w:vMerge w:val="restart"/>
          </w:tcPr>
          <w:p>
            <w:pPr>
              <w:jc w:val="right"/>
              <w:ind w:right="620"/>
              <w:spacing w:after="0" w:line="149" w:lineRule="exact"/>
              <w:rPr>
                <w:sz w:val="20"/>
                <w:szCs w:val="20"/>
                <w:color w:val="auto"/>
              </w:rPr>
            </w:pPr>
            <w:r>
              <w:rPr>
                <w:rFonts w:ascii="Arial" w:cs="Arial" w:eastAsia="Arial" w:hAnsi="Arial"/>
                <w:sz w:val="14"/>
                <w:szCs w:val="14"/>
                <w:b w:val="1"/>
                <w:bCs w:val="1"/>
                <w:color w:val="auto"/>
              </w:rPr>
              <w:t>GLDD</w:t>
            </w: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100%-Owned</w:t>
            </w:r>
          </w:p>
        </w:tc>
        <w:tc>
          <w:tcPr>
            <w:tcW w:w="100" w:type="dxa"/>
            <w:vAlign w:val="bottom"/>
          </w:tcPr>
          <w:p>
            <w:pPr>
              <w:spacing w:after="0"/>
              <w:rPr>
                <w:sz w:val="14"/>
                <w:szCs w:val="14"/>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NASDI</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6"/>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cash flows provided by (used in) operating activities</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34,018</w:t>
            </w: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4,802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(23,973)</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(43,108)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(1,376)</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Dispositions of property and equipment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Changes in restricted cash</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NASDI minority interest shares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(24,904)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(1,353)</w:t>
            </w:r>
          </w:p>
        </w:tc>
        <w:tc>
          <w:tcPr>
            <w:tcW w:w="1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Borrowings under revolving loans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222,443</w:t>
            </w:r>
          </w:p>
        </w:tc>
        <w:tc>
          <w:tcPr>
            <w:tcW w:w="3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revolving loans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(202,443)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accounts with affiliates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(1,581)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3,979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Repayments of long-term debt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(2,148)</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capital lease debt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Repurchase of preferred and common 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Net cash flows provided by (used in) financing activities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(3,729)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23,973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13,691</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 AND EQUIVALENTS</w:t>
            </w: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year</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8,239</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EQUIVALENTS—End of year</w:t>
            </w: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10,357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116</w:t>
            </w: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89"/>
              </w:rPr>
              <w:t>Additions</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6"/>
              </w:rPr>
              <w:t>Charged to</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Charged</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1"/>
              </w:rPr>
              <w:t>Beginning</w:t>
            </w: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costs and</w:t>
            </w: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8"/>
              </w:rPr>
              <w:t>to other</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8"/>
              </w:rPr>
              <w:t>expenses</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8"/>
              </w:rPr>
              <w:t>accounts</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Deductions</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balance</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Description</w:t>
            </w:r>
          </w:p>
        </w:tc>
        <w:tc>
          <w:tcPr>
            <w:tcW w:w="17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Year ended December 31, 2008</w:t>
            </w: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Allowances deducted from assets to which they apply:</w:t>
            </w:r>
          </w:p>
        </w:tc>
        <w:tc>
          <w:tcPr>
            <w:tcW w:w="17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Allowances for doubtful accounts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1,489</w:t>
            </w:r>
          </w:p>
        </w:tc>
        <w:tc>
          <w:tcPr>
            <w:tcW w:w="46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(239)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1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20"/>
              <w:spacing w:after="0"/>
              <w:rPr>
                <w:sz w:val="20"/>
                <w:szCs w:val="20"/>
                <w:color w:val="auto"/>
              </w:rPr>
            </w:pPr>
            <w:r>
              <w:rPr>
                <w:rFonts w:ascii="Arial" w:cs="Arial" w:eastAsia="Arial" w:hAnsi="Arial"/>
                <w:sz w:val="18"/>
                <w:szCs w:val="18"/>
                <w:color w:val="auto"/>
              </w:rPr>
              <w:t>Allowances deducted from assets to which they apply:</w:t>
            </w:r>
          </w:p>
        </w:tc>
        <w:tc>
          <w:tcPr>
            <w:tcW w:w="17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Allowances for doubtful accounts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Year ended December 31, 2010</w:t>
            </w:r>
          </w:p>
        </w:tc>
        <w:tc>
          <w:tcPr>
            <w:tcW w:w="1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Allowances deducted from assets to which they apply:</w:t>
            </w:r>
          </w:p>
        </w:tc>
        <w:tc>
          <w:tcPr>
            <w:tcW w:w="17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20" w:type="dxa"/>
            <w:vAlign w:val="bottom"/>
          </w:tcPr>
          <w:p>
            <w:pPr>
              <w:ind w:left="440"/>
              <w:spacing w:after="0"/>
              <w:rPr>
                <w:sz w:val="20"/>
                <w:szCs w:val="20"/>
                <w:color w:val="auto"/>
              </w:rPr>
            </w:pPr>
            <w:r>
              <w:rPr>
                <w:rFonts w:ascii="Arial" w:cs="Arial" w:eastAsia="Arial" w:hAnsi="Arial"/>
                <w:sz w:val="18"/>
                <w:szCs w:val="18"/>
                <w:color w:val="auto"/>
              </w:rPr>
              <w:t>Allowances for doubtful accounts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46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447</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780" w:type="dxa"/>
            <w:vAlign w:val="bottom"/>
            <w:vMerge w:val="restart"/>
          </w:tcPr>
          <w:p>
            <w:pPr>
              <w:jc w:val="right"/>
              <w:ind w:right="672"/>
              <w:spacing w:after="0"/>
              <w:rPr>
                <w:sz w:val="20"/>
                <w:szCs w:val="20"/>
                <w:color w:val="auto"/>
              </w:rPr>
            </w:pPr>
            <w:r>
              <w:rPr>
                <w:rFonts w:ascii="Arial" w:cs="Arial" w:eastAsia="Arial" w:hAnsi="Arial"/>
                <w:sz w:val="18"/>
                <w:szCs w:val="18"/>
                <w:color w:val="auto"/>
              </w:rPr>
              <w:t>111</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NASDI, LLC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8"/>
            <w:vMerge w:val="restart"/>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REPORT OF INDEPENDENT REGISTERED PUBLIC ACCOUNTING FIRM</w:t>
              </w:r>
            </w:hyperlink>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20" w:type="dxa"/>
            <w:vAlign w:val="bottom"/>
            <w:gridSpan w:val="8"/>
            <w:vMerge w:val="continue"/>
          </w:tcPr>
          <w:p>
            <w:pPr>
              <w:spacing w:after="0"/>
              <w:rPr>
                <w:sz w:val="14"/>
                <w:szCs w:val="14"/>
                <w:color w:val="auto"/>
              </w:rPr>
            </w:pPr>
          </w:p>
        </w:tc>
        <w:tc>
          <w:tcPr>
            <w:tcW w:w="300" w:type="dxa"/>
            <w:vAlign w:val="bottom"/>
            <w:tcBorders>
              <w:top w:val="single" w:sz="8" w:color="auto"/>
            </w:tcBorders>
          </w:tcPr>
          <w:p>
            <w:pPr>
              <w:ind w:left="6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020" w:type="dxa"/>
            <w:vAlign w:val="bottom"/>
            <w:gridSpan w:val="8"/>
          </w:tcPr>
          <w:p>
            <w:pPr>
              <w:spacing w:after="0"/>
              <w:rPr>
                <w:sz w:val="20"/>
                <w:szCs w:val="20"/>
                <w:color w:val="auto"/>
              </w:rPr>
            </w:pPr>
            <w:r>
              <w:rPr>
                <w:rFonts w:ascii="Arial" w:cs="Arial" w:eastAsia="Arial" w:hAnsi="Arial"/>
                <w:sz w:val="18"/>
                <w:szCs w:val="18"/>
                <w:color w:val="auto"/>
                <w:w w:val="96"/>
              </w:rPr>
              <w:t>FINANCIAL STATEMENTS AS OF DECEMBER 31, 2010 AND 2009, AND FOR THE YEARS ENDED DECEMBER 31, 2010, 2009, AND 2008</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580" w:type="dxa"/>
            <w:vAlign w:val="bottom"/>
            <w:gridSpan w:val="7"/>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Balance Sheets</w:t>
              </w:r>
            </w:hyperlink>
          </w:p>
        </w:tc>
        <w:tc>
          <w:tcPr>
            <w:tcW w:w="320" w:type="dxa"/>
            <w:vAlign w:val="bottom"/>
            <w:gridSpan w:val="2"/>
          </w:tcPr>
          <w:p>
            <w:pPr>
              <w:ind w:left="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7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Statements of Operations</w:t>
              </w:r>
            </w:hyperlink>
          </w:p>
        </w:tc>
        <w:tc>
          <w:tcPr>
            <w:tcW w:w="8800" w:type="dxa"/>
            <w:vAlign w:val="bottom"/>
            <w:gridSpan w:val="5"/>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18">
              <w:r>
                <w:rPr>
                  <w:rFonts w:ascii="Arial" w:cs="Arial" w:eastAsia="Arial" w:hAnsi="Arial"/>
                  <w:sz w:val="18"/>
                  <w:szCs w:val="18"/>
                  <w:color w:val="0000EE"/>
                  <w:w w:val="88"/>
                </w:rPr>
                <w:t>Statements of Members’ Equity</w:t>
              </w:r>
            </w:hyperlink>
          </w:p>
        </w:tc>
        <w:tc>
          <w:tcPr>
            <w:tcW w:w="8340" w:type="dxa"/>
            <w:vAlign w:val="bottom"/>
            <w:gridSpan w:val="2"/>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580" w:type="dxa"/>
            <w:vAlign w:val="bottom"/>
            <w:gridSpan w:val="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Statements of Cash Flows</w:t>
              </w:r>
            </w:hyperlink>
          </w:p>
        </w:tc>
        <w:tc>
          <w:tcPr>
            <w:tcW w:w="320" w:type="dxa"/>
            <w:vAlign w:val="bottom"/>
            <w:gridSpan w:val="2"/>
          </w:tcPr>
          <w:p>
            <w:pPr>
              <w:ind w:left="6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80" w:type="dxa"/>
            <w:vAlign w:val="bottom"/>
            <w:gridSpan w:val="7"/>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Notes to Financial Statements</w:t>
              </w:r>
            </w:hyperlink>
          </w:p>
        </w:tc>
        <w:tc>
          <w:tcPr>
            <w:tcW w:w="320" w:type="dxa"/>
            <w:vAlign w:val="bottom"/>
            <w:gridSpan w:val="2"/>
          </w:tcPr>
          <w:p>
            <w:pPr>
              <w:ind w:left="6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340" w:type="dxa"/>
            <w:vAlign w:val="bottom"/>
            <w:gridSpan w:val="2"/>
          </w:tcPr>
          <w:p>
            <w:pPr>
              <w:ind w:left="292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Managers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NASDI,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Waltham, Massachusetts</w:t>
      </w:r>
    </w:p>
    <w:p>
      <w:pPr>
        <w:spacing w:after="0" w:line="12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balance sheets of NASDI, LLC (the “Company”) as of December 31, 2010 and 2009, and the related statements of operations, members’ equity, and cash flows for each of the three years in the period ended December 31, 2010. Our audits also included the financial statement schedule listed in the Index at Item 15. These financial statements and financial statement schedule are the responsibility of the Company’s management. Our responsibility is to express an opinion on these financial statements and financial statement schedule based on our audits.</w:t>
      </w:r>
    </w:p>
    <w:p>
      <w:pPr>
        <w:spacing w:after="0" w:line="11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our opinion, such financial statements present fairly, in all material respects, the financial position of the Company as of December 31, 2010 and 2009, and the results of its operations and its cash flows for each of the three years in the period ended December 31, 2010, in conformity with accounting principles generally accepted in the United States of America. Also, in our opinion, such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indicated in Note 1 to the financial statements, on April 30, 2008, Great Lakes Dredge &amp; Dock Corporation (“GLDD”) acquired the 15% of North American Site Developers, Inc. it did not already own, and then converted the Company into a limited liability company, NASDI, LLC. Accordingly, the financial information included in the accompanying financial statements for the periods prior to April 30, 2008 represents the financial information of North American Site Developers, Inc.</w:t>
      </w:r>
    </w:p>
    <w:p>
      <w:pPr>
        <w:spacing w:after="0" w:line="14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Also as indicated in Note 1 to the financial statements, the Company is a subsidiary of GLDD. The accompanying financial statements have been prepared from the records maintained by the Company and GLDD and may not necessarily be indicative of the conditions that would have existed or the results of the operations if the Company had been operated as an unaffiliated company. Portions of certain income and expenses represent allocations made from GLDD’s income and expenses applicable to GLDD as a whole. GLDD has provided a letter to the Company indicating that it will not demand the Company repay the amounts payable to GLDD prior to January 2, 2013 even though such payables are due on demand.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NASDI,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2010 AND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17,921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OTHER INTANGIBLE ASSETS - Net</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54,971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14,183</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Payables to parent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11,166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Payables to affiliate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equipment debt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8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32,360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8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32,755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MEMBERS’ EQUITY</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22,216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54,971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NASDI,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2010, 2009 AND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74,945</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$43,790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68,522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12,203</w:t>
            </w: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to related party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(7,846)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NASDI,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MEMBERS’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2010, 2009 AND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2"/>
              </w:rPr>
              <w:t>Common</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Members’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Paid-In</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78"/>
              </w:rPr>
              <w:t>Stock</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Capital</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Deficit</w:t>
            </w:r>
          </w:p>
        </w:tc>
        <w:tc>
          <w:tcPr>
            <w:tcW w:w="400" w:type="dxa"/>
            <w:vAlign w:val="bottom"/>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(1,307)</w:t>
            </w: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Conversion of debt from affiliate into equity (Note 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27,242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27,242</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remaining 15% interest and conversion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to a limited liability company (Note 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$ 30,305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(30,897)</w:t>
            </w:r>
          </w:p>
        </w:tc>
        <w:tc>
          <w:tcPr>
            <w:tcW w:w="1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2,355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1,763</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18"/>
                <w:szCs w:val="18"/>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BALANCE — December 31, 2008</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30,627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30,627</w:t>
            </w: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r>
      <w:tr>
        <w:trPr>
          <w:trHeight w:val="223"/>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(7,846)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(7,846)</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2009</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2010</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$ 22,216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22,216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NASDI,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2010, 2009 AND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2009</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Net (loss)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(7,846)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2,424</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2,484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Loss (gain) on dispositions of property and equipment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(7,727)</w:t>
            </w: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(5,816)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7,932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(2,199)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ind w:left="640"/>
              <w:spacing w:after="0"/>
              <w:rPr>
                <w:sz w:val="20"/>
                <w:szCs w:val="20"/>
                <w:color w:val="auto"/>
              </w:rPr>
            </w:pPr>
            <w:r>
              <w:rPr>
                <w:rFonts w:ascii="Arial" w:cs="Arial" w:eastAsia="Arial" w:hAnsi="Arial"/>
                <w:sz w:val="18"/>
                <w:szCs w:val="18"/>
                <w:color w:val="auto"/>
              </w:rPr>
              <w:t>Net cash (used in) provided by operating activities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(3,211)</w:t>
            </w:r>
          </w:p>
        </w:tc>
        <w:tc>
          <w:tcPr>
            <w:tcW w:w="8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(3,695)</w:t>
            </w: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(2,103)</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 of property and equipment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ind w:left="64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(1,690)</w:t>
            </w: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Change in payables to parent and affiliates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5,006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7,407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equipment debt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(1,193)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(1,773)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3,813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(3,729)</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 and cash equivalents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year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 End of year</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Cash paid for interest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ACTIVITY</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purchased on equipment notes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FINANCING ACTIVITY</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cash conversion of debt to equity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NASDI,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2010 AND 2009 AND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2010, 2009 AND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REMAINING INTEREST ACQUISITION</w:t>
      </w:r>
    </w:p>
    <w:p>
      <w:pPr>
        <w:spacing w:after="0" w:line="130" w:lineRule="exact"/>
        <w:rPr>
          <w:rFonts w:ascii="Arial" w:cs="Arial" w:eastAsia="Arial" w:hAnsi="Arial"/>
          <w:sz w:val="18"/>
          <w:szCs w:val="18"/>
          <w:b w:val="1"/>
          <w:bCs w:val="1"/>
          <w:color w:val="auto"/>
        </w:rPr>
      </w:pPr>
    </w:p>
    <w:p>
      <w:pPr>
        <w:ind w:left="460" w:right="36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 NASDI, LLC (the “Company”) is a demolition service provider located in the Boston, Massachusetts area. The Company’s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consist of interior and exterior demolition of commercial and industrial buildings, salvage and recycling of related materials, and removal of hazardous substances and materials.</w:t>
      </w:r>
    </w:p>
    <w:p>
      <w:pPr>
        <w:spacing w:after="0" w:line="97"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NASDI Holdings Corporation (“NASDI Holdings”), a wholly owned subsidiary of Great Lakes Dredge &amp; Dock Corporation (“GLDD”), is the owner of 100% of the Class A interests, which provide a $28,000 liquidation preference with respect to proceeds upon disposition of the Company. NASDI Holdings also owns 65% of the Class B interests, with the remaining 35% owned by Christopher A. Berardi. The holders of Class B interests are entitled to receive periodic distributions of future profits based on available cash flows from operations on a pro rata basis in proportion to their percentage ownership interest.</w:t>
      </w:r>
    </w:p>
    <w:p>
      <w:pPr>
        <w:spacing w:after="0" w:line="102"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accompanying financial statements have been prepared from the records maintained by the Company and GLDD and may not necessarily be indicative of the conditions that would have existed or the results of the operations if the Company had been operated as an unaffiliated company. Portions of certain income and expenses represent allocations made from GLDD’s income and expenses applicable to GLDD as a whole. GLDD has provided a letter to the Company indicating that it will not demand the Company repay the amounts payable to GLDD prior to January 2, 2013 even though such payables are due on demand.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Remaining 15% Interest Acquisition by GLDD </w:t>
      </w:r>
      <w:r>
        <w:rPr>
          <w:rFonts w:ascii="Arial" w:cs="Arial" w:eastAsia="Arial" w:hAnsi="Arial"/>
          <w:sz w:val="16"/>
          <w:szCs w:val="16"/>
          <w:color w:val="auto"/>
        </w:rPr>
        <w:t>— On April 30, 2008, GLDD acquired the remaining 15% interest in North American Site</w:t>
      </w:r>
    </w:p>
    <w:p>
      <w:pPr>
        <w:spacing w:after="0" w:line="44" w:lineRule="exact"/>
        <w:rPr>
          <w:rFonts w:ascii="Arial" w:cs="Arial" w:eastAsia="Arial" w:hAnsi="Arial"/>
          <w:sz w:val="18"/>
          <w:szCs w:val="18"/>
          <w:b w:val="1"/>
          <w:bCs w:val="1"/>
          <w:color w:val="auto"/>
        </w:rPr>
      </w:pPr>
    </w:p>
    <w:p>
      <w:pPr>
        <w:ind w:left="4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Developers, Inc. (“NASDI Inc.”), which it did not previously own, from Christopher A. Berardi, then President of NASDI Inc. Following the acquisition of this remaining interest, GLDD converted $27,242 of debt owed to GLDD by NASDI Inc. into Class A interests. Additionally, the Company also entered into a series of transactions for the purpose of restructuring the Company’s arrangements with Mr. Berardi. As a result of these transactions, the operations of NASDI Inc. were contributed into the Company, a newly formed Delaware limited liability company, which then issued the Class A and Class B member interests. Accordingly, the operations for the period from January 1, 2007 to April 30, 2008 reflected in these financial statements are of NASDI, Inc., the predecessor company. Also, throughout this same period, NASDI, Inc. had 1,000 shares of common stock (par value of $0.01 per share) authorized, issued and outstanding.</w:t>
      </w:r>
    </w:p>
    <w:p>
      <w:pPr>
        <w:spacing w:after="0" w:line="106" w:lineRule="exact"/>
        <w:rPr>
          <w:rFonts w:ascii="Arial" w:cs="Arial" w:eastAsia="Arial" w:hAnsi="Arial"/>
          <w:sz w:val="18"/>
          <w:szCs w:val="18"/>
          <w:b w:val="1"/>
          <w:bCs w:val="1"/>
          <w:color w:val="auto"/>
        </w:rPr>
      </w:pPr>
    </w:p>
    <w:p>
      <w:pPr>
        <w:ind w:left="460" w:right="1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Pursuant to the terms of the Company’s Limited Liability Company Agreement, GLDD has the ability to call Mr. Berardi’s 35% Class B interest upon Mr. Berardi’s termination of employment, upon a change in control related to GLDD or any time after December 31, 2010. The call payment is based on a formula that considers the Company’s average annual EBITDA for a two-year period, as adjusted for the Class A liquidation preference and outstanding indebtedness of the Company. The call payment is limited, in certain situations, to a maximum of $1,500.</w:t>
      </w:r>
    </w:p>
    <w:p>
      <w:pPr>
        <w:spacing w:after="0" w:line="72" w:lineRule="exact"/>
        <w:rPr>
          <w:rFonts w:ascii="Arial" w:cs="Arial" w:eastAsia="Arial" w:hAnsi="Arial"/>
          <w:sz w:val="18"/>
          <w:szCs w:val="18"/>
          <w:b w:val="1"/>
          <w:bCs w:val="1"/>
          <w:color w:val="auto"/>
        </w:rPr>
      </w:pPr>
    </w:p>
    <w:p>
      <w:pPr>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GLDD, through its NASDI Holdings subsidiary, also entered into an employment agreement with Mr. Berardi that establishes the terms of Mr. Berardi’s salary and benefits as an employee of NASDI Holdings. Additionally, in the event of a sale of all or a material portion of the Company, Mr. Berardi is entitled to a cash payment equal to 35% of the proceeds received by GLDD in connection with the sale of the Company to a third party, but such payment shall not exceed $9,800.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color w:val="auto"/>
        </w:rPr>
        <w:t>The acquisition of the remaining interest was accounted for as a purchase with a purchase price of $1,939 equal to the fair value of consideration received by Mr. Berardi, including the 35% interest in Class B shares, a cash payment of $5 and the fair value of future obligations of GLDD to Mr. Berardi. Accordingly, the assets and liabilities associated with this 15% interest were adjusted to their estimated fair values. A summary of the allocation of purchase price, which was pushed down to the assets and liabilities of the Company, is as follows:</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Intangible assets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assets and liabilities</w:t>
            </w:r>
          </w:p>
        </w:tc>
        <w:tc>
          <w:tcPr>
            <w:tcW w:w="2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460" w:right="6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(“GAAP”) requires management to make estimates and assumptions that affect certain reported amounts and disclosures. Accordingly, actual results could differ from those estimates.</w:t>
      </w:r>
    </w:p>
    <w:p>
      <w:pPr>
        <w:spacing w:after="0" w:line="91"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Revenues and Cost Recognition on Contracts </w:t>
      </w:r>
      <w:r>
        <w:rPr>
          <w:rFonts w:ascii="Arial" w:cs="Arial" w:eastAsia="Arial" w:hAnsi="Arial"/>
          <w:sz w:val="16"/>
          <w:szCs w:val="16"/>
          <w:color w:val="auto"/>
        </w:rPr>
        <w:t>— The majority of the Company’s contracts for demolition services are fixed-price contracts, with others</w:t>
      </w:r>
      <w:r>
        <w:rPr>
          <w:rFonts w:ascii="Arial" w:cs="Arial" w:eastAsia="Arial" w:hAnsi="Arial"/>
          <w:sz w:val="16"/>
          <w:szCs w:val="16"/>
          <w:b w:val="1"/>
          <w:bCs w:val="1"/>
          <w:color w:val="auto"/>
        </w:rPr>
        <w:t xml:space="preserve"> </w:t>
      </w:r>
      <w:r>
        <w:rPr>
          <w:rFonts w:ascii="Arial" w:cs="Arial" w:eastAsia="Arial" w:hAnsi="Arial"/>
          <w:sz w:val="16"/>
          <w:szCs w:val="16"/>
          <w:color w:val="auto"/>
        </w:rPr>
        <w:t>managed as time and materials or equipment rental projects. Substantially all of the Company’s contract revenues, including salvage revenues, are recognized under the percentage-of-completion method, using a cost-to-cost method to measure the extent of progress toward completion. Contract revenues are adjusted to reflect the gross profit percentage expected to be achieved upon ultimate completion of each project. Provisions for estimated losses on contracts in progress are made in the period in which such losses are determined.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Change orders are often negotiated when a change in conditions from the original contract specifications is encountered, necessitating a change in project performance methodology. Such change orders are considered changes in the scope of the original projects to which they relate and the project estimates are adjusted accordingly.</w:t>
      </w:r>
    </w:p>
    <w:p>
      <w:pPr>
        <w:spacing w:after="0" w:line="80" w:lineRule="exact"/>
        <w:rPr>
          <w:rFonts w:ascii="Arial" w:cs="Arial" w:eastAsia="Arial" w:hAnsi="Arial"/>
          <w:sz w:val="18"/>
          <w:szCs w:val="18"/>
          <w:b w:val="1"/>
          <w:bCs w:val="1"/>
          <w:color w:val="auto"/>
        </w:rPr>
      </w:pPr>
    </w:p>
    <w:p>
      <w:pPr>
        <w:ind w:left="460" w:right="2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components of costs of contract revenues include labor, equipment (including depreciation, maintenance, insurance, and rentals), subcontracts, and project overhead. Hourly labor is generally hired on a project-by-project basis. Costs of contract revenues vary significantly depending on the type and location of work performed. Contract revenues include revenues from salvage proceeds for the years ended December 31, 2010, 2009, and 2008 totaling $7,138, $5,235, and $10,973, respectively.</w:t>
      </w:r>
    </w:p>
    <w:p>
      <w:pPr>
        <w:spacing w:after="0" w:line="96" w:lineRule="exact"/>
        <w:rPr>
          <w:rFonts w:ascii="Arial" w:cs="Arial" w:eastAsia="Arial" w:hAnsi="Arial"/>
          <w:sz w:val="18"/>
          <w:szCs w:val="18"/>
          <w:b w:val="1"/>
          <w:bCs w:val="1"/>
          <w:color w:val="auto"/>
        </w:rPr>
      </w:pPr>
    </w:p>
    <w:p>
      <w:pPr>
        <w:ind w:left="460" w:right="14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Classification of Current Assets and Liabilities </w:t>
      </w:r>
      <w:r>
        <w:rPr>
          <w:rFonts w:ascii="Arial" w:cs="Arial" w:eastAsia="Arial" w:hAnsi="Arial"/>
          <w:sz w:val="18"/>
          <w:szCs w:val="18"/>
          <w:color w:val="auto"/>
        </w:rPr>
        <w:t>— The Company includes in current assets and liabilities amounts realizable and payable in the normal</w:t>
      </w:r>
      <w:r>
        <w:rPr>
          <w:rFonts w:ascii="Arial" w:cs="Arial" w:eastAsia="Arial" w:hAnsi="Arial"/>
          <w:sz w:val="18"/>
          <w:szCs w:val="18"/>
          <w:b w:val="1"/>
          <w:bCs w:val="1"/>
          <w:color w:val="auto"/>
        </w:rPr>
        <w:t xml:space="preserve"> </w:t>
      </w:r>
      <w:r>
        <w:rPr>
          <w:rFonts w:ascii="Arial" w:cs="Arial" w:eastAsia="Arial" w:hAnsi="Arial"/>
          <w:sz w:val="18"/>
          <w:szCs w:val="18"/>
          <w:color w:val="auto"/>
        </w:rPr>
        <w:t>course of contract completion, unless completion of such contracts extends significantly beyond one year.</w:t>
      </w:r>
    </w:p>
    <w:p>
      <w:pPr>
        <w:spacing w:after="0" w:line="79" w:lineRule="exact"/>
        <w:rPr>
          <w:rFonts w:ascii="Arial" w:cs="Arial" w:eastAsia="Arial" w:hAnsi="Arial"/>
          <w:sz w:val="18"/>
          <w:szCs w:val="18"/>
          <w:b w:val="1"/>
          <w:bCs w:val="1"/>
          <w:color w:val="auto"/>
        </w:rPr>
      </w:pPr>
    </w:p>
    <w:p>
      <w:pPr>
        <w:ind w:left="460" w:right="6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purchased with an initial maturity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339" w:lineRule="auto"/>
        <w:rPr>
          <w:sz w:val="20"/>
          <w:szCs w:val="20"/>
          <w:color w:val="auto"/>
        </w:rPr>
      </w:pPr>
      <w:r>
        <w:rPr>
          <w:rFonts w:ascii="Arial" w:cs="Arial" w:eastAsia="Arial" w:hAnsi="Arial"/>
          <w:sz w:val="15"/>
          <w:szCs w:val="15"/>
          <w:b w:val="1"/>
          <w:bCs w:val="1"/>
          <w:color w:val="auto"/>
        </w:rPr>
        <w:t xml:space="preserve">Accounts Receivable </w:t>
      </w:r>
      <w:r>
        <w:rPr>
          <w:rFonts w:ascii="Arial" w:cs="Arial" w:eastAsia="Arial" w:hAnsi="Arial"/>
          <w:sz w:val="15"/>
          <w:szCs w:val="15"/>
          <w:color w:val="auto"/>
        </w:rPr>
        <w:t>—</w:t>
      </w:r>
      <w:r>
        <w:rPr>
          <w:rFonts w:ascii="Arial" w:cs="Arial" w:eastAsia="Arial" w:hAnsi="Arial"/>
          <w:sz w:val="15"/>
          <w:szCs w:val="15"/>
          <w:b w:val="1"/>
          <w:bCs w:val="1"/>
          <w:color w:val="auto"/>
        </w:rPr>
        <w:t xml:space="preserve"> Net </w:t>
      </w:r>
      <w:r>
        <w:rPr>
          <w:rFonts w:ascii="Arial" w:cs="Arial" w:eastAsia="Arial" w:hAnsi="Arial"/>
          <w:sz w:val="15"/>
          <w:szCs w:val="15"/>
          <w:color w:val="auto"/>
        </w:rPr>
        <w:t>— Accounts receivable represent amounts due or billable under the terms of contracts with customers, including amounts</w:t>
      </w:r>
      <w:r>
        <w:rPr>
          <w:rFonts w:ascii="Arial" w:cs="Arial" w:eastAsia="Arial" w:hAnsi="Arial"/>
          <w:sz w:val="15"/>
          <w:szCs w:val="15"/>
          <w:b w:val="1"/>
          <w:bCs w:val="1"/>
          <w:color w:val="auto"/>
        </w:rPr>
        <w:t xml:space="preserve"> </w:t>
      </w:r>
      <w:r>
        <w:rPr>
          <w:rFonts w:ascii="Arial" w:cs="Arial" w:eastAsia="Arial" w:hAnsi="Arial"/>
          <w:sz w:val="15"/>
          <w:szCs w:val="15"/>
          <w:color w:val="auto"/>
        </w:rPr>
        <w:t>related to retainage. The Company anticipates collection of retainage within one year, and accordingly presents retainage as a current asset. The Company provides an allowance for estimated uncollectible receivables when events or conditions indicate that amounts outstanding are not recoverable.</w:t>
      </w:r>
    </w:p>
    <w:p>
      <w:pPr>
        <w:spacing w:after="0" w:line="39"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w:t>
      </w:r>
      <w:r>
        <w:rPr>
          <w:rFonts w:ascii="Arial" w:cs="Arial" w:eastAsia="Arial" w:hAnsi="Arial"/>
          <w:sz w:val="18"/>
          <w:szCs w:val="18"/>
          <w:b w:val="1"/>
          <w:bCs w:val="1"/>
          <w:color w:val="auto"/>
        </w:rPr>
        <w:t xml:space="preserve"> Net </w:t>
      </w:r>
      <w:r>
        <w:rPr>
          <w:rFonts w:ascii="Arial" w:cs="Arial" w:eastAsia="Arial" w:hAnsi="Arial"/>
          <w:sz w:val="18"/>
          <w:szCs w:val="18"/>
          <w:color w:val="auto"/>
        </w:rPr>
        <w:t>— Capital additions, improvements, and major renewals are classified as property and equipment and are carried at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depreciated cost. Maintenance and repairs that do not significantly extend the useful lives of the assets or enhance the capabilities of such assets are charged to earnings as incurred. Depreciation is recorded over the estimated useful lives of property and equipment using the straight-line method and the mid-year depreciation convention. Leasehold improvements are depreciated over the shorter of the remaining life of the lease or the estimated useful life of the asset. The estimated useful lives by class of assets are: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Class</w:t>
            </w:r>
          </w:p>
        </w:tc>
        <w:tc>
          <w:tcPr>
            <w:tcW w:w="1720" w:type="dxa"/>
            <w:vAlign w:val="bottom"/>
            <w:gridSpan w:val="3"/>
          </w:tcPr>
          <w:p>
            <w:pPr>
              <w:ind w:left="960"/>
              <w:spacing w:after="0"/>
              <w:rPr>
                <w:sz w:val="20"/>
                <w:szCs w:val="20"/>
                <w:color w:val="auto"/>
              </w:rPr>
            </w:pPr>
            <w:r>
              <w:rPr>
                <w:rFonts w:ascii="Arial" w:cs="Arial" w:eastAsia="Arial" w:hAnsi="Arial"/>
                <w:sz w:val="14"/>
                <w:szCs w:val="14"/>
                <w:b w:val="1"/>
                <w:bCs w:val="1"/>
                <w:color w:val="auto"/>
                <w:w w:val="96"/>
              </w:rPr>
              <w:t>Age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dozers, excavators and other operating equipment and systems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 Goodwill represents the excess of cost over fair value. Other identifiable intangibles mainly represent</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technology and databases, customer relationships, and customer contracts acquired in business combinations and are being amortized over a 7 to 10-year period. Goodwill is tested annually for impairment in the third quarter of each year, or more frequently should circumstances dictate. Goodwill of a reporting unit is tested for impairment between annual tests if an event occurs or circumstances change that would more likely than not reduce the fair value of a reporting unit below its carrying amount.</w:t>
      </w:r>
    </w:p>
    <w:p>
      <w:pPr>
        <w:spacing w:after="0" w:line="104"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expected periods the assets will be utilized, appropriate discount rates and other variables. The estimates are based on assumptions that the Company believes to be reasonable, but which are unpredictable and inherently uncertain. Changes in these estimates and assumptions could materially affect the determination of fair value, and may result in the impairment of goodwill in the event that actual results differ from those estimates.</w:t>
      </w:r>
    </w:p>
    <w:p>
      <w:pPr>
        <w:spacing w:after="0" w:line="80"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The market approach measures the value of an entity through comparison to comparable companies. Under the market approach, the Company uses the guideline public company method by applying an estimated market-based enterprise value multiple to the reporting unit’s estimated revenue and EBITDA. The Company analyzes companies that perform similar services or are considered peers. Due to the fact that there are no public companies that are our direct competitors, the Company weighed the results of this approach less than the income approach.</w:t>
      </w:r>
    </w:p>
    <w:p>
      <w:pPr>
        <w:spacing w:after="0" w:line="72"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The Company performed its annual test of impairment as of July 1, 2010 with no indication of goodwill impairment as of the test date. As of the measurement date, the estimated fair value was approximately 25% above the carrying value. No test was performed as of December 31, 2010 as based on the Company’s current forecasts, no triggering events which would require a test were deemed to have occurred.</w:t>
      </w:r>
    </w:p>
    <w:p>
      <w:pPr>
        <w:spacing w:after="0" w:line="60" w:lineRule="exact"/>
        <w:rPr>
          <w:sz w:val="20"/>
          <w:szCs w:val="20"/>
          <w:color w:val="auto"/>
        </w:rPr>
      </w:pPr>
    </w:p>
    <w:p>
      <w:pPr>
        <w:ind w:left="460"/>
        <w:spacing w:after="0" w:line="296" w:lineRule="auto"/>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16"/>
          <w:szCs w:val="16"/>
          <w:color w:val="auto"/>
        </w:rPr>
        <w:t>— Long-lived assets are composed of property and equipment and intangible assets subject to amortization. Long-lived assets to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and used are 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If long-lived assets are to be disposed, depreciation is discontinued, if applicable, and the assets are reclassified as held for sale at the lower of their carrying amounts or fair values less estimated costs to sell. No triggering events were identified in 2010, 2009 or 2008.</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313" w:lineRule="auto"/>
        <w:rPr>
          <w:sz w:val="20"/>
          <w:szCs w:val="20"/>
          <w:color w:val="auto"/>
        </w:rPr>
      </w:pPr>
      <w:r>
        <w:rPr>
          <w:rFonts w:ascii="Arial" w:cs="Arial" w:eastAsia="Arial" w:hAnsi="Arial"/>
          <w:sz w:val="15"/>
          <w:szCs w:val="15"/>
          <w:b w:val="1"/>
          <w:bCs w:val="1"/>
          <w:color w:val="auto"/>
        </w:rPr>
        <w:t xml:space="preserve">Self-Insurance Reserves </w:t>
      </w:r>
      <w:r>
        <w:rPr>
          <w:rFonts w:ascii="Arial" w:cs="Arial" w:eastAsia="Arial" w:hAnsi="Arial"/>
          <w:sz w:val="15"/>
          <w:szCs w:val="15"/>
          <w:color w:val="auto"/>
        </w:rPr>
        <w:t>— Effective January 1, 2008, the Company self-insures costs associated with its employees, workers’ compensation claims, and</w:t>
      </w:r>
      <w:r>
        <w:rPr>
          <w:rFonts w:ascii="Arial" w:cs="Arial" w:eastAsia="Arial" w:hAnsi="Arial"/>
          <w:sz w:val="15"/>
          <w:szCs w:val="15"/>
          <w:b w:val="1"/>
          <w:bCs w:val="1"/>
          <w:color w:val="auto"/>
        </w:rPr>
        <w:t xml:space="preserve"> </w:t>
      </w:r>
      <w:r>
        <w:rPr>
          <w:rFonts w:ascii="Arial" w:cs="Arial" w:eastAsia="Arial" w:hAnsi="Arial"/>
          <w:sz w:val="15"/>
          <w:szCs w:val="15"/>
          <w:color w:val="auto"/>
        </w:rPr>
        <w:t>general business liabilities up to certain limits via participation in GLDD’s insurance programs. Insurance reserves are established for estimates of the loss that the Company will ultimately incur on reported claims, as well as estimates of claims that have been incurred but not yet reported. In determining its estimates, the Company incorporates historical loss experience and judgments about the present and expected levels of cost per claim. Trends in actual experience are a significant factor in the determination of such reserves. Prior to 2008, the Company participated in the insurance programs of GLDD by paying an annual premium to GLDD, with any losses in excess of the premiums paid being absorbed by GLDD. Accordingly, any losses incurred subsequent to January 1, 2008 related to claims for events prior to that date are expensed by GLDD with no further charges to the Company.</w:t>
      </w:r>
    </w:p>
    <w:p>
      <w:pPr>
        <w:spacing w:after="0" w:line="60"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Subsequent to April 30, 2008, income or loss of the Company is included in the income tax returns of the members in proportion to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Class B interests. All income tax provisions relate to operations of the predecessor company, NASDI Inc., for the period from January 1, 2007 to April 30, 2008.</w:t>
      </w:r>
    </w:p>
    <w:p>
      <w:pPr>
        <w:spacing w:after="0" w:line="98" w:lineRule="exact"/>
        <w:rPr>
          <w:sz w:val="20"/>
          <w:szCs w:val="20"/>
          <w:color w:val="auto"/>
        </w:rPr>
      </w:pPr>
    </w:p>
    <w:p>
      <w:pPr>
        <w:ind w:left="460" w:right="60"/>
        <w:spacing w:after="0" w:line="335" w:lineRule="auto"/>
        <w:rPr>
          <w:sz w:val="20"/>
          <w:szCs w:val="20"/>
          <w:color w:val="auto"/>
        </w:rPr>
      </w:pPr>
      <w:r>
        <w:rPr>
          <w:rFonts w:ascii="Arial" w:cs="Arial" w:eastAsia="Arial" w:hAnsi="Arial"/>
          <w:sz w:val="15"/>
          <w:szCs w:val="15"/>
          <w:color w:val="auto"/>
        </w:rPr>
        <w:t>For periods prior to April 30, 2008, the provision for income taxes includes federal and state income taxes currently payable and those deferred because of temporary differences between the financial statement and tax bases of assets and liabilities. Recorded deferred income tax assets and liabilities are based on the estimated future tax effects of differences between the financial and tax basis of assets and liabilities, given the effect of currently enacted tax laws.</w:t>
      </w:r>
    </w:p>
    <w:p>
      <w:pPr>
        <w:spacing w:after="0" w:line="42" w:lineRule="exact"/>
        <w:rPr>
          <w:sz w:val="20"/>
          <w:szCs w:val="20"/>
          <w:color w:val="auto"/>
        </w:rPr>
      </w:pPr>
    </w:p>
    <w:p>
      <w:pPr>
        <w:ind w:left="460" w:right="300"/>
        <w:spacing w:after="0" w:line="275"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carrying value of financial instruments included in current assets and current liabilities approximates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due to the short-term maturities of these instruments.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Comprehensive Income (Loss) </w:t>
      </w:r>
      <w:r>
        <w:rPr>
          <w:rFonts w:ascii="Arial" w:cs="Arial" w:eastAsia="Arial" w:hAnsi="Arial"/>
          <w:sz w:val="16"/>
          <w:szCs w:val="16"/>
          <w:color w:val="auto"/>
        </w:rPr>
        <w:t>— Comprehensive income (loss) is equal to net income (loss) as presented in the statements of operations.</w:t>
      </w:r>
    </w:p>
    <w:p>
      <w:pPr>
        <w:spacing w:after="0" w:line="1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3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at December 31, 2010 and 2009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Contracts in progress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4,558</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20" w:type="dxa"/>
            <w:vAlign w:val="bottom"/>
            <w:shd w:val="clear" w:color="auto" w:fill="CCEEFF"/>
          </w:tcPr>
          <w:p>
            <w:pPr>
              <w:spacing w:after="0"/>
              <w:rPr>
                <w:sz w:val="18"/>
                <w:szCs w:val="18"/>
                <w:color w:val="auto"/>
              </w:rPr>
            </w:pPr>
          </w:p>
        </w:tc>
      </w:tr>
      <w:tr>
        <w:trPr>
          <w:trHeight w:val="221"/>
        </w:trPr>
        <w:tc>
          <w:tcPr>
            <w:tcW w:w="7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18,721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10,694</w:t>
            </w:r>
          </w:p>
        </w:tc>
        <w:tc>
          <w:tcPr>
            <w:tcW w:w="120" w:type="dxa"/>
            <w:vAlign w:val="bottom"/>
          </w:tcPr>
          <w:p>
            <w:pPr>
              <w:spacing w:after="0"/>
              <w:rPr>
                <w:sz w:val="19"/>
                <w:szCs w:val="19"/>
                <w:color w:val="auto"/>
              </w:rPr>
            </w:pPr>
          </w:p>
        </w:tc>
      </w:tr>
      <w:tr>
        <w:trPr>
          <w:trHeight w:val="218"/>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Total accounts receivable—net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17,921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10,194</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CONTRACTS IN PROGRESS</w:t>
      </w:r>
    </w:p>
    <w:p>
      <w:pPr>
        <w:spacing w:after="0" w:line="13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contracts in progress at December 31, 2010 and 2009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4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48,095</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25,238</w:t>
            </w:r>
          </w:p>
        </w:tc>
        <w:tc>
          <w:tcPr>
            <w:tcW w:w="120" w:type="dxa"/>
            <w:vAlign w:val="bottom"/>
          </w:tcPr>
          <w:p>
            <w:pPr>
              <w:spacing w:after="0"/>
              <w:rPr>
                <w:sz w:val="18"/>
                <w:szCs w:val="18"/>
                <w:color w:val="auto"/>
              </w:rPr>
            </w:pP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(41,072)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(23,612)</w:t>
            </w:r>
          </w:p>
        </w:tc>
      </w:tr>
      <w:tr>
        <w:trPr>
          <w:trHeight w:val="221"/>
        </w:trPr>
        <w:tc>
          <w:tcPr>
            <w:tcW w:w="6840" w:type="dxa"/>
            <w:vAlign w:val="bottom"/>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19"/>
                <w:szCs w:val="19"/>
                <w:color w:val="auto"/>
              </w:rPr>
            </w:pP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8"/>
                <w:szCs w:val="18"/>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Total contract revenues in excess of billings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7,805</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40" w:type="dxa"/>
            <w:vAlign w:val="bottom"/>
          </w:tcPr>
          <w:p>
            <w:pPr>
              <w:ind w:left="440"/>
              <w:spacing w:after="0"/>
              <w:rPr>
                <w:sz w:val="20"/>
                <w:szCs w:val="20"/>
                <w:color w:val="auto"/>
              </w:rPr>
            </w:pPr>
            <w:r>
              <w:rPr>
                <w:rFonts w:ascii="Arial" w:cs="Arial" w:eastAsia="Arial" w:hAnsi="Arial"/>
                <w:sz w:val="18"/>
                <w:szCs w:val="18"/>
                <w:color w:val="auto"/>
              </w:rPr>
              <w:t>Amounts billed</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(9,215)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(13,903)</w:t>
            </w:r>
          </w:p>
        </w:tc>
      </w:tr>
      <w:tr>
        <w:trPr>
          <w:trHeight w:val="216"/>
        </w:trPr>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13,112</w:t>
            </w:r>
          </w:p>
        </w:tc>
        <w:tc>
          <w:tcPr>
            <w:tcW w:w="120" w:type="dxa"/>
            <w:vAlign w:val="bottom"/>
            <w:shd w:val="clear" w:color="auto" w:fill="CCEEFF"/>
          </w:tcPr>
          <w:p>
            <w:pPr>
              <w:spacing w:after="0"/>
              <w:rPr>
                <w:sz w:val="18"/>
                <w:szCs w:val="18"/>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Total billings in excess of contract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(894)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(791)</w:t>
            </w:r>
          </w:p>
        </w:tc>
      </w:tr>
      <w:tr>
        <w:trPr>
          <w:trHeight w:val="20"/>
        </w:trPr>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3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 in the carrying amount of goodwill during the years ended December 31, 2010 and 2009 is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2009</w:t>
            </w:r>
          </w:p>
        </w:tc>
        <w:tc>
          <w:tcPr>
            <w:tcW w:w="3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Goodwill</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$26,040</w:t>
            </w:r>
          </w:p>
        </w:tc>
        <w:tc>
          <w:tcPr>
            <w:tcW w:w="1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3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(4,816)</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w w:val="88"/>
              </w:rPr>
              <w:t>Balance - January 1, 2009 and December 31, 2009</w:t>
            </w:r>
          </w:p>
        </w:tc>
        <w:tc>
          <w:tcPr>
            <w:tcW w:w="34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21,224</w:t>
            </w:r>
          </w:p>
        </w:tc>
        <w:tc>
          <w:tcPr>
            <w:tcW w:w="12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2010</w:t>
            </w:r>
          </w:p>
        </w:tc>
        <w:tc>
          <w:tcPr>
            <w:tcW w:w="3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21,224</w:t>
            </w:r>
          </w:p>
        </w:tc>
        <w:tc>
          <w:tcPr>
            <w:tcW w:w="120" w:type="dxa"/>
            <w:vAlign w:val="bottom"/>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4140" w:type="dxa"/>
            <w:vAlign w:val="bottom"/>
            <w:gridSpan w:val="3"/>
          </w:tcPr>
          <w:p>
            <w:pPr>
              <w:jc w:val="right"/>
              <w:ind w:right="3720"/>
              <w:spacing w:after="0"/>
              <w:rPr>
                <w:sz w:val="20"/>
                <w:szCs w:val="20"/>
                <w:color w:val="auto"/>
              </w:rPr>
            </w:pPr>
            <w:r>
              <w:rPr>
                <w:rFonts w:ascii="Arial" w:cs="Arial" w:eastAsia="Arial" w:hAnsi="Arial"/>
                <w:sz w:val="18"/>
                <w:szCs w:val="18"/>
                <w:color w:val="auto"/>
              </w:rPr>
              <w:t>F-11</w:t>
            </w:r>
          </w:p>
        </w:tc>
      </w:tr>
    </w:tbl>
    <w:p>
      <w:pPr>
        <w:sectPr>
          <w:pgSz w:w="11900" w:h="16838" w:orient="portrait"/>
          <w:cols w:equalWidth="0" w:num="1">
            <w:col w:w="10219"/>
          </w:cols>
          <w:pgMar w:left="240" w:top="459" w:right="1440"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3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at December 31, 2010 and 2009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equipment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15,471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15,277</w:t>
            </w:r>
          </w:p>
        </w:tc>
        <w:tc>
          <w:tcPr>
            <w:tcW w:w="120" w:type="dxa"/>
            <w:vAlign w:val="bottom"/>
            <w:shd w:val="clear" w:color="auto" w:fill="CCEEFF"/>
          </w:tcPr>
          <w:p>
            <w:pPr>
              <w:spacing w:after="0"/>
              <w:rPr>
                <w:sz w:val="18"/>
                <w:szCs w:val="18"/>
                <w:color w:val="auto"/>
              </w:rPr>
            </w:pPr>
          </w:p>
        </w:tc>
      </w:tr>
      <w:tr>
        <w:trPr>
          <w:trHeight w:val="221"/>
        </w:trPr>
        <w:tc>
          <w:tcPr>
            <w:tcW w:w="6900" w:type="dxa"/>
            <w:vAlign w:val="bottom"/>
          </w:tcPr>
          <w:p>
            <w:pPr>
              <w:ind w:left="440"/>
              <w:spacing w:after="0"/>
              <w:rPr>
                <w:sz w:val="20"/>
                <w:szCs w:val="20"/>
                <w:color w:val="auto"/>
              </w:rPr>
            </w:pPr>
            <w:r>
              <w:rPr>
                <w:rFonts w:ascii="Arial" w:cs="Arial" w:eastAsia="Arial" w:hAnsi="Arial"/>
                <w:sz w:val="18"/>
                <w:szCs w:val="18"/>
                <w:color w:val="auto"/>
              </w:rPr>
              <w:t>Total property and equipment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17,808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17,076</w:t>
            </w:r>
          </w:p>
        </w:tc>
        <w:tc>
          <w:tcPr>
            <w:tcW w:w="120" w:type="dxa"/>
            <w:vAlign w:val="bottom"/>
          </w:tcPr>
          <w:p>
            <w:pPr>
              <w:spacing w:after="0"/>
              <w:rPr>
                <w:sz w:val="19"/>
                <w:szCs w:val="19"/>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(9,989)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(7,889)</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9,187</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$2,273, $2,334 and $2,074 for the years ended December 31, 2010, 2009 and 2008, respectively.</w:t>
      </w:r>
    </w:p>
    <w:p>
      <w:pPr>
        <w:spacing w:after="0" w:line="287"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3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At December 31, 2010 and 2009, the net book value of identifiable intangible assets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 of December 31, 2010</w:t>
            </w:r>
          </w:p>
        </w:tc>
        <w:tc>
          <w:tcPr>
            <w:tcW w:w="27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$1,300</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26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5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1,458</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1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 of December 31, 2009</w:t>
            </w:r>
          </w:p>
        </w:tc>
        <w:tc>
          <w:tcPr>
            <w:tcW w:w="27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$1,300</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26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5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1,458</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Amortization expense was $151, $151 and $299 for the years ended December 31, 2010, 2009 and 2008, respectively. Amortization expense related to these intangible assets is estimated to be $30 annually from 2011 through 2014.</w:t>
      </w:r>
    </w:p>
    <w:p>
      <w:pPr>
        <w:spacing w:after="0" w:line="248"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3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at December 31, 2010 and 2009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Insurance</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1,041</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Other taxes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4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1,457</w:t>
            </w:r>
          </w:p>
        </w:tc>
        <w:tc>
          <w:tcPr>
            <w:tcW w:w="10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380" w:type="dxa"/>
            <w:vAlign w:val="bottom"/>
          </w:tcPr>
          <w:p>
            <w:pPr>
              <w:spacing w:after="0"/>
              <w:rPr>
                <w:sz w:val="24"/>
                <w:szCs w:val="24"/>
                <w:color w:val="auto"/>
              </w:rPr>
            </w:pPr>
          </w:p>
        </w:tc>
        <w:tc>
          <w:tcPr>
            <w:tcW w:w="4360" w:type="dxa"/>
            <w:vAlign w:val="bottom"/>
            <w:gridSpan w:val="2"/>
          </w:tcPr>
          <w:p>
            <w:pPr>
              <w:jc w:val="right"/>
              <w:ind w:right="3162"/>
              <w:spacing w:after="0"/>
              <w:rPr>
                <w:sz w:val="20"/>
                <w:szCs w:val="20"/>
                <w:color w:val="auto"/>
              </w:rPr>
            </w:pPr>
            <w:r>
              <w:rPr>
                <w:rFonts w:ascii="Arial" w:cs="Arial" w:eastAsia="Arial" w:hAnsi="Arial"/>
                <w:sz w:val="18"/>
                <w:szCs w:val="18"/>
                <w:color w:val="auto"/>
              </w:rPr>
              <w:t>F-12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240" w:top="459" w:right="5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income tax expense for the year ended December 31, 2008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3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Current</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565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(743)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State:</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Deferred</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(130)</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The tax provision recorded for 2008 is based on the results of operations for the four-month period ended April 30, 2008, the date on which the Company was converted from a C-corporation to a limited liability company. Beginning May 1, 2008, the Company is treated as a partnership for federal and state income tax purposes; therefore, the income or loss of the limited liability company is includible in the income tax returns of the Class B members in proportion to their respective interests. Accordingly, there is no provision for income taxes in the financial statements for periods after April 30, 2008. In addition, all recorded deferred income tax balances of NASDI, Inc. were credited against income tax expense at the time of conversion to a limited liability company.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tabular reconciliation of the total amounts of unrecognized tax benefits at the beginning and end of 2008:</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benefits-January 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Gross increases-current period tax positions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decreases-writeoff of tax positions with conversion to limited liability corporation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(1,355)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Unrecognized tax benefits-December 31,</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NASDI, Inc. filed income tax returns at the U.S. federal level and in several states. U.S. federal income tax years prior to 2005 are closed and no longer subject to examination. With few exceptions, the statute of limitations in state taxing jurisdictions in which the Company operates has expired for all years prior to 2005. An Internal Revenue Service examination of the tax year 2008 was completed during 2010 with no adjustments proposed by the Service.</w:t>
      </w:r>
    </w:p>
    <w:p>
      <w:pPr>
        <w:spacing w:after="0" w:line="222"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6"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has certain equipment notes with the portion due within twelve months designated as current portion of equipment debt and the portion extending beyond one year recorded as other noncurrent liabilities. The equipment notes are collateralized by the underlying equipment to which the notes relate and carry interest rates ranging from 5.00% to 8.95%. Future cash payments on the notes are $303 in 2011, $39 in 2012, and $24 in 2013. Long-term debt at December 31, 2010 and 2009 is included in Other liabilities on the balance sheet, and is as follows:</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Equipment notes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Current portion of equipment debt</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136" w:lineRule="exact"/>
        <w:rPr>
          <w:rFonts w:ascii="Arial" w:cs="Arial" w:eastAsia="Arial" w:hAnsi="Arial"/>
          <w:sz w:val="18"/>
          <w:szCs w:val="18"/>
          <w:b w:val="1"/>
          <w:bCs w:val="1"/>
          <w:color w:val="auto"/>
        </w:rPr>
      </w:pPr>
    </w:p>
    <w:p>
      <w:pPr>
        <w:ind w:left="460" w:right="2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Employees of the Company are eligible to participate in GLDD’s 401(k) savings plans, including one covering nonunion salaried employees (“Salaried Plan”) and the second covering nonunion hourly employees. Under both plans, individual employees may contribute a percentage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3" w:lineRule="auto"/>
        <w:rPr>
          <w:sz w:val="20"/>
          <w:szCs w:val="20"/>
          <w:color w:val="auto"/>
        </w:rPr>
      </w:pPr>
      <w:r>
        <w:rPr>
          <w:rFonts w:ascii="Arial" w:cs="Arial" w:eastAsia="Arial" w:hAnsi="Arial"/>
          <w:sz w:val="18"/>
          <w:szCs w:val="18"/>
          <w:color w:val="auto"/>
        </w:rPr>
        <w:t>of compensation and the Company will match a portion of the employees’ contributions. Additionally, the Salaried Plan includes a profit-sharing component, permitting the Company to make discretionary employer contributions to all eligible employees of the Salaried Plan. The Company’s expense for matching and discretionary profit-sharing contributions for 2010, 2009 and 2008 was $306, $134 and $437, respectively. The Company also contributes to a number of multi-employer pension plans pursuant to collective bargaining agreements. In the event of a plan’s termination or the Company’s withdrawal from a plan, the Company may be liable for a portion of the plan’s unfunded vested benefits. However, since the number of Company employees participating in any given plan is generally insignificant, management does not expect that such amounts would be significant to the Company’s results of operations. Contributions to multi-employer pension plans for the years ended December 31, 2010, 2009, and 2008 were $3,787, $2,120 and $3,132, respectively.</w:t>
      </w:r>
    </w:p>
    <w:p>
      <w:pPr>
        <w:spacing w:after="0" w:line="26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AND CONCENTRATIONS OF RISK</w:t>
      </w:r>
    </w:p>
    <w:p>
      <w:pPr>
        <w:spacing w:after="0" w:line="136"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years ended December 31, 2010, 2009 and 2008, 20%, 10% and 22%, respectively, of the Company’s revenues were derived from a single distinct customer (which was a different entity each period). At December 31, 2010 and 2009, approximately 16% and 8%, respectively, of accounts receivable, including contract revenues in excess of billings, was due on contracts with one customer.</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36" w:lineRule="exact"/>
        <w:rPr>
          <w:rFonts w:ascii="Arial" w:cs="Arial" w:eastAsia="Arial" w:hAnsi="Arial"/>
          <w:sz w:val="18"/>
          <w:szCs w:val="18"/>
          <w:b w:val="1"/>
          <w:bCs w:val="1"/>
          <w:color w:val="auto"/>
        </w:rPr>
      </w:pPr>
    </w:p>
    <w:p>
      <w:pPr>
        <w:ind w:left="46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For the years ended December 31, 2010, 2009 and 2008, the Company incurred interest expense to GLDD totaling $368, $217 and $835, respectively. The 2008 interest expense related primarily to debt that existed between GLDD and NASDI Inc. prior to the April 30, 2008 transactions. The majority of the intercompany debt, $27,242, was converted into equity on April 30, 2008. The remaining debt is related to periodic advances from GLDD to fund the Company’s working capital needs. The net of such amounts is shown as payables to parent in the balance sheet. The amount advanced by GLDD accrues interest at a per annum rate of not less than the higher of (a) the Prime Rate plus 1% or (b) 0.50% per annum above the Federal Funds Rate plus 1%, and is payable quarterly. The prime rate was 3.25% at December 31, 2010 and 2009.</w:t>
      </w:r>
    </w:p>
    <w:p>
      <w:pPr>
        <w:spacing w:after="0" w:line="79" w:lineRule="exact"/>
        <w:rPr>
          <w:rFonts w:ascii="Arial" w:cs="Arial" w:eastAsia="Arial" w:hAnsi="Arial"/>
          <w:sz w:val="18"/>
          <w:szCs w:val="18"/>
          <w:b w:val="1"/>
          <w:bCs w:val="1"/>
          <w:color w:val="auto"/>
        </w:rPr>
      </w:pPr>
    </w:p>
    <w:p>
      <w:pPr>
        <w:ind w:left="460"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is also charged a management fee by GLDD to compensate GLDD for certain administrative fees and services such as accounting and tax functions performed by GLDD on the Company’s behalf, as well as for any payroll and incentive compensation paid directly by GLDD. During 2010, 2009 and 2008, the Company incurred expense of $424, $412 and $1,673, respectively, related to such charges. The amount payable to affiliate relates to the intercompany transactions for subcontract work performed by Yankee Environmental Services, LLC (“Yankee”), an affiliate of the Company. During 2010 and 2009, subcontract work performed by Yankee accounted for $5,076 and $4,088 of intercompany revenue, respectively.</w:t>
      </w:r>
    </w:p>
    <w:p>
      <w:pPr>
        <w:spacing w:after="0" w:line="231" w:lineRule="exact"/>
        <w:rPr>
          <w:rFonts w:ascii="Arial" w:cs="Arial" w:eastAsia="Arial" w:hAnsi="Arial"/>
          <w:sz w:val="18"/>
          <w:szCs w:val="18"/>
          <w:b w:val="1"/>
          <w:bCs w:val="1"/>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along with other subsidiaries of GLDD, has guaranteed the repayment of debt and interest under GLDD’s senior bank credit facility and senior subordinated notes. At December 31, 2010 and 2009, total senior debt of GLDD was $0 and $11,000, respectively and letters of credit outstanding were $11,923 and $17,101, respectively. The amount of GLDD’s senior subordinated notes guaranteed totaled $175,000 at December 31, 2010 and 2009. In January 2011, GLDD refinanced its $175,000 senior subordinated notes with the issuance of $250,000 senior unsecured notes. The Company is not a guarantor of the senior unsecured notes.</w:t>
      </w:r>
    </w:p>
    <w:p>
      <w:pPr>
        <w:spacing w:after="0" w:line="102" w:lineRule="exact"/>
        <w:rPr>
          <w:rFonts w:ascii="Arial" w:cs="Arial" w:eastAsia="Arial" w:hAnsi="Arial"/>
          <w:sz w:val="18"/>
          <w:szCs w:val="18"/>
          <w:b w:val="1"/>
          <w:bCs w:val="1"/>
          <w:color w:val="auto"/>
        </w:rPr>
      </w:pPr>
    </w:p>
    <w:p>
      <w:pPr>
        <w:ind w:left="460" w:righ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Performance and/or bid bonds are occasionally required for the Company’s demolition projects. The Company obtains its performance and bid bonds through GLDD’s bonding agreement with its surety company.</w:t>
      </w:r>
    </w:p>
    <w:p>
      <w:pPr>
        <w:spacing w:after="0" w:line="91" w:lineRule="exact"/>
        <w:rPr>
          <w:rFonts w:ascii="Arial" w:cs="Arial" w:eastAsia="Arial" w:hAnsi="Arial"/>
          <w:sz w:val="18"/>
          <w:szCs w:val="18"/>
          <w:b w:val="1"/>
          <w:bCs w:val="1"/>
          <w:color w:val="auto"/>
        </w:rPr>
      </w:pPr>
    </w:p>
    <w:p>
      <w:pPr>
        <w:ind w:left="460" w:right="2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Company is a defendant in various legal proceedings. On August 26, 2009, the Company received a letter stating that the Attorney General for the Commonwealth of Massachusetts is investigating alleged violations of the Massachusetts Solid Waste Act. The Company believes that the Attorney General is investigating illegal dumping activities at a dump site where the Company contracted to have waste materials disposed of between September 2007 and July 2008. Although the matter remains open, no lawsuit has been filed. Per the Attorney General’s request, the Company executed a tolling agreement (which allows for extending the statute of limitations) regarding the matter. Should charges be brought, the Company intends to defend itself vigorously on this matter. Based on consideration of all of the facts and circumstances now known, the Company does not believe this claim will have a material adverse impact on the Company’s financial position, results of operations or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The Company is also involved in property damage claims arising during a former project. During 2009 and early 2010, many of the claims settled; however, approximately $300 remains outstanding. The Company is covered by insurance in this matter under GLDD’s insurance programs and since the claims relate to a 2007 event, GLDD maintains all loss exposure related to this matter and the Company therefore does not believe that such matter will materially affect its financial position, results of operations or cash flows.</w:t>
      </w:r>
    </w:p>
    <w:p>
      <w:pPr>
        <w:spacing w:after="0" w:line="103"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In December 2010, a third party complaint was filed against NASDI in state court in Suffolk County, Massachusetts with regard to demolition work performed by NASDI on a project site in Dorchester, Massachusetts. The third party complaint alleges that NASDI and/or one of several other contractors who worked on the project site left a fire hydrant running overnight, resulting in the flooding of water from the project site into a neighboring property, resulting in damages to said property (the “Dorchester Litigation”). The property owner and its insurers are seeking damages alleged to be in the amount of approximately $2.5 million. As there are several defendants named in the Dorchester Litigation and the discovery process has only recently begun, NASDI is presently unable to quantify the amount of damages specifically alleged against the company. The parties are presently engaged in the discovery process and NASDI intends to vigorously defend against this lawsuit.</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operating lease payments relating to office space rental at December 31, 2010,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87"/>
              </w:rPr>
              <w:t>Years Ending December 31</w:t>
            </w: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5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2012</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2014</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Thereafter</w:t>
            </w:r>
          </w:p>
        </w:tc>
        <w:tc>
          <w:tcPr>
            <w:tcW w:w="5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7"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Total rent expense under long-term operating lease arrangements for the years ended December 31, 2010, 2009 and 2008 was $457, $361 and $332, respectively. This excludes expenses for equipment and facilities rented on a short-term, as-needed basis.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NASDI,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Additions</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Charged to</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1"/>
              </w:rPr>
              <w:t>Beginning</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79"/>
              </w:rPr>
              <w:t>costs and</w:t>
            </w: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Charged to</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78"/>
              </w:rPr>
              <w:t>expenses</w:t>
            </w:r>
          </w:p>
        </w:tc>
        <w:tc>
          <w:tcPr>
            <w:tcW w:w="4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other accounts</w:t>
            </w:r>
          </w:p>
        </w:tc>
        <w:tc>
          <w:tcPr>
            <w:tcW w:w="50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Deductions</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0"/>
              </w:rPr>
              <w:t>balance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Description</w:t>
            </w:r>
          </w:p>
        </w:tc>
        <w:tc>
          <w:tcPr>
            <w:tcW w:w="1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Year ended December 31, 2008</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Allowances deducted from assets to which they apply:</w:t>
            </w:r>
          </w:p>
        </w:tc>
        <w:tc>
          <w:tcPr>
            <w:tcW w:w="1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860"/>
              <w:spacing w:after="0"/>
              <w:rPr>
                <w:sz w:val="20"/>
                <w:szCs w:val="20"/>
                <w:color w:val="auto"/>
              </w:rPr>
            </w:pPr>
            <w:r>
              <w:rPr>
                <w:rFonts w:ascii="Arial" w:cs="Arial" w:eastAsia="Arial" w:hAnsi="Arial"/>
                <w:sz w:val="18"/>
                <w:szCs w:val="18"/>
                <w:color w:val="auto"/>
              </w:rPr>
              <w:t>Allowances for doubtful accounts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5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60"/>
              <w:spacing w:after="0"/>
              <w:rPr>
                <w:sz w:val="20"/>
                <w:szCs w:val="20"/>
                <w:color w:val="auto"/>
              </w:rPr>
            </w:pPr>
            <w:r>
              <w:rPr>
                <w:rFonts w:ascii="Arial" w:cs="Arial" w:eastAsia="Arial" w:hAnsi="Arial"/>
                <w:sz w:val="18"/>
                <w:szCs w:val="18"/>
                <w:color w:val="auto"/>
              </w:rPr>
              <w:t>(239)</w:t>
            </w:r>
          </w:p>
        </w:tc>
        <w:tc>
          <w:tcPr>
            <w:tcW w:w="4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Year ended December 31, 2009</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Allowances deducted from assets to which they apply:</w:t>
            </w:r>
          </w:p>
        </w:tc>
        <w:tc>
          <w:tcPr>
            <w:tcW w:w="1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860"/>
              <w:spacing w:after="0"/>
              <w:rPr>
                <w:sz w:val="20"/>
                <w:szCs w:val="20"/>
                <w:color w:val="auto"/>
              </w:rPr>
            </w:pPr>
            <w:r>
              <w:rPr>
                <w:rFonts w:ascii="Arial" w:cs="Arial" w:eastAsia="Arial" w:hAnsi="Arial"/>
                <w:sz w:val="18"/>
                <w:szCs w:val="18"/>
                <w:color w:val="auto"/>
              </w:rPr>
              <w:t>Allowances for doubtful accounts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19"/>
                <w:szCs w:val="19"/>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60"/>
              <w:spacing w:after="0"/>
              <w:rPr>
                <w:sz w:val="20"/>
                <w:szCs w:val="20"/>
                <w:color w:val="auto"/>
              </w:rPr>
            </w:pPr>
            <w:r>
              <w:rPr>
                <w:rFonts w:ascii="Arial" w:cs="Arial" w:eastAsia="Arial" w:hAnsi="Arial"/>
                <w:sz w:val="18"/>
                <w:szCs w:val="18"/>
                <w:color w:val="auto"/>
              </w:rPr>
              <w:t>(69)</w:t>
            </w:r>
          </w:p>
        </w:tc>
        <w:tc>
          <w:tcPr>
            <w:tcW w:w="4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Allowances deducted from assets to which they apply:</w:t>
            </w:r>
          </w:p>
        </w:tc>
        <w:tc>
          <w:tcPr>
            <w:tcW w:w="11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Allowances for doubtful accounts</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60" w:type="dxa"/>
            <w:vAlign w:val="bottom"/>
            <w:gridSpan w:val="3"/>
          </w:tcPr>
          <w:p>
            <w:pPr>
              <w:ind w:left="640"/>
              <w:spacing w:after="0"/>
              <w:rPr>
                <w:sz w:val="20"/>
                <w:szCs w:val="20"/>
                <w:color w:val="auto"/>
              </w:rPr>
            </w:pPr>
            <w:r>
              <w:rPr>
                <w:rFonts w:ascii="Arial" w:cs="Arial" w:eastAsia="Arial" w:hAnsi="Arial"/>
                <w:sz w:val="18"/>
                <w:szCs w:val="18"/>
                <w:color w:val="auto"/>
              </w:rPr>
              <w:t>F-16</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YANKEE ENVIRONMENTAL SERVICES, LLC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9"/>
              </w:rPr>
              <w:t>Page</w:t>
            </w:r>
          </w:p>
        </w:tc>
      </w:tr>
      <w:tr>
        <w:trPr>
          <w:trHeight w:val="277"/>
        </w:trPr>
        <w:tc>
          <w:tcPr>
            <w:tcW w:w="4840" w:type="dxa"/>
            <w:vAlign w:val="bottom"/>
            <w:gridSpan w:val="7"/>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Report of Independent Registered Public Accounting Firm</w:t>
              </w:r>
            </w:hyperlink>
          </w:p>
        </w:tc>
        <w:tc>
          <w:tcPr>
            <w:tcW w:w="610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0"/>
              </w:rPr>
              <w:t>F-18</w:t>
            </w:r>
          </w:p>
        </w:tc>
      </w:tr>
      <w:tr>
        <w:trPr>
          <w:trHeight w:val="304"/>
        </w:trPr>
        <w:tc>
          <w:tcPr>
            <w:tcW w:w="1080" w:type="dxa"/>
            <w:vAlign w:val="bottom"/>
            <w:tcBorders>
              <w:top w:val="single" w:sz="8" w:color="0000EE"/>
              <w:bottom w:val="single" w:sz="8" w:color="0000EE"/>
            </w:tcBorders>
          </w:tcPr>
          <w:p>
            <w:pPr>
              <w:spacing w:after="0"/>
              <w:rPr>
                <w:rFonts w:ascii="Arial" w:cs="Arial" w:eastAsia="Arial" w:hAnsi="Arial"/>
                <w:sz w:val="18"/>
                <w:szCs w:val="18"/>
                <w:color w:val="0000EE"/>
                <w:w w:val="84"/>
              </w:rPr>
            </w:pPr>
            <w:hyperlink w:anchor="page132">
              <w:r>
                <w:rPr>
                  <w:rFonts w:ascii="Arial" w:cs="Arial" w:eastAsia="Arial" w:hAnsi="Arial"/>
                  <w:sz w:val="18"/>
                  <w:szCs w:val="18"/>
                  <w:color w:val="0000EE"/>
                  <w:w w:val="84"/>
                </w:rPr>
                <w:t>Balance Sheets</w:t>
              </w:r>
            </w:hyperlink>
          </w:p>
        </w:tc>
        <w:tc>
          <w:tcPr>
            <w:tcW w:w="3040" w:type="dxa"/>
            <w:vAlign w:val="bottom"/>
            <w:tcBorders>
              <w:top w:val="single" w:sz="8" w:color="0000EE"/>
            </w:tcBorders>
            <w:gridSpan w:val="5"/>
          </w:tcPr>
          <w:p>
            <w:pPr>
              <w:spacing w:after="0"/>
              <w:rPr>
                <w:sz w:val="24"/>
                <w:szCs w:val="24"/>
                <w:color w:val="auto"/>
              </w:rPr>
            </w:pPr>
          </w:p>
        </w:tc>
        <w:tc>
          <w:tcPr>
            <w:tcW w:w="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0"/>
              </w:rPr>
              <w:t>F-19</w:t>
            </w:r>
          </w:p>
        </w:tc>
      </w:tr>
      <w:tr>
        <w:trPr>
          <w:trHeight w:val="304"/>
        </w:trPr>
        <w:tc>
          <w:tcPr>
            <w:tcW w:w="4840" w:type="dxa"/>
            <w:vAlign w:val="bottom"/>
            <w:gridSpan w:val="7"/>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Statements of Operations</w:t>
              </w:r>
            </w:hyperlink>
          </w:p>
        </w:tc>
        <w:tc>
          <w:tcPr>
            <w:tcW w:w="610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0"/>
              </w:rPr>
              <w:t>F-20</w:t>
            </w:r>
          </w:p>
        </w:tc>
      </w:tr>
      <w:tr>
        <w:trPr>
          <w:trHeight w:val="20"/>
        </w:trPr>
        <w:tc>
          <w:tcPr>
            <w:tcW w:w="1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29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34">
              <w:r>
                <w:rPr>
                  <w:rFonts w:ascii="Arial" w:cs="Arial" w:eastAsia="Arial" w:hAnsi="Arial"/>
                  <w:sz w:val="18"/>
                  <w:szCs w:val="18"/>
                  <w:color w:val="0000EE"/>
                  <w:w w:val="90"/>
                </w:rPr>
                <w:t>Statements of Members’ Equity (Deficit)</w:t>
              </w:r>
            </w:hyperlink>
          </w:p>
        </w:tc>
        <w:tc>
          <w:tcPr>
            <w:tcW w:w="1940" w:type="dxa"/>
            <w:vAlign w:val="bottom"/>
            <w:gridSpan w:val="2"/>
          </w:tcPr>
          <w:p>
            <w:pPr>
              <w:spacing w:after="0"/>
              <w:rPr>
                <w:sz w:val="24"/>
                <w:szCs w:val="24"/>
                <w:color w:val="auto"/>
              </w:rPr>
            </w:pPr>
          </w:p>
        </w:tc>
        <w:tc>
          <w:tcPr>
            <w:tcW w:w="610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0"/>
              </w:rPr>
              <w:t>F-21</w:t>
            </w:r>
          </w:p>
        </w:tc>
      </w:tr>
      <w:tr>
        <w:trPr>
          <w:trHeight w:val="304"/>
        </w:trPr>
        <w:tc>
          <w:tcPr>
            <w:tcW w:w="18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35">
              <w:r>
                <w:rPr>
                  <w:rFonts w:ascii="Arial" w:cs="Arial" w:eastAsia="Arial" w:hAnsi="Arial"/>
                  <w:sz w:val="18"/>
                  <w:szCs w:val="18"/>
                  <w:color w:val="0000EE"/>
                  <w:w w:val="86"/>
                </w:rPr>
                <w:t>Statements of Cash Flows</w:t>
              </w:r>
            </w:hyperlink>
          </w:p>
        </w:tc>
        <w:tc>
          <w:tcPr>
            <w:tcW w:w="3000" w:type="dxa"/>
            <w:vAlign w:val="bottom"/>
            <w:gridSpan w:val="4"/>
          </w:tcPr>
          <w:p>
            <w:pPr>
              <w:spacing w:after="0"/>
              <w:rPr>
                <w:sz w:val="24"/>
                <w:szCs w:val="24"/>
                <w:color w:val="auto"/>
              </w:rPr>
            </w:pPr>
          </w:p>
        </w:tc>
        <w:tc>
          <w:tcPr>
            <w:tcW w:w="610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0"/>
              </w:rPr>
              <w:t>F-22</w:t>
            </w:r>
          </w:p>
        </w:tc>
      </w:tr>
      <w:tr>
        <w:trPr>
          <w:trHeight w:val="304"/>
        </w:trPr>
        <w:tc>
          <w:tcPr>
            <w:tcW w:w="4840" w:type="dxa"/>
            <w:vAlign w:val="bottom"/>
            <w:gridSpan w:val="7"/>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Notes to Financial Statements</w:t>
              </w:r>
            </w:hyperlink>
          </w:p>
        </w:tc>
        <w:tc>
          <w:tcPr>
            <w:tcW w:w="610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0"/>
              </w:rPr>
              <w:t>F-23</w:t>
            </w:r>
          </w:p>
        </w:tc>
      </w:tr>
      <w:tr>
        <w:trPr>
          <w:trHeight w:val="383"/>
        </w:trPr>
        <w:tc>
          <w:tcPr>
            <w:tcW w:w="10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80" w:type="dxa"/>
            <w:vAlign w:val="bottom"/>
            <w:gridSpan w:val="2"/>
          </w:tcPr>
          <w:p>
            <w:pPr>
              <w:ind w:left="700"/>
              <w:spacing w:after="0"/>
              <w:rPr>
                <w:sz w:val="20"/>
                <w:szCs w:val="20"/>
                <w:color w:val="auto"/>
              </w:rPr>
            </w:pPr>
            <w:r>
              <w:rPr>
                <w:rFonts w:ascii="Arial" w:cs="Arial" w:eastAsia="Arial" w:hAnsi="Arial"/>
                <w:sz w:val="18"/>
                <w:szCs w:val="18"/>
                <w:color w:val="auto"/>
              </w:rPr>
              <w:t>F-17</w:t>
            </w:r>
          </w:p>
        </w:tc>
      </w:tr>
    </w:tbl>
    <w:p>
      <w:pPr>
        <w:sectPr>
          <w:pgSz w:w="11900" w:h="16838" w:orient="portrait"/>
          <w:cols w:equalWidth="0" w:num="1">
            <w:col w:w="11320"/>
          </w:cols>
          <w:pgMar w:left="24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Yankee Environmental Services, LLC</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have audited the accompanying balance sheets of Yankee Environmental Services, LLC (A Limited Liability Company) as of December 31, 2010 and 2009 and the related statements of operations, members’ equity (deficit) and cash flows for the years then ended. These financial statements are the responsibility of the management of Yankee Environmental Services, LLC. Our responsibility is to express an opinion on these financial statements based on our audits.</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Yankee Environmental Services, LLC as of December 31, 2010 and 2009, and its results of operations and cash flows for the years then ended, in conformity with accounting principles generally accepted in the United States of America.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J.H. Cohn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White Plains,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2011</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17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2010</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7180" w:type="dxa"/>
            <w:vAlign w:val="bottom"/>
            <w:gridSpan w:val="4"/>
            <w:shd w:val="clear" w:color="auto" w:fill="CCEEFF"/>
          </w:tcPr>
          <w:p>
            <w:pPr>
              <w:jc w:val="center"/>
              <w:ind w:right="3020"/>
              <w:spacing w:after="0" w:line="170" w:lineRule="exact"/>
              <w:rPr>
                <w:sz w:val="20"/>
                <w:szCs w:val="20"/>
                <w:color w:val="auto"/>
              </w:rPr>
            </w:pPr>
            <w:r>
              <w:rPr>
                <w:rFonts w:ascii="Arial" w:cs="Arial" w:eastAsia="Arial" w:hAnsi="Arial"/>
                <w:sz w:val="18"/>
                <w:szCs w:val="18"/>
                <w:b w:val="1"/>
                <w:bCs w:val="1"/>
                <w:color w:val="auto"/>
                <w:w w:val="88"/>
              </w:rPr>
              <w:t>ASSETS</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Current assets:</w:t>
            </w:r>
          </w:p>
        </w:tc>
        <w:tc>
          <w:tcPr>
            <w:tcW w:w="640" w:type="dxa"/>
            <w:vAlign w:val="bottom"/>
            <w:tcBorders>
              <w:top w:val="single" w:sz="8" w:color="auto"/>
            </w:tcBorders>
          </w:tcPr>
          <w:p>
            <w:pPr>
              <w:spacing w:after="0"/>
              <w:rPr>
                <w:sz w:val="18"/>
                <w:szCs w:val="18"/>
                <w:color w:val="auto"/>
              </w:rPr>
            </w:pPr>
          </w:p>
        </w:tc>
        <w:tc>
          <w:tcPr>
            <w:tcW w:w="47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Accounts receivable - related party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980" w:type="dxa"/>
            <w:vAlign w:val="bottom"/>
            <w:gridSpan w:val="5"/>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4,774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Equipment -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Intangible assets - net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80" w:type="dxa"/>
            <w:vAlign w:val="bottom"/>
            <w:gridSpan w:val="5"/>
          </w:tcPr>
          <w:p>
            <w:pPr>
              <w:ind w:left="860"/>
              <w:spacing w:after="0"/>
              <w:rPr>
                <w:sz w:val="20"/>
                <w:szCs w:val="20"/>
                <w:color w:val="auto"/>
              </w:rPr>
            </w:pPr>
            <w:r>
              <w:rPr>
                <w:rFonts w:ascii="Arial" w:cs="Arial" w:eastAsia="Arial" w:hAnsi="Arial"/>
                <w:sz w:val="18"/>
                <w:szCs w:val="18"/>
                <w:color w:val="auto"/>
              </w:rPr>
              <w:t>Totals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5,560</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7180" w:type="dxa"/>
            <w:vAlign w:val="bottom"/>
            <w:gridSpan w:val="4"/>
            <w:shd w:val="clear" w:color="auto" w:fill="CCEEFF"/>
          </w:tcPr>
          <w:p>
            <w:pPr>
              <w:jc w:val="center"/>
              <w:ind w:right="3040"/>
              <w:spacing w:after="0" w:line="170" w:lineRule="exact"/>
              <w:rPr>
                <w:sz w:val="20"/>
                <w:szCs w:val="20"/>
                <w:color w:val="auto"/>
              </w:rPr>
            </w:pPr>
            <w:r>
              <w:rPr>
                <w:rFonts w:ascii="Arial" w:cs="Arial" w:eastAsia="Arial" w:hAnsi="Arial"/>
                <w:sz w:val="18"/>
                <w:szCs w:val="18"/>
                <w:b w:val="1"/>
                <w:bCs w:val="1"/>
                <w:color w:val="auto"/>
              </w:rPr>
              <w:t>LIABILITIES AND MEMBERS’ EQUITY (DEFICIT)</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Current liabilities:</w:t>
            </w:r>
          </w:p>
        </w:tc>
        <w:tc>
          <w:tcPr>
            <w:tcW w:w="4140" w:type="dxa"/>
            <w:vAlign w:val="bottom"/>
            <w:tcBorders>
              <w:top w:val="single" w:sz="8" w:color="auto"/>
            </w:tcBorders>
            <w:gridSpan w:val="3"/>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Payable to Parents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6,002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Members’ equity (deficit)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80" w:type="dxa"/>
            <w:vAlign w:val="bottom"/>
            <w:gridSpan w:val="5"/>
          </w:tcPr>
          <w:p>
            <w:pPr>
              <w:ind w:left="860"/>
              <w:spacing w:after="0"/>
              <w:rPr>
                <w:sz w:val="20"/>
                <w:szCs w:val="20"/>
                <w:color w:val="auto"/>
              </w:rPr>
            </w:pPr>
            <w:r>
              <w:rPr>
                <w:rFonts w:ascii="Arial" w:cs="Arial" w:eastAsia="Arial" w:hAnsi="Arial"/>
                <w:sz w:val="18"/>
                <w:szCs w:val="18"/>
                <w:color w:val="auto"/>
              </w:rPr>
              <w:t>Totals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5,560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$ 8,554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Cost of revenues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331"/>
        </w:trPr>
        <w:tc>
          <w:tcPr>
            <w:tcW w:w="99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323"/>
        </w:trPr>
        <w:tc>
          <w:tcPr>
            <w:tcW w:w="9940" w:type="dxa"/>
            <w:vAlign w:val="bottom"/>
            <w:gridSpan w:val="2"/>
          </w:tcPr>
          <w:p>
            <w:pPr>
              <w:spacing w:after="0"/>
              <w:rPr>
                <w:sz w:val="20"/>
                <w:szCs w:val="20"/>
                <w:color w:val="auto"/>
              </w:rPr>
            </w:pPr>
            <w:r>
              <w:rPr>
                <w:rFonts w:ascii="Arial" w:cs="Arial" w:eastAsia="Arial" w:hAnsi="Arial"/>
                <w:sz w:val="18"/>
                <w:szCs w:val="18"/>
                <w:color w:val="auto"/>
              </w:rPr>
              <w:t>Related party interest expense</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9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8000" w:type="dxa"/>
            <w:vAlign w:val="bottom"/>
            <w:gridSpan w:val="2"/>
          </w:tcPr>
          <w:p>
            <w:pPr>
              <w:jc w:val="center"/>
              <w:ind w:right="2300"/>
              <w:spacing w:after="0"/>
              <w:rPr>
                <w:sz w:val="20"/>
                <w:szCs w:val="20"/>
                <w:color w:val="auto"/>
              </w:rPr>
            </w:pPr>
            <w:r>
              <w:rPr>
                <w:rFonts w:ascii="Arial" w:cs="Arial" w:eastAsia="Arial" w:hAnsi="Arial"/>
                <w:sz w:val="18"/>
                <w:szCs w:val="18"/>
                <w:b w:val="1"/>
                <w:bCs w:val="1"/>
                <w:color w:val="auto"/>
                <w:w w:val="98"/>
              </w:rPr>
              <w:t>YANKEE ENVIRONMENTAL SERVICES, LLC</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00" w:type="dxa"/>
            <w:vAlign w:val="bottom"/>
            <w:gridSpan w:val="2"/>
          </w:tcPr>
          <w:p>
            <w:pPr>
              <w:jc w:val="center"/>
              <w:ind w:right="2300"/>
              <w:spacing w:after="0"/>
              <w:rPr>
                <w:sz w:val="20"/>
                <w:szCs w:val="20"/>
                <w:color w:val="auto"/>
              </w:rPr>
            </w:pPr>
            <w:r>
              <w:rPr>
                <w:rFonts w:ascii="Arial" w:cs="Arial" w:eastAsia="Arial" w:hAnsi="Arial"/>
                <w:sz w:val="18"/>
                <w:szCs w:val="18"/>
                <w:b w:val="1"/>
                <w:bCs w:val="1"/>
                <w:color w:val="auto"/>
                <w:w w:val="99"/>
              </w:rPr>
              <w:t>STATEMENTS OF MEMBERS’ EQUITY (DEFICIT)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00" w:type="dxa"/>
            <w:vAlign w:val="bottom"/>
            <w:gridSpan w:val="2"/>
          </w:tcPr>
          <w:p>
            <w:pPr>
              <w:jc w:val="center"/>
              <w:ind w:right="2300"/>
              <w:spacing w:after="0"/>
              <w:rPr>
                <w:sz w:val="20"/>
                <w:szCs w:val="20"/>
                <w:color w:val="auto"/>
              </w:rPr>
            </w:pPr>
            <w:r>
              <w:rPr>
                <w:rFonts w:ascii="Arial" w:cs="Arial" w:eastAsia="Arial" w:hAnsi="Arial"/>
                <w:sz w:val="18"/>
                <w:szCs w:val="18"/>
                <w:b w:val="1"/>
                <w:bCs w:val="1"/>
                <w:color w:val="auto"/>
                <w:w w:val="93"/>
              </w:rPr>
              <w:t>YEARS ENDED DECEMBER 31, 2010 AND 2009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8000" w:type="dxa"/>
            <w:vAlign w:val="bottom"/>
            <w:gridSpan w:val="2"/>
          </w:tcPr>
          <w:p>
            <w:pPr>
              <w:jc w:val="center"/>
              <w:ind w:right="2300"/>
              <w:spacing w:after="0"/>
              <w:rPr>
                <w:sz w:val="20"/>
                <w:szCs w:val="20"/>
                <w:color w:val="auto"/>
              </w:rPr>
            </w:pPr>
            <w:r>
              <w:rPr>
                <w:rFonts w:ascii="Arial" w:cs="Arial" w:eastAsia="Arial" w:hAnsi="Arial"/>
                <w:sz w:val="18"/>
                <w:szCs w:val="18"/>
                <w:b w:val="1"/>
                <w:bCs w:val="1"/>
                <w:color w:val="auto"/>
                <w:w w:val="97"/>
              </w:rPr>
              <w:t>(IN THOUSANDS)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8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Members’ contributions</w:t>
            </w:r>
          </w:p>
        </w:tc>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1"/>
        </w:trPr>
        <w:tc>
          <w:tcPr>
            <w:tcW w:w="2860" w:type="dxa"/>
            <w:vAlign w:val="bottom"/>
            <w:gridSpan w:val="2"/>
          </w:tcPr>
          <w:p>
            <w:pPr>
              <w:spacing w:after="0"/>
              <w:rPr>
                <w:sz w:val="20"/>
                <w:szCs w:val="20"/>
                <w:color w:val="auto"/>
              </w:rPr>
            </w:pPr>
            <w:r>
              <w:rPr>
                <w:rFonts w:ascii="Arial" w:cs="Arial" w:eastAsia="Arial" w:hAnsi="Arial"/>
                <w:sz w:val="18"/>
                <w:szCs w:val="18"/>
                <w:color w:val="auto"/>
              </w:rPr>
              <w:t>Balance, December 31, 2009</w:t>
            </w:r>
          </w:p>
        </w:tc>
        <w:tc>
          <w:tcPr>
            <w:tcW w:w="7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(1,471)</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2010</w:t>
            </w:r>
          </w:p>
        </w:tc>
        <w:tc>
          <w:tcPr>
            <w:tcW w:w="7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60" w:type="dxa"/>
            <w:vAlign w:val="bottom"/>
            <w:gridSpan w:val="2"/>
            <w:vMerge w:val="continue"/>
          </w:tcPr>
          <w:p>
            <w:pPr>
              <w:spacing w:after="0"/>
              <w:rPr>
                <w:sz w:val="19"/>
                <w:szCs w:val="19"/>
                <w:color w:val="auto"/>
              </w:rPr>
            </w:pPr>
          </w:p>
        </w:tc>
        <w:tc>
          <w:tcPr>
            <w:tcW w:w="8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(1,471)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equipment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Accrued loss on uncompleted contract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(1,627)</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 - related party</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(1,918)</w:t>
            </w:r>
          </w:p>
        </w:tc>
      </w:tr>
      <w:tr>
        <w:trPr>
          <w:trHeight w:val="216"/>
        </w:trPr>
        <w:tc>
          <w:tcPr>
            <w:tcW w:w="20" w:type="dxa"/>
            <w:vAlign w:val="bottom"/>
          </w:tcPr>
          <w:p>
            <w:pPr>
              <w:spacing w:after="0"/>
              <w:rPr>
                <w:sz w:val="18"/>
                <w:szCs w:val="18"/>
                <w:color w:val="auto"/>
              </w:rPr>
            </w:pPr>
          </w:p>
        </w:tc>
        <w:tc>
          <w:tcPr>
            <w:tcW w:w="9760" w:type="dxa"/>
            <w:vAlign w:val="bottom"/>
          </w:tcPr>
          <w:p>
            <w:pPr>
              <w:ind w:left="1060"/>
              <w:spacing w:after="0"/>
              <w:rPr>
                <w:sz w:val="20"/>
                <w:szCs w:val="20"/>
                <w:color w:val="auto"/>
              </w:rPr>
            </w:pPr>
            <w:r>
              <w:rPr>
                <w:rFonts w:ascii="Arial" w:cs="Arial" w:eastAsia="Arial" w:hAnsi="Arial"/>
                <w:sz w:val="18"/>
                <w:szCs w:val="18"/>
                <w:color w:val="auto"/>
              </w:rPr>
              <w:t>Contract revenues in excess of billings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9760" w:type="dxa"/>
            <w:vAlign w:val="bottom"/>
          </w:tcPr>
          <w:p>
            <w:pPr>
              <w:ind w:left="106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Billings in excess of contract revenues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(2,545)</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equipment</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 of equipment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Acquisition of business</w:t>
            </w: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(1,891)</w:t>
            </w:r>
          </w:p>
        </w:tc>
      </w:tr>
      <w:tr>
        <w:trPr>
          <w:trHeight w:val="27"/>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(1,891)</w:t>
            </w: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 from members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1,891</w:t>
            </w:r>
          </w:p>
        </w:tc>
      </w:tr>
      <w:tr>
        <w:trPr>
          <w:trHeight w:val="223"/>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Change in payable to Parents</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4,649</w:t>
            </w:r>
          </w:p>
        </w:tc>
        <w:tc>
          <w:tcPr>
            <w:tcW w:w="100" w:type="dxa"/>
            <w:vAlign w:val="bottom"/>
            <w:shd w:val="clear" w:color="auto" w:fill="CCEEFF"/>
          </w:tcPr>
          <w:p>
            <w:pPr>
              <w:spacing w:after="0"/>
              <w:rPr>
                <w:sz w:val="18"/>
                <w:szCs w:val="18"/>
                <w:color w:val="auto"/>
              </w:rPr>
            </w:pPr>
          </w:p>
        </w:tc>
      </w:tr>
      <w:tr>
        <w:trPr>
          <w:trHeight w:val="221"/>
        </w:trPr>
        <w:tc>
          <w:tcPr>
            <w:tcW w:w="9780" w:type="dxa"/>
            <w:vAlign w:val="bottom"/>
            <w:gridSpan w:val="2"/>
          </w:tcPr>
          <w:p>
            <w:pPr>
              <w:spacing w:after="0"/>
              <w:rPr>
                <w:sz w:val="20"/>
                <w:szCs w:val="20"/>
                <w:color w:val="auto"/>
              </w:rPr>
            </w:pPr>
            <w:r>
              <w:rPr>
                <w:rFonts w:ascii="Arial" w:cs="Arial" w:eastAsia="Arial" w:hAnsi="Arial"/>
                <w:sz w:val="18"/>
                <w:szCs w:val="18"/>
                <w:color w:val="auto"/>
              </w:rPr>
              <w:t>Net increase (decrease) in cash</w:t>
            </w: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Cash,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remaining interest acquisition: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Organization:</w:t>
      </w:r>
    </w:p>
    <w:p>
      <w:pPr>
        <w:spacing w:after="0" w:line="137" w:lineRule="exact"/>
        <w:rPr>
          <w:sz w:val="20"/>
          <w:szCs w:val="20"/>
          <w:color w:val="auto"/>
        </w:rPr>
      </w:pPr>
    </w:p>
    <w:p>
      <w:pPr>
        <w:ind w:left="920" w:right="400"/>
        <w:spacing w:after="0" w:line="323" w:lineRule="auto"/>
        <w:rPr>
          <w:sz w:val="20"/>
          <w:szCs w:val="20"/>
          <w:color w:val="auto"/>
        </w:rPr>
      </w:pPr>
      <w:r>
        <w:rPr>
          <w:rFonts w:ascii="Arial" w:cs="Arial" w:eastAsia="Arial" w:hAnsi="Arial"/>
          <w:sz w:val="15"/>
          <w:szCs w:val="15"/>
          <w:color w:val="auto"/>
        </w:rPr>
        <w:t>Yankee Environmental Services, LLC (the “Company”) was formed as a Delaware limited liability company pursuant to the Limited Liability Company Agreement dated December 22, 2008. The Company provides environmental remediation services including asbestos abatement and removal of other hazardous materials in the Boston, Massachusetts area. The Company’s principal services consist of lead paint and asbestos abatement along with demolition services to private and government entities including schools, universities, hospitals and other businesses.</w:t>
      </w:r>
    </w:p>
    <w:p>
      <w:pPr>
        <w:spacing w:after="0" w:line="57" w:lineRule="exact"/>
        <w:rPr>
          <w:sz w:val="20"/>
          <w:szCs w:val="20"/>
          <w:color w:val="auto"/>
        </w:rPr>
      </w:pPr>
    </w:p>
    <w:p>
      <w:pPr>
        <w:ind w:left="920" w:right="20"/>
        <w:spacing w:after="0" w:line="314" w:lineRule="auto"/>
        <w:rPr>
          <w:sz w:val="20"/>
          <w:szCs w:val="20"/>
          <w:color w:val="auto"/>
        </w:rPr>
      </w:pPr>
      <w:r>
        <w:rPr>
          <w:rFonts w:ascii="Arial" w:cs="Arial" w:eastAsia="Arial" w:hAnsi="Arial"/>
          <w:sz w:val="15"/>
          <w:szCs w:val="15"/>
          <w:color w:val="auto"/>
        </w:rPr>
        <w:t>The Company is owned by NASDI Holdings Corporation (“NASDI Holdings”), a wholly-owned subsidiary of Great Lakes Dredge &amp; Dock Corporation (“GLDD”) (collectively the “Parents”), and three individuals. NASDI Holdings is the owner of 100% of the Class A interests (voting) which represent 65% of the Company’s equity. The Class B interests (non-voting) are held by three individuals, one of which is Christopher A. Berardi, the president of NASDI Holdings, and represent 35% of the Company’s equity. The holders of the Class A and Class B interests are entitled to receive periodic distributions of profits based on available cash flows from operations on a pro rata basis in proportion to their percentage ownership interest. The members, managers or officers of the Company are not personally liable for the Company’s debt, obligations or liabilities.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w:t>
      </w:r>
    </w:p>
    <w:p>
      <w:pPr>
        <w:spacing w:after="0" w:line="137"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On January 1, 2009, the Company acquired Yankee Environmental Services, Inc. (“Yankee Inc.”), through an asset purchase agreement. Yankee Inc. was a provider of environmental remediation services including asbestos abatement and removal of other hazardous materials. The aggregate purchase price was $1,891. The costs related to the acquisition were not material. The allocation of the purchase price and the estimated values of assets acquired at the date of acquisition are as follows:</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Intangible assets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Other assets and liabilities</w:t>
            </w: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1,891</w:t>
            </w:r>
          </w:p>
        </w:tc>
        <w:tc>
          <w:tcPr>
            <w:tcW w:w="10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acquired intangible assets making up the above amount include: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Weighted Avg</w:t>
            </w:r>
          </w:p>
        </w:tc>
      </w:tr>
      <w:tr>
        <w:trPr>
          <w:trHeight w:val="161"/>
        </w:trPr>
        <w:tc>
          <w:tcPr>
            <w:tcW w:w="27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Value</w:t>
            </w:r>
          </w:p>
        </w:tc>
        <w:tc>
          <w:tcPr>
            <w:tcW w:w="640" w:type="dxa"/>
            <w:vAlign w:val="bottom"/>
          </w:tcPr>
          <w:p>
            <w:pPr>
              <w:spacing w:after="0"/>
              <w:rPr>
                <w:sz w:val="14"/>
                <w:szCs w:val="1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Life (yrs)</w:t>
            </w:r>
          </w:p>
        </w:tc>
        <w:tc>
          <w:tcPr>
            <w:tcW w:w="100" w:type="dxa"/>
            <w:vAlign w:val="bottom"/>
          </w:tcPr>
          <w:p>
            <w:pPr>
              <w:spacing w:after="0"/>
              <w:rPr>
                <w:sz w:val="14"/>
                <w:szCs w:val="14"/>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Backlog</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Non-compete</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Trade names</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License</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Leases</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363"/>
        </w:trPr>
        <w:tc>
          <w:tcPr>
            <w:tcW w:w="2740" w:type="dxa"/>
            <w:vAlign w:val="bottom"/>
          </w:tcPr>
          <w:p>
            <w:pPr>
              <w:spacing w:after="0"/>
              <w:rPr>
                <w:sz w:val="24"/>
                <w:szCs w:val="24"/>
                <w:color w:val="auto"/>
              </w:rPr>
            </w:pPr>
          </w:p>
        </w:tc>
        <w:tc>
          <w:tcPr>
            <w:tcW w:w="4400" w:type="dxa"/>
            <w:vAlign w:val="bottom"/>
            <w:gridSpan w:val="2"/>
          </w:tcPr>
          <w:p>
            <w:pPr>
              <w:jc w:val="right"/>
              <w:ind w:right="2572"/>
              <w:spacing w:after="0"/>
              <w:rPr>
                <w:sz w:val="20"/>
                <w:szCs w:val="20"/>
                <w:color w:val="auto"/>
              </w:rPr>
            </w:pPr>
            <w:r>
              <w:rPr>
                <w:rFonts w:ascii="Arial" w:cs="Arial" w:eastAsia="Arial" w:hAnsi="Arial"/>
                <w:sz w:val="18"/>
                <w:szCs w:val="18"/>
                <w:color w:val="auto"/>
              </w:rPr>
              <w:t>F-23</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37"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certain reported amounts and disclosures. Accordingly, actual results could differ from those estimates.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Revenues and cost recognitions:</w:t>
      </w:r>
    </w:p>
    <w:p>
      <w:pPr>
        <w:spacing w:after="0" w:line="137"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The majority of the Company’s contracts for asbestos abatement services are fixed-price contracts, with others managed as time and materials. Substantially all of the Company’s contract revenues are recognized under the percentage-of-completion method, using a cost-to-cost method to measure the extent of progress towards completion. Contract revenues are adjusted to reflect the gross profit percentage expected to be achieved upon the ultimate completion of each project. Provisions for estimated losses on contracts in progress are made in the period in which such losses are determined.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revenues is reflected in the balance sheet as either contract revenues in excess of billings or billings in excess of contract revenues. Change orders are often negotiated when a change in conditions from the original contract specifications is encountered, necessitating a change in project performance methodology. Such change orders are considered changes in the scope of the original projects to which they relate and the project estimates are adjusted accordingly.</w:t>
      </w:r>
    </w:p>
    <w:p>
      <w:pPr>
        <w:spacing w:after="0" w:line="82" w:lineRule="exact"/>
        <w:rPr>
          <w:sz w:val="20"/>
          <w:szCs w:val="20"/>
          <w:color w:val="auto"/>
        </w:rPr>
      </w:pPr>
    </w:p>
    <w:p>
      <w:pPr>
        <w:jc w:val="both"/>
        <w:ind w:left="920" w:right="380"/>
        <w:spacing w:after="0" w:line="259"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rentals) and project overhead. Hourly labor is generally hired on a project-by-project basis. Costs of contract revenues vary significantly depending on the type and location of work performed.</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Classification of current assets and liabilities:</w:t>
      </w:r>
    </w:p>
    <w:p>
      <w:pPr>
        <w:spacing w:after="0" w:line="137" w:lineRule="exact"/>
        <w:rPr>
          <w:sz w:val="20"/>
          <w:szCs w:val="20"/>
          <w:color w:val="auto"/>
        </w:rPr>
      </w:pPr>
    </w:p>
    <w:p>
      <w:pPr>
        <w:ind w:left="920" w:right="800"/>
        <w:spacing w:after="0" w:line="268" w:lineRule="auto"/>
        <w:rPr>
          <w:sz w:val="20"/>
          <w:szCs w:val="20"/>
          <w:color w:val="auto"/>
        </w:rPr>
      </w:pPr>
      <w:r>
        <w:rPr>
          <w:rFonts w:ascii="Arial" w:cs="Arial" w:eastAsia="Arial" w:hAnsi="Arial"/>
          <w:sz w:val="18"/>
          <w:szCs w:val="18"/>
          <w:color w:val="auto"/>
        </w:rPr>
        <w:t>The Company includes in current assets and liabilities amounts realizable and payable in the normal course of contract completion, unless completion of such contracts extends significantly beyond one year.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37" w:lineRule="exact"/>
        <w:rPr>
          <w:sz w:val="20"/>
          <w:szCs w:val="20"/>
          <w:color w:val="auto"/>
        </w:rPr>
      </w:pPr>
    </w:p>
    <w:p>
      <w:pPr>
        <w:ind w:left="920" w:right="440"/>
        <w:spacing w:after="0" w:line="256" w:lineRule="auto"/>
        <w:rPr>
          <w:sz w:val="20"/>
          <w:szCs w:val="20"/>
          <w:color w:val="auto"/>
        </w:rPr>
      </w:pPr>
      <w:r>
        <w:rPr>
          <w:rFonts w:ascii="Arial" w:cs="Arial" w:eastAsia="Arial" w:hAnsi="Arial"/>
          <w:sz w:val="18"/>
          <w:szCs w:val="18"/>
          <w:color w:val="auto"/>
        </w:rPr>
        <w:t>Accounts receivable represent amounts due or billable under the terms of contracts with customers, including amounts related to retainage. The Company anticipates collection of retainage within one year and, accordingly, presents retainage as a current asset. The Company provides an allowance for estimated uncollectible receivables when events or conditions indicate that amounts outstanding are not recoverable. As of December 31, 2010, no allowance was deemed necessary.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 net:</w:t>
      </w:r>
    </w:p>
    <w:p>
      <w:pPr>
        <w:spacing w:after="0" w:line="137" w:lineRule="exact"/>
        <w:rPr>
          <w:sz w:val="20"/>
          <w:szCs w:val="20"/>
          <w:color w:val="auto"/>
        </w:rPr>
      </w:pPr>
    </w:p>
    <w:p>
      <w:pPr>
        <w:ind w:left="920" w:right="240"/>
        <w:spacing w:after="0" w:line="259" w:lineRule="auto"/>
        <w:rPr>
          <w:sz w:val="20"/>
          <w:szCs w:val="20"/>
          <w:color w:val="auto"/>
        </w:rPr>
      </w:pPr>
      <w:r>
        <w:rPr>
          <w:rFonts w:ascii="Arial" w:cs="Arial" w:eastAsia="Arial" w:hAnsi="Arial"/>
          <w:sz w:val="18"/>
          <w:szCs w:val="18"/>
          <w:color w:val="auto"/>
        </w:rPr>
        <w:t>Capital additions, improvements and major renewals are carried at depreciated cost. Maintenance and repairs that do not significantly extend the useful lives of the assets or enhance the capabilities of such assets are charged to earnings as incurred. Depreciation is recorded over the estimated useful lives of three to ten years using the straight-line method.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Goodwill and intangible assets:</w:t>
      </w:r>
    </w:p>
    <w:p>
      <w:pPr>
        <w:spacing w:after="0" w:line="13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Goodwill represents the excess of cost over fair value. Other identifiable intangibles mainly represent developed technology and databases, customer relationships and customer contracts acquired in a business combination and are being amortized over a one to seven year period. Goodwill is tested annually for impairment in the third quarter of each year, or more frequently should circumstances dictate. Goodwill of a reporting unit is tested for impairment between annual tests if an event occurs or circumstances change that would more likely than not reduce the fair value of a reporting unit below its carrying amount.</w:t>
      </w:r>
    </w:p>
    <w:p>
      <w:pPr>
        <w:spacing w:after="0" w:line="102"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The Company performed its most recent annual test of impairment as of July 1, 2010 for goodwill with no indication of goodwill impairment as of the test date. As of the test date, the fair value was in excess of the carrying values. No test was performed in the fourth quarter based on the Company’s current forecasts. No triggering events which would require a test were deemed to have occurred. The Company will perform its next scheduled annual test of goodwill in the third quarter of 2011 should no triggering events occur which would require a test prior to the next annual test.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Long-lived assets:</w:t>
      </w:r>
    </w:p>
    <w:p>
      <w:pPr>
        <w:spacing w:after="0" w:line="137"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Long-lived assets are composed of equipment and intangible assets subject to amortization. Long-lived assets to be held and used are 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If long-lived assets are to be disposed of, depreciation is discontinued, if applicable, and the assets are reclassified as held for sale at the lower of their carrying amounts or fair values less estimated costs to sell. No triggering events were identified in 2010.</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Self-insurance reserves:</w:t>
      </w:r>
    </w:p>
    <w:p>
      <w:pPr>
        <w:spacing w:after="0" w:line="137" w:lineRule="exact"/>
        <w:rPr>
          <w:sz w:val="20"/>
          <w:szCs w:val="20"/>
          <w:color w:val="auto"/>
        </w:rPr>
      </w:pPr>
    </w:p>
    <w:p>
      <w:pPr>
        <w:ind w:left="920" w:right="40"/>
        <w:spacing w:after="0" w:line="254" w:lineRule="auto"/>
        <w:rPr>
          <w:sz w:val="20"/>
          <w:szCs w:val="20"/>
          <w:color w:val="auto"/>
        </w:rPr>
      </w:pPr>
      <w:r>
        <w:rPr>
          <w:rFonts w:ascii="Arial" w:cs="Arial" w:eastAsia="Arial" w:hAnsi="Arial"/>
          <w:sz w:val="18"/>
          <w:szCs w:val="18"/>
          <w:color w:val="auto"/>
        </w:rPr>
        <w:t>The Company self-insures costs associated with its employees, workers’ compensation claims and general business liabilities up to certain limits via participation in GLDD’s insurance programs. Insurance reserves are established for estimates of the loss that the Company will ultimately incur on reported claims, as well as estimates of claims that have been incurred but not yet reported. In determining its estimates, the Company incorporates historical loss experience and judgments about the present and expected levels of cost per claim. Trends in actual experience are a significant factor in the determination of such reserves. As of December 31, 2010 and 2009, the Company has accrued $507 and $270, respectively, for insurance reserves.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37"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No provision for income taxes is included in the accompanying financial statements since the Company is taxed as a partnership. Accordingly, the members report their respective share of partnership taxable income or loss in their income tax returns.</w:t>
      </w:r>
    </w:p>
    <w:p>
      <w:pPr>
        <w:spacing w:after="0" w:line="91"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The Company adopted the new accounting for uncertainty in income taxes guidance on January 1, 2009. The adoption of that guidance did not result in the recognition of any unrecognized tax benefits and the Company has no unrecognized tax benefit at either December 31, 2010 or 2009. Management continually evaluates expiring statutes of limitations, audits, proposed settlements, changes in tax law and new authoritative rulings.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 (continued):</w:t>
      </w:r>
    </w:p>
    <w:p>
      <w:pPr>
        <w:spacing w:after="0" w:line="137"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If necessary, the Company would recognize interest and penalties associated with tax matters as operating expenses and would include accrued interest and penalties in accounts payable and accrued expenses on the balance sheets.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w:t>
      </w:r>
    </w:p>
    <w:p>
      <w:pPr>
        <w:spacing w:after="0" w:line="13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carrying value of accounts receivable, accounts payable and accrued liabilities approximates fair value due to the short-term maturities of these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Accounts receivable consist of the following at December 31, 2010 and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Related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Related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As of December 31, 2010</w:t>
            </w:r>
          </w:p>
        </w:tc>
        <w:tc>
          <w:tcPr>
            <w:tcW w:w="5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Party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Party</w:t>
            </w:r>
          </w:p>
        </w:tc>
        <w:tc>
          <w:tcPr>
            <w:tcW w:w="400" w:type="dxa"/>
            <w:vAlign w:val="bottom"/>
            <w:gridSpan w:val="2"/>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542</w:t>
            </w:r>
          </w:p>
        </w:tc>
        <w:tc>
          <w:tcPr>
            <w:tcW w:w="8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$1,851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Contracts in progress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912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686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Retainage</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0" w:type="dxa"/>
            <w:vAlign w:val="bottom"/>
            <w:gridSpan w:val="3"/>
            <w:vMerge w:val="restart"/>
          </w:tcPr>
          <w:p>
            <w:pPr>
              <w:spacing w:after="0"/>
              <w:rPr>
                <w:sz w:val="20"/>
                <w:szCs w:val="20"/>
                <w:color w:val="auto"/>
              </w:rPr>
            </w:pPr>
            <w:r>
              <w:rPr>
                <w:rFonts w:ascii="Arial" w:cs="Arial" w:eastAsia="Arial" w:hAnsi="Arial"/>
                <w:sz w:val="18"/>
                <w:szCs w:val="18"/>
                <w:color w:val="auto"/>
              </w:rPr>
              <w:t>Total accounts receivable</w:t>
            </w: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6600" w:type="dxa"/>
            <w:vAlign w:val="bottom"/>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1,565</w:t>
            </w:r>
          </w:p>
        </w:tc>
        <w:tc>
          <w:tcPr>
            <w:tcW w:w="800" w:type="dxa"/>
            <w:vAlign w:val="bottom"/>
            <w:gridSpan w:val="6"/>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3,060</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Related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Related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As of December 31, 2009</w:t>
            </w:r>
          </w:p>
        </w:tc>
        <w:tc>
          <w:tcPr>
            <w:tcW w:w="5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Party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Party</w:t>
            </w:r>
          </w:p>
        </w:tc>
        <w:tc>
          <w:tcPr>
            <w:tcW w:w="400" w:type="dxa"/>
            <w:vAlign w:val="bottom"/>
            <w:gridSpan w:val="2"/>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$1,318</w:t>
            </w: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Contracts in progress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1,560</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Retainage</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0" w:type="dxa"/>
            <w:vAlign w:val="bottom"/>
            <w:gridSpan w:val="3"/>
            <w:vMerge w:val="restart"/>
          </w:tcPr>
          <w:p>
            <w:pPr>
              <w:spacing w:after="0"/>
              <w:rPr>
                <w:sz w:val="20"/>
                <w:szCs w:val="20"/>
                <w:color w:val="auto"/>
              </w:rPr>
            </w:pPr>
            <w:r>
              <w:rPr>
                <w:rFonts w:ascii="Arial" w:cs="Arial" w:eastAsia="Arial" w:hAnsi="Arial"/>
                <w:sz w:val="18"/>
                <w:szCs w:val="18"/>
                <w:color w:val="auto"/>
              </w:rPr>
              <w:t>Total accounts receivable</w:t>
            </w: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6600" w:type="dxa"/>
            <w:vAlign w:val="bottom"/>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1,627</w:t>
            </w:r>
          </w:p>
        </w:tc>
        <w:tc>
          <w:tcPr>
            <w:tcW w:w="800" w:type="dxa"/>
            <w:vAlign w:val="bottom"/>
            <w:gridSpan w:val="6"/>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1,918</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4 - Contracts in progress:</w:t>
            </w: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2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520" w:type="dxa"/>
            <w:vAlign w:val="bottom"/>
            <w:gridSpan w:val="4"/>
          </w:tcPr>
          <w:p>
            <w:pPr>
              <w:ind w:left="920"/>
              <w:spacing w:after="0"/>
              <w:rPr>
                <w:sz w:val="20"/>
                <w:szCs w:val="20"/>
                <w:color w:val="auto"/>
              </w:rPr>
            </w:pPr>
            <w:r>
              <w:rPr>
                <w:rFonts w:ascii="Arial" w:cs="Arial" w:eastAsia="Arial" w:hAnsi="Arial"/>
                <w:sz w:val="18"/>
                <w:szCs w:val="18"/>
                <w:color w:val="auto"/>
                <w:w w:val="92"/>
              </w:rPr>
              <w:t>The components of contracts in progress at December 31, 2010 and 2009 are as follows: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6600" w:type="dxa"/>
            <w:vAlign w:val="bottom"/>
            <w:gridSpan w:val="3"/>
          </w:tcPr>
          <w:p>
            <w:pPr>
              <w:ind w:left="580"/>
              <w:spacing w:after="0"/>
              <w:rPr>
                <w:sz w:val="20"/>
                <w:szCs w:val="20"/>
                <w:color w:val="auto"/>
              </w:rPr>
            </w:pPr>
            <w:r>
              <w:rPr>
                <w:rFonts w:ascii="Arial" w:cs="Arial" w:eastAsia="Arial" w:hAnsi="Arial"/>
                <w:sz w:val="18"/>
                <w:szCs w:val="18"/>
                <w:color w:val="auto"/>
              </w:rPr>
              <w:t>Costs and earnings in excess of billings: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5"/>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80" w:type="dxa"/>
            <w:vAlign w:val="bottom"/>
            <w:gridSpan w:val="2"/>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tcBorders>
              <w:top w:val="single" w:sz="8" w:color="auto"/>
              <w:right w:val="single" w:sz="8" w:color="CCEEFF"/>
            </w:tcBorders>
            <w:gridSpan w:val="3"/>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80" w:type="dxa"/>
            <w:vAlign w:val="bottom"/>
            <w:gridSpan w:val="2"/>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$ 1,092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00" w:type="dxa"/>
            <w:vAlign w:val="bottom"/>
            <w:vMerge w:val="restart"/>
          </w:tcPr>
          <w:p>
            <w:pPr>
              <w:ind w:left="280"/>
              <w:spacing w:after="0"/>
              <w:rPr>
                <w:sz w:val="20"/>
                <w:szCs w:val="20"/>
                <w:color w:val="auto"/>
              </w:rPr>
            </w:pPr>
            <w:r>
              <w:rPr>
                <w:rFonts w:ascii="Arial" w:cs="Arial" w:eastAsia="Arial" w:hAnsi="Arial"/>
                <w:sz w:val="18"/>
                <w:szCs w:val="18"/>
                <w:color w:val="auto"/>
              </w:rPr>
              <w:t>Total contract revenues in excess of billings</w:t>
            </w: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00" w:type="dxa"/>
            <w:vAlign w:val="bottom"/>
            <w:vMerge w:val="continue"/>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0" w:type="dxa"/>
            <w:vAlign w:val="bottom"/>
            <w:gridSpan w:val="3"/>
            <w:vMerge w:val="restart"/>
          </w:tcPr>
          <w:p>
            <w:pPr>
              <w:ind w:left="580"/>
              <w:spacing w:after="0"/>
              <w:rPr>
                <w:sz w:val="20"/>
                <w:szCs w:val="20"/>
                <w:color w:val="auto"/>
              </w:rPr>
            </w:pPr>
            <w:r>
              <w:rPr>
                <w:rFonts w:ascii="Arial" w:cs="Arial" w:eastAsia="Arial" w:hAnsi="Arial"/>
                <w:sz w:val="18"/>
                <w:szCs w:val="18"/>
                <w:color w:val="auto"/>
              </w:rPr>
              <w:t>Billings in excess of costs and earnings:</w:t>
            </w: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60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8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80" w:type="dxa"/>
            <w:vAlign w:val="bottom"/>
            <w:gridSpan w:val="2"/>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4"/>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4"/>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80" w:type="dxa"/>
            <w:vAlign w:val="bottom"/>
            <w:gridSpan w:val="2"/>
          </w:tcPr>
          <w:p>
            <w:pPr>
              <w:ind w:left="440"/>
              <w:spacing w:after="0"/>
              <w:rPr>
                <w:sz w:val="20"/>
                <w:szCs w:val="20"/>
                <w:color w:val="auto"/>
              </w:rPr>
            </w:pPr>
            <w:r>
              <w:rPr>
                <w:rFonts w:ascii="Arial" w:cs="Arial" w:eastAsia="Arial" w:hAnsi="Arial"/>
                <w:sz w:val="18"/>
                <w:szCs w:val="18"/>
                <w:color w:val="auto"/>
              </w:rPr>
              <w:t>Amounts billed</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4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1,233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lef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00" w:type="dxa"/>
            <w:vAlign w:val="bottom"/>
          </w:tcPr>
          <w:p>
            <w:pPr>
              <w:ind w:left="280"/>
              <w:spacing w:after="0"/>
              <w:rPr>
                <w:sz w:val="20"/>
                <w:szCs w:val="20"/>
                <w:color w:val="auto"/>
              </w:rPr>
            </w:pPr>
            <w:r>
              <w:rPr>
                <w:rFonts w:ascii="Arial" w:cs="Arial" w:eastAsia="Arial" w:hAnsi="Arial"/>
                <w:sz w:val="18"/>
                <w:szCs w:val="18"/>
                <w:color w:val="auto"/>
              </w:rPr>
              <w:t>Total billings in excess of contract revenues</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0"/>
              </w:rPr>
              <w:t>(200)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00" w:type="dxa"/>
            <w:vAlign w:val="bottom"/>
            <w:vMerge w:val="restart"/>
          </w:tcPr>
          <w:p>
            <w:pPr>
              <w:ind w:left="3120"/>
              <w:spacing w:after="0"/>
              <w:rPr>
                <w:sz w:val="20"/>
                <w:szCs w:val="20"/>
                <w:color w:val="auto"/>
              </w:rPr>
            </w:pPr>
            <w:r>
              <w:rPr>
                <w:rFonts w:ascii="Arial" w:cs="Arial" w:eastAsia="Arial" w:hAnsi="Arial"/>
                <w:sz w:val="18"/>
                <w:szCs w:val="18"/>
                <w:color w:val="auto"/>
              </w:rPr>
              <w:t>F-26</w:t>
            </w: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w:t>
      </w:r>
    </w:p>
    <w:p>
      <w:pPr>
        <w:spacing w:after="0" w:line="137"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Goodwill resulted from the acquisition of Yankee Inc. in 2009. The change in the carrying amount of goodwill during the years ended December 31, 2010 and 2009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3"/>
          </w:tcPr>
          <w:p>
            <w:pPr>
              <w:spacing w:after="0"/>
              <w:rPr>
                <w:sz w:val="14"/>
                <w:szCs w:val="14"/>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2010</w:t>
            </w:r>
          </w:p>
        </w:tc>
        <w:tc>
          <w:tcPr>
            <w:tcW w:w="360" w:type="dxa"/>
            <w:vAlign w:val="bottom"/>
            <w:gridSpan w:val="2"/>
          </w:tcPr>
          <w:p>
            <w:pPr>
              <w:spacing w:after="0"/>
              <w:rPr>
                <w:sz w:val="14"/>
                <w:szCs w:val="1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40" w:type="dxa"/>
            <w:vAlign w:val="bottom"/>
            <w:gridSpan w:val="4"/>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Acquisition of Yankee Environmental Services, Inc.</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December 31,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w:t>
            </w:r>
          </w:p>
        </w:tc>
        <w:tc>
          <w:tcPr>
            <w:tcW w:w="72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w:t>
            </w: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6 - Equipment - net:</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04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40" w:type="dxa"/>
            <w:vAlign w:val="bottom"/>
            <w:gridSpan w:val="4"/>
          </w:tcPr>
          <w:p>
            <w:pPr>
              <w:ind w:left="920"/>
              <w:spacing w:after="0"/>
              <w:rPr>
                <w:sz w:val="20"/>
                <w:szCs w:val="20"/>
                <w:color w:val="auto"/>
              </w:rPr>
            </w:pPr>
            <w:r>
              <w:rPr>
                <w:rFonts w:ascii="Arial" w:cs="Arial" w:eastAsia="Arial" w:hAnsi="Arial"/>
                <w:sz w:val="18"/>
                <w:szCs w:val="18"/>
                <w:color w:val="auto"/>
              </w:rPr>
              <w:t>Equipment – net consists of the following at December 31, 2010 and 2009: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equipment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$ 680</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$ 725</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725</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8"/>
                <w:szCs w:val="18"/>
                <w:color w:val="auto"/>
              </w:rPr>
              <w:t>(411)</w:t>
            </w:r>
          </w:p>
        </w:tc>
        <w:tc>
          <w:tcPr>
            <w:tcW w:w="820" w:type="dxa"/>
            <w:vAlign w:val="bottom"/>
            <w:gridSpan w:val="7"/>
          </w:tcPr>
          <w:p>
            <w:pPr>
              <w:jc w:val="right"/>
              <w:ind w:right="60"/>
              <w:spacing w:after="0"/>
              <w:rPr>
                <w:sz w:val="20"/>
                <w:szCs w:val="20"/>
                <w:color w:val="auto"/>
              </w:rPr>
            </w:pPr>
            <w:r>
              <w:rPr>
                <w:rFonts w:ascii="Arial" w:cs="Arial" w:eastAsia="Arial" w:hAnsi="Arial"/>
                <w:sz w:val="18"/>
                <w:szCs w:val="18"/>
                <w:color w:val="auto"/>
              </w:rPr>
              <w:t>(275)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 net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$ 273</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$ 450</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6"/>
            <w:vMerge w:val="restart"/>
          </w:tcPr>
          <w:p>
            <w:pPr>
              <w:ind w:left="920"/>
              <w:spacing w:after="0"/>
              <w:rPr>
                <w:sz w:val="20"/>
                <w:szCs w:val="20"/>
                <w:color w:val="auto"/>
              </w:rPr>
            </w:pPr>
            <w:r>
              <w:rPr>
                <w:rFonts w:ascii="Arial" w:cs="Arial" w:eastAsia="Arial" w:hAnsi="Arial"/>
                <w:sz w:val="18"/>
                <w:szCs w:val="18"/>
                <w:color w:val="auto"/>
                <w:w w:val="89"/>
              </w:rPr>
              <w:t>Depreciation expense was $211 and $275 for the years ended December 31, 2010 and 2009, respectively.</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54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40" w:type="dxa"/>
            <w:vAlign w:val="bottom"/>
            <w:gridSpan w:val="4"/>
          </w:tcPr>
          <w:p>
            <w:pPr>
              <w:spacing w:after="0"/>
              <w:rPr>
                <w:sz w:val="20"/>
                <w:szCs w:val="20"/>
                <w:color w:val="auto"/>
              </w:rPr>
            </w:pPr>
            <w:r>
              <w:rPr>
                <w:rFonts w:ascii="Arial" w:cs="Arial" w:eastAsia="Arial" w:hAnsi="Arial"/>
                <w:sz w:val="18"/>
                <w:szCs w:val="18"/>
                <w:b w:val="1"/>
                <w:bCs w:val="1"/>
                <w:color w:val="auto"/>
              </w:rPr>
              <w:t>Note 7 - Intangible assets: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40" w:type="dxa"/>
            <w:vAlign w:val="bottom"/>
            <w:gridSpan w:val="4"/>
          </w:tcPr>
          <w:p>
            <w:pPr>
              <w:ind w:left="920"/>
              <w:spacing w:after="0"/>
              <w:rPr>
                <w:sz w:val="20"/>
                <w:szCs w:val="20"/>
                <w:color w:val="auto"/>
              </w:rPr>
            </w:pPr>
            <w:r>
              <w:rPr>
                <w:rFonts w:ascii="Arial" w:cs="Arial" w:eastAsia="Arial" w:hAnsi="Arial"/>
                <w:sz w:val="18"/>
                <w:szCs w:val="18"/>
                <w:color w:val="auto"/>
                <w:w w:val="99"/>
              </w:rPr>
              <w:t>At December 31, 2010 and 2009, the net book value of identifiable assets was as follows: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7"/>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As of December 31, 2010</w:t>
            </w:r>
          </w:p>
        </w:tc>
        <w:tc>
          <w:tcPr>
            <w:tcW w:w="56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$181</w:t>
            </w:r>
          </w:p>
        </w:tc>
        <w:tc>
          <w:tcPr>
            <w:tcW w:w="5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Backlog</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3"/>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879</w:t>
            </w:r>
          </w:p>
        </w:tc>
        <w:tc>
          <w:tcPr>
            <w:tcW w:w="56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616</w:t>
            </w:r>
          </w:p>
        </w:tc>
        <w:tc>
          <w:tcPr>
            <w:tcW w:w="6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20" w:type="dxa"/>
            <w:vAlign w:val="bottom"/>
            <w:vMerge w:val="restart"/>
          </w:tcPr>
          <w:p>
            <w:pPr>
              <w:ind w:left="3120"/>
              <w:spacing w:after="0"/>
              <w:rPr>
                <w:sz w:val="20"/>
                <w:szCs w:val="20"/>
                <w:color w:val="auto"/>
              </w:rPr>
            </w:pPr>
            <w:r>
              <w:rPr>
                <w:rFonts w:ascii="Arial" w:cs="Arial" w:eastAsia="Arial" w:hAnsi="Arial"/>
                <w:sz w:val="18"/>
                <w:szCs w:val="18"/>
                <w:color w:val="auto"/>
              </w:rPr>
              <w:t>F-27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Intangible assets (continued):</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Accumulated</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 of December 31, 2009</w:t>
            </w:r>
          </w:p>
        </w:tc>
        <w:tc>
          <w:tcPr>
            <w:tcW w:w="56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4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4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r>
      <w:tr>
        <w:trPr>
          <w:trHeight w:val="21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360" w:type="dxa"/>
            <w:vAlign w:val="bottom"/>
          </w:tcPr>
          <w:p>
            <w:pPr>
              <w:jc w:val="right"/>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360" w:type="dxa"/>
            <w:vAlign w:val="bottom"/>
          </w:tcPr>
          <w:p>
            <w:pPr>
              <w:jc w:val="right"/>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22"/>
        </w:trPr>
        <w:tc>
          <w:tcPr>
            <w:tcW w:w="150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879</w:t>
            </w:r>
          </w:p>
        </w:tc>
        <w:tc>
          <w:tcPr>
            <w:tcW w:w="4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481</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398</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Amortization expense related to these intangible assets was $135 and $481 for the years ended December 31, 2010 and 2009, respectively.</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Amortization expense is estimated to be $125 in 2011, $44 in 2012, $44 in 2013 and $25 in 2014 and 2015.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liabilities:</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Accrued liabilities at December 31, 2010 and 2009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3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Accrued loss on uncompleted contract</w:t>
            </w:r>
          </w:p>
        </w:tc>
        <w:tc>
          <w:tcPr>
            <w:tcW w:w="360" w:type="dxa"/>
            <w:vAlign w:val="bottom"/>
          </w:tcPr>
          <w:p>
            <w:pPr>
              <w:jc w:val="right"/>
              <w:spacing w:after="0"/>
              <w:rPr>
                <w:sz w:val="20"/>
                <w:szCs w:val="20"/>
                <w:color w:val="auto"/>
              </w:rPr>
            </w:pPr>
            <w:r>
              <w:rPr>
                <w:rFonts w:ascii="Arial" w:cs="Arial" w:eastAsia="Arial" w:hAnsi="Arial"/>
                <w:sz w:val="18"/>
                <w:szCs w:val="18"/>
                <w:color w:val="auto"/>
              </w:rPr>
              <w:t>172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22"/>
        </w:trPr>
        <w:tc>
          <w:tcPr>
            <w:tcW w:w="7500" w:type="dxa"/>
            <w:vAlign w:val="bottom"/>
          </w:tcPr>
          <w:p>
            <w:pPr>
              <w:ind w:left="440"/>
              <w:spacing w:after="0"/>
              <w:rPr>
                <w:sz w:val="20"/>
                <w:szCs w:val="20"/>
                <w:color w:val="auto"/>
              </w:rPr>
            </w:pPr>
            <w:r>
              <w:rPr>
                <w:rFonts w:ascii="Arial" w:cs="Arial" w:eastAsia="Arial" w:hAnsi="Arial"/>
                <w:sz w:val="18"/>
                <w:szCs w:val="18"/>
                <w:color w:val="auto"/>
              </w:rPr>
              <w:t>Total accrued expenses</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693</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w:t>
            </w:r>
          </w:p>
        </w:tc>
        <w:tc>
          <w:tcPr>
            <w:tcW w:w="10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Members’ equity (deficit):</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change in the members’ equity (deficit) during the years ended December 31, 2010 and 2009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Class A</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Class B</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Members’ contributions</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1,229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662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1,891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Balance, December 31, 2009</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(515)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(1,471)</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Balance, December 31, 2010</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(287)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(155)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Retirement plans:</w:t>
      </w:r>
    </w:p>
    <w:p>
      <w:pPr>
        <w:spacing w:after="0" w:line="137" w:lineRule="exact"/>
        <w:rPr>
          <w:sz w:val="20"/>
          <w:szCs w:val="20"/>
          <w:color w:val="auto"/>
        </w:rPr>
      </w:pPr>
    </w:p>
    <w:p>
      <w:pPr>
        <w:ind w:left="920"/>
        <w:spacing w:after="0" w:line="318" w:lineRule="auto"/>
        <w:rPr>
          <w:sz w:val="20"/>
          <w:szCs w:val="20"/>
          <w:color w:val="auto"/>
        </w:rPr>
      </w:pPr>
      <w:r>
        <w:rPr>
          <w:rFonts w:ascii="Arial" w:cs="Arial" w:eastAsia="Arial" w:hAnsi="Arial"/>
          <w:sz w:val="15"/>
          <w:szCs w:val="15"/>
          <w:color w:val="auto"/>
        </w:rPr>
        <w:t>Employees of the Company are eligible to participate in GLDD’s 401(k) savings plans, including one covering nonunion salaried employees (“Salaried Plan”) and the second covering nonunion hourly employees. Under both plans, individual employees may contribute a percentage of compensation and the Company will match a portion of the employees’ contributions. Additionally, the Salaried Plan includes a profit-sharing component, permitting the Company to make discretionary employer contributions to all eligible employees of the Salaried Plan. The Company’s expense for matching and discretionary profit-sharing contributions for the years ended December 31, 2010 and 2009 was $12 and $4, respectively.</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80"/>
          </w:cols>
          <w:pgMar w:left="240" w:top="459" w:right="3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Retirement plans (continued):</w:t>
      </w:r>
    </w:p>
    <w:p>
      <w:pPr>
        <w:spacing w:after="0" w:line="137"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The Company also contributes to a number of multi-employer pension plans pursuant to collective bargaining agreements. Government regulations impose certain requirements relative to multi-employer plans. In the event of plan termination or employer withdrawal, an employer may be liable for a portion of the plan’s unfunded vested benefits. The Company has not received information from the plans’ administrators to determine its share of unfunded vested benefits. The Company does not anticipate withdrawal from the plans, nor is the Company aware of any expected plan terminations. Contributions to multi-employer pension plans for the years ended December 31, 2010 and 2009 was $826 and $1,204,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137"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For the years ended December 31, 2010 and 2009, the Company incurred interest expense to Parents totaling $95 and $115, respectively. The interest expense relates primarily to debt for periodic advances from Parents to fund the Company’s working capital needs. The total of such amounts payable to GLDD at December 31, 2010 and 2009 was $816 and $2,719, respectively. The amount advanced by Parents accrues interest at a per annum rate of not less than the higher of (a) the Prime Rate plus 1% or (b) 0.50% per annum above the Federal Funds Rate plus 1%, and is payable quarterly. The effective rate was 4.25% at December 31, 2010 and 2009. The Company also received advances from NASDI Holdings of $2,839 and $39 for the years ended December 31, 2010 and 2009, respectively. GLDD has provided a letter to the Company indicating that it will not demand that the Company repay the amounts payable to Parents prior to January 2, 2013 even though such payables are due on demand.</w:t>
      </w:r>
    </w:p>
    <w:p>
      <w:pPr>
        <w:spacing w:after="0" w:line="78" w:lineRule="exact"/>
        <w:rPr>
          <w:sz w:val="20"/>
          <w:szCs w:val="20"/>
          <w:color w:val="auto"/>
        </w:rPr>
      </w:pPr>
    </w:p>
    <w:p>
      <w:pPr>
        <w:ind w:left="920" w:right="40"/>
        <w:spacing w:after="0" w:line="306" w:lineRule="auto"/>
        <w:rPr>
          <w:sz w:val="20"/>
          <w:szCs w:val="20"/>
          <w:color w:val="auto"/>
        </w:rPr>
      </w:pPr>
      <w:r>
        <w:rPr>
          <w:rFonts w:ascii="Arial" w:cs="Arial" w:eastAsia="Arial" w:hAnsi="Arial"/>
          <w:sz w:val="16"/>
          <w:szCs w:val="16"/>
          <w:color w:val="auto"/>
        </w:rPr>
        <w:t>The Company is also charged a management fee by GLDD to compensate GLDD for certain administrative fees and services such as accounting and tax functions performed by GLDD on the Company’s behalf, as well as for any payroll and incentive compensation paid directly by GLDD. For the years ended December 31, 2010 and 2009, the Company incurred expenses of $29 and $38,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37"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color w:val="auto"/>
        </w:rPr>
        <w:t>The Company, along with other subsidiaries of GLDD, has guaranteed the repayment of debt and interest under GLDD’s senior subordinated notes. At December 31, 2010, letters of credit outstanding were $11,923 under GLDD’s credit facility. The amount of GLDD’s senior subordinated notes guaranteed totaled $175,000 at December 31, 2010 and 2009. The senior subordinated notes were set to mature on December 15, 2013 and accrue interest at the rate of 7.75% annually, but were redeemed in January 2011. See Note 14 – Subsequent events.</w:t>
      </w:r>
    </w:p>
    <w:p>
      <w:pPr>
        <w:spacing w:after="0" w:line="72"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Performance and/or bid bonds are occasionally required for the Company’s demolition projects. The Company obtains its performance and bid bonds through GLDD’s bonding agreement with its surety company.</w:t>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leases office space, which expires December 31, 2015. Future minimum operating lease payments relating to office space rental at</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December 31, 2010 are as follows:</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300" w:type="dxa"/>
            <w:vAlign w:val="bottom"/>
            <w:shd w:val="clear" w:color="auto" w:fill="CCEEFF"/>
          </w:tcPr>
          <w:p>
            <w:pPr>
              <w:jc w:val="right"/>
              <w:ind w:right="6872"/>
              <w:spacing w:after="0"/>
              <w:rPr>
                <w:sz w:val="20"/>
                <w:szCs w:val="20"/>
                <w:color w:val="auto"/>
              </w:rPr>
            </w:pPr>
            <w:r>
              <w:rPr>
                <w:rFonts w:ascii="Arial" w:cs="Arial" w:eastAsia="Arial" w:hAnsi="Arial"/>
                <w:sz w:val="18"/>
                <w:szCs w:val="18"/>
                <w:color w:val="auto"/>
                <w:w w:val="79"/>
              </w:rPr>
              <w:t>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jc w:val="right"/>
              <w:ind w:right="6872"/>
              <w:spacing w:after="0"/>
              <w:rPr>
                <w:sz w:val="20"/>
                <w:szCs w:val="20"/>
                <w:color w:val="auto"/>
              </w:rPr>
            </w:pPr>
            <w:r>
              <w:rPr>
                <w:rFonts w:ascii="Arial" w:cs="Arial" w:eastAsia="Arial" w:hAnsi="Arial"/>
                <w:sz w:val="18"/>
                <w:szCs w:val="18"/>
                <w:color w:val="auto"/>
                <w:w w:val="79"/>
              </w:rPr>
              <w:t>2012</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jc w:val="right"/>
              <w:ind w:right="6872"/>
              <w:spacing w:after="0"/>
              <w:rPr>
                <w:sz w:val="20"/>
                <w:szCs w:val="20"/>
                <w:color w:val="auto"/>
              </w:rPr>
            </w:pPr>
            <w:r>
              <w:rPr>
                <w:rFonts w:ascii="Arial" w:cs="Arial" w:eastAsia="Arial" w:hAnsi="Arial"/>
                <w:sz w:val="18"/>
                <w:szCs w:val="18"/>
                <w:color w:val="auto"/>
                <w:w w:val="79"/>
              </w:rPr>
              <w:t>2013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jc w:val="right"/>
              <w:ind w:right="6872"/>
              <w:spacing w:after="0"/>
              <w:rPr>
                <w:sz w:val="20"/>
                <w:szCs w:val="20"/>
                <w:color w:val="auto"/>
              </w:rPr>
            </w:pPr>
            <w:r>
              <w:rPr>
                <w:rFonts w:ascii="Arial" w:cs="Arial" w:eastAsia="Arial" w:hAnsi="Arial"/>
                <w:sz w:val="18"/>
                <w:szCs w:val="18"/>
                <w:color w:val="auto"/>
                <w:w w:val="79"/>
              </w:rPr>
              <w:t>2014</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jc w:val="right"/>
              <w:ind w:right="6872"/>
              <w:spacing w:after="0"/>
              <w:rPr>
                <w:sz w:val="20"/>
                <w:szCs w:val="20"/>
                <w:color w:val="auto"/>
              </w:rPr>
            </w:pPr>
            <w:r>
              <w:rPr>
                <w:rFonts w:ascii="Arial" w:cs="Arial" w:eastAsia="Arial" w:hAnsi="Arial"/>
                <w:sz w:val="18"/>
                <w:szCs w:val="18"/>
                <w:color w:val="auto"/>
                <w:w w:val="79"/>
              </w:rPr>
              <w:t>2015</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22"/>
        </w:trPr>
        <w:tc>
          <w:tcPr>
            <w:tcW w:w="7300" w:type="dxa"/>
            <w:vAlign w:val="bottom"/>
          </w:tcPr>
          <w:p>
            <w:pPr>
              <w:jc w:val="right"/>
              <w:ind w:right="3872"/>
              <w:spacing w:after="0"/>
              <w:rPr>
                <w:sz w:val="20"/>
                <w:szCs w:val="20"/>
                <w:color w:val="auto"/>
              </w:rPr>
            </w:pPr>
            <w:r>
              <w:rPr>
                <w:rFonts w:ascii="Arial" w:cs="Arial" w:eastAsia="Arial" w:hAnsi="Arial"/>
                <w:sz w:val="18"/>
                <w:szCs w:val="18"/>
                <w:color w:val="auto"/>
              </w:rPr>
              <w:t>Total minimum operating lease payments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410</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Total rent expense under long-term operating lease arrangements for the years ended December 31, 2010 and 2009 was $95 and $55. This excludes expenses for equipment and facilities rented on a short-term, as needed basis.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YANKEE ENVIRONMENTAL SERVICES, LLC</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Concentration risks: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Customers:</w:t>
      </w:r>
    </w:p>
    <w:p>
      <w:pPr>
        <w:spacing w:after="0" w:line="137"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The Company obtains its contract work primarily through a competitive bid process. This may result in the Company earning a substantial portion of its revenue from relatively few customers in any given year. During the year ended December 31, 2010, the Company earned approximately 58% of its revenue from one customer, NASDI, LLC, an affiliate. During the year ended December 31, 2009, the Company earned approximately 97% of its revenue from two customers, of which 53% was derived from NASDI, LLC, and 44% was derived from Dominion Energy. At December 31, 2010, the Company has approximately 66% of its accounts receivable balance, including contract revenues in excess of billings, due from the one major customer, NASDI, LLC, an affiliate. At December 31, 2009, the Company has approximately 98% of its accounts receivable balance, including contract revenues in excess of billings, due from the two major customers, of which 54% is due from NASDI, LLC, an affiliate and 44% was due from Dominion Energy.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Labor concentrations:</w:t>
      </w:r>
    </w:p>
    <w:p>
      <w:pPr>
        <w:spacing w:after="0" w:line="137"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The Company’s direct labor is supplied primarily by unions, which have collective bargaining agreements expiring through May 31, 2012. Although the Company’s past experience has been favorable with respect to resolving conflicting demands with these unions, it is always possible that a protracted conflict may occur which could impact the renewal of the collective bargaining agreements. At December 31, 2010, 88% of the Company’s labor force is subject to collective bargaining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37" w:lineRule="exact"/>
        <w:rPr>
          <w:sz w:val="20"/>
          <w:szCs w:val="20"/>
          <w:color w:val="auto"/>
        </w:rPr>
      </w:pPr>
    </w:p>
    <w:p>
      <w:pPr>
        <w:ind w:left="920" w:right="500"/>
        <w:spacing w:after="0" w:line="268" w:lineRule="auto"/>
        <w:rPr>
          <w:sz w:val="20"/>
          <w:szCs w:val="20"/>
          <w:color w:val="auto"/>
        </w:rPr>
      </w:pPr>
      <w:r>
        <w:rPr>
          <w:rFonts w:ascii="Arial" w:cs="Arial" w:eastAsia="Arial" w:hAnsi="Arial"/>
          <w:sz w:val="18"/>
          <w:szCs w:val="18"/>
          <w:color w:val="auto"/>
        </w:rPr>
        <w:t>In January 2011, GLDD redeemed all of the $175,000 senior subordinated notes with the issuance of $250,000 of senior unsecured notes. The Company is not a guarantor of the new senior unsecured notes.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accompanying financial statements of Yankee’s predecessor, Yankee Liquidation Corp. (formerly known as Yankee Environmental Services, Inc., and referred to hereafter as “Seller”), for the year ended December 31, 2008 is unaudited. As a non 100%-owned subsidiary guarantor of the Company’s senior subordinated notes, Rule 3-10 of Regulation S-X requires that Yankee provide separate financial statements in accordance with Regulation S-X, including audited annual financial statements, including financial statements of the Seller for periods prior to the acquisition by Yankee (the Seller was not a guarantor of the Company’s senior subordinated notes). As the accompanying financial statements are unaudited, they are not in compliance with Rule 3-10 of Regulation S-X.</w:t>
      </w:r>
    </w:p>
    <w:p>
      <w:pPr>
        <w:spacing w:after="0" w:line="10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Yankee was formed for the purpose of purchasing substantially all of the assets of Seller. On January 1, 2009, Yankee acquired the assets for a purchase price of $1.9 million. Effective upon the closing of the asset purchase, Seller ceased to conduct any business. Seller’s financial statements were not audited for any period prior to January 1, 2009. Yankee believes that the completion of an audit for Seller’s 2008 financial statements is impractical for the following reasons:</w:t>
      </w:r>
    </w:p>
    <w:p>
      <w:pPr>
        <w:spacing w:after="0" w:line="107" w:lineRule="exact"/>
        <w:rPr>
          <w:sz w:val="20"/>
          <w:szCs w:val="20"/>
          <w:color w:val="auto"/>
        </w:rPr>
      </w:pPr>
    </w:p>
    <w:p>
      <w:pPr>
        <w:ind w:right="80" w:firstLine="8"/>
        <w:spacing w:after="0" w:line="370" w:lineRule="auto"/>
        <w:tabs>
          <w:tab w:leader="none" w:pos="99" w:val="left"/>
        </w:tabs>
        <w:numPr>
          <w:ilvl w:val="0"/>
          <w:numId w:val="54"/>
        </w:numPr>
        <w:rPr>
          <w:rFonts w:ascii="Arial" w:cs="Arial" w:eastAsia="Arial" w:hAnsi="Arial"/>
          <w:sz w:val="15"/>
          <w:szCs w:val="15"/>
          <w:color w:val="auto"/>
        </w:rPr>
      </w:pPr>
      <w:r>
        <w:rPr>
          <w:rFonts w:ascii="Arial" w:cs="Arial" w:eastAsia="Arial" w:hAnsi="Arial"/>
          <w:sz w:val="15"/>
          <w:szCs w:val="15"/>
          <w:color w:val="auto"/>
        </w:rPr>
        <w:t>Yankee did not acquire Seller’s accounting books and records. At the time, the Company and Yankee considered this unnecessary due to the nature of the assets purchased, the immateriality of the acquisition, and because Yankee was required to initiate its accounting records pursuant to the purchase accounting method.</w:t>
      </w:r>
    </w:p>
    <w:p>
      <w:pPr>
        <w:spacing w:after="0" w:line="62" w:lineRule="exact"/>
        <w:rPr>
          <w:rFonts w:ascii="Arial" w:cs="Arial" w:eastAsia="Arial" w:hAnsi="Arial"/>
          <w:sz w:val="15"/>
          <w:szCs w:val="15"/>
          <w:color w:val="auto"/>
        </w:rPr>
      </w:pPr>
    </w:p>
    <w:p>
      <w:pPr>
        <w:ind w:right="80" w:firstLine="8"/>
        <w:spacing w:after="0" w:line="268" w:lineRule="auto"/>
        <w:tabs>
          <w:tab w:leader="none" w:pos="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Yankee did not obtain the right to access Seller’s accounting books and records after the January 1, 2009 closing date. Neither Seller nor Seller’s owner has any obligation to provide Seller’s accounting books and records to Yankee.</w:t>
      </w:r>
    </w:p>
    <w:p>
      <w:pPr>
        <w:spacing w:after="0" w:line="131" w:lineRule="exact"/>
        <w:rPr>
          <w:rFonts w:ascii="Arial" w:cs="Arial" w:eastAsia="Arial" w:hAnsi="Arial"/>
          <w:sz w:val="18"/>
          <w:szCs w:val="18"/>
          <w:color w:val="auto"/>
        </w:rPr>
      </w:pPr>
    </w:p>
    <w:p>
      <w:pPr>
        <w:ind w:right="180" w:firstLine="8"/>
        <w:spacing w:after="0" w:line="256" w:lineRule="auto"/>
        <w:tabs>
          <w:tab w:leader="none" w:pos="1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Prior to the January 1, 2009 completion of the asset purchase, Seller’s business was conducted entirely by Seller and none of Yankee, the Company nor any of its subsidiaries conducted any portion thereof. Accordingly, an audit of Seller’s 2008 and 2007 financial statements would require Yankee to consider Seller’s internal control over financial reporting, none of which have been in place or operative since completion of the January 1, 2009 asset purchase transaction (i.e., for almost two years).</w:t>
      </w:r>
    </w:p>
    <w:p>
      <w:pPr>
        <w:spacing w:after="0" w:line="143" w:lineRule="exact"/>
        <w:rPr>
          <w:rFonts w:ascii="Arial" w:cs="Arial" w:eastAsia="Arial" w:hAnsi="Arial"/>
          <w:sz w:val="18"/>
          <w:szCs w:val="18"/>
          <w:color w:val="auto"/>
        </w:rPr>
      </w:pPr>
    </w:p>
    <w:p>
      <w:pPr>
        <w:ind w:right="260" w:firstLine="8"/>
        <w:spacing w:after="0" w:line="332" w:lineRule="auto"/>
        <w:tabs>
          <w:tab w:leader="none" w:pos="96"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Although Seller’s owner became a Yankee employee as part of the transaction, effective January 2010, Seller’s owner resigned his employment with Yankee, relocated his residence away from the Boston area, and no longer maintains any other business relationship with Yankee.</w:t>
      </w:r>
    </w:p>
    <w:p>
      <w:pPr>
        <w:spacing w:after="0" w:line="85" w:lineRule="exact"/>
        <w:rPr>
          <w:rFonts w:ascii="Arial" w:cs="Arial" w:eastAsia="Arial" w:hAnsi="Arial"/>
          <w:sz w:val="16"/>
          <w:szCs w:val="16"/>
          <w:color w:val="auto"/>
        </w:rPr>
      </w:pPr>
    </w:p>
    <w:p>
      <w:pPr>
        <w:ind w:right="540" w:firstLine="8"/>
        <w:spacing w:after="0" w:line="268" w:lineRule="auto"/>
        <w:tabs>
          <w:tab w:leader="none" w:pos="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Yankee does not know where Seller’s accounting books and records are located, the breadth or depth of information contained therein, or the accuracy or completeness thereof.</w:t>
      </w:r>
    </w:p>
    <w:p>
      <w:pPr>
        <w:spacing w:after="0" w:line="13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Yankee believes that the unaudited financial statements of Seller present fairly, in all material respects, the results of Seller’s operations and cash flows for the year ended December 31, 2008 in conformity with accounting principles generally accepted in the United States of America.</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Yankee Environmental Services, Inc.</w:t>
            </w:r>
          </w:p>
        </w:tc>
        <w:tc>
          <w:tcPr>
            <w:tcW w:w="2280" w:type="dxa"/>
            <w:vAlign w:val="bottom"/>
          </w:tcPr>
          <w:p>
            <w:pPr>
              <w:spacing w:after="0"/>
              <w:rPr>
                <w:sz w:val="19"/>
                <w:szCs w:val="19"/>
                <w:color w:val="auto"/>
              </w:rPr>
            </w:pPr>
          </w:p>
        </w:tc>
      </w:tr>
      <w:tr>
        <w:trPr>
          <w:trHeight w:val="297"/>
        </w:trPr>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0" w:type="dxa"/>
            <w:vAlign w:val="bottom"/>
          </w:tcPr>
          <w:p>
            <w:pPr>
              <w:jc w:val="center"/>
              <w:ind w:right="152"/>
              <w:spacing w:after="0"/>
              <w:rPr>
                <w:sz w:val="20"/>
                <w:szCs w:val="20"/>
                <w:color w:val="auto"/>
              </w:rPr>
            </w:pPr>
            <w:r>
              <w:rPr>
                <w:rFonts w:ascii="Arial" w:cs="Arial" w:eastAsia="Arial" w:hAnsi="Arial"/>
                <w:sz w:val="18"/>
                <w:szCs w:val="18"/>
                <w:b w:val="1"/>
                <w:bCs w:val="1"/>
                <w:color w:val="auto"/>
                <w:w w:val="96"/>
              </w:rPr>
              <w:t>TABLE OF CONTENTS</w:t>
            </w:r>
          </w:p>
        </w:tc>
        <w:tc>
          <w:tcPr>
            <w:tcW w:w="2280" w:type="dxa"/>
            <w:vAlign w:val="bottom"/>
          </w:tcPr>
          <w:p>
            <w:pPr>
              <w:spacing w:after="0"/>
              <w:rPr>
                <w:sz w:val="24"/>
                <w:szCs w:val="24"/>
                <w:color w:val="auto"/>
              </w:rPr>
            </w:pPr>
          </w:p>
        </w:tc>
      </w:tr>
      <w:tr>
        <w:trPr>
          <w:trHeight w:val="527"/>
        </w:trPr>
        <w:tc>
          <w:tcPr>
            <w:tcW w:w="9040" w:type="dxa"/>
            <w:vAlign w:val="bottom"/>
            <w:gridSpan w:val="6"/>
          </w:tcPr>
          <w:p>
            <w:pPr>
              <w:spacing w:after="0"/>
              <w:rPr>
                <w:sz w:val="20"/>
                <w:szCs w:val="20"/>
                <w:color w:val="auto"/>
              </w:rPr>
            </w:pPr>
            <w:r>
              <w:rPr>
                <w:rFonts w:ascii="Arial" w:cs="Arial" w:eastAsia="Arial" w:hAnsi="Arial"/>
                <w:sz w:val="18"/>
                <w:szCs w:val="18"/>
                <w:color w:val="auto"/>
              </w:rPr>
              <w:t>FINANCIAL STATEMENTS FOR THE YEAR ENDED DECEMBER 31, 2008 (unaudited)</w:t>
            </w:r>
          </w:p>
        </w:tc>
        <w:tc>
          <w:tcPr>
            <w:tcW w:w="2280" w:type="dxa"/>
            <w:vAlign w:val="bottom"/>
          </w:tcPr>
          <w:p>
            <w:pPr>
              <w:spacing w:after="0"/>
              <w:rPr>
                <w:sz w:val="24"/>
                <w:szCs w:val="24"/>
                <w:color w:val="auto"/>
              </w:rPr>
            </w:pPr>
          </w:p>
        </w:tc>
      </w:tr>
      <w:tr>
        <w:trPr>
          <w:trHeight w:val="286"/>
        </w:trPr>
        <w:tc>
          <w:tcPr>
            <w:tcW w:w="220" w:type="dxa"/>
            <w:vAlign w:val="bottom"/>
          </w:tcPr>
          <w:p>
            <w:pPr>
              <w:spacing w:after="0"/>
              <w:rPr>
                <w:sz w:val="24"/>
                <w:szCs w:val="24"/>
                <w:color w:val="auto"/>
              </w:rPr>
            </w:pPr>
          </w:p>
        </w:tc>
        <w:tc>
          <w:tcPr>
            <w:tcW w:w="1720" w:type="dxa"/>
            <w:vAlign w:val="bottom"/>
            <w:tcBorders>
              <w:bottom w:val="single" w:sz="8" w:color="0000EE"/>
            </w:tcBorders>
          </w:tcPr>
          <w:p>
            <w:pPr>
              <w:spacing w:after="0"/>
              <w:rPr>
                <w:rFonts w:ascii="Arial" w:cs="Arial" w:eastAsia="Arial" w:hAnsi="Arial"/>
                <w:sz w:val="18"/>
                <w:szCs w:val="18"/>
                <w:color w:val="0000EE"/>
                <w:w w:val="87"/>
              </w:rPr>
            </w:pPr>
            <w:hyperlink w:anchor="page146">
              <w:r>
                <w:rPr>
                  <w:rFonts w:ascii="Arial" w:cs="Arial" w:eastAsia="Arial" w:hAnsi="Arial"/>
                  <w:sz w:val="18"/>
                  <w:szCs w:val="18"/>
                  <w:color w:val="0000EE"/>
                  <w:w w:val="87"/>
                </w:rPr>
                <w:t>Statement of Operations</w:t>
              </w:r>
            </w:hyperlink>
          </w:p>
        </w:tc>
        <w:tc>
          <w:tcPr>
            <w:tcW w:w="7100" w:type="dxa"/>
            <w:vAlign w:val="bottom"/>
            <w:gridSpan w:val="4"/>
          </w:tcPr>
          <w:p>
            <w:pPr>
              <w:spacing w:after="0"/>
              <w:rPr>
                <w:sz w:val="24"/>
                <w:szCs w:val="24"/>
                <w:color w:val="auto"/>
              </w:rPr>
            </w:pPr>
          </w:p>
        </w:tc>
        <w:tc>
          <w:tcPr>
            <w:tcW w:w="2280" w:type="dxa"/>
            <w:vAlign w:val="bottom"/>
          </w:tcPr>
          <w:p>
            <w:pPr>
              <w:ind w:left="1960"/>
              <w:spacing w:after="0"/>
              <w:rPr>
                <w:sz w:val="20"/>
                <w:szCs w:val="20"/>
                <w:color w:val="auto"/>
              </w:rPr>
            </w:pPr>
            <w:r>
              <w:rPr>
                <w:rFonts w:ascii="Arial" w:cs="Arial" w:eastAsia="Arial" w:hAnsi="Arial"/>
                <w:sz w:val="18"/>
                <w:szCs w:val="18"/>
                <w:color w:val="auto"/>
                <w:w w:val="80"/>
              </w:rPr>
              <w:t>F-33</w:t>
            </w:r>
          </w:p>
        </w:tc>
      </w:tr>
      <w:tr>
        <w:trPr>
          <w:trHeight w:val="304"/>
        </w:trPr>
        <w:tc>
          <w:tcPr>
            <w:tcW w:w="220" w:type="dxa"/>
            <w:vAlign w:val="bottom"/>
          </w:tcPr>
          <w:p>
            <w:pPr>
              <w:spacing w:after="0"/>
              <w:rPr>
                <w:sz w:val="24"/>
                <w:szCs w:val="24"/>
                <w:color w:val="auto"/>
              </w:rPr>
            </w:pPr>
          </w:p>
        </w:tc>
        <w:tc>
          <w:tcPr>
            <w:tcW w:w="8820" w:type="dxa"/>
            <w:vAlign w:val="bottom"/>
            <w:gridSpan w:val="5"/>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Statement of Shareholders’ Equity</w:t>
              </w:r>
            </w:hyperlink>
          </w:p>
        </w:tc>
        <w:tc>
          <w:tcPr>
            <w:tcW w:w="2280" w:type="dxa"/>
            <w:vAlign w:val="bottom"/>
          </w:tcPr>
          <w:p>
            <w:pPr>
              <w:ind w:left="1960"/>
              <w:spacing w:after="0"/>
              <w:rPr>
                <w:sz w:val="20"/>
                <w:szCs w:val="20"/>
                <w:color w:val="auto"/>
              </w:rPr>
            </w:pPr>
            <w:r>
              <w:rPr>
                <w:rFonts w:ascii="Arial" w:cs="Arial" w:eastAsia="Arial" w:hAnsi="Arial"/>
                <w:sz w:val="18"/>
                <w:szCs w:val="18"/>
                <w:color w:val="auto"/>
                <w:w w:val="80"/>
              </w:rPr>
              <w:t>F-34</w:t>
            </w:r>
          </w:p>
        </w:tc>
      </w:tr>
      <w:tr>
        <w:trPr>
          <w:trHeight w:val="304"/>
        </w:trPr>
        <w:tc>
          <w:tcPr>
            <w:tcW w:w="220" w:type="dxa"/>
            <w:vAlign w:val="bottom"/>
          </w:tcPr>
          <w:p>
            <w:pPr>
              <w:spacing w:after="0"/>
              <w:rPr>
                <w:sz w:val="24"/>
                <w:szCs w:val="24"/>
                <w:color w:val="auto"/>
              </w:rPr>
            </w:pPr>
          </w:p>
        </w:tc>
        <w:tc>
          <w:tcPr>
            <w:tcW w:w="2420" w:type="dxa"/>
            <w:vAlign w:val="bottom"/>
            <w:tcBorders>
              <w:top w:val="single" w:sz="8" w:color="0000EE"/>
            </w:tcBorders>
            <w:gridSpan w:val="4"/>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Statement of Cash Flows</w:t>
              </w:r>
            </w:hyperlink>
          </w:p>
        </w:tc>
        <w:tc>
          <w:tcPr>
            <w:tcW w:w="6400" w:type="dxa"/>
            <w:vAlign w:val="bottom"/>
          </w:tcPr>
          <w:p>
            <w:pPr>
              <w:spacing w:after="0"/>
              <w:rPr>
                <w:sz w:val="24"/>
                <w:szCs w:val="24"/>
                <w:color w:val="auto"/>
              </w:rPr>
            </w:pPr>
          </w:p>
        </w:tc>
        <w:tc>
          <w:tcPr>
            <w:tcW w:w="2280" w:type="dxa"/>
            <w:vAlign w:val="bottom"/>
          </w:tcPr>
          <w:p>
            <w:pPr>
              <w:ind w:left="1960"/>
              <w:spacing w:after="0"/>
              <w:rPr>
                <w:sz w:val="20"/>
                <w:szCs w:val="20"/>
                <w:color w:val="auto"/>
              </w:rPr>
            </w:pPr>
            <w:r>
              <w:rPr>
                <w:rFonts w:ascii="Arial" w:cs="Arial" w:eastAsia="Arial" w:hAnsi="Arial"/>
                <w:sz w:val="18"/>
                <w:szCs w:val="18"/>
                <w:color w:val="auto"/>
                <w:w w:val="80"/>
              </w:rPr>
              <w:t>F-35</w:t>
            </w:r>
          </w:p>
        </w:tc>
      </w:tr>
      <w:tr>
        <w:trPr>
          <w:trHeight w:val="20"/>
        </w:trPr>
        <w:tc>
          <w:tcPr>
            <w:tcW w:w="22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04"/>
        </w:trPr>
        <w:tc>
          <w:tcPr>
            <w:tcW w:w="220" w:type="dxa"/>
            <w:vAlign w:val="bottom"/>
          </w:tcPr>
          <w:p>
            <w:pPr>
              <w:spacing w:after="0"/>
              <w:rPr>
                <w:sz w:val="24"/>
                <w:szCs w:val="24"/>
                <w:color w:val="auto"/>
              </w:rPr>
            </w:pPr>
          </w:p>
        </w:tc>
        <w:tc>
          <w:tcPr>
            <w:tcW w:w="8820" w:type="dxa"/>
            <w:vAlign w:val="bottom"/>
            <w:gridSpan w:val="5"/>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Notes to Financial Statements</w:t>
              </w:r>
            </w:hyperlink>
          </w:p>
        </w:tc>
        <w:tc>
          <w:tcPr>
            <w:tcW w:w="2280" w:type="dxa"/>
            <w:vAlign w:val="bottom"/>
          </w:tcPr>
          <w:p>
            <w:pPr>
              <w:ind w:left="1960"/>
              <w:spacing w:after="0"/>
              <w:rPr>
                <w:sz w:val="20"/>
                <w:szCs w:val="20"/>
                <w:color w:val="auto"/>
              </w:rPr>
            </w:pPr>
            <w:r>
              <w:rPr>
                <w:rFonts w:ascii="Arial" w:cs="Arial" w:eastAsia="Arial" w:hAnsi="Arial"/>
                <w:sz w:val="18"/>
                <w:szCs w:val="18"/>
                <w:color w:val="auto"/>
                <w:w w:val="80"/>
              </w:rPr>
              <w:t>F-36</w:t>
            </w:r>
          </w:p>
        </w:tc>
      </w:tr>
      <w:tr>
        <w:trPr>
          <w:trHeight w:val="383"/>
        </w:trPr>
        <w:tc>
          <w:tcPr>
            <w:tcW w:w="220" w:type="dxa"/>
            <w:vAlign w:val="bottom"/>
          </w:tcPr>
          <w:p>
            <w:pPr>
              <w:spacing w:after="0"/>
              <w:rPr>
                <w:sz w:val="24"/>
                <w:szCs w:val="24"/>
                <w:color w:val="auto"/>
              </w:rPr>
            </w:pPr>
          </w:p>
        </w:tc>
        <w:tc>
          <w:tcPr>
            <w:tcW w:w="1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400" w:type="dxa"/>
            <w:vAlign w:val="bottom"/>
          </w:tcPr>
          <w:p>
            <w:pPr>
              <w:jc w:val="center"/>
              <w:ind w:right="172"/>
              <w:spacing w:after="0"/>
              <w:rPr>
                <w:sz w:val="20"/>
                <w:szCs w:val="20"/>
                <w:color w:val="auto"/>
              </w:rPr>
            </w:pPr>
            <w:r>
              <w:rPr>
                <w:rFonts w:ascii="Arial" w:cs="Arial" w:eastAsia="Arial" w:hAnsi="Arial"/>
                <w:sz w:val="18"/>
                <w:szCs w:val="18"/>
                <w:color w:val="auto"/>
                <w:w w:val="91"/>
              </w:rPr>
              <w:t>F-32</w:t>
            </w:r>
          </w:p>
        </w:tc>
        <w:tc>
          <w:tcPr>
            <w:tcW w:w="2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Yankee Environmental Services,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and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r>
      <w:tr>
        <w:trPr>
          <w:trHeight w:val="161"/>
        </w:trPr>
        <w:tc>
          <w:tcPr>
            <w:tcW w:w="20" w:type="dxa"/>
            <w:vAlign w:val="bottom"/>
          </w:tcPr>
          <w:p>
            <w:pPr>
              <w:spacing w:after="0"/>
              <w:rPr>
                <w:sz w:val="14"/>
                <w:szCs w:val="14"/>
                <w:color w:val="auto"/>
              </w:rPr>
            </w:pPr>
          </w:p>
        </w:tc>
        <w:tc>
          <w:tcPr>
            <w:tcW w:w="10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8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14,181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of contract revenues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10,347</w:t>
            </w:r>
          </w:p>
        </w:tc>
        <w:tc>
          <w:tcPr>
            <w:tcW w:w="100" w:type="dxa"/>
            <w:vAlign w:val="bottom"/>
            <w:shd w:val="clear" w:color="auto" w:fill="CCEEFF"/>
          </w:tcPr>
          <w:p>
            <w:pPr>
              <w:spacing w:after="0"/>
              <w:rPr>
                <w:sz w:val="18"/>
                <w:szCs w:val="18"/>
                <w:color w:val="auto"/>
              </w:rPr>
            </w:pPr>
          </w:p>
        </w:tc>
      </w:tr>
      <w:tr>
        <w:trPr>
          <w:trHeight w:val="221"/>
        </w:trPr>
        <w:tc>
          <w:tcPr>
            <w:tcW w:w="107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68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21"/>
        </w:trPr>
        <w:tc>
          <w:tcPr>
            <w:tcW w:w="10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10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Yankee Environmental Services,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SHAREHOLDERS’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and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Additional</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1"/>
              </w:rPr>
              <w:t>Paid In</w:t>
            </w:r>
          </w:p>
        </w:tc>
        <w:tc>
          <w:tcPr>
            <w:tcW w:w="5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9"/>
              </w:rPr>
              <w:t>Capital</w:t>
            </w:r>
          </w:p>
        </w:tc>
        <w:tc>
          <w:tcPr>
            <w:tcW w:w="500" w:type="dxa"/>
            <w:vAlign w:val="bottom"/>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Earnings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2,581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 S distributions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(1,174)</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BALANCE — December 31, 2008</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1,634</w:t>
            </w:r>
          </w:p>
        </w:tc>
        <w:tc>
          <w:tcPr>
            <w:tcW w:w="3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1,657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Yankee Environmental Services,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and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400" w:type="dxa"/>
            <w:vAlign w:val="bottom"/>
            <w:gridSpan w:val="2"/>
          </w:tcPr>
          <w:p>
            <w:pPr>
              <w:ind w:left="22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2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FINANCING ACTIVITIES: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(repayments) of lines of credit</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Repayments of long-term debt</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ind w:left="640"/>
              <w:spacing w:after="0"/>
              <w:rPr>
                <w:sz w:val="20"/>
                <w:szCs w:val="20"/>
                <w:color w:val="auto"/>
              </w:rPr>
            </w:pPr>
            <w:r>
              <w:rPr>
                <w:rFonts w:ascii="Arial" w:cs="Arial" w:eastAsia="Arial" w:hAnsi="Arial"/>
                <w:sz w:val="18"/>
                <w:szCs w:val="18"/>
                <w:color w:val="auto"/>
              </w:rPr>
              <w:t>Net cash used in financing activities</w:t>
            </w:r>
          </w:p>
        </w:tc>
        <w:tc>
          <w:tcPr>
            <w:tcW w:w="2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vMerge w:val="continue"/>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(1,562)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Cash and cash equivalents - Beginning of year</w:t>
            </w:r>
          </w:p>
        </w:tc>
        <w:tc>
          <w:tcPr>
            <w:tcW w:w="2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End of year</w:t>
            </w:r>
          </w:p>
        </w:tc>
        <w:tc>
          <w:tcPr>
            <w:tcW w:w="240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YANKEE ENVIRONMENTAL SERVICES,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 ENDED DECEMBER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and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1"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REMAINING INTEREST ACQUISITION</w:t>
      </w:r>
    </w:p>
    <w:p>
      <w:pPr>
        <w:spacing w:after="0" w:line="130"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 Yankee Environmental Services, Inc (the “Company”) is a provider of environmental remediation services including asbestos abatement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removal of other hazardous materials in the Boston area. Yankee’s principal services consist of lead paint and asbestos abatement along with demolition services to private and government entities including schools, universities, hospitals and other businesses. On January 1, 2009, the assets of the Company were acquired by Yankee Environmental Services, LLC for a purchase price of $1.9 million. Effective upon the closing of the asset purchase, the Company ceased to conduct any business</w:t>
      </w:r>
    </w:p>
    <w:p>
      <w:pPr>
        <w:spacing w:after="0" w:line="260" w:lineRule="exact"/>
        <w:rPr>
          <w:rFonts w:ascii="Arial" w:cs="Arial" w:eastAsia="Arial" w:hAnsi="Arial"/>
          <w:sz w:val="18"/>
          <w:szCs w:val="18"/>
          <w:b w:val="1"/>
          <w:bCs w:val="1"/>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460" w:right="6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(“GAAP”) requires management to make estimates and assumptions that affect certain reported amounts and disclosures. Accordingly, actual results could differ from those estimates.</w:t>
      </w:r>
    </w:p>
    <w:p>
      <w:pPr>
        <w:spacing w:after="0" w:line="91" w:lineRule="exact"/>
        <w:rPr>
          <w:rFonts w:ascii="Arial" w:cs="Arial" w:eastAsia="Arial" w:hAnsi="Arial"/>
          <w:sz w:val="18"/>
          <w:szCs w:val="18"/>
          <w:b w:val="1"/>
          <w:bCs w:val="1"/>
          <w:color w:val="auto"/>
        </w:rPr>
      </w:pPr>
    </w:p>
    <w:p>
      <w:pPr>
        <w:ind w:left="460" w:right="80"/>
        <w:spacing w:after="0" w:line="288"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Revenues and Cost Recognition on Contracts </w:t>
      </w:r>
      <w:r>
        <w:rPr>
          <w:rFonts w:ascii="Arial" w:cs="Arial" w:eastAsia="Arial" w:hAnsi="Arial"/>
          <w:sz w:val="16"/>
          <w:szCs w:val="16"/>
          <w:color w:val="auto"/>
        </w:rPr>
        <w:t>— The majority of Yankee’s contracts for asbestos abatement services are fixed-price contracts, with</w:t>
      </w:r>
      <w:r>
        <w:rPr>
          <w:rFonts w:ascii="Arial" w:cs="Arial" w:eastAsia="Arial" w:hAnsi="Arial"/>
          <w:sz w:val="16"/>
          <w:szCs w:val="16"/>
          <w:b w:val="1"/>
          <w:bCs w:val="1"/>
          <w:color w:val="auto"/>
        </w:rPr>
        <w:t xml:space="preserve"> </w:t>
      </w:r>
      <w:r>
        <w:rPr>
          <w:rFonts w:ascii="Arial" w:cs="Arial" w:eastAsia="Arial" w:hAnsi="Arial"/>
          <w:sz w:val="16"/>
          <w:szCs w:val="16"/>
          <w:color w:val="auto"/>
        </w:rPr>
        <w:t>others managed as time and materials. Substantially all of Yankee’s contract revenues are recognized under the percentage-of-completion method, using a cost-to-cost method to measure the extent of progress toward completion. Contract revenues are adjusted to reflect the gross profit percentage expected to be achieved upon ultimate completion of each project. Provisions for estimated losses on contracts in progress are made in the period in which such losses are determined. Claims for additional compensation due to Yankee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Change orders are often negotiated when a change in conditions from the original contract specifications is encountered, necessitating a change in project performance methodology. Such change orders are considered changes in the scope of the original projects to which they relate and the project estimates are adjusted accordingly.</w:t>
      </w:r>
    </w:p>
    <w:p>
      <w:pPr>
        <w:spacing w:after="0" w:line="80"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components of costs of contract revenues include labor, equipment (including depreciation, maintenance, insurance, and rentals), and project overhead. Hourly labor is generally hired on a project-by-project basis. Costs of contract revenues vary significantly depending on the type and location of work performed.</w:t>
      </w:r>
    </w:p>
    <w:p>
      <w:pPr>
        <w:spacing w:after="0" w:line="93" w:lineRule="exact"/>
        <w:rPr>
          <w:rFonts w:ascii="Arial" w:cs="Arial" w:eastAsia="Arial" w:hAnsi="Arial"/>
          <w:sz w:val="18"/>
          <w:szCs w:val="18"/>
          <w:b w:val="1"/>
          <w:bCs w:val="1"/>
          <w:color w:val="auto"/>
        </w:rPr>
      </w:pPr>
    </w:p>
    <w:p>
      <w:pPr>
        <w:ind w:left="460" w:right="14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Classification of Current Assets and Liabilities </w:t>
      </w:r>
      <w:r>
        <w:rPr>
          <w:rFonts w:ascii="Arial" w:cs="Arial" w:eastAsia="Arial" w:hAnsi="Arial"/>
          <w:sz w:val="18"/>
          <w:szCs w:val="18"/>
          <w:color w:val="auto"/>
        </w:rPr>
        <w:t>— The Company includes in current assets and liabilities amounts realizable and payable in the normal</w:t>
      </w:r>
      <w:r>
        <w:rPr>
          <w:rFonts w:ascii="Arial" w:cs="Arial" w:eastAsia="Arial" w:hAnsi="Arial"/>
          <w:sz w:val="18"/>
          <w:szCs w:val="18"/>
          <w:b w:val="1"/>
          <w:bCs w:val="1"/>
          <w:color w:val="auto"/>
        </w:rPr>
        <w:t xml:space="preserve"> </w:t>
      </w:r>
      <w:r>
        <w:rPr>
          <w:rFonts w:ascii="Arial" w:cs="Arial" w:eastAsia="Arial" w:hAnsi="Arial"/>
          <w:sz w:val="18"/>
          <w:szCs w:val="18"/>
          <w:color w:val="auto"/>
        </w:rPr>
        <w:t>course of contract completion, unless completion of such contracts extends significantly beyond one year.</w:t>
      </w:r>
    </w:p>
    <w:p>
      <w:pPr>
        <w:spacing w:after="0" w:line="79" w:lineRule="exact"/>
        <w:rPr>
          <w:rFonts w:ascii="Arial" w:cs="Arial" w:eastAsia="Arial" w:hAnsi="Arial"/>
          <w:sz w:val="18"/>
          <w:szCs w:val="18"/>
          <w:b w:val="1"/>
          <w:bCs w:val="1"/>
          <w:color w:val="auto"/>
        </w:rPr>
      </w:pPr>
    </w:p>
    <w:p>
      <w:pPr>
        <w:ind w:left="460" w:right="6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purchased with an initial maturity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79" w:lineRule="exact"/>
        <w:rPr>
          <w:rFonts w:ascii="Arial" w:cs="Arial" w:eastAsia="Arial" w:hAnsi="Arial"/>
          <w:sz w:val="18"/>
          <w:szCs w:val="18"/>
          <w:b w:val="1"/>
          <w:bCs w:val="1"/>
          <w:color w:val="auto"/>
        </w:rPr>
      </w:pPr>
    </w:p>
    <w:p>
      <w:pPr>
        <w:ind w:left="460" w:right="120"/>
        <w:spacing w:after="0" w:line="339" w:lineRule="auto"/>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Accounts Receivable </w:t>
      </w:r>
      <w:r>
        <w:rPr>
          <w:rFonts w:ascii="Arial" w:cs="Arial" w:eastAsia="Arial" w:hAnsi="Arial"/>
          <w:sz w:val="15"/>
          <w:szCs w:val="15"/>
          <w:color w:val="auto"/>
        </w:rPr>
        <w:t>—</w:t>
      </w:r>
      <w:r>
        <w:rPr>
          <w:rFonts w:ascii="Arial" w:cs="Arial" w:eastAsia="Arial" w:hAnsi="Arial"/>
          <w:sz w:val="15"/>
          <w:szCs w:val="15"/>
          <w:b w:val="1"/>
          <w:bCs w:val="1"/>
          <w:color w:val="auto"/>
        </w:rPr>
        <w:t xml:space="preserve"> Net </w:t>
      </w:r>
      <w:r>
        <w:rPr>
          <w:rFonts w:ascii="Arial" w:cs="Arial" w:eastAsia="Arial" w:hAnsi="Arial"/>
          <w:sz w:val="15"/>
          <w:szCs w:val="15"/>
          <w:color w:val="auto"/>
        </w:rPr>
        <w:t>— Accounts receivable represent amounts due or billable under the terms of contracts with customers, including amounts</w:t>
      </w:r>
      <w:r>
        <w:rPr>
          <w:rFonts w:ascii="Arial" w:cs="Arial" w:eastAsia="Arial" w:hAnsi="Arial"/>
          <w:sz w:val="15"/>
          <w:szCs w:val="15"/>
          <w:b w:val="1"/>
          <w:bCs w:val="1"/>
          <w:color w:val="auto"/>
        </w:rPr>
        <w:t xml:space="preserve"> </w:t>
      </w:r>
      <w:r>
        <w:rPr>
          <w:rFonts w:ascii="Arial" w:cs="Arial" w:eastAsia="Arial" w:hAnsi="Arial"/>
          <w:sz w:val="15"/>
          <w:szCs w:val="15"/>
          <w:color w:val="auto"/>
        </w:rPr>
        <w:t>related to retainage. The Company anticipates collection of retainage within one year, and accordingly presents retainage as a current asset. The Company provides an allowance for estimated uncollectible receivables when events or conditions indicate that amounts outstanding are not recoverable.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301" w:lineRule="auto"/>
        <w:rPr>
          <w:sz w:val="20"/>
          <w:szCs w:val="20"/>
          <w:color w:val="auto"/>
        </w:rPr>
      </w:pPr>
      <w:r>
        <w:rPr>
          <w:rFonts w:ascii="Arial" w:cs="Arial" w:eastAsia="Arial" w:hAnsi="Arial"/>
          <w:sz w:val="16"/>
          <w:szCs w:val="16"/>
          <w:b w:val="1"/>
          <w:bCs w:val="1"/>
          <w:color w:val="auto"/>
        </w:rPr>
        <w:t xml:space="preserve">Property and Equipment </w:t>
      </w:r>
      <w:r>
        <w:rPr>
          <w:rFonts w:ascii="Arial" w:cs="Arial" w:eastAsia="Arial" w:hAnsi="Arial"/>
          <w:sz w:val="16"/>
          <w:szCs w:val="16"/>
          <w:color w:val="auto"/>
        </w:rPr>
        <w:t>—</w:t>
      </w:r>
      <w:r>
        <w:rPr>
          <w:rFonts w:ascii="Arial" w:cs="Arial" w:eastAsia="Arial" w:hAnsi="Arial"/>
          <w:sz w:val="16"/>
          <w:szCs w:val="16"/>
          <w:b w:val="1"/>
          <w:bCs w:val="1"/>
          <w:color w:val="auto"/>
        </w:rPr>
        <w:t xml:space="preserve"> Net </w:t>
      </w:r>
      <w:r>
        <w:rPr>
          <w:rFonts w:ascii="Arial" w:cs="Arial" w:eastAsia="Arial" w:hAnsi="Arial"/>
          <w:sz w:val="16"/>
          <w:szCs w:val="16"/>
          <w:color w:val="auto"/>
        </w:rPr>
        <w:t>— Capital additions, improvements, and major renewals are classified as property and equipment and are carried at</w:t>
      </w:r>
      <w:r>
        <w:rPr>
          <w:rFonts w:ascii="Arial" w:cs="Arial" w:eastAsia="Arial" w:hAnsi="Arial"/>
          <w:sz w:val="16"/>
          <w:szCs w:val="16"/>
          <w:b w:val="1"/>
          <w:bCs w:val="1"/>
          <w:color w:val="auto"/>
        </w:rPr>
        <w:t xml:space="preserve"> </w:t>
      </w:r>
      <w:r>
        <w:rPr>
          <w:rFonts w:ascii="Arial" w:cs="Arial" w:eastAsia="Arial" w:hAnsi="Arial"/>
          <w:sz w:val="16"/>
          <w:szCs w:val="16"/>
          <w:color w:val="auto"/>
        </w:rPr>
        <w:t>depreciated cost. Maintenance and repairs that do not significantly extend the useful lives of the assets or enhance the capabilities of such assets are charged to earnings as incurred. Depreciation is recorded over the estimated useful lives of property and equipment using the straight-line method and the mid-year depreciation convention. The estimated useful lives by class of assets are:</w:t>
      </w:r>
    </w:p>
    <w:p>
      <w:pPr>
        <w:spacing w:after="0" w:line="13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jc w:val="right"/>
              <w:ind w:right="22"/>
              <w:spacing w:after="0"/>
              <w:rPr>
                <w:sz w:val="20"/>
                <w:szCs w:val="20"/>
                <w:color w:val="auto"/>
              </w:rPr>
            </w:pPr>
            <w:r>
              <w:rPr>
                <w:rFonts w:ascii="Arial" w:cs="Arial" w:eastAsia="Arial" w:hAnsi="Arial"/>
                <w:sz w:val="14"/>
                <w:szCs w:val="14"/>
                <w:b w:val="1"/>
                <w:bCs w:val="1"/>
                <w:color w:val="auto"/>
              </w:rPr>
              <w:t>Age</w:t>
            </w:r>
          </w:p>
        </w:tc>
        <w:tc>
          <w:tcPr>
            <w:tcW w:w="0" w:type="dxa"/>
            <w:vAlign w:val="bottom"/>
          </w:tcPr>
          <w:p>
            <w:pPr>
              <w:spacing w:after="0"/>
              <w:rPr>
                <w:sz w:val="1"/>
                <w:szCs w:val="1"/>
                <w:color w:val="auto"/>
              </w:rPr>
            </w:pPr>
          </w:p>
        </w:tc>
      </w:tr>
      <w:tr>
        <w:trPr>
          <w:trHeight w:val="161"/>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28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equipment and systems</w:t>
            </w:r>
          </w:p>
        </w:tc>
        <w:tc>
          <w:tcPr>
            <w:tcW w:w="2440" w:type="dxa"/>
            <w:vAlign w:val="bottom"/>
            <w:vMerge w:val="continue"/>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Long-lived assets to be held and used are 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If long-lived assets are to be disposed, depreciation is discontinued, if applicable, and the assets are reclassified as held for sale at the lower of their carrying amounts or fair values less estimated costs to sell. No triggering events were identified in 2008 or 2007.</w:t>
      </w:r>
    </w:p>
    <w:p>
      <w:pPr>
        <w:spacing w:after="0" w:line="96" w:lineRule="exact"/>
        <w:rPr>
          <w:sz w:val="20"/>
          <w:szCs w:val="20"/>
          <w:color w:val="auto"/>
        </w:rPr>
      </w:pPr>
    </w:p>
    <w:p>
      <w:pPr>
        <w:ind w:left="460" w:right="240"/>
        <w:spacing w:after="0" w:line="275"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 The Company grants credit to its customers. Generally, no collateral is required. The Company maintains reserves for</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credit losses and such losses, in aggregate, have not exceeded management’s expectations.</w:t>
      </w:r>
    </w:p>
    <w:p>
      <w:pPr>
        <w:spacing w:after="0" w:line="79" w:lineRule="exact"/>
        <w:rPr>
          <w:sz w:val="20"/>
          <w:szCs w:val="20"/>
          <w:color w:val="auto"/>
        </w:rPr>
      </w:pPr>
    </w:p>
    <w:p>
      <w:pPr>
        <w:jc w:val="both"/>
        <w:ind w:left="460"/>
        <w:spacing w:after="0" w:line="310"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Effective January 1, 1991, the Company elected, by unanimous consent of its shareholders, to be taxed under provisions of Subchapter 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Internal Revenue Code. Under such election, the Company’s federal and state taxable income or loss is passed through to the individual shareholders. However, the state of Massachusetts the state of incorporation, does impose a tangible tax on the value of inventory and net fixed assets.</w:t>
      </w:r>
    </w:p>
    <w:p>
      <w:pPr>
        <w:spacing w:after="0" w:line="21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3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at December 31, 2008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04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Retainage</w:t>
            </w:r>
          </w:p>
        </w:tc>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 net</w:t>
            </w:r>
          </w:p>
        </w:tc>
        <w:tc>
          <w:tcPr>
            <w:tcW w:w="304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6" w:lineRule="exact"/>
        <w:rPr>
          <w:rFonts w:ascii="Arial" w:cs="Arial" w:eastAsia="Arial" w:hAnsi="Arial"/>
          <w:sz w:val="18"/>
          <w:szCs w:val="18"/>
          <w:b w:val="1"/>
          <w:bCs w:val="1"/>
          <w:color w:val="auto"/>
        </w:rPr>
      </w:pPr>
    </w:p>
    <w:p>
      <w:pPr>
        <w:jc w:val="both"/>
        <w:ind w:left="460" w:right="1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During 2002, the Company secured a revolving line of credit with a bank. The credit limit was $600 through April 2007. In April 2007, $200 of the line of credit was converted to a term loan creating a new limit of $400. Advances bear interest at a rate of 1.50% over the bank’s prime rate. The line of credit is secured by all business assets. The balance of the line of credit at December 31, 2008 is as follows:</w:t>
      </w:r>
    </w:p>
    <w:p>
      <w:pPr>
        <w:spacing w:after="0" w:line="143"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0</wp:posOffset>
            </wp:positionV>
            <wp:extent cx="3943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jc w:val="center"/>
        <w:ind w:left="788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-3175</wp:posOffset>
            </wp:positionV>
            <wp:extent cx="550545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9320" w:val="left"/>
          <w:tab w:leader="none" w:pos="9680" w:val="left"/>
        </w:tabs>
        <w:rPr>
          <w:sz w:val="20"/>
          <w:szCs w:val="20"/>
          <w:color w:val="auto"/>
        </w:rPr>
      </w:pPr>
      <w:r>
        <w:rPr>
          <w:rFonts w:ascii="Arial" w:cs="Arial" w:eastAsia="Arial" w:hAnsi="Arial"/>
          <w:sz w:val="18"/>
          <w:szCs w:val="18"/>
          <w:color w:val="auto"/>
        </w:rPr>
        <w:t>Line of credit</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5"/>
          <w:szCs w:val="15"/>
          <w:u w:val="single" w:color="auto"/>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19050</wp:posOffset>
            </wp:positionV>
            <wp:extent cx="3943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2008</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Pretax income from continuing operations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$26,102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$54,888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Fixed charges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31,521</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26,055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24,931</w:t>
            </w:r>
          </w:p>
        </w:tc>
        <w:tc>
          <w:tcPr>
            <w:tcW w:w="2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24,338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Distributed income of equity investees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33,441</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34,423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50,899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75,933</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amortized deferred financing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24,547</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$18,209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17,395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$16,393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Estimated interest expense in operating leases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6,974</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7,945</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31,521</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24,931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24,338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21,079</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 Before adjustment for noncontrolling interests in consolidated subsidiaries and income (loss) from equity investees.</w:t>
      </w:r>
    </w:p>
    <w:p>
      <w:pPr>
        <w:sectPr>
          <w:pgSz w:w="11900" w:h="16838" w:orient="portrait"/>
          <w:cols w:equalWidth="0" w:num="1">
            <w:col w:w="11420"/>
          </w:cols>
          <w:pgMar w:left="240" w:top="125"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840" w:type="dxa"/>
            <w:vAlign w:val="bottom"/>
            <w:gridSpan w:val="2"/>
          </w:tcPr>
          <w:p>
            <w:pPr>
              <w:ind w:left="920"/>
              <w:spacing w:after="0"/>
              <w:rPr>
                <w:sz w:val="20"/>
                <w:szCs w:val="20"/>
                <w:color w:val="auto"/>
              </w:rPr>
            </w:pPr>
            <w:r>
              <w:rPr>
                <w:rFonts w:ascii="Arial" w:cs="Arial" w:eastAsia="Arial" w:hAnsi="Arial"/>
                <w:sz w:val="18"/>
                <w:szCs w:val="18"/>
                <w:b w:val="1"/>
                <w:bCs w:val="1"/>
                <w:color w:val="auto"/>
                <w:w w:val="89"/>
              </w:rPr>
              <w:t>Exhibit 21.1</w:t>
            </w:r>
          </w:p>
        </w:tc>
      </w:tr>
      <w:tr>
        <w:trPr>
          <w:trHeight w:val="378"/>
        </w:trPr>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780" w:type="dxa"/>
            <w:vAlign w:val="bottom"/>
            <w:gridSpan w:val="3"/>
          </w:tcPr>
          <w:p>
            <w:pPr>
              <w:ind w:left="480"/>
              <w:spacing w:after="0"/>
              <w:rPr>
                <w:sz w:val="20"/>
                <w:szCs w:val="20"/>
                <w:color w:val="auto"/>
              </w:rPr>
            </w:pPr>
            <w:r>
              <w:rPr>
                <w:rFonts w:ascii="Arial" w:cs="Arial" w:eastAsia="Arial" w:hAnsi="Arial"/>
                <w:sz w:val="18"/>
                <w:szCs w:val="18"/>
                <w:b w:val="1"/>
                <w:bCs w:val="1"/>
                <w:color w:val="auto"/>
              </w:rPr>
              <w:t>SUBSIDIARIES OF THE REGISTRANT</w:t>
            </w:r>
          </w:p>
        </w:tc>
      </w:tr>
      <w:tr>
        <w:trPr>
          <w:trHeight w:val="367"/>
        </w:trPr>
        <w:tc>
          <w:tcPr>
            <w:tcW w:w="3660" w:type="dxa"/>
            <w:vAlign w:val="bottom"/>
            <w:gridSpan w:val="2"/>
          </w:tcPr>
          <w:p>
            <w:pPr>
              <w:spacing w:after="0"/>
              <w:rPr>
                <w:sz w:val="20"/>
                <w:szCs w:val="20"/>
                <w:color w:val="auto"/>
              </w:rPr>
            </w:pPr>
            <w:r>
              <w:rPr>
                <w:rFonts w:ascii="Arial" w:cs="Arial" w:eastAsia="Arial" w:hAnsi="Arial"/>
                <w:sz w:val="14"/>
                <w:szCs w:val="14"/>
                <w:color w:val="auto"/>
              </w:rPr>
              <w:t>Name</w:t>
            </w:r>
          </w:p>
        </w:tc>
        <w:tc>
          <w:tcPr>
            <w:tcW w:w="5940" w:type="dxa"/>
            <w:vAlign w:val="bottom"/>
          </w:tcPr>
          <w:p>
            <w:pPr>
              <w:spacing w:after="0"/>
              <w:rPr>
                <w:sz w:val="24"/>
                <w:szCs w:val="24"/>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color w:val="auto"/>
                <w:w w:val="98"/>
              </w:rPr>
              <w:t>Jurisdiction of Incorporation</w:t>
            </w:r>
          </w:p>
        </w:tc>
      </w:tr>
      <w:tr>
        <w:trPr>
          <w:trHeight w:val="216"/>
        </w:trPr>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0"/>
              </w:rPr>
              <w:t>Great</w:t>
            </w:r>
          </w:p>
        </w:tc>
        <w:tc>
          <w:tcPr>
            <w:tcW w:w="3320" w:type="dxa"/>
            <w:vAlign w:val="bottom"/>
          </w:tcPr>
          <w:p>
            <w:pPr>
              <w:ind w:left="100"/>
              <w:spacing w:after="0"/>
              <w:rPr>
                <w:sz w:val="20"/>
                <w:szCs w:val="20"/>
                <w:color w:val="auto"/>
              </w:rPr>
            </w:pPr>
            <w:r>
              <w:rPr>
                <w:rFonts w:ascii="Arial" w:cs="Arial" w:eastAsia="Arial" w:hAnsi="Arial"/>
                <w:sz w:val="18"/>
                <w:szCs w:val="18"/>
                <w:color w:val="auto"/>
              </w:rPr>
              <w:t>Lakes Dredge &amp; Dock Company, LLC</w:t>
            </w:r>
          </w:p>
        </w:tc>
        <w:tc>
          <w:tcPr>
            <w:tcW w:w="5940" w:type="dxa"/>
            <w:vAlign w:val="bottom"/>
          </w:tcPr>
          <w:p>
            <w:pPr>
              <w:spacing w:after="0"/>
              <w:rPr>
                <w:sz w:val="18"/>
                <w:szCs w:val="18"/>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316"/>
        </w:trPr>
        <w:tc>
          <w:tcPr>
            <w:tcW w:w="3660" w:type="dxa"/>
            <w:vAlign w:val="bottom"/>
            <w:gridSpan w:val="2"/>
          </w:tcPr>
          <w:p>
            <w:pPr>
              <w:spacing w:after="0"/>
              <w:rPr>
                <w:sz w:val="20"/>
                <w:szCs w:val="20"/>
                <w:color w:val="auto"/>
              </w:rPr>
            </w:pPr>
            <w:r>
              <w:rPr>
                <w:rFonts w:ascii="Arial" w:cs="Arial" w:eastAsia="Arial" w:hAnsi="Arial"/>
                <w:sz w:val="18"/>
                <w:szCs w:val="18"/>
                <w:color w:val="auto"/>
              </w:rPr>
              <w:t>Great Lakes Caribbean Dredging, Inc.</w:t>
            </w:r>
          </w:p>
        </w:tc>
        <w:tc>
          <w:tcPr>
            <w:tcW w:w="59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Dawson Marine Services Company</w:t>
            </w:r>
          </w:p>
        </w:tc>
        <w:tc>
          <w:tcPr>
            <w:tcW w:w="59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Fifty-Three Dredging Corporation</w:t>
            </w:r>
          </w:p>
        </w:tc>
        <w:tc>
          <w:tcPr>
            <w:tcW w:w="59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New Jersey</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Great Lakes Dredge &amp; Dock Co Brasil Ltda.</w:t>
            </w:r>
          </w:p>
        </w:tc>
        <w:tc>
          <w:tcPr>
            <w:tcW w:w="59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Lydon Dredging &amp; Construction Co. Ltd.</w:t>
            </w:r>
          </w:p>
        </w:tc>
        <w:tc>
          <w:tcPr>
            <w:tcW w:w="59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Great Lakes Dredge &amp; Dock (Bahamas) Ltd.</w:t>
            </w:r>
          </w:p>
        </w:tc>
        <w:tc>
          <w:tcPr>
            <w:tcW w:w="59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GLDD Mexicana, S. de R.L. de C.V.</w:t>
            </w:r>
          </w:p>
        </w:tc>
        <w:tc>
          <w:tcPr>
            <w:tcW w:w="59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NASDI Holdings Corporation</w:t>
            </w:r>
          </w:p>
        </w:tc>
        <w:tc>
          <w:tcPr>
            <w:tcW w:w="59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NASDI, LLC</w:t>
            </w:r>
          </w:p>
        </w:tc>
        <w:tc>
          <w:tcPr>
            <w:tcW w:w="59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Yankee Environmental Services, LLC</w:t>
            </w:r>
          </w:p>
        </w:tc>
        <w:tc>
          <w:tcPr>
            <w:tcW w:w="594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3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 333-153207 on Form S-3 and Registration Statement No. 333-150067 on Form S-8 of our reports dated March 14, 2011, relating to the consolidated financial statements and financial statement schedule of Great Lakes Dredge &amp; Dock Corporation and subsidiaries, and the effectiveness of Great Lakes Dredge &amp; Dock Corporation and subsidiaries’ internal control over financial reporting, appearing in this Annual Report on Form 10-K of Great Lakes Dredge &amp; Dock Corporation for the year ended December 31, 2010.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2011</w:t>
      </w:r>
    </w:p>
    <w:p>
      <w:pPr>
        <w:sectPr>
          <w:pgSz w:w="11900" w:h="16838" w:orient="portrait"/>
          <w:cols w:equalWidth="0" w:num="1">
            <w:col w:w="11420"/>
          </w:cols>
          <w:pgMar w:left="240" w:top="1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3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consent to the incorporation by reference in Registration Statement No. 333-153207 on Form S-3 and Registration Statement No. 333-150067 on Form S-8 of Great Lakes Dredge &amp; Dock Corporation (“GLDD”) of our report dated March 14, 2011, relating to the financial statements and financial statement schedule of NASDI, LLC (which report expresses an unqualified opinion and includes explanatory paragraphs relating to the conversion into a limited liability company in 2008, and that the financial statements include allocations from, transactions with, and payables to affiliates of GLDD and may not necessarily be indicative of the conditions that would have existed or the results of operations if NASDI, LLC had operated as an unaffiliated company and that GLDD will not demand repayment of amounts payable prior to January 2, 2013), appearing in this Annual Report on Form 10-K of Great Lakes Dredge &amp; Dock Corporation for the year ended December 31, 2010.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2011</w:t>
      </w:r>
    </w:p>
    <w:p>
      <w:pPr>
        <w:sectPr>
          <w:pgSz w:w="11900" w:h="16838" w:orient="portrait"/>
          <w:cols w:equalWidth="0" w:num="1">
            <w:col w:w="11420"/>
          </w:cols>
          <w:pgMar w:left="240" w:top="12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23.3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3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statements of Great Lakes Dredge &amp; Dock Corporation (the “Company”) on Form S-3 (File No. 333-153207) and Form S-8 (File No. 333-150067) of our report dated March 14, 2011, on our audits of the financial statements of Yankee Environmental Services, LLC (A Limited Liability Company) as of December 31, 2010 and 2009, and for the years then ended, which report is included in the Company’s Annual Report on Form 10-K for the year ended December 31,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J.H. Cohn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White Plains,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2011</w:t>
      </w:r>
    </w:p>
    <w:p>
      <w:pPr>
        <w:sectPr>
          <w:pgSz w:w="11900" w:h="16838" w:orient="portrait"/>
          <w:cols w:equalWidth="0" w:num="1">
            <w:col w:w="11420"/>
          </w:cols>
          <w:pgMar w:left="240" w:top="12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14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44"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Bruce J. Biemeck, certify that:</w:t>
      </w:r>
    </w:p>
    <w:p>
      <w:pPr>
        <w:spacing w:after="0" w:line="14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44"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In connection with the Annual Report of Great Lakes Dredge &amp; Dock Corporation (the “Company”) on Form 10-K for the year ended December 31, 2010, as filed with the Securities and Exchange Commission on the date hereof (the “Report”), I, Jonathan W. Berger, Chief Executive Officer of the Company, certify pursuant to 18 U.S.C. Section 1350, as adopted pursuant to Section 906 of the Sarbanes-Oxley Act of 2002, that:</w:t>
      </w:r>
    </w:p>
    <w:p>
      <w:pPr>
        <w:spacing w:after="0" w:line="80"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2011</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Annual Report of Great Lakes Dredge &amp; Dock Corporation (the “Company”) on Form 10-K for the year ended December 31, 2010, as filed with the Securities and Exchange Commission on the date hereof (the “Report”), I, Bruce J. Biemeck, President and Chief Financial Officer of the Company, certify pursuant to 18 U.S.C. Section 1350, as adopted pursuant to Section 906 of the Sarbanes-Oxley Act of 2002, that:</w:t>
      </w:r>
    </w:p>
    <w:p>
      <w:pPr>
        <w:spacing w:after="0" w:line="80"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2011</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lowerRoman"/>
      <w:start w:val="5"/>
    </w:lvl>
  </w:abstractNum>
  <w:abstractNum w:abstractNumId="20">
    <w:nsid w:val="153EA438"/>
    <w:multiLevelType w:val="hybridMultilevel"/>
    <w:lvl w:ilvl="0">
      <w:lvlJc w:val="left"/>
      <w:lvlText w:val="(%1)"/>
      <w:numFmt w:val="lowerRoman"/>
      <w:start w:val="2"/>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lowerLetter"/>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20"/>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1."/>
      <w:numFmt w:val="decimal"/>
      <w:start w:val="11"/>
    </w:lvl>
  </w:abstractNum>
  <w:abstractNum w:abstractNumId="33">
    <w:nsid w:val="38437FDB"/>
    <w:multiLevelType w:val="hybridMultilevel"/>
    <w:lvl w:ilvl="0">
      <w:lvlJc w:val="left"/>
      <w:lvlText w:val="%1."/>
      <w:numFmt w:val="decimal"/>
      <w:start w:val="16"/>
    </w:lvl>
  </w:abstractNum>
  <w:abstractNum w:abstractNumId="34">
    <w:nsid w:val="7644A45C"/>
    <w:multiLevelType w:val="hybridMultilevel"/>
    <w:lvl w:ilvl="0">
      <w:lvlJc w:val="left"/>
      <w:lvlText w:val="%1."/>
      <w:numFmt w:val="decimal"/>
      <w:start w:val="17"/>
    </w:lvl>
  </w:abstractNum>
  <w:abstractNum w:abstractNumId="35">
    <w:nsid w:val="32FFF902"/>
    <w:multiLevelType w:val="hybridMultilevel"/>
    <w:lvl w:ilvl="0">
      <w:lvlJc w:val="left"/>
      <w:lvlText w:val="%1."/>
      <w:numFmt w:val="decimal"/>
      <w:start w:val="18"/>
    </w:lvl>
  </w:abstractNum>
  <w:abstractNum w:abstractNumId="36">
    <w:nsid w:val="684A481A"/>
    <w:multiLevelType w:val="hybridMultilevel"/>
    <w:lvl w:ilvl="0">
      <w:lvlJc w:val="left"/>
      <w:lvlText w:val="%1."/>
      <w:numFmt w:val="decimal"/>
      <w:start w:val="19"/>
    </w:lvl>
  </w:abstractNum>
  <w:abstractNum w:abstractNumId="37">
    <w:nsid w:val="579478FE"/>
    <w:multiLevelType w:val="hybridMultilevel"/>
    <w:lvl w:ilvl="0">
      <w:lvlJc w:val="left"/>
      <w:lvlText w:val="%1."/>
      <w:numFmt w:val="decimal"/>
      <w:start w:val="20"/>
    </w:lvl>
  </w:abstractNum>
  <w:abstractNum w:abstractNumId="38">
    <w:nsid w:val="749ABB43"/>
    <w:multiLevelType w:val="hybridMultilevel"/>
    <w:lvl w:ilvl="0">
      <w:lvlJc w:val="left"/>
      <w:lvlText w:val="%1."/>
      <w:numFmt w:val="decimal"/>
      <w:start w:val="21"/>
    </w:lvl>
  </w:abstractNum>
  <w:abstractNum w:abstractNumId="39">
    <w:nsid w:val="3DC240FB"/>
    <w:multiLevelType w:val="hybridMultilevel"/>
    <w:lvl w:ilvl="0">
      <w:lvlJc w:val="left"/>
      <w:lvlText w:val="%1."/>
      <w:numFmt w:val="decimal"/>
      <w:start w:val="22"/>
    </w:lvl>
  </w:abstractNum>
  <w:abstractNum w:abstractNumId="40">
    <w:nsid w:val="1BA026FA"/>
    <w:multiLevelType w:val="hybridMultilevel"/>
    <w:lvl w:ilvl="0">
      <w:lvlJc w:val="left"/>
      <w:lvlText w:val="(%1)"/>
      <w:numFmt w:val="lowerRoman"/>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2"/>
    </w:lvl>
  </w:abstractNum>
  <w:abstractNum w:abstractNumId="43">
    <w:nsid w:val="12E685FB"/>
    <w:multiLevelType w:val="hybridMultilevel"/>
    <w:lvl w:ilvl="0">
      <w:lvlJc w:val="left"/>
      <w:lvlText w:val="%1."/>
      <w:numFmt w:val="decimal"/>
      <w:start w:val="3"/>
    </w:lvl>
  </w:abstractNum>
  <w:abstractNum w:abstractNumId="44">
    <w:nsid w:val="70C6A529"/>
    <w:multiLevelType w:val="hybridMultilevel"/>
    <w:lvl w:ilvl="0">
      <w:lvlJc w:val="left"/>
      <w:lvlText w:val="%1."/>
      <w:numFmt w:val="decimal"/>
      <w:start w:val="4"/>
    </w:lvl>
  </w:abstractNum>
  <w:abstractNum w:abstractNumId="45">
    <w:nsid w:val="520EEDD1"/>
    <w:multiLevelType w:val="hybridMultilevel"/>
    <w:lvl w:ilvl="0">
      <w:lvlJc w:val="left"/>
      <w:lvlText w:val="%1."/>
      <w:numFmt w:val="decimal"/>
      <w:start w:val="5"/>
    </w:lvl>
  </w:abstractNum>
  <w:abstractNum w:abstractNumId="46">
    <w:nsid w:val="374A3FE6"/>
    <w:multiLevelType w:val="hybridMultilevel"/>
    <w:lvl w:ilvl="0">
      <w:lvlJc w:val="left"/>
      <w:lvlText w:val="%1."/>
      <w:numFmt w:val="decimal"/>
      <w:start w:val="6"/>
    </w:lvl>
  </w:abstractNum>
  <w:abstractNum w:abstractNumId="47">
    <w:nsid w:val="4F4EF005"/>
    <w:multiLevelType w:val="hybridMultilevel"/>
    <w:lvl w:ilvl="0">
      <w:lvlJc w:val="left"/>
      <w:lvlText w:val="%1."/>
      <w:numFmt w:val="decimal"/>
      <w:start w:val="7"/>
    </w:lvl>
  </w:abstractNum>
  <w:abstractNum w:abstractNumId="48">
    <w:nsid w:val="23F9C13C"/>
    <w:multiLevelType w:val="hybridMultilevel"/>
    <w:lvl w:ilvl="0">
      <w:lvlJc w:val="left"/>
      <w:lvlText w:val="%1."/>
      <w:numFmt w:val="decimal"/>
      <w:start w:val="8"/>
    </w:lvl>
  </w:abstractNum>
  <w:abstractNum w:abstractNumId="49">
    <w:nsid w:val="649BB77C"/>
    <w:multiLevelType w:val="hybridMultilevel"/>
    <w:lvl w:ilvl="0">
      <w:lvlJc w:val="left"/>
      <w:lvlText w:val="%1."/>
      <w:numFmt w:val="decimal"/>
      <w:start w:val="9"/>
    </w:lvl>
  </w:abstractNum>
  <w:abstractNum w:abstractNumId="50">
    <w:nsid w:val="275AC794"/>
    <w:multiLevelType w:val="hybridMultilevel"/>
    <w:lvl w:ilvl="0">
      <w:lvlJc w:val="left"/>
      <w:lvlText w:val="%1."/>
      <w:numFmt w:val="decimal"/>
      <w:start w:val="10"/>
    </w:lvl>
  </w:abstractNum>
  <w:abstractNum w:abstractNumId="51">
    <w:nsid w:val="39386575"/>
    <w:multiLevelType w:val="hybridMultilevel"/>
    <w:lvl w:ilvl="0">
      <w:lvlJc w:val="left"/>
      <w:lvlText w:val="%1."/>
      <w:numFmt w:val="decimal"/>
      <w:start w:val="11"/>
    </w:lvl>
  </w:abstractNum>
  <w:abstractNum w:abstractNumId="52">
    <w:nsid w:val="1CF10FD8"/>
    <w:multiLevelType w:val="hybridMultilevel"/>
    <w:lvl w:ilvl="0">
      <w:lvlJc w:val="left"/>
      <w:lvlText w:val="%1."/>
      <w:numFmt w:val="decimal"/>
      <w:start w:val="12"/>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3"/>
    </w:lvl>
  </w:abstractNum>
  <w:abstractNum w:abstractNumId="56">
    <w:nsid w:val="354FE9F9"/>
    <w:multiLevelType w:val="hybridMultilevel"/>
    <w:lvl w:ilvl="0">
      <w:lvlJc w:val="left"/>
      <w:lvlText w:val="%1."/>
      <w:numFmt w:val="decimal"/>
      <w:start w:val="4"/>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2019-12-11T03:39:55Z</dcterms:created>
  <dcterms:modified xsi:type="dcterms:W3CDTF">2019-12-11T03:39:55Z</dcterms:modified>
</cp:coreProperties>
</file>