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3840" w:right="1320" w:hanging="3832"/>
        <w:spacing w:after="0" w:line="359" w:lineRule="auto"/>
        <w:tabs>
          <w:tab w:leader="none" w:pos="447"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0"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Great Lakes Dredge &amp; Dock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163830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480" w:type="dxa"/>
            <w:vAlign w:val="bottom"/>
          </w:tcPr>
          <w:p>
            <w:pPr>
              <w:spacing w:after="0"/>
              <w:rPr>
                <w:sz w:val="16"/>
                <w:szCs w:val="16"/>
                <w:color w:val="auto"/>
              </w:rPr>
            </w:pPr>
          </w:p>
        </w:tc>
        <w:tc>
          <w:tcPr>
            <w:tcW w:w="1600" w:type="dxa"/>
            <w:vAlign w:val="bottom"/>
            <w:gridSpan w:val="2"/>
          </w:tcPr>
          <w:p>
            <w:pPr>
              <w:jc w:val="center"/>
              <w:ind w:right="699"/>
              <w:spacing w:after="0"/>
              <w:rPr>
                <w:sz w:val="20"/>
                <w:szCs w:val="20"/>
                <w:color w:val="auto"/>
              </w:rPr>
            </w:pPr>
            <w:r>
              <w:rPr>
                <w:rFonts w:ascii="Arial" w:cs="Arial" w:eastAsia="Arial" w:hAnsi="Arial"/>
                <w:sz w:val="16"/>
                <w:szCs w:val="16"/>
                <w:b w:val="1"/>
                <w:bCs w:val="1"/>
                <w:color w:val="auto"/>
                <w:w w:val="93"/>
              </w:rPr>
              <w:t>Delaware</w:t>
            </w:r>
          </w:p>
        </w:tc>
        <w:tc>
          <w:tcPr>
            <w:tcW w:w="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jc w:val="right"/>
              <w:ind w:right="863"/>
              <w:spacing w:after="0"/>
              <w:rPr>
                <w:sz w:val="20"/>
                <w:szCs w:val="20"/>
                <w:color w:val="auto"/>
              </w:rPr>
            </w:pPr>
            <w:r>
              <w:rPr>
                <w:rFonts w:ascii="Arial" w:cs="Arial" w:eastAsia="Arial" w:hAnsi="Arial"/>
                <w:sz w:val="16"/>
                <w:szCs w:val="16"/>
                <w:b w:val="1"/>
                <w:bCs w:val="1"/>
                <w:color w:val="auto"/>
              </w:rPr>
              <w:t>20-5336063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jc w:val="center"/>
              <w:ind w:left="164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80" w:type="dxa"/>
            <w:vAlign w:val="bottom"/>
            <w:gridSpan w:val="3"/>
          </w:tcPr>
          <w:p>
            <w:pPr>
              <w:jc w:val="center"/>
              <w:ind w:left="1644"/>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0"/>
        </w:trPr>
        <w:tc>
          <w:tcPr>
            <w:tcW w:w="4080" w:type="dxa"/>
            <w:vAlign w:val="bottom"/>
            <w:gridSpan w:val="3"/>
          </w:tcPr>
          <w:p>
            <w:pPr>
              <w:jc w:val="center"/>
              <w:ind w:left="1624"/>
              <w:spacing w:after="0"/>
              <w:rPr>
                <w:sz w:val="20"/>
                <w:szCs w:val="20"/>
                <w:color w:val="auto"/>
              </w:rPr>
            </w:pPr>
            <w:r>
              <w:rPr>
                <w:rFonts w:ascii="Arial" w:cs="Arial" w:eastAsia="Arial" w:hAnsi="Arial"/>
                <w:sz w:val="16"/>
                <w:szCs w:val="16"/>
                <w:b w:val="1"/>
                <w:bCs w:val="1"/>
                <w:color w:val="auto"/>
                <w:w w:val="95"/>
              </w:rPr>
              <w:t>2122 York Road, Oak Brook, IL</w:t>
            </w: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jc w:val="right"/>
              <w:ind w:right="1043"/>
              <w:spacing w:after="0"/>
              <w:rPr>
                <w:sz w:val="20"/>
                <w:szCs w:val="20"/>
                <w:color w:val="auto"/>
              </w:rPr>
            </w:pPr>
            <w:r>
              <w:rPr>
                <w:rFonts w:ascii="Arial" w:cs="Arial" w:eastAsia="Arial" w:hAnsi="Arial"/>
                <w:sz w:val="16"/>
                <w:szCs w:val="16"/>
                <w:b w:val="1"/>
                <w:bCs w:val="1"/>
                <w:color w:val="auto"/>
              </w:rPr>
              <w:t>60523</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80" w:type="dxa"/>
            <w:vAlign w:val="bottom"/>
            <w:gridSpan w:val="3"/>
          </w:tcPr>
          <w:p>
            <w:pPr>
              <w:jc w:val="center"/>
              <w:ind w:left="162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2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20" w:type="dxa"/>
            <w:vAlign w:val="bottom"/>
            <w:gridSpan w:val="2"/>
          </w:tcPr>
          <w:p>
            <w:pPr>
              <w:jc w:val="center"/>
              <w:ind w:left="363"/>
              <w:spacing w:after="0"/>
              <w:rPr>
                <w:sz w:val="20"/>
                <w:szCs w:val="20"/>
                <w:color w:val="auto"/>
              </w:rPr>
            </w:pPr>
            <w:r>
              <w:rPr>
                <w:rFonts w:ascii="Arial" w:cs="Arial" w:eastAsia="Arial" w:hAnsi="Arial"/>
                <w:sz w:val="16"/>
                <w:szCs w:val="16"/>
                <w:b w:val="1"/>
                <w:bCs w:val="1"/>
                <w:color w:val="auto"/>
                <w:w w:val="93"/>
              </w:rPr>
              <w:t>(630) 574-3000</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8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gridSpan w:val="7"/>
          </w:tcPr>
          <w:p>
            <w:pPr>
              <w:jc w:val="center"/>
              <w:ind w:right="294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290"/>
        </w:trPr>
        <w:tc>
          <w:tcPr>
            <w:tcW w:w="24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Title of Class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6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60" w:type="dxa"/>
            <w:vAlign w:val="bottom"/>
            <w:gridSpan w:val="7"/>
          </w:tcPr>
          <w:p>
            <w:pPr>
              <w:jc w:val="center"/>
              <w:ind w:right="1808"/>
              <w:spacing w:after="0"/>
              <w:rPr>
                <w:sz w:val="20"/>
                <w:szCs w:val="20"/>
                <w:color w:val="auto"/>
              </w:rPr>
            </w:pPr>
            <w:r>
              <w:rPr>
                <w:rFonts w:ascii="Arial" w:cs="Arial" w:eastAsia="Arial" w:hAnsi="Arial"/>
                <w:sz w:val="16"/>
                <w:szCs w:val="16"/>
                <w:b w:val="1"/>
                <w:bCs w:val="1"/>
                <w:color w:val="auto"/>
                <w:w w:val="91"/>
              </w:rPr>
              <w:t>Common Stock, (Par Value $0.0001)</w:t>
            </w:r>
          </w:p>
        </w:tc>
        <w:tc>
          <w:tcPr>
            <w:tcW w:w="3420" w:type="dxa"/>
            <w:vAlign w:val="bottom"/>
            <w:gridSpan w:val="2"/>
          </w:tcPr>
          <w:p>
            <w:pPr>
              <w:jc w:val="center"/>
              <w:ind w:right="1440"/>
              <w:spacing w:after="0"/>
              <w:rPr>
                <w:sz w:val="20"/>
                <w:szCs w:val="20"/>
                <w:color w:val="auto"/>
              </w:rPr>
            </w:pPr>
            <w:r>
              <w:rPr>
                <w:rFonts w:ascii="Arial" w:cs="Arial" w:eastAsia="Arial" w:hAnsi="Arial"/>
                <w:sz w:val="16"/>
                <w:szCs w:val="16"/>
                <w:b w:val="1"/>
                <w:bCs w:val="1"/>
                <w:color w:val="auto"/>
                <w:w w:val="96"/>
              </w:rPr>
              <w:t>Nasdaq Stock Market, LLC</w:t>
            </w:r>
          </w:p>
        </w:tc>
        <w:tc>
          <w:tcPr>
            <w:tcW w:w="0" w:type="dxa"/>
            <w:vAlign w:val="bottom"/>
          </w:tcPr>
          <w:p>
            <w:pPr>
              <w:spacing w:after="0"/>
              <w:rPr>
                <w:sz w:val="1"/>
                <w:szCs w:val="1"/>
                <w:color w:val="auto"/>
              </w:rPr>
            </w:pPr>
          </w:p>
        </w:tc>
      </w:tr>
      <w:tr>
        <w:trPr>
          <w:trHeight w:val="283"/>
        </w:trPr>
        <w:tc>
          <w:tcPr>
            <w:tcW w:w="2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gridSpan w:val="7"/>
          </w:tcPr>
          <w:p>
            <w:pPr>
              <w:jc w:val="center"/>
              <w:ind w:right="2960"/>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249"/>
        </w:trPr>
        <w:tc>
          <w:tcPr>
            <w:tcW w:w="4520" w:type="dxa"/>
            <w:vAlign w:val="bottom"/>
            <w:gridSpan w:val="4"/>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760" w:type="dxa"/>
            <w:vAlign w:val="bottom"/>
            <w:gridSpan w:val="2"/>
          </w:tcPr>
          <w:p>
            <w:pPr>
              <w:spacing w:after="0"/>
              <w:rPr>
                <w:sz w:val="21"/>
                <w:szCs w:val="21"/>
                <w:color w:val="auto"/>
              </w:rPr>
            </w:pPr>
          </w:p>
        </w:tc>
        <w:tc>
          <w:tcPr>
            <w:tcW w:w="3420" w:type="dxa"/>
            <w:vAlign w:val="bottom"/>
            <w:gridSpan w:val="2"/>
            <w:vMerge w:val="restart"/>
          </w:tcPr>
          <w:p>
            <w:pPr>
              <w:ind w:left="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312"/>
        </w:trPr>
        <w:tc>
          <w:tcPr>
            <w:tcW w:w="7660" w:type="dxa"/>
            <w:vAlign w:val="bottom"/>
            <w:gridSpan w:val="7"/>
          </w:tcPr>
          <w:p>
            <w:pPr>
              <w:ind w:left="360"/>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3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7"/>
          </w:tcPr>
          <w:p>
            <w:pPr>
              <w:ind w:left="360"/>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Act.</w:t>
            </w:r>
          </w:p>
        </w:tc>
        <w:tc>
          <w:tcPr>
            <w:tcW w:w="3420" w:type="dxa"/>
            <w:vAlign w:val="bottom"/>
            <w:gridSpan w:val="2"/>
          </w:tcPr>
          <w:p>
            <w:pPr>
              <w:ind w:left="1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22"/>
        </w:trPr>
        <w:tc>
          <w:tcPr>
            <w:tcW w:w="11080" w:type="dxa"/>
            <w:vAlign w:val="bottom"/>
            <w:gridSpan w:val="9"/>
          </w:tcPr>
          <w:p>
            <w:pPr>
              <w:ind w:left="360"/>
              <w:spacing w:after="0"/>
              <w:rPr>
                <w:sz w:val="20"/>
                <w:szCs w:val="20"/>
                <w:color w:val="auto"/>
              </w:rPr>
            </w:pPr>
            <w:r>
              <w:rPr>
                <w:rFonts w:ascii="Arial" w:cs="Arial" w:eastAsia="Arial" w:hAnsi="Arial"/>
                <w:sz w:val="15"/>
                <w:szCs w:val="15"/>
                <w:color w:val="auto"/>
                <w:w w:val="93"/>
              </w:rPr>
              <w:t>Indicate by check mark whether the registrant: (1) has filed all reports required to be filed by Section 13 or 15(d) of the Securities Exchange Act of 1934 during the preceding</w:t>
            </w:r>
          </w:p>
        </w:tc>
        <w:tc>
          <w:tcPr>
            <w:tcW w:w="0" w:type="dxa"/>
            <w:vAlign w:val="bottom"/>
          </w:tcPr>
          <w:p>
            <w:pPr>
              <w:spacing w:after="0"/>
              <w:rPr>
                <w:sz w:val="1"/>
                <w:szCs w:val="1"/>
                <w:color w:val="auto"/>
              </w:rPr>
            </w:pPr>
          </w:p>
        </w:tc>
      </w:tr>
      <w:tr>
        <w:trPr>
          <w:trHeight w:val="240"/>
        </w:trPr>
        <w:tc>
          <w:tcPr>
            <w:tcW w:w="11080" w:type="dxa"/>
            <w:vAlign w:val="bottom"/>
            <w:gridSpan w:val="9"/>
          </w:tcPr>
          <w:p>
            <w:pPr>
              <w:spacing w:after="0" w:line="173" w:lineRule="exact"/>
              <w:rPr>
                <w:sz w:val="20"/>
                <w:szCs w:val="20"/>
                <w:color w:val="auto"/>
              </w:rPr>
            </w:pPr>
            <w:r>
              <w:rPr>
                <w:rFonts w:ascii="Arial" w:cs="Arial" w:eastAsia="Arial" w:hAnsi="Arial"/>
                <w:sz w:val="15"/>
                <w:szCs w:val="15"/>
                <w:color w:val="auto"/>
                <w:w w:val="94"/>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4"/>
              </w:rPr>
              <w:t>☒</w:t>
            </w:r>
            <w:r>
              <w:rPr>
                <w:rFonts w:ascii="Arial" w:cs="Arial" w:eastAsia="Arial" w:hAnsi="Arial"/>
                <w:sz w:val="15"/>
                <w:szCs w:val="15"/>
                <w:color w:val="auto"/>
                <w:w w:val="94"/>
              </w:rPr>
              <w:t xml:space="preserve"> No </w:t>
            </w:r>
            <w:r>
              <w:rPr>
                <w:rFonts w:ascii="MS PGothic" w:cs="MS PGothic" w:eastAsia="MS PGothic" w:hAnsi="MS PGothic"/>
                <w:sz w:val="15"/>
                <w:szCs w:val="15"/>
                <w:color w:val="auto"/>
                <w:w w:val="94"/>
              </w:rPr>
              <w:t>☐</w:t>
            </w:r>
          </w:p>
        </w:tc>
        <w:tc>
          <w:tcPr>
            <w:tcW w:w="0" w:type="dxa"/>
            <w:vAlign w:val="bottom"/>
          </w:tcPr>
          <w:p>
            <w:pPr>
              <w:spacing w:after="0"/>
              <w:rPr>
                <w:sz w:val="1"/>
                <w:szCs w:val="1"/>
                <w:color w:val="auto"/>
              </w:rPr>
            </w:pPr>
          </w:p>
        </w:tc>
      </w:tr>
      <w:tr>
        <w:trPr>
          <w:trHeight w:val="233"/>
        </w:trPr>
        <w:tc>
          <w:tcPr>
            <w:tcW w:w="11080" w:type="dxa"/>
            <w:vAlign w:val="bottom"/>
            <w:gridSpan w:val="9"/>
          </w:tcPr>
          <w:p>
            <w:pPr>
              <w:ind w:left="360"/>
              <w:spacing w:after="0"/>
              <w:rPr>
                <w:sz w:val="20"/>
                <w:szCs w:val="20"/>
                <w:color w:val="auto"/>
              </w:rPr>
            </w:pPr>
            <w:r>
              <w:rPr>
                <w:rFonts w:ascii="Arial" w:cs="Arial" w:eastAsia="Arial" w:hAnsi="Arial"/>
                <w:sz w:val="15"/>
                <w:szCs w:val="15"/>
                <w:color w:val="auto"/>
                <w:w w:val="92"/>
              </w:rPr>
              <w:t>Indicate by check mark whether the registrant has submitted electronically and posted on its corporate Web site, if any, every Interactive Data File required to be submitted and</w:t>
            </w:r>
          </w:p>
        </w:tc>
        <w:tc>
          <w:tcPr>
            <w:tcW w:w="0" w:type="dxa"/>
            <w:vAlign w:val="bottom"/>
          </w:tcPr>
          <w:p>
            <w:pPr>
              <w:spacing w:after="0"/>
              <w:rPr>
                <w:sz w:val="1"/>
                <w:szCs w:val="1"/>
                <w:color w:val="auto"/>
              </w:rPr>
            </w:pPr>
          </w:p>
        </w:tc>
      </w:tr>
      <w:tr>
        <w:trPr>
          <w:trHeight w:val="148"/>
        </w:trPr>
        <w:tc>
          <w:tcPr>
            <w:tcW w:w="11080" w:type="dxa"/>
            <w:vAlign w:val="bottom"/>
            <w:gridSpan w:val="9"/>
          </w:tcPr>
          <w:p>
            <w:pPr>
              <w:spacing w:after="0" w:line="149" w:lineRule="exact"/>
              <w:rPr>
                <w:sz w:val="20"/>
                <w:szCs w:val="20"/>
                <w:color w:val="auto"/>
              </w:rPr>
            </w:pPr>
            <w:r>
              <w:rPr>
                <w:rFonts w:ascii="Arial" w:cs="Arial" w:eastAsia="Arial" w:hAnsi="Arial"/>
                <w:sz w:val="15"/>
                <w:szCs w:val="15"/>
                <w:color w:val="auto"/>
              </w:rPr>
              <w:t>posted pursuant to Rule 405 of Regulation S-T during the preceding 12 months (or for such shorter period that the registrant was required to submit and post such</w:t>
            </w:r>
          </w:p>
        </w:tc>
        <w:tc>
          <w:tcPr>
            <w:tcW w:w="0" w:type="dxa"/>
            <w:vAlign w:val="bottom"/>
          </w:tcPr>
          <w:p>
            <w:pPr>
              <w:spacing w:after="0"/>
              <w:rPr>
                <w:sz w:val="1"/>
                <w:szCs w:val="1"/>
                <w:color w:val="auto"/>
              </w:rPr>
            </w:pPr>
          </w:p>
        </w:tc>
      </w:tr>
      <w:tr>
        <w:trPr>
          <w:trHeight w:val="240"/>
        </w:trPr>
        <w:tc>
          <w:tcPr>
            <w:tcW w:w="4080" w:type="dxa"/>
            <w:vAlign w:val="bottom"/>
            <w:gridSpan w:val="3"/>
          </w:tcPr>
          <w:p>
            <w:pPr>
              <w:spacing w:after="0" w:line="173" w:lineRule="exact"/>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40" w:firstLine="342"/>
        <w:spacing w:after="0" w:line="19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4" w:lineRule="exact"/>
        <w:rPr>
          <w:sz w:val="24"/>
          <w:szCs w:val="24"/>
          <w:color w:val="auto"/>
        </w:rPr>
      </w:pPr>
    </w:p>
    <w:p>
      <w:pPr>
        <w:ind w:right="440" w:firstLine="342"/>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63" w:lineRule="exact"/>
        <w:rPr>
          <w:sz w:val="24"/>
          <w:szCs w:val="24"/>
          <w:color w:val="auto"/>
        </w:rPr>
      </w:pPr>
    </w:p>
    <w:p>
      <w:pPr>
        <w:spacing w:after="0" w:line="173" w:lineRule="exact"/>
        <w:tabs>
          <w:tab w:leader="none" w:pos="1820" w:val="left"/>
          <w:tab w:leader="none" w:pos="9100" w:val="left"/>
          <w:tab w:leader="none" w:pos="1126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4"/>
          <w:szCs w:val="14"/>
          <w:color w:val="auto"/>
        </w:rPr>
        <w:t>☒</w:t>
      </w:r>
    </w:p>
    <w:p>
      <w:pPr>
        <w:spacing w:after="0" w:line="125" w:lineRule="exact"/>
        <w:rPr>
          <w:sz w:val="24"/>
          <w:szCs w:val="24"/>
          <w:color w:val="auto"/>
        </w:rPr>
      </w:pPr>
    </w:p>
    <w:p>
      <w:pPr>
        <w:spacing w:after="0" w:line="173" w:lineRule="exact"/>
        <w:tabs>
          <w:tab w:leader="none" w:pos="1820" w:val="left"/>
          <w:tab w:leader="none" w:pos="9100" w:val="left"/>
          <w:tab w:leader="none" w:pos="1126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(Do not check if a smaller reporting company)</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25" w:lineRule="exact"/>
        <w:rPr>
          <w:sz w:val="24"/>
          <w:szCs w:val="24"/>
          <w:color w:val="auto"/>
        </w:rPr>
      </w:pPr>
    </w:p>
    <w:p>
      <w:pPr>
        <w:ind w:left="360"/>
        <w:spacing w:after="0" w:line="173" w:lineRule="exact"/>
        <w:tabs>
          <w:tab w:leader="none" w:pos="7420" w:val="left"/>
          <w:tab w:leader="none" w:pos="80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41" w:lineRule="exact"/>
        <w:rPr>
          <w:sz w:val="24"/>
          <w:szCs w:val="24"/>
          <w:color w:val="auto"/>
        </w:rPr>
      </w:pPr>
    </w:p>
    <w:p>
      <w:pPr>
        <w:ind w:right="40" w:firstLine="342"/>
        <w:spacing w:after="0"/>
        <w:rPr>
          <w:sz w:val="20"/>
          <w:szCs w:val="20"/>
          <w:color w:val="auto"/>
        </w:rPr>
      </w:pPr>
      <w:r>
        <w:rPr>
          <w:rFonts w:ascii="Arial" w:cs="Arial" w:eastAsia="Arial" w:hAnsi="Arial"/>
          <w:sz w:val="15"/>
          <w:szCs w:val="15"/>
          <w:color w:val="auto"/>
        </w:rPr>
        <w:t>The aggregate market value of voting stock held by non-affiliates of the Registrant was $435,108,882 at June 28, 2013. The aggregate market value was computed using the closing price of the common stock as of that date on the Nasdaq Stock Market. (For purposes of a calculating this amount only, all directors and executive officers of the registrant have been treated as affiliates.)</w:t>
      </w:r>
    </w:p>
    <w:p>
      <w:pPr>
        <w:spacing w:after="0" w:line="7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As of March 7, 2014, 59,736,196 shares of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230" w:right="239" w:bottom="1440" w:gutter="0" w:footer="0" w:header="0"/>
        </w:sectPr>
      </w:pPr>
    </w:p>
    <w:p>
      <w:pPr>
        <w:spacing w:after="0" w:line="145" w:lineRule="exact"/>
        <w:rPr>
          <w:sz w:val="24"/>
          <w:szCs w:val="24"/>
          <w:color w:val="auto"/>
        </w:rPr>
      </w:pPr>
    </w:p>
    <w:p>
      <w:pPr>
        <w:jc w:val="center"/>
        <w:ind w:right="520"/>
        <w:spacing w:after="0"/>
        <w:rPr>
          <w:sz w:val="20"/>
          <w:szCs w:val="20"/>
          <w:color w:val="auto"/>
        </w:rPr>
      </w:pPr>
      <w:r>
        <w:rPr>
          <w:rFonts w:ascii="Arial" w:cs="Arial" w:eastAsia="Arial" w:hAnsi="Arial"/>
          <w:sz w:val="13"/>
          <w:szCs w:val="13"/>
          <w:b w:val="1"/>
          <w:bCs w:val="1"/>
          <w:color w:val="auto"/>
        </w:rPr>
        <w:t>Part of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96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 w:lineRule="exact"/>
        <w:rPr>
          <w:sz w:val="24"/>
          <w:szCs w:val="24"/>
          <w:color w:val="auto"/>
        </w:rPr>
      </w:pPr>
    </w:p>
    <w:p>
      <w:pPr>
        <w:jc w:val="center"/>
        <w:ind w:right="520"/>
        <w:spacing w:after="0"/>
        <w:rPr>
          <w:sz w:val="20"/>
          <w:szCs w:val="20"/>
          <w:color w:val="auto"/>
        </w:rPr>
      </w:pPr>
      <w:r>
        <w:rPr>
          <w:rFonts w:ascii="Arial" w:cs="Arial" w:eastAsia="Arial" w:hAnsi="Arial"/>
          <w:sz w:val="14"/>
          <w:szCs w:val="14"/>
          <w:color w:val="auto"/>
        </w:rPr>
        <w:t>Part III</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ind w:left="4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-716915</wp:posOffset>
            </wp:positionH>
            <wp:positionV relativeFrom="paragraph">
              <wp:posOffset>15240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Portions of the Proxy Statement to be filed with</w:t>
      </w:r>
    </w:p>
    <w:p>
      <w:pPr>
        <w:jc w:val="center"/>
        <w:ind w:right="1140"/>
        <w:spacing w:after="0"/>
        <w:rPr>
          <w:sz w:val="20"/>
          <w:szCs w:val="20"/>
          <w:color w:val="auto"/>
        </w:rPr>
      </w:pPr>
      <w:r>
        <w:rPr>
          <w:rFonts w:ascii="Arial" w:cs="Arial" w:eastAsia="Arial" w:hAnsi="Arial"/>
          <w:sz w:val="12"/>
          <w:szCs w:val="12"/>
          <w:color w:val="auto"/>
        </w:rPr>
        <w:t>the Securities and Exchange Commission in connection</w:t>
      </w:r>
    </w:p>
    <w:p>
      <w:pPr>
        <w:spacing w:after="0" w:line="11" w:lineRule="exact"/>
        <w:rPr>
          <w:sz w:val="24"/>
          <w:szCs w:val="24"/>
          <w:color w:val="auto"/>
        </w:rPr>
      </w:pPr>
    </w:p>
    <w:p>
      <w:pPr>
        <w:jc w:val="center"/>
        <w:ind w:right="1140"/>
        <w:spacing w:after="0"/>
        <w:rPr>
          <w:sz w:val="20"/>
          <w:szCs w:val="20"/>
          <w:color w:val="auto"/>
        </w:rPr>
      </w:pPr>
      <w:r>
        <w:rPr>
          <w:rFonts w:ascii="Arial" w:cs="Arial" w:eastAsia="Arial" w:hAnsi="Arial"/>
          <w:sz w:val="14"/>
          <w:szCs w:val="14"/>
          <w:color w:val="auto"/>
        </w:rPr>
        <w:t>with the 2014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-4490085</wp:posOffset>
            </wp:positionH>
            <wp:positionV relativeFrom="paragraph">
              <wp:posOffset>64770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107950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6360" w:space="720"/>
            <w:col w:w="434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40" w:type="dxa"/>
            <w:vAlign w:val="bottom"/>
            <w:gridSpan w:val="3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80" w:type="dxa"/>
            <w:vAlign w:val="bottom"/>
          </w:tcPr>
          <w:p>
            <w:pPr>
              <w:spacing w:after="0"/>
              <w:rPr>
                <w:sz w:val="17"/>
                <w:szCs w:val="17"/>
                <w:color w:val="auto"/>
              </w:rPr>
            </w:pPr>
          </w:p>
        </w:tc>
      </w:tr>
      <w:tr>
        <w:trPr>
          <w:trHeight w:val="534"/>
        </w:trPr>
        <w:tc>
          <w:tcPr>
            <w:tcW w:w="9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gridSpan w:val="16"/>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4"/>
                <w:szCs w:val="24"/>
                <w:color w:val="auto"/>
              </w:rPr>
            </w:pPr>
          </w:p>
        </w:tc>
      </w:tr>
      <w:tr>
        <w:trPr>
          <w:trHeight w:val="419"/>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2"/>
          </w:tcPr>
          <w:p>
            <w:pPr>
              <w:jc w:val="center"/>
              <w:ind w:right="44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180" w:type="dxa"/>
            <w:vAlign w:val="bottom"/>
          </w:tcPr>
          <w:p>
            <w:pPr>
              <w:spacing w:after="0"/>
              <w:rPr>
                <w:sz w:val="24"/>
                <w:szCs w:val="24"/>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620" w:type="dxa"/>
            <w:vAlign w:val="bottom"/>
            <w:gridSpan w:val="15"/>
          </w:tcPr>
          <w:p>
            <w:pPr>
              <w:spacing w:after="0"/>
              <w:rPr>
                <w:sz w:val="17"/>
                <w:szCs w:val="17"/>
                <w:color w:val="auto"/>
              </w:rPr>
            </w:pPr>
          </w:p>
        </w:tc>
        <w:tc>
          <w:tcPr>
            <w:tcW w:w="580" w:type="dxa"/>
            <w:vAlign w:val="bottom"/>
            <w:tcBorders>
              <w:top w:val="single" w:sz="8" w:color="0000EE"/>
            </w:tcBorders>
            <w:gridSpan w:val="3"/>
          </w:tcPr>
          <w:p>
            <w:pPr>
              <w:spacing w:after="0"/>
              <w:rPr>
                <w:sz w:val="17"/>
                <w:szCs w:val="17"/>
                <w:color w:val="auto"/>
              </w:rPr>
            </w:pPr>
          </w:p>
        </w:tc>
        <w:tc>
          <w:tcPr>
            <w:tcW w:w="440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3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240" w:type="dxa"/>
            <w:vAlign w:val="bottom"/>
            <w:gridSpan w:val="3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720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7900" w:type="dxa"/>
            <w:vAlign w:val="bottom"/>
            <w:gridSpan w:val="2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3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04"/>
        </w:trPr>
        <w:tc>
          <w:tcPr>
            <w:tcW w:w="9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4360" w:type="dxa"/>
            <w:vAlign w:val="bottom"/>
            <w:gridSpan w:val="8"/>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240" w:type="dxa"/>
            <w:vAlign w:val="bottom"/>
            <w:gridSpan w:val="3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Market for the Registrant’s Common Equity, Related Stockholder Matters and Issuer Purchases of Equity Securities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3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9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240" w:type="dxa"/>
            <w:vAlign w:val="bottom"/>
            <w:gridSpan w:val="3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494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Changes in and Disagreements with Accountants on Accounting and Financial Disclosure</w:t>
              </w:r>
            </w:hyperlink>
          </w:p>
        </w:tc>
        <w:tc>
          <w:tcPr>
            <w:tcW w:w="276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240" w:type="dxa"/>
            <w:vAlign w:val="bottom"/>
            <w:gridSpan w:val="3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480" w:type="dxa"/>
            <w:vAlign w:val="bottom"/>
            <w:gridSpan w:val="2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304"/>
        </w:trPr>
        <w:tc>
          <w:tcPr>
            <w:tcW w:w="9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III</w:t>
              </w:r>
            </w:hyperlink>
          </w:p>
        </w:tc>
        <w:tc>
          <w:tcPr>
            <w:tcW w:w="4320" w:type="dxa"/>
            <w:vAlign w:val="bottom"/>
            <w:gridSpan w:val="6"/>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3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Directors and Executive Officers and Corporate Governance</w:t>
              </w:r>
            </w:hyperlink>
          </w:p>
        </w:tc>
        <w:tc>
          <w:tcPr>
            <w:tcW w:w="488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240" w:type="dxa"/>
            <w:vAlign w:val="bottom"/>
            <w:gridSpan w:val="3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Executive Compensation</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Security Ownership of Certain Beneficial Owners and Management and Related Stockholder Matters</w:t>
              </w:r>
            </w:hyperlink>
          </w:p>
        </w:tc>
        <w:tc>
          <w:tcPr>
            <w:tcW w:w="19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9240" w:type="dxa"/>
            <w:vAlign w:val="bottom"/>
            <w:gridSpan w:val="3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384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304"/>
        </w:trPr>
        <w:tc>
          <w:tcPr>
            <w:tcW w:w="9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4"/>
          </w:tcPr>
          <w:p>
            <w:pPr>
              <w:jc w:val="center"/>
              <w:ind w:right="4340"/>
              <w:spacing w:after="0"/>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PART IV</w:t>
              </w:r>
            </w:hyperlink>
          </w:p>
        </w:tc>
        <w:tc>
          <w:tcPr>
            <w:tcW w:w="1180" w:type="dxa"/>
            <w:vAlign w:val="bottom"/>
          </w:tcPr>
          <w:p>
            <w:pPr>
              <w:spacing w:after="0"/>
              <w:rPr>
                <w:sz w:val="24"/>
                <w:szCs w:val="24"/>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Exhibits and Financial Statement Schedules</w:t>
              </w:r>
            </w:hyperlink>
          </w:p>
        </w:tc>
        <w:tc>
          <w:tcPr>
            <w:tcW w:w="1040" w:type="dxa"/>
            <w:vAlign w:val="bottom"/>
            <w:gridSpan w:val="3"/>
          </w:tcPr>
          <w:p>
            <w:pPr>
              <w:spacing w:after="0"/>
              <w:rPr>
                <w:sz w:val="17"/>
                <w:szCs w:val="17"/>
                <w:color w:val="auto"/>
              </w:rPr>
            </w:pPr>
          </w:p>
        </w:tc>
        <w:tc>
          <w:tcPr>
            <w:tcW w:w="700" w:type="dxa"/>
            <w:vAlign w:val="bottom"/>
            <w:tcBorders>
              <w:top w:val="single" w:sz="8" w:color="0000EE"/>
            </w:tcBorders>
            <w:gridSpan w:val="7"/>
          </w:tcPr>
          <w:p>
            <w:pPr>
              <w:spacing w:after="0"/>
              <w:rPr>
                <w:sz w:val="17"/>
                <w:szCs w:val="17"/>
                <w:color w:val="auto"/>
              </w:rPr>
            </w:pPr>
          </w:p>
        </w:tc>
        <w:tc>
          <w:tcPr>
            <w:tcW w:w="434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140" w:type="dxa"/>
            <w:vAlign w:val="bottom"/>
            <w:gridSpan w:val="31"/>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SIGNATURES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of this Annual Report on Form 10-K for the year ended December 31, 2013, and in other securities filings by Great Lakes with the SEC.</w:t>
      </w:r>
    </w:p>
    <w:p>
      <w:pPr>
        <w:spacing w:after="0" w:line="18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may read and copy any materials Great Lakes files with the SEC, including without limitation the Company’s Annual Report on Form 10-K, quarterly reports on Form 10-Q, current reports on Form 8-K, and amendments to those reports at the SEC’s Public Reference Room at 100 F Street, N.E., Washington, D.C. 20549. Copies of such materials also can be obtained at the SEC’s website, www.sec.gov or by mail from the Public Reference Room of the SEC, at prescribed rates. Please call the SEC at 1-800-SEC-0330 for further information on the Public Reference Room. Great Lakes’ SEC filings are also available to the public, free of charge, on its corporate website, www.gldd.com as soon as reasonably practicable after Great Lakes electronically files such material with, or furnishes it to, the SEC.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“we,” “our,” “ours,” “us,” “Great Lakes” and “Company” refer to Great Lakes Dredge &amp; Dock Corporation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Great Lakes is the largest provider of dredging services in the United States.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West, and Gulf Coasts of the United States and worldwide. The Company also owns a specialty contracting service provider which primarily offers environmental and remediation services in the Northeast and Midwest U.S. areas. The Company has a 50% interest in Amboy Aggregates, a sand dredging operation in New Jersey and a 50% interest in TerraSea Environmental Solutions, (“TerraSea”) an environmental remediation services business.</w:t>
      </w:r>
    </w:p>
    <w:p>
      <w:pPr>
        <w:spacing w:after="0" w:line="18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December 31, 2012, the Company acquired the assets and assumed certain liabilities of Terra Contracting, LLC (“Terra”), a respected provider of a wide variety of essential services for environmental, maintenance and infrastructure-related applications headquartered in Kalamazoo, MI, for a purchase price of approximately $26 million. The Terra business constitutes the majority of the Company’s redefined environmental &amp; remediation segment.</w:t>
      </w:r>
    </w:p>
    <w:p>
      <w:pPr>
        <w:spacing w:after="0" w:line="147" w:lineRule="exact"/>
        <w:rPr>
          <w:sz w:val="20"/>
          <w:szCs w:val="20"/>
          <w:color w:val="auto"/>
        </w:rPr>
      </w:pPr>
    </w:p>
    <w:p>
      <w:pPr>
        <w:ind w:right="520" w:firstLine="456"/>
        <w:spacing w:after="0" w:line="297" w:lineRule="auto"/>
        <w:rPr>
          <w:sz w:val="20"/>
          <w:szCs w:val="20"/>
          <w:color w:val="auto"/>
        </w:rPr>
      </w:pPr>
      <w:r>
        <w:rPr>
          <w:rFonts w:ascii="Arial" w:cs="Arial" w:eastAsia="Arial" w:hAnsi="Arial"/>
          <w:sz w:val="16"/>
          <w:szCs w:val="16"/>
          <w:color w:val="auto"/>
        </w:rPr>
        <w:t>The Company operates in four operating segments that, through aggregation, comprise two reportable segments: dredging and environmental &amp; remediation, formerly known as the demolition segment.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Financial information about the Company’s reportable segments and operating revenues by geographic region is provided in Notes 9 and 15 to the Company’s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Dredging Operations (approximately 87% of 2013 total revenues)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Dredging generally involves the enhancement or preservation of navigability of waterways or the protection of shorelines through the removal or replenishment of soil, sand or rock. The U.S. primary dredging market consists of three types of work: capital, coastal protection (formerly referred to as beach nourishment) and maintenance. The Company separately categorizes rivers &amp; lakes markets. This type of work typically has separate dredges and a different competitive landscape than the primary coastal markets. The Company’s “bid market” is defined as the aggregate dollar value of domestic dredging projects on which the Company bid or could have bid if not for capacity constraints. The Company experienced an average combined bid market share in the U.S. of 37% over the prior three years, including 29%, 60% and 31% of the domestic capital, coastal protection, and maintenance sectors, respectively. The Company’s average bid market share of rivers &amp; lakes in the two years of activity since its acquisition is 43%.</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Over its 123-year history, the Company has grown to be a leader in capital, coastal protection and maintenance dredging in the U.S. In addition, the Company is the only U.S. dredging service provider with significant international operations. Over the prior three years, foreign dredging operations accounted for an average of 16% of the Company’s dredging revenues. The Company’s foreign projects are typically categorized in the capital work type, but are not included in the aforementioned bid market.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Capital (domestic is approximately 24% of 2013 dredging revenues)</w:t>
      </w:r>
      <w:r>
        <w:rPr>
          <w:rFonts w:ascii="Arial" w:cs="Arial" w:eastAsia="Arial" w:hAnsi="Arial"/>
          <w:sz w:val="17"/>
          <w:szCs w:val="17"/>
          <w:color w:val="auto"/>
        </w:rPr>
        <w:t>. Capital dredging consists primarily of port expansion projects, which involve the</w:t>
      </w:r>
      <w:r>
        <w:rPr>
          <w:rFonts w:ascii="Arial" w:cs="Arial" w:eastAsia="Arial" w:hAnsi="Arial"/>
          <w:sz w:val="17"/>
          <w:szCs w:val="17"/>
          <w:i w:val="1"/>
          <w:iCs w:val="1"/>
          <w:color w:val="auto"/>
        </w:rPr>
        <w:t xml:space="preserve"> </w:t>
      </w:r>
      <w:r>
        <w:rPr>
          <w:rFonts w:ascii="Arial" w:cs="Arial" w:eastAsia="Arial" w:hAnsi="Arial"/>
          <w:sz w:val="17"/>
          <w:szCs w:val="17"/>
          <w:color w:val="auto"/>
        </w:rPr>
        <w:t>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7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Foreign (approximately 22% of 2013 dredging revenues). </w:t>
      </w:r>
      <w:r>
        <w:rPr>
          <w:rFonts w:ascii="Arial" w:cs="Arial" w:eastAsia="Arial" w:hAnsi="Arial"/>
          <w:sz w:val="18"/>
          <w:szCs w:val="18"/>
          <w:color w:val="auto"/>
        </w:rPr>
        <w:t>Foreign capital projects typically involve land reclamations, channel deepening and port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development. The Company targets foreign opportunities that are well suited to the Company’s equipment and where it faces reduced competition from its European competitors. Maintaining a presence in foreign markets has enabled the Company to diversify its customer base and take advantage of differences in global economic development. Over the last ten years, the Company has performed dredging work in the Middle East, Africa, India, Australia, the Caribbean and Central and South America. Most recently, the Company has focused its efforts on opportunities in Australia, the Middle East and South America.</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Coastal protection (approximately 35% of 2013 dredging revenues)</w:t>
      </w:r>
      <w:r>
        <w:rPr>
          <w:rFonts w:ascii="Arial" w:cs="Arial" w:eastAsia="Arial" w:hAnsi="Arial"/>
          <w:sz w:val="16"/>
          <w:szCs w:val="16"/>
          <w:color w:val="auto"/>
        </w:rPr>
        <w:t>. Coastal protection was previously referred to as beach nourishment. Coastal</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is a more accurate description of this important dredging work that protects valuable infrastructure along the coast lines. Coastal protection projects generally involve moving sand from the ocean floor to shoreline locations 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and coastal recreation activities.</w:t>
      </w:r>
    </w:p>
    <w:p>
      <w:pPr>
        <w:spacing w:after="0" w:line="16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Maintenance (approximately 14% of 2013 dredging revenues)</w:t>
      </w:r>
      <w:r>
        <w:rPr>
          <w:rFonts w:ascii="Arial" w:cs="Arial" w:eastAsia="Arial" w:hAnsi="Arial"/>
          <w:sz w:val="16"/>
          <w:szCs w:val="16"/>
          <w:color w:val="auto"/>
        </w:rPr>
        <w:t>. Maintenance dredging consists of the re-dredging of previously deepened waterways</w:t>
      </w:r>
      <w:r>
        <w:rPr>
          <w:rFonts w:ascii="Arial" w:cs="Arial" w:eastAsia="Arial" w:hAnsi="Arial"/>
          <w:sz w:val="16"/>
          <w:szCs w:val="16"/>
          <w:i w:val="1"/>
          <w:iCs w:val="1"/>
          <w:color w:val="auto"/>
        </w:rPr>
        <w:t xml:space="preserve"> </w:t>
      </w:r>
      <w:r>
        <w:rPr>
          <w:rFonts w:ascii="Arial" w:cs="Arial" w:eastAsia="Arial" w:hAnsi="Arial"/>
          <w:sz w:val="16"/>
          <w:szCs w:val="16"/>
          <w:color w:val="auto"/>
        </w:rPr>
        <w:t>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Rivers &amp; lakes (approximately 5% of 2013 dredging revenues)</w:t>
      </w:r>
      <w:r>
        <w:rPr>
          <w:rFonts w:ascii="Arial" w:cs="Arial" w:eastAsia="Arial" w:hAnsi="Arial"/>
          <w:sz w:val="17"/>
          <w:szCs w:val="17"/>
          <w:color w:val="auto"/>
        </w:rPr>
        <w:t>. Domestic rivers and lakes dredging and related operations typically consist of lake and</w:t>
      </w:r>
      <w:r>
        <w:rPr>
          <w:rFonts w:ascii="Arial" w:cs="Arial" w:eastAsia="Arial" w:hAnsi="Arial"/>
          <w:sz w:val="17"/>
          <w:szCs w:val="17"/>
          <w:i w:val="1"/>
          <w:iCs w:val="1"/>
          <w:color w:val="auto"/>
        </w:rPr>
        <w:t xml:space="preserve"> </w:t>
      </w:r>
      <w:r>
        <w:rPr>
          <w:rFonts w:ascii="Arial" w:cs="Arial" w:eastAsia="Arial" w:hAnsi="Arial"/>
          <w:sz w:val="17"/>
          <w:szCs w:val="17"/>
          <w:color w:val="auto"/>
        </w:rPr>
        <w:t>river dredging, inland levee and construction dredging, environmental restoration and habitat improvement and other marine construction projects. Although the Mississippi River has the largest source of projects on which the Company bids, certain dredges used on these projects are more portable and able to be transported to take advantage of the fragmented market. Generally, inland river and lake projects in the northern U.S. take place in non-winter months because frozen waterways significantly reduce the Company’s ability to operate and transport its equipment in the relevant geographies.</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Amboy Aggregates. </w:t>
      </w:r>
      <w:r>
        <w:rPr>
          <w:rFonts w:ascii="Arial" w:cs="Arial" w:eastAsia="Arial" w:hAnsi="Arial"/>
          <w:sz w:val="18"/>
          <w:szCs w:val="18"/>
          <w:color w:val="auto"/>
        </w:rPr>
        <w:t>The Company and a New Jersey aggregates company each own 50% of Amboy Aggregates (“Amboy”). Amboy was formed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1984 to mine sand from the entrance channel to New York Harbor to provide sand and aggregate for use in road and building construction and for clean land fill. Amboy also imports stone from upstate New York and Nova Scotia and distributes it throughout the New York area. The Company’s dredging expertise and its partner’s knowledge of the aggregate market form the basis for the joint venture.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 Demand Drivers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the following factors are important drivers of the demand for its dredging services:</w:t>
      </w:r>
    </w:p>
    <w:p>
      <w:pPr>
        <w:spacing w:after="0" w:line="131" w:lineRule="exact"/>
        <w:rPr>
          <w:sz w:val="20"/>
          <w:szCs w:val="20"/>
          <w:color w:val="auto"/>
        </w:rPr>
      </w:pPr>
    </w:p>
    <w:p>
      <w:pPr>
        <w:ind w:left="900" w:right="2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Deep port capital projects. </w:t>
      </w:r>
      <w:r>
        <w:rPr>
          <w:rFonts w:ascii="Arial" w:cs="Arial" w:eastAsia="Arial" w:hAnsi="Arial"/>
          <w:sz w:val="18"/>
          <w:szCs w:val="18"/>
          <w:color w:val="auto"/>
        </w:rPr>
        <w:t>Most U.S. ports have continual expansion plans that include deepening and widening in order to better compete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trade. International trade, particularly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40"/>
        <w:spacing w:after="0" w:line="293" w:lineRule="auto"/>
        <w:rPr>
          <w:sz w:val="20"/>
          <w:szCs w:val="20"/>
          <w:color w:val="auto"/>
        </w:rPr>
      </w:pPr>
      <w:r>
        <w:rPr>
          <w:rFonts w:ascii="Arial" w:cs="Arial" w:eastAsia="Arial" w:hAnsi="Arial"/>
          <w:sz w:val="16"/>
          <w:szCs w:val="16"/>
          <w:color w:val="auto"/>
        </w:rPr>
        <w:t>intermodal container shipping business, is undergoing significant change as a result of the Panama Canal expansion. Many shipping lines have announced plans to deploy larger ships which, due to the channel dimension requirements, currently cannot use many U.S. ports. Miami has begun deepening its port channels to accommodate the larger vessels. This is expected to put more pressure on U.S. ports such as Savannah, Jacksonville and Charleston to deepen in order to remain competitive. In addition, the Ports of Los Angeles and Long Beach are resuming expansion efforts to remain competitive with deepened East Coast ports. The Company believes that port deepening and expansion work authorized under current and future legislation will continue to provide significant opportunities for the domestic dredging industry.</w:t>
      </w:r>
    </w:p>
    <w:p>
      <w:pPr>
        <w:spacing w:after="0" w:line="70" w:lineRule="exact"/>
        <w:rPr>
          <w:sz w:val="20"/>
          <w:szCs w:val="20"/>
          <w:color w:val="auto"/>
        </w:rPr>
      </w:pPr>
    </w:p>
    <w:p>
      <w:pPr>
        <w:ind w:left="900" w:hanging="325"/>
        <w:spacing w:after="0" w:line="27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Gulf coast restoration. </w:t>
      </w:r>
      <w:r>
        <w:rPr>
          <w:rFonts w:ascii="Arial" w:cs="Arial" w:eastAsia="Arial" w:hAnsi="Arial"/>
          <w:sz w:val="17"/>
          <w:szCs w:val="17"/>
          <w:color w:val="auto"/>
        </w:rPr>
        <w:t>There has been continued focus on restoring the barrier islands and wetlands that provide natural protection from storms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Gulf Coast area. Many restoration projects have commenced to repair coastal areas. Several additional projects are being planned by state and local governments to restore natural barriers. The State of Louisiana has completed a master plan calling for a $50 billion investment in their coastal infrastructure, with a significant portion involving dredging. The annual bid market for domestic capital dredging, which includes deep port capital dredging and Gulf Coast restoration, averaged $320 million over the prior three years.</w:t>
      </w:r>
    </w:p>
    <w:p>
      <w:pPr>
        <w:spacing w:after="0" w:line="77" w:lineRule="exact"/>
        <w:rPr>
          <w:rFonts w:ascii="Arial" w:cs="Arial" w:eastAsia="Arial" w:hAnsi="Arial"/>
          <w:sz w:val="17"/>
          <w:szCs w:val="17"/>
          <w:color w:val="auto"/>
        </w:rPr>
      </w:pPr>
    </w:p>
    <w:p>
      <w:pPr>
        <w:ind w:left="900" w:right="60" w:hanging="325"/>
        <w:spacing w:after="0" w:line="27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Substantial need for coastal protection. </w:t>
      </w:r>
      <w:r>
        <w:rPr>
          <w:rFonts w:ascii="Arial" w:cs="Arial" w:eastAsia="Arial" w:hAnsi="Arial"/>
          <w:sz w:val="17"/>
          <w:szCs w:val="17"/>
          <w:color w:val="auto"/>
        </w:rPr>
        <w:t>Beach erosion is a continuous problem due to the normal ebb and flow of coastlines as well as the effects</w:t>
      </w:r>
      <w:r>
        <w:rPr>
          <w:rFonts w:ascii="Arial" w:cs="Arial" w:eastAsia="Arial" w:hAnsi="Arial"/>
          <w:sz w:val="17"/>
          <w:szCs w:val="17"/>
          <w:i w:val="1"/>
          <w:iCs w:val="1"/>
          <w:color w:val="auto"/>
        </w:rPr>
        <w:t xml:space="preserve"> </w:t>
      </w:r>
      <w:r>
        <w:rPr>
          <w:rFonts w:ascii="Arial" w:cs="Arial" w:eastAsia="Arial" w:hAnsi="Arial"/>
          <w:sz w:val="17"/>
          <w:szCs w:val="17"/>
          <w:color w:val="auto"/>
        </w:rPr>
        <w:t>of severe storm activity. Growing populations in coastal communities and vital beach tourism are drawing attention to the importance of protecting beachfront assets. Over the past few years, both the federal government and state and local entities have funded beach work recognizing the essential role these natural barriers play in absorbing storm energy and protecting public and private property. Superstorm Sandy has highlighted the need for projects that clear the navigation channels, renourish damaged beaches and mitigate shore erosion from future storms. The annual bid market for coastal protection over the prior three years averaged $200 million.</w:t>
      </w:r>
    </w:p>
    <w:p>
      <w:pPr>
        <w:spacing w:after="0" w:line="83" w:lineRule="exact"/>
        <w:rPr>
          <w:rFonts w:ascii="Arial" w:cs="Arial" w:eastAsia="Arial" w:hAnsi="Arial"/>
          <w:sz w:val="17"/>
          <w:szCs w:val="17"/>
          <w:color w:val="auto"/>
        </w:rPr>
      </w:pPr>
    </w:p>
    <w:p>
      <w:pPr>
        <w:ind w:left="900" w:right="40" w:hanging="325"/>
        <w:spacing w:after="0" w:line="272"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Required maintenance of U.S. ports. </w:t>
      </w:r>
      <w:r>
        <w:rPr>
          <w:rFonts w:ascii="Arial" w:cs="Arial" w:eastAsia="Arial" w:hAnsi="Arial"/>
          <w:sz w:val="17"/>
          <w:szCs w:val="17"/>
          <w:color w:val="auto"/>
        </w:rPr>
        <w:t>The channels and waterways leading to U.S. ports have stated depths on which shippers rely when entering</w:t>
      </w:r>
      <w:r>
        <w:rPr>
          <w:rFonts w:ascii="Arial" w:cs="Arial" w:eastAsia="Arial" w:hAnsi="Arial"/>
          <w:sz w:val="17"/>
          <w:szCs w:val="17"/>
          <w:i w:val="1"/>
          <w:iCs w:val="1"/>
          <w:color w:val="auto"/>
        </w:rPr>
        <w:t xml:space="preserve"> </w:t>
      </w:r>
      <w:r>
        <w:rPr>
          <w:rFonts w:ascii="Arial" w:cs="Arial" w:eastAsia="Arial" w:hAnsi="Arial"/>
          <w:sz w:val="17"/>
          <w:szCs w:val="17"/>
          <w:color w:val="auto"/>
        </w:rPr>
        <w:t>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U.S. Army Corps of Engineers (the “Corps”) is responsible for federally funded projects related to navigation and flood control of U.S. waterways. The maritime industry, including the ports, continues to advocate for Congressional efforts to ensure that a fully funded, recurring maintenance program is in place. The annual bid market for maintenance dredging over the prior three years averaged $384 million.</w:t>
      </w:r>
    </w:p>
    <w:p>
      <w:pPr>
        <w:spacing w:after="0" w:line="83" w:lineRule="exact"/>
        <w:rPr>
          <w:rFonts w:ascii="Arial" w:cs="Arial" w:eastAsia="Arial" w:hAnsi="Arial"/>
          <w:sz w:val="17"/>
          <w:szCs w:val="17"/>
          <w:color w:val="auto"/>
        </w:rPr>
      </w:pPr>
    </w:p>
    <w:p>
      <w:pPr>
        <w:ind w:left="900" w:right="20" w:hanging="325"/>
        <w:spacing w:after="0" w:line="293"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Need to maintain safe navigability of the U.S. river system</w:t>
      </w:r>
      <w:r>
        <w:rPr>
          <w:rFonts w:ascii="Arial" w:cs="Arial" w:eastAsia="Arial" w:hAnsi="Arial"/>
          <w:sz w:val="16"/>
          <w:szCs w:val="16"/>
          <w:color w:val="auto"/>
        </w:rPr>
        <w:t>. There are over 12 thousand miles of commercially navigable inland waterways that</w:t>
      </w:r>
      <w:r>
        <w:rPr>
          <w:rFonts w:ascii="Arial" w:cs="Arial" w:eastAsia="Arial" w:hAnsi="Arial"/>
          <w:sz w:val="16"/>
          <w:szCs w:val="16"/>
          <w:i w:val="1"/>
          <w:iCs w:val="1"/>
          <w:color w:val="auto"/>
        </w:rPr>
        <w:t xml:space="preserve"> </w:t>
      </w:r>
      <w:r>
        <w:rPr>
          <w:rFonts w:ascii="Arial" w:cs="Arial" w:eastAsia="Arial" w:hAnsi="Arial"/>
          <w:sz w:val="16"/>
          <w:szCs w:val="16"/>
          <w:color w:val="auto"/>
        </w:rPr>
        <w:t>move more than 566 million tons of commercial goods. Transportation by barge requires less energy, and therefore is both better for the environment as well as costs less,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 as intended. The Corps recognizes the need to maintain the safe navigability of U.S. waterways.</w:t>
      </w:r>
    </w:p>
    <w:p>
      <w:pPr>
        <w:spacing w:after="0" w:line="70" w:lineRule="exact"/>
        <w:rPr>
          <w:rFonts w:ascii="Arial" w:cs="Arial" w:eastAsia="Arial" w:hAnsi="Arial"/>
          <w:sz w:val="16"/>
          <w:szCs w:val="16"/>
          <w:color w:val="auto"/>
        </w:rPr>
      </w:pPr>
    </w:p>
    <w:p>
      <w:pPr>
        <w:ind w:left="900" w:right="40" w:hanging="325"/>
        <w:spacing w:after="0" w:line="25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Domestic and international energy transportation</w:t>
      </w:r>
      <w:r>
        <w:rPr>
          <w:rFonts w:ascii="Arial" w:cs="Arial" w:eastAsia="Arial" w:hAnsi="Arial"/>
          <w:sz w:val="18"/>
          <w:szCs w:val="18"/>
          <w:color w:val="auto"/>
        </w:rPr>
        <w:t>. The growth in demand for transportation of energy worldwide has driven the need for</w:t>
      </w:r>
      <w:r>
        <w:rPr>
          <w:rFonts w:ascii="Arial" w:cs="Arial" w:eastAsia="Arial" w:hAnsi="Arial"/>
          <w:sz w:val="18"/>
          <w:szCs w:val="18"/>
          <w:i w:val="1"/>
          <w:iCs w:val="1"/>
          <w:color w:val="auto"/>
        </w:rPr>
        <w:t xml:space="preserve"> </w:t>
      </w:r>
      <w:r>
        <w:rPr>
          <w:rFonts w:ascii="Arial" w:cs="Arial" w:eastAsia="Arial" w:hAnsi="Arial"/>
          <w:sz w:val="18"/>
          <w:szCs w:val="18"/>
          <w:color w:val="auto"/>
        </w:rPr>
        <w:t>dredging to support new terminals, harbors, channels and pipelines. Great Lakes has committed vessels to create new berths for liquid natural gas (“LNG”) terminals being developed to export abundant energy resources from the west coast of Australia. Great Lakes is also dredging harbors for petroleum export facilities in Brazil. Future global energy demand will necessitate improvements in the infrastructure base around sources of rich resources and countries that import global energy.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hanging="325"/>
        <w:spacing w:after="0" w:line="31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Middle East market. </w:t>
      </w:r>
      <w:r>
        <w:rPr>
          <w:rFonts w:ascii="Arial" w:cs="Arial" w:eastAsia="Arial" w:hAnsi="Arial"/>
          <w:sz w:val="16"/>
          <w:szCs w:val="16"/>
          <w:color w:val="auto"/>
        </w:rPr>
        <w:t>Over the past ten years, the Middle East has been a strong market for dredging services. With the substantial income from oil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real estate development, these countries have been undergoing extensive infrastructure expansion. There continues to be demand for infrastructure development in the Middle East which presents opportunities suited to the Company’s equipment in the region.</w:t>
      </w:r>
    </w:p>
    <w:p>
      <w:pPr>
        <w:spacing w:after="0" w:line="52" w:lineRule="exact"/>
        <w:rPr>
          <w:rFonts w:ascii="Arial" w:cs="Arial" w:eastAsia="Arial" w:hAnsi="Arial"/>
          <w:sz w:val="16"/>
          <w:szCs w:val="16"/>
          <w:color w:val="auto"/>
        </w:rPr>
      </w:pPr>
    </w:p>
    <w:p>
      <w:pPr>
        <w:jc w:val="both"/>
        <w:ind w:left="900" w:right="300" w:hanging="325"/>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Australia and Southeast Asia. </w:t>
      </w:r>
      <w:r>
        <w:rPr>
          <w:rFonts w:ascii="Arial" w:cs="Arial" w:eastAsia="Arial" w:hAnsi="Arial"/>
          <w:sz w:val="17"/>
          <w:szCs w:val="17"/>
          <w:color w:val="auto"/>
        </w:rPr>
        <w:t>Port traffic continues to surge in the developing markets throughout Southeast Asia and the Southwest Pacific.</w:t>
      </w:r>
      <w:r>
        <w:rPr>
          <w:rFonts w:ascii="Arial" w:cs="Arial" w:eastAsia="Arial" w:hAnsi="Arial"/>
          <w:sz w:val="17"/>
          <w:szCs w:val="17"/>
          <w:i w:val="1"/>
          <w:iCs w:val="1"/>
          <w:color w:val="auto"/>
        </w:rPr>
        <w:t xml:space="preserve"> </w:t>
      </w:r>
      <w:r>
        <w:rPr>
          <w:rFonts w:ascii="Arial" w:cs="Arial" w:eastAsia="Arial" w:hAnsi="Arial"/>
          <w:sz w:val="17"/>
          <w:szCs w:val="17"/>
          <w:color w:val="auto"/>
        </w:rPr>
        <w:t>Advances in economic output in conjunction with growing populations and greater prosperity are driving increased shipping needs. With this growth in marine traffic comes a need for additional port capacity and infrastructure improvement. Great Lakes is investing resources in these markets and expects to see an increased demand for the Company’s dredging services.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&amp; Remediation Operations (approximately 13% of 2013 total revenues)</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environmental &amp; remediation segment provides soil, water and sediment environmental remediation for the municipal and private party markets. Remediation involves the retrieval and removal of contamination from an environment through the use of separation techniques or disposal based on the quantity and severity of the contamination. The Company had historically provided certain environmental remediation in conjunction with its discontinued demolition business and added additional skillsets through its acquisition of Terra in 2012. Besides environmental remediation, the environmental &amp; remediation segment performs industrial cleaning, abatement services and hazardous waste removal. Additionally, the historical demolition and site preparation businesses are a reporting unit of the environmental &amp; remediation segment, but are classified as discontinued and are currently held for sale.</w:t>
      </w:r>
    </w:p>
    <w:p>
      <w:pPr>
        <w:spacing w:after="0" w:line="16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TerraSea Environmental Solutions. </w:t>
      </w:r>
      <w:r>
        <w:rPr>
          <w:rFonts w:ascii="Arial" w:cs="Arial" w:eastAsia="Arial" w:hAnsi="Arial"/>
          <w:sz w:val="17"/>
          <w:szCs w:val="17"/>
          <w:color w:val="auto"/>
        </w:rPr>
        <w:t>The Company and a European based remediation company each own 50% of TerraSea Environmental Solutions, a</w:t>
      </w:r>
      <w:r>
        <w:rPr>
          <w:rFonts w:ascii="Arial" w:cs="Arial" w:eastAsia="Arial" w:hAnsi="Arial"/>
          <w:sz w:val="17"/>
          <w:szCs w:val="17"/>
          <w:i w:val="1"/>
          <w:iCs w:val="1"/>
          <w:color w:val="auto"/>
        </w:rPr>
        <w:t xml:space="preserve"> </w:t>
      </w:r>
      <w:r>
        <w:rPr>
          <w:rFonts w:ascii="Arial" w:cs="Arial" w:eastAsia="Arial" w:hAnsi="Arial"/>
          <w:sz w:val="17"/>
          <w:szCs w:val="17"/>
          <w:color w:val="auto"/>
        </w:rPr>
        <w:t>remediation business. TerraSea provides water and land based environmental services in the area of clean up and remediation of sediments, soil and groundwater for both marine and land based projects. The joint venture was established to capitalize on the expertise of the two equal partners for projects in the United States offering optimally engineered global solutions for environmental cleanup needs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 Demand Drivers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the following factors are important drivers of the demand for its environmental &amp; remediation services:</w:t>
      </w:r>
    </w:p>
    <w:p>
      <w:pPr>
        <w:spacing w:after="0" w:line="131" w:lineRule="exact"/>
        <w:rPr>
          <w:sz w:val="20"/>
          <w:szCs w:val="20"/>
          <w:color w:val="auto"/>
        </w:rPr>
      </w:pPr>
    </w:p>
    <w:p>
      <w:pPr>
        <w:ind w:left="900" w:right="220" w:hanging="325"/>
        <w:spacing w:after="0" w:line="30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Increasing requirements for environmental services. </w:t>
      </w:r>
      <w:r>
        <w:rPr>
          <w:rFonts w:ascii="Arial" w:cs="Arial" w:eastAsia="Arial" w:hAnsi="Arial"/>
          <w:sz w:val="16"/>
          <w:szCs w:val="16"/>
          <w:color w:val="auto"/>
        </w:rPr>
        <w:t>Both the dredging and environmental &amp; remediation businesses have experienced requests</w:t>
      </w:r>
      <w:r>
        <w:rPr>
          <w:rFonts w:ascii="Arial" w:cs="Arial" w:eastAsia="Arial" w:hAnsi="Arial"/>
          <w:sz w:val="16"/>
          <w:szCs w:val="16"/>
          <w:i w:val="1"/>
          <w:iCs w:val="1"/>
          <w:color w:val="auto"/>
        </w:rPr>
        <w:t xml:space="preserve"> </w:t>
      </w:r>
      <w:r>
        <w:rPr>
          <w:rFonts w:ascii="Arial" w:cs="Arial" w:eastAsia="Arial" w:hAnsi="Arial"/>
          <w:sz w:val="16"/>
          <w:szCs w:val="16"/>
          <w:color w:val="auto"/>
        </w:rPr>
        <w:t>for handling contaminated sediments and soils at project sites. The Environmental Protection Agency and several state agencies began to recognize the environmental hazards posed by stored industrial byproducts near waterways. The release of regulated pollutants into major waterways, inland lakes, landfills and public lands require the use of environmental remediation to remove the contaminated sediment.</w:t>
      </w:r>
    </w:p>
    <w:p>
      <w:pPr>
        <w:spacing w:after="0" w:line="59" w:lineRule="exact"/>
        <w:rPr>
          <w:rFonts w:ascii="Arial" w:cs="Arial" w:eastAsia="Arial" w:hAnsi="Arial"/>
          <w:sz w:val="16"/>
          <w:szCs w:val="16"/>
          <w:color w:val="auto"/>
        </w:rPr>
      </w:pPr>
    </w:p>
    <w:p>
      <w:pPr>
        <w:ind w:left="900" w:right="20" w:hanging="325"/>
        <w:spacing w:after="0" w:line="28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Government mandated remediation. </w:t>
      </w:r>
      <w:r>
        <w:rPr>
          <w:rFonts w:ascii="Arial" w:cs="Arial" w:eastAsia="Arial" w:hAnsi="Arial"/>
          <w:sz w:val="17"/>
          <w:szCs w:val="17"/>
          <w:color w:val="auto"/>
        </w:rPr>
        <w:t>The Environmental Protection Agency mandates remediation initiatives that are paid for partially or in whole</w:t>
      </w:r>
      <w:r>
        <w:rPr>
          <w:rFonts w:ascii="Arial" w:cs="Arial" w:eastAsia="Arial" w:hAnsi="Arial"/>
          <w:sz w:val="17"/>
          <w:szCs w:val="17"/>
          <w:i w:val="1"/>
          <w:iCs w:val="1"/>
          <w:color w:val="auto"/>
        </w:rPr>
        <w:t xml:space="preserve"> </w:t>
      </w:r>
      <w:r>
        <w:rPr>
          <w:rFonts w:ascii="Arial" w:cs="Arial" w:eastAsia="Arial" w:hAnsi="Arial"/>
          <w:sz w:val="17"/>
          <w:szCs w:val="17"/>
          <w:color w:val="auto"/>
        </w:rPr>
        <w:t>by responsible parties. The capability to provide the environmental clean-up of not only the waterway, but also the processing of the contaminated sediment or any contaminated soil from other brownfield sites provides a targeted growth opportunity for Great Lakes.</w:t>
      </w:r>
    </w:p>
    <w:p>
      <w:pPr>
        <w:spacing w:after="0" w:line="16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additional details regarding Dredging Operations and Environmental &amp; Remediation Operations, including financial information regarding our international and United States revenues and long-lived assets, see Item 7. “Management’s Discussion and Analysis of Financial Condition and Results of Operations,” and Item 8. “Financial Statements and Supplementary Data” in this Annual Report on Form 10-K, including Footnote 15 to the Company’s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dredging industry’s customers include federal, state and local governments, foreign governments and both domestic and foreign private concerns, such as utilities, oil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2013, approximately 51% of the Company’s dredging revenues were generated from approximately 53 different contracts with federal agencies or third parties operating under contracts with federal agencies.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Environmental &amp; remediation customers include general contractors, corporations, Superfund potentially responsible parties, environmental engineering and construction firms that commission projects and local government and municipal agencies. This segment benefits from key relationships with certain customers in the general contracting and environmental engineering industries. In 2013, one of the environmental &amp; remediation segment’s customers was responsible for approximately 55% of the environmental &amp; remediation segment’s annual revenues; however, the loss of this customer would not have a material adverse effect on Great Lakes as a whole.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Most of the Company’s dredging contracts are obtained through competitive bidding on terms specified by the party inviting the bid. The types of equipment required to perform the specified service and the estimated project duration affect the cost of performing the contract and the price that dredging contractors will bid.</w:t>
      </w:r>
    </w:p>
    <w:p>
      <w:pPr>
        <w:spacing w:after="0" w:line="18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dredging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and skill.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majority of the environmental &amp; remediation segment’s projects are obtained through competitive bidding. When the environmental &amp; remediation segment bids on a project, it evaluates the contract specifications and develops a cost estimate to which it adds an acceptable margin. While there are numerous competitors in the environmental &amp; remediation services market, the Company benefits from its size, relationships and reputation. Therefore, there are occasions where the Company is not the lowest bidder on a contract, but is still awarded the project based on its reputation and qualifications.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Foreign Project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Great Lakes has an agreement with Zurich American Insurance Company (“Zurich”) under which the Company can obtain performance, bid and payment bonds. Great Lakes has never experienced difficulty in obtaining bonding for any of its projects; and Great Lakes has never failed to complete a marine project in its 123 year history. For most foreign dredging projects, letters of credit or bank guarantees issued by foreign banks are required as security for the bid, performance and, if applicable, advance payment guarantees. The Company obtains its letters of credit under the Credit Agreement (as defined below) or its separate facility which is supported by the Export-Import Bank of the United States (“Ex-Im Bank”) under Ex-Im Bank’s Working Capital Guarantee Program. Foreign bid guarantees are usually 2% to 5% of the service provider’s bid. Foreign performance and advance payment guarantees are each typically 5% to 10% of the contract value.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environmental &amp; remediation segment contracts with both private, non-government customers and governmental entities. In general, it is not required to secure bonding for projects with non-governmental customers but is required to secure bonding for projects with governmental entities.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Great Lakes and three other companies comprised approximately 72% of the Company’s defined bid market related to domestic capital, coastal protection and maintenance over the prior three years. The foregoing percentage excludes work in the rivers &amp; lakes market. Within the Company’s bid market, competition is determined primarily on the basis of price. In addition, the Foreign Dredge Act of 1906, or “Dredging Act,” and Section 27 of the Merchant Marine Act of 1920, or “Jones Act,” provide significant barriers to entry with respect to foreign competition. Together these two laws prohibit foreign-built, chartered or operated vessels from competing in the U.S. See “Business—Government Regulations” below.</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Great Lakes competes with several smaller competitors in the domestic rivers and lakes market. Competition is determined primarily based on the basis of geographic reach, project execution capability and price.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Competition in the international market is dominated by four large European dredging companies all of which operate larger equipment and fleets that are more extensive than the Company’s. In addition, there are several governmentally supported dredging companies that operate on a local or regional basis. The Company targets opportunities that are well suited to its equipment and where it can be most competitive. Most recently, the Company has focused on opportunities in the Middle East where the Company has cultivated close customer relationships and has pursued contracts compatible with the size of the Company’s vessels.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U.S. environmental &amp; remediation and related services industry is highly fragmented and is comprised mostly of small regional companies. The environmental &amp; remediation segment is able to perform both smaller and larger, more complex projects. The environmental &amp; remediation segment competes in the specialty contracting services industry primarily on the basis of its experience, reputation, equipment, key client relationships and price.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Hopper Dredges</w:t>
      </w:r>
      <w:r>
        <w:rPr>
          <w:rFonts w:ascii="Arial" w:cs="Arial" w:eastAsia="Arial" w:hAnsi="Arial"/>
          <w:sz w:val="18"/>
          <w:szCs w:val="18"/>
          <w:color w:val="auto"/>
        </w:rPr>
        <w:t>. Hopper dredges are typically self-propelled and have the general appearance of an ocean-going vessel. The dredge has hollow hulls,</w:t>
      </w:r>
      <w:r>
        <w:rPr>
          <w:rFonts w:ascii="Arial" w:cs="Arial" w:eastAsia="Arial" w:hAnsi="Arial"/>
          <w:sz w:val="18"/>
          <w:szCs w:val="18"/>
          <w:i w:val="1"/>
          <w:iCs w:val="1"/>
          <w:color w:val="auto"/>
        </w:rPr>
        <w:t xml:space="preserve"> </w:t>
      </w:r>
      <w:r>
        <w:rPr>
          <w:rFonts w:ascii="Arial" w:cs="Arial" w:eastAsia="Arial" w:hAnsi="Arial"/>
          <w:sz w:val="18"/>
          <w:szCs w:val="18"/>
          <w:color w:val="auto"/>
        </w:rPr>
        <w:t>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Hydraulic Dredges</w:t>
      </w:r>
      <w:r>
        <w:rPr>
          <w:rFonts w:ascii="Arial" w:cs="Arial" w:eastAsia="Arial" w:hAnsi="Arial"/>
          <w:sz w:val="16"/>
          <w:szCs w:val="16"/>
          <w:color w:val="auto"/>
        </w:rPr>
        <w:t>. Hydraulic dredges remove material using a revolving cutterhead which cuts and churns the sediment on the channel or ocean floor</w:t>
      </w:r>
      <w:r>
        <w:rPr>
          <w:rFonts w:ascii="Arial" w:cs="Arial" w:eastAsia="Arial" w:hAnsi="Arial"/>
          <w:sz w:val="16"/>
          <w:szCs w:val="16"/>
          <w:i w:val="1"/>
          <w:iCs w:val="1"/>
          <w:color w:val="auto"/>
        </w:rPr>
        <w:t xml:space="preserve"> </w:t>
      </w:r>
      <w:r>
        <w:rPr>
          <w:rFonts w:ascii="Arial" w:cs="Arial" w:eastAsia="Arial" w:hAnsi="Arial"/>
          <w:sz w:val="16"/>
          <w:szCs w:val="16"/>
          <w:color w:val="auto"/>
        </w:rPr>
        <w:t>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Great Lakes operates the only two large electric hydraulic dredges in the U.S., which makes the Company particularly competitive in markets with stringent emissions standards, such as California and Houston. Unlike hopper dredges, relocating hydraulic dredges and all their ancillary equipment requires specialized vessels and additional time and their operations can be impacted by ship traffic and rough waters. There is a wide distribution of hydraulic dredges from our smaller rivers &amp; lakes vessels that use pipe sizes ranging from 10” to 22” and operate at between 365 and 3,200 total horsepower, while the Company’s other hydraulic dredges use pipe sizes ranging from 18” to 36” and operate at between 1,900 and 20,300 total horsepower.</w:t>
      </w:r>
    </w:p>
    <w:p>
      <w:pPr>
        <w:spacing w:after="0" w:line="16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i w:val="1"/>
          <w:iCs w:val="1"/>
          <w:color w:val="auto"/>
        </w:rPr>
        <w:t>Mechanical Dredges</w:t>
      </w:r>
      <w:r>
        <w:rPr>
          <w:rFonts w:ascii="Arial" w:cs="Arial" w:eastAsia="Arial" w:hAnsi="Arial"/>
          <w:sz w:val="17"/>
          <w:szCs w:val="17"/>
          <w:color w:val="auto"/>
        </w:rPr>
        <w:t>. There are two basic types of mechanical dredges: clamshell and backhoe. In both types, the dredge uses a bucket to excavate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from the channel or ocean floor. The dredged material is placed by the bucket into material barges, or “scows,” for transport to the designated disposal area. The scows are emptied by bottom-dumping, direct pump-out or removal by a crane with a bucket. The Company purchased two new scows in 2013 and two additional in 2014 to support its operations. Mechanical dredges are capable of removing hard-packed sediments, blasted rock and debris and can work in tight areas such as along docks or terminals. Clamshell dredges with specialized buckets are ideally suited to handle material requiring environmentally controlled disposal. The Company has the largest fleet of material barges in the domestic industry, which provides cost advantages when dredged material is required to be disposed far offshore or when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material requires controlled disposal. Additionally, the Company owns an electric clamshell dredge which provides an advantage in those markets with stringent emissions standards.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 Great Lakes’ fleet also includes vessels currently positioned in the Middle East, Australia and Brazil. The Company currently estimates the replacement cost of its entire fleet to be in excess of $1.5 billion.</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 continually assesses its need to upgrade and expand its dredging fleet to take advantage of improving technology and to address the changing needs of the dredging market. The Company is also committed to preventive maintenance, which it believes is reflected in the long lives of most if its equipment and its low level of unscheduled downtime on jobs. To the extent that market conditions warrant the expenditures, Great Lakes can prolong the useful life of its vessels indefinitely. The Company has announced the construction of a dual mode articulated tug/barge trailing suction hopper dredge. The articulated tug and hopper dredge are expected to be delivered during the second half of 2016.</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the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environmental &amp; remediation segment owns and operates specialized remediation equipment, including a fleet of excavators equipped with shears, pulverizers, processors, grapples, and hydraulic hammers that provide high-capacity processing of construction and demolition debris for recycling, reclamation and disposal. The Company also owns and maintains a large number of skid-steer loaders, high pressure vacuum equipment trucks, heavy-duty large-capacity loaders, off-highway hauling units and a fleet of tractor-trailers for transporting equipment and materials to and from job sites. The Company rents additional equipment on a project-by-project basis, which allows the Company flexibility to adjust costs to the level of project activity.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Seasonality does not generally have a significant impact on the Company’s dredging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158"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The Company’s environmental &amp; remediation segment operates mainly in the Midwest and East Coast. Similar to the dredging segment, the environmental &amp; remediation segment’s projects are impacted by the freezing rivers and lakes during the winter.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ability to perform its contracts may depend on weather conditions. Inclement weather can delay the completion of a project, thereby causing the Company to incur additional costs. As part of bidding on fixed 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8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Accordingly, it is unlikely that future climate change will have a material adverse effect on the Company’s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During 2013, the Company employed an average of 456 full-time salaried personnel in the U.S., including those in a corporate function. In addition, the Company employs U.S. hourly personnel, most of whom are unionized, on a project-by-project basis. Crews are generally available for hire on relatively short notice. During 2013, the Company employed a daily average of 628 hourly personnel to meet domestic project requirements.</w:t>
      </w:r>
    </w:p>
    <w:p>
      <w:pPr>
        <w:spacing w:after="0" w:line="166"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At December 31, 2013, the Company employed approximately 18 expatriates, 23 foreign nationals and 92 local staff to manage and administer its Middle East operations. During 2013, the Company also employed a daily average of 223 hourly personnel to meet project requirements in the Middle East.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addition, the Company employed approximately 26 expatriates to manage and administer the operations of the Wheatstone LNG project in Western Australia at December 31, 2013. During 2013, the Company also employed a daily average of 38 local hourly personnel to meet requirements on the project in Australia.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At December 31, 2013, the environmental &amp; remediation segment employed approximately 139 full-time salaried administrative employees, in addition to an average of 334 hourly employees pursuant to four union agreements. The hourly employees are hired on a project-by-project basis and are generally available for hire on relatively short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121"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Safety of its employees is one of the highest priorities of Great Lakes. The Company promotes a safety culture committed to training, awareness and mutual responsibility for the wellbeing of workers. Accident prevention, safety and environmental protection have top priority in the Company’s business planning, in the overall conduct of its business, and in the operation and maintenance of our vessels and facilities.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Unions</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Company is a party to numerous collective bargaining agreements in the U.S. that govern its relationships with its unionized hourly workforce. However, three unions represent a large majority of our dredging employees—the International Union of Operating Engineers (“IUOE”), Local 25 and the Seafarers International Union. The Company’s contracts with IUOE, Local 25 and Seafarers International Union expire in 2015.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Company is subject to government regulations pursuant to the Dredging Act, the Jones Act, the Shipping Act, 1916, or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Company’s historical demolition business, for example, requires it to transport and dispose of hazardous substances and other wastes, such as asbestos. The Company takes steps to limit its potential liability by hiring qualified asbestos abatement subcontractors from time to time to remove such materials from our projects and some project contracts require the client to retain liability for hazardous waste generation.</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names and ages of all of the Company’s executive officers and the positions and offices presently held by them.</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Age</w:t>
            </w:r>
          </w:p>
        </w:tc>
        <w:tc>
          <w:tcPr>
            <w:tcW w:w="6840" w:type="dxa"/>
            <w:vAlign w:val="bottom"/>
          </w:tcPr>
          <w:p>
            <w:pPr>
              <w:ind w:left="31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W. Berger</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William S. Steckel</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President—Chief Financial Officer</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Kyle D. Johnson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David E. Simonelli</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President of Dredging Operations</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Maryann Waryjas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President—Chief Legal Officer and Corporate Secretary</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Jonathan W. Berger, Chief Executive Officer</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Mr. Berger was named Chief Executive Officer in September 2010. Mr. Berger was a Partner in KPMG’s Corporate Finance practice from 1991 through 1999 and was managing director and co-head of Corporate Finance for Navigant Consulting, Inc., a New York Stock Exchange-listed consulting firm, from 2001 to 2009. Mr. Berger was a Director and Chair of the Audit and Compensation Committees of Boise, Inc. He is a Certified Public Accountant and holds a Bachelor of Science from Cornell University and an M.B.A. from Emory University.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S. Steckel, Senior Vice President and Chief Financial Officer</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Mr. Steckel became Senior Vice President and Chief Financial Officer of Great Lakes in August 2012. From 2010 until joining Great Lakes, Mr. Steckel was the principal at WSS Strategic Advisors, a firm that provided financial, strategic and consulting services to various public and private companies. From 2008 to 2010, Mr. Steckel was with Daystar Technologies, Inc., a developer of technology for solar photovoltaic products, where he joined as CFO and Treasurer and progressed to become CEO, President and a member of the Board of Directors. From 2006 to 2008, he was with privately held Norwood Promotional Products, a supplier of custom imprinted products to the advertising and promotional products industry, where he served as Senior Vice President, CFO and Treasurer. Prior to 2006, Mr. Steckel served in senior financial and general management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roles with Invensys, St. Jude Medical and CTS Corporation. Mr. Steckel earned his Bachelor of Science in Accounting (Industrial Administration) at Iowa State University and his Master of Business Administration from Western Illinois University. He is also a Certified Public Accountant.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Kyle D. Johnson, Executive Vice President and Chief Operating Officer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Johnson was promoted to Executive Vice President and Chief Operating Officer in 2013. He had served the Company as a Senior Vice President of Operations from 2009. Previously, he held the position of Vice President and Chief Contract Manager since 2006. He joined the Company in 1983 as a Mechanical Engineer and has since held positions of increasing responsibility in domestic and international engineering and operations, including Area Engineer, Special Projects Manager and Manager of Production Engineering. Mr. Johnson was named Vice President in 2002. Mr. Johnson earned a Bachelor of Science degree in Engineering from Purdue University and a Master’s of Science degree in Construction Engineering &amp; Management from Stanford University.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E. Simonelli, President of Dredging Operations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Mr. Simonelli was named President of Dredging Operations in April 2010. Mr. Simonelli is responsible for the Operations Support Group which includes estimating, engineering, operations, plant and equipment and foreign operations. He was named a Vice President of the Company in 2002 and Special Projects Manager in 1996. He joined the Company in 1978 as a Field Engineer.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Maryann Waryjas, Senior Vice President, Chief Legal Officer and Corporate Secretary</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Ms. Waryjas was named Senior Vice President, Chief Legal Officer and Corporate Secretary in August 2012. From 2000 until joining Great Lakes, Ms. Waryjas was a partner at Katten Muchin Rosenman, LLP (“Katten”), where she most recently was co-chair of the firm’s Corporate Governance and Mergers and Acquisitions Practices. Ms. Waryjas served two consecutive terms on Katten’s Board of Directors. Prior to Katten, Ms. Waryjas was a partner at the Chicago offices of Jenner &amp; Block and Kirkland &amp; Ellis. She received her B.S. degree, magna cum laude, from Loyola University and her J.D. degree, cum laude, from Northwestern University School of Law.</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and results of operations. We have grouped our Risk Factors under captions that we believe describe various categories of potential risk. For the reader’s convenience, we have not duplicated risk factors that could be considered to be included in more than one category.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depend on our ability to continue to obtain federal government dredging and other contracts, and are therefore impacted by the amount of government funding for dredging and other projects. A reduction in government funding for dredging or other contracts, or government cancellation of such contracts, could materially adversely affect our business operations, revenues and profits.</w:t>
      </w:r>
    </w:p>
    <w:p>
      <w:pPr>
        <w:spacing w:after="0" w:line="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2013, 2012 and 2011 were as follows: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7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180" w:type="dxa"/>
            <w:vAlign w:val="bottom"/>
            <w:gridSpan w:val="2"/>
          </w:tcPr>
          <w:p>
            <w:pPr>
              <w:jc w:val="center"/>
              <w:ind w:left="422"/>
              <w:spacing w:after="0" w:line="142"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Pr>
          <w:p>
            <w:pPr>
              <w:spacing w:after="0"/>
              <w:rPr>
                <w:sz w:val="12"/>
                <w:szCs w:val="12"/>
                <w:color w:val="auto"/>
              </w:rPr>
            </w:pPr>
          </w:p>
        </w:tc>
        <w:tc>
          <w:tcPr>
            <w:tcW w:w="8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government dredging revenue (in US $1,000)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$329,185</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$405,434</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$289,120</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Percent of dredging revenue from federal government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69%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r>
    </w:tbl>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Amounts spent by the federal government on dredging and remediation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or remediation projects for any specified period.</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A significant reduction in government funding for dredging or remediation contracts, could materially adversely affect our business, operations, revenues and profits.</w:t>
      </w:r>
    </w:p>
    <w:p>
      <w:pPr>
        <w:spacing w:after="0" w:line="2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depend on our ability to qualify as an eligible bidder under government contract criteria and to compete successfully against other qualified bidders in order to obtain government dredging and other contracts. Our inability to qualify or to compete successfully for certain contracts could materially adversely affect our business operations, revenues and profits.</w:t>
      </w:r>
    </w:p>
    <w:p>
      <w:pPr>
        <w:spacing w:after="0" w:line="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U.S. government conducts a rigorous competitive process for awarding most contracts. Some contracts include multiple award task order contracts in which several contractors are selected as eligible bidders for future work. We will face strong competition and pricing pressures for any additional contract awards from the U.S. government, and we may be required to qualify or continue to qualify under various multiple award task order contract criteria. Our inability to qualify as an eligible bidder under government contract criteria could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232" w:lineRule="exact"/>
        <w:rPr>
          <w:sz w:val="20"/>
          <w:szCs w:val="20"/>
          <w:color w:val="auto"/>
        </w:rPr>
      </w:pPr>
    </w:p>
    <w:p>
      <w:pPr>
        <w:ind w:right="620"/>
        <w:spacing w:after="0" w:line="375" w:lineRule="auto"/>
        <w:rPr>
          <w:sz w:val="20"/>
          <w:szCs w:val="20"/>
          <w:color w:val="auto"/>
        </w:rPr>
      </w:pPr>
      <w:r>
        <w:rPr>
          <w:rFonts w:ascii="Arial" w:cs="Arial" w:eastAsia="Arial" w:hAnsi="Arial"/>
          <w:sz w:val="15"/>
          <w:szCs w:val="15"/>
          <w:b w:val="1"/>
          <w:bCs w:val="1"/>
          <w:i w:val="1"/>
          <w:iCs w:val="1"/>
          <w:color w:val="auto"/>
        </w:rPr>
        <w:t>The nature of our contracts, particularly those that are fixed-price, subjects us to risks associated with cost over-runs, operating cost inflation and potential claims for liquidated damages. If we are unable to accurately estimate our costs to complete our projects, our profitability could suffer.</w:t>
      </w:r>
    </w:p>
    <w:p>
      <w:pPr>
        <w:spacing w:after="0" w:line="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We conduct our business under various types of contracts where costs are estimated in advance of our performance. Most dredging contracts are fixed-price contracts where the customer pays a fixed price per unit (e.g., cubic yard) of material dredged. In addition, most of our demolition and remediation contracts carry similar risks to our fixed-price dredging contracts. Fixed-price contracts carry inherent risks, including risks of losses from underestimating costs, operational difficulties, and other changes that sometimes occur over the contract period. If our estimates prove inaccurate, if there are errors or ambiguities as to contract specifications, or if circumstances change due to, among other things, unanticipated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Additionally, we may be required to pay liquidated damages upon our failure to meet schedule or performance requirements of our contracts. Our failure to accurately estimate the resources and time required for fixed-price contracts or our failure to perform our contractual obligations within the expected time frame and costs could result in reduced profits or, in certain cases, a loss for that contract. If we were to significantly underestimate the costs on one or more significant contracts, the resulting losses could have a material adverse effect on our business, operating results, cash flows or financial condition.</w:t>
      </w:r>
    </w:p>
    <w:p>
      <w:pPr>
        <w:spacing w:after="0" w:line="2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results of operations depend on the award of new contracts and the timing of the performance of these contracts. As a result, our quarterly operating results may vary significantly.</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contract awards and the commencement or progress of work under awarded contracts;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or hazardous weather conditions that may result in underestimated delays in dredging, demolition or remediation and additional contract expenses;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planned and unplanned equipment downtime;</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recognize revenue from pending change orders, which is not recognized until the recovery is probable and collectability is reasonably assured;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equipment mobilization to and from projects.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be negatively impacted. See Item 7. “Management’s Discussion and Analysis of Financial Condition and Results of Operations—Primary Factors that Determine Operating Profitability.”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government contracting regulations, our revenue could suffer, and we could be subject to significant potential liabilities.</w:t>
      </w:r>
    </w:p>
    <w:p>
      <w:pPr>
        <w:spacing w:after="0" w:line="14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contracts with federal, state and local governmental customers are subject to various procurement regulations and contract provisions. These regulations also subject us to examinations by government auditors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addition, we may be subject to litigation brought by private individuals on behalf of the government relating to our government contracts, referred to in this annual report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could include claims for up to treble damages.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been filed against us and that we are not aware of such actions or have been ordered by the court not to discuss them until the seal is lifted. Thus, it is possible that we are subject to liability exposure arising out of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international dredging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from foreign contracts and its percentage to total dredging revenue for the years ended December 31, 2013, 2012 and 2011 were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2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revenue (in US $1,000)</w:t>
            </w:r>
          </w:p>
        </w:tc>
        <w:tc>
          <w:tcPr>
            <w:tcW w:w="1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$138,436</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$112,242</w:t>
            </w:r>
          </w:p>
        </w:tc>
        <w:tc>
          <w:tcPr>
            <w:tcW w:w="7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$77,232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 of dredging revenue from foreign countries</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international dredging market is highly competitive and competition in the international market is dominated by four large European dredging companies all of which operate larger equipment and fleets that are more extensive than the Company’s. In addition, there are several governmentally supported dredging companies that operate on a local or regional basis. Competing for international dredging projects requires a substantial investment of resources, skilled personnel and capital investment in equipment and technology, and may adversely affect our ability to deploy resources for domestic dredging projects.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operations subject us to additional potential risks, including:</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concerning import and export license requirements, tariffs and other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as a result of fluctuations in the price of oil, the primary export in the Middle East;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repatriating foreign profits back to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contractual rights and agreements through certain foreign legal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requirements of, and changes in, foreign laws, policies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without additional expense;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taxation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logistical and communication challenges;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effectively insure against political, cultural and economic uncertainties, including acts of terrorism, civil unrest, war or other armed conflict.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our international operations are subject to U.S. and other laws and regulations regarding operations in foreign jurisdictions. These numerous and sometimes conflicting laws and regulations include anti-boycott laws, anti-competition laws, anti-corruption laws, tax laws, immigration laws, privacy laws and accounting requirements. There is a risk that some provisions may be breached, for example through inadvertence or mistake, fraudulent or negligent behavior of individual employees,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and could have a material adverse effect on our business, results of operations or financial condition. In addition, military action or continued unrest in the Middle East could affect the safety of our personnel in the region and significantly increase the costs of, or disrupt our operations in, the region and could have a material adverse effect on our business, operating results, cash flows or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international revenue is earned from large, single customer contracts.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earns significant revenue from governmental entities in the Middle East. Revenue from foreign projects has been concentrated in Bahrain and primarily with the government of Bahrain which comprised 15%, 71% and 61% of our foreign dredging revenues in 2013, 2012 and 2011, respectively. In 2013, a large, single customer contract was signed in Qatar with a local government entity. This contract represented 34% of the Company’s 2013 foreign dredging revenue from all sources. The Company continues to maintain significant equipment in the Middle East region and continues to pursue additional contracts in the region.</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Certain factors have occurred suggesting that future revenues from projects with governments in the Middle East could decrease. The contraction in the Middle East real estate market has slowed the rate of the region’s infrastructure development. If our commercial relationship with Bahrain or Qatar is terminated, the Company’s international revenues would be materially and adversely impacted. If the government of Bahrain or Qatar further curtails its infrastructure investment or diversifies its use of dredging vendors, our revenue from these customers could decline further.</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Bahrain continues to experience civil unrest and political protests that could result in governmental instability. In response thereto, the government of Bahrain may institute measures, such as a national curfew, that may impact our ability to execute on projects in Bahrain. It is uncertain whether civil unrest will continue, whether the current protests and other activities may lead to any meaningful government changes, and what restrictions, if any, the Bahrain government may establish. In addition, such events may affect the Bahrain government’s plans for infrastructure investment. If the government changes or significant restrictions are established, our Bahrain dredging operations, including the value of our assets related to such operations, may be adversely affected.</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Middle East governments have national dredging companies or have significant history with competitive dredging vendors other than the Company. The Company could lose future contracts for work in the Middle East to these competitors or could be forced to accept lower margins on contracts in order to utilize the equipment that is in the Middle East. In addition, the Company may be forced to shrink the workforce in place or relocate dredging assets from this region in reaction to lower contract earnings. Lower utilization, workforce reductions or asset relocations could have a material adverse effect on our business, operating results, cash flows or financial condition.</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earns significant revenue from a large, single customer foreign contract. The contract is with another dredging company and is subject to terms that limit our ability to control the operations affecting the profitability of the Company’s contract. The expected revenue and profit on this contract is subject to material changes based upon the actual time and costs incurred to perform the work and the realization of contract incentives which may be outside the Company’s control. Changes in the estimated profitability of this contract may have a material effect on the Company’s operating results, cash flows or financial condition until the project is completed, which is expected in 2015.</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the percentage-of-completion method of accounting could result in a change in previously recorded revenue and profit.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recognize contract revenue using the percentage-of-completion method. The majority of our work is performed on a fixed-price basis. Contract revenue is accrued based on engineering estimates for the physical percent complete for dredging and estimates of remaining costs to complete for environmental &amp; remediation. We use generally accepted accounting principles in the United States relating to the percentage-of-completion method, estimating costs, revenue recognition, combining and segmenting contracts and change order/claim recognition. Percentage-of-completion accounting relies on the use of estimates in the process of determining income earned.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275"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We reported a material weakness in our internal control over financial reporting in the fiscal year ending December 2012. Future lapses in disclosure controls and procedures or internal control over financial reporting could materially and adversely affect our operations, profitability or reputation.</w:t>
      </w:r>
    </w:p>
    <w:p>
      <w:pPr>
        <w:spacing w:after="0" w:line="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connection with management’s assessment of our internal control over financial reporting in the fiscal year ended December 2012 and interim quarterly periods in that fiscal year, we identified a material weakness in our internal control over financial reporting and also restated our financial results for the second and third quarters of 2012. We believe we have taken the steps necessary to remediate the material weakness and the controls implemented to remediate the material weakness were determined to be operating effectively as of December 31, 2013.</w:t>
      </w:r>
    </w:p>
    <w:p>
      <w:pPr>
        <w:spacing w:after="0" w:line="17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There can be no assurance that our disclosure controls and procedures will be effective in the future or that a material weakness or significant deficiency in internal control over financial reporting could not occur. Any such lapses or deficiencies may materially and adversely affect our business, operating results, cash flows or financial condition, restrict our ability to access the capital markets, require us to expend significant resources to correct the lapses or deficiencies, expose us to regulatory or legal proceedings, including litigation brought by private individuals, subject us to fines, penalties or judgments, harm our reputation, or otherwise cause a decline in investor confidence and our stock price.</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 we have incurred significant costs in connection with the announcement of the restatement and our remediation efforts. These costs include additional professional fees related to the remediation of the material weakness as well as ongoing costs related to litigation arising from the restatement. See Note 12 to our Consolidated Financial Statements for additional information regarding this litigation. There can be no assurances that we will not have to incur additional significant costs in connection with these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is subject to change and not necessarily indicative of future revenues.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contract backlog represents our estimate of the revenues that we will realize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and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7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Because of these factors, as well as factors affecting the time required to complete each job, backlog is not necessarily indicative of future revenues or profitability. In addition, a significant amount of our dredging backlog (75% in 2013) relates to federal government contracts, which can be canceled at any time without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penalty to the government, subject, in most cases, to our contractual right to recover our actual committed costs and profit on work performed up to the date of cancellation.</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Below is our dredging backlog from federal government contracts as of December 31, 2013, 2012, and 2011 and the percentage of those contracts to total backlog as of the same date.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7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2"/>
                <w:szCs w:val="12"/>
                <w:color w:val="auto"/>
              </w:rPr>
            </w:pPr>
          </w:p>
        </w:tc>
        <w:tc>
          <w:tcPr>
            <w:tcW w:w="7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government dredging backlog (in US $1,000)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$385,141</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$85,675</w:t>
            </w: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$234,830</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Percentage of dredging backlog from federal government</w:t>
            </w:r>
          </w:p>
        </w:tc>
        <w:tc>
          <w:tcPr>
            <w:tcW w:w="1320" w:type="dxa"/>
            <w:vAlign w:val="bottom"/>
            <w:gridSpan w:val="2"/>
          </w:tcPr>
          <w:p>
            <w:pPr>
              <w:jc w:val="right"/>
              <w:ind w:right="408"/>
              <w:spacing w:after="0"/>
              <w:rPr>
                <w:sz w:val="20"/>
                <w:szCs w:val="20"/>
                <w:color w:val="auto"/>
              </w:rPr>
            </w:pPr>
            <w:r>
              <w:rPr>
                <w:rFonts w:ascii="Arial" w:cs="Arial" w:eastAsia="Arial" w:hAnsi="Arial"/>
                <w:sz w:val="18"/>
                <w:szCs w:val="18"/>
                <w:color w:val="auto"/>
              </w:rPr>
              <w:t>75%</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r>
    </w:tbl>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as of December 31, 2013, 17% of our total backlog relates to a single customer in an international market. Our contract with this customer has certain contractual rights that, if invoked, limit our scope in the project.</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termination, modification or suspension of projects currently in backlog could have a material adverse effect on our financial condition, business, operations and profits.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the Jones Act provisions on coastwise trade, or if those provisions were modified or repealed.</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contracts, our ability to obtain future contracts will be limited, thereby adversely affecting our business, operating results, cash flows or financial condition.</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are generally required to post bonds in connection with our domestic dredging, remediation or demolition contracts and bonds or letters of credit with our foreign dredging contracts to ensure job completion if we ever fail to finish a project. We have entered into a bonding agreement with Zurich, pursuant to which Zurich acts as surety, issues bid bonds, performance bonds and payment bonds, and provides guarantees required by us in the day-to-day operations of our dredging business. However, under certain circumstances as specified in the agreement, Zurich is not obligated under the bonding agreement to issue future bonds for us. Historically, we have had a strong bonding capacity, but surety companies issue bonds on a project-by-project basis and can decline to issue bonds at any time or require the posting of collateral as a condition to issuing any bonds. In addition to our bonds outstanding with Zurich, we also have surety bonds outstanding with Travelers Casualty and Surety Company of America. With respect to our foreign dredging business, we generally obtain letters of credit under our senior credit facility and a separate facility which is supported by Ex-Im under Ex-Im’s Working Capital Guarantee Program. However, the amount of letters of credit under these facilities is limited. In addition, access to our senior credit facility and the Ex-Im facility may be limited by failure to meet certain financial requirements or other defined requirements. If we are unable to obtain bonds or letters of credit on terms reasonably acceptable to us, our ability to take on future work would be severely limited.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Capital expenditures and other costs necessary to operate and maintain our vessels tend to increase with the age of the vessel and may also increase due to changes in governmental regulations, safety or other equipment standards, which could result in a decrease in our profits.</w:t>
      </w:r>
    </w:p>
    <w:p>
      <w:pPr>
        <w:spacing w:after="0" w:line="1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average age of our more significant vessels as of December 31, 2013, by equipment type,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3"/>
              </w:rPr>
              <w:t>Type of Equipment</w:t>
            </w:r>
          </w:p>
        </w:tc>
        <w:tc>
          <w:tcPr>
            <w:tcW w:w="3140" w:type="dxa"/>
            <w:vAlign w:val="bottom"/>
            <w:vMerge w:val="restart"/>
          </w:tcPr>
          <w:p>
            <w:pPr>
              <w:spacing w:after="0"/>
              <w:rPr>
                <w:sz w:val="12"/>
                <w:szCs w:val="12"/>
                <w:color w:val="auto"/>
              </w:rPr>
            </w:pPr>
          </w:p>
        </w:tc>
        <w:tc>
          <w:tcPr>
            <w:tcW w:w="3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Quantity</w:t>
            </w:r>
          </w:p>
        </w:tc>
        <w:tc>
          <w:tcPr>
            <w:tcW w:w="760" w:type="dxa"/>
            <w:vAlign w:val="bottom"/>
          </w:tcPr>
          <w:p>
            <w:pPr>
              <w:spacing w:after="0"/>
              <w:rPr>
                <w:sz w:val="12"/>
                <w:szCs w:val="12"/>
                <w:color w:val="auto"/>
              </w:rPr>
            </w:pPr>
          </w:p>
        </w:tc>
        <w:tc>
          <w:tcPr>
            <w:tcW w:w="58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Age in</w:t>
            </w:r>
          </w:p>
        </w:tc>
        <w:tc>
          <w:tcPr>
            <w:tcW w:w="0" w:type="dxa"/>
            <w:vAlign w:val="bottom"/>
          </w:tcPr>
          <w:p>
            <w:pPr>
              <w:spacing w:after="0"/>
              <w:rPr>
                <w:sz w:val="1"/>
                <w:szCs w:val="1"/>
                <w:color w:val="auto"/>
              </w:rPr>
            </w:pPr>
          </w:p>
        </w:tc>
      </w:tr>
      <w:tr>
        <w:trPr>
          <w:trHeight w:val="171"/>
        </w:trPr>
        <w:tc>
          <w:tcPr>
            <w:tcW w:w="120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4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Hydraulic Dredges</w:t>
            </w:r>
          </w:p>
        </w:tc>
        <w:tc>
          <w:tcPr>
            <w:tcW w:w="24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60" w:type="dxa"/>
            <w:vAlign w:val="bottom"/>
            <w:vMerge w:val="continue"/>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Hopper Dredges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Mechanical Dredges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Unloaders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Drillboats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Material and Other Barges</w:t>
            </w:r>
          </w:p>
        </w:tc>
        <w:tc>
          <w:tcPr>
            <w:tcW w:w="2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60" w:type="dxa"/>
            <w:vAlign w:val="bottom"/>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Remaining economic life has not been presented because it is not reasonably quantifiable because, to the extent that market conditions warrant the expenditures, we can prolong the vessels’ lives indefinitely. We operate in an industry where a significant portion of competitors’ equipment is of a similar age. It is common in the dredging industry to make maintenance and capital expenditures in order to extend the economic life of equipment.</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additional expenditures. For example, if the U.S. Coast Guard enacts new standards, we may be required to incur expenditures for alterations or the addition of new equipment (e.g. more fuel efficient engines). Other new standard requirements could be significant. In order to satisfy any such requirement, we may need to take our vessels out of service for extended periods of time, with corresponding losses of revenues.</w:t>
      </w:r>
    </w:p>
    <w:p>
      <w:pPr>
        <w:spacing w:after="0" w:line="2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experience equipment or mechanical failures, which could increase costs, reduce revenues and result in penalties for failure to meet project completion requirements.</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successful performance of contracts requires a high degree of reliability of our vessels, barges and equipment. The average age of our fleet as of December 31, 2013 was 35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liabilities and/or damage to our reputation as a result of some of legal and regulatory proceedings.</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From time to time, we are subject to legal and regulatory proceedings in the ordinary course of our business. These include proceedings relating to aspects of our businesses that are specific to us and proceedings that are typical in the businesses in which we operate. We are currently a defendant in a number of litigation matters, including those described in Item 3. “Legal Proceedings” of this Annual Report on Form 10-K. In certain of these matters, the plaintiffs are seeking large and/or indeterminate amounts of damages. These matters are subject to many uncertainties, and it is possible that some of these matters could ultimately be decided, resolved or settled adversely to the Company. An adverse outcome in a legal or regulatory matter could, depending on the facts, have an adverse effect on our business, operating results, cash flows or financial condition.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In addition to its potential financial impact, legal and regulatory matters can have a significant adverse reputational impact. Allegations of improper conduct made by private litigants or regulators, whether the ultimate outcome is favorable or unfavorable to us, as well as negative publicity and press speculation about us, whether valid or not, may harm our reputation, which may be damaging to our business, results of operations and profits.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liable for the obligations of our joint ventures, partners and subcontractors.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In these projects, even if we satisfactorily complete our project responsibilities within budget, we may incur additional unforeseen costs due to the failure of the other party or parties to the arrangement to perform or complete work in accordance with contract specifications. In some joint ventures and similar arrangements, we may not be the controlling partner. In these cases, we may have limited control over the actions of the joint venture. In addition, these joint ventures or arrangements may not be subject to the same requirements regarding internal controls and internal control over financial reporting that we follow. To the extent the controlling partner makes decisions that negatively impact the joint venture or arrangement or internal control problems arise within the joint venture or arrangement, it could have a material adverse impact on our business, operating results, cash flows or financial condition.</w:t>
      </w:r>
    </w:p>
    <w:p>
      <w:pPr>
        <w:spacing w:after="0" w:line="182"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the risk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current business strategy includes the construction of new vessels. There are substantial uncertainties associated with such construction, including the possibility of unforeseen delays and cost overruns.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previously disclosed our plans to build new vessels, including a new hopper dredge. Our future revenues and profitability will be impacted to some extent by our ability to complete the construction of new vessels, secure financing for them and bring them into service.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substantially increase the cost of such construction beyond what we currently expect such costs to be.</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Specifically, with regard to our new hopper dredge, we have previously disclosed that we have terminated our contract with the shipyard originally hired for this construction and entered into a contract with a new shipyard at a significantly higher cost. We cannot predict whether and to what extent there may be additional costs associated with building this dredge or further delays in its completion.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Our current business strategy includes acquisitions which present certain risks and uncertainties. There are integration and consolidation risks associated with our acquisitions. Future acquisitions may result in significant transaction expenses, unexpected liabilities and risks associated with entering new markets, and we may be unable to profitably operate these businesses.</w:t>
      </w:r>
    </w:p>
    <w:p>
      <w:pPr>
        <w:spacing w:after="0" w:line="5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seek business acquisition activities as a means of broadening our offerings and capturing additional market opportunities by our business units. We may be exposed to certain additional risks resulting from these activities. Future acquisitions may expose us to operational challenges and risks, including:</w:t>
      </w:r>
    </w:p>
    <w:p>
      <w:pPr>
        <w:spacing w:after="0" w:line="2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valuation methodologies which may not accurately capture the value proposition;</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to integrate acquired businesses into our operations with the efficiency and effectiveness initially expected resulting in a potentially significant detriment to the associated business line’s financial results and our operations as a whole;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management of the growth resulting from acquisition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capitalized on expected synergies;</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liabilities of an acquired business (for example, litigation, tax liabilities, environmental liabilities); including liabilities that were contingent or unknown at the time of the acquisition that pose future risks to our working capital needs, cash flows and the profitability of related operations;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assumption of unprofitable projects that pose future risks to our working capital needs, cash flows and the profitability of related operations;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associated with entering new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retain key personnel, customers or contracts of any acquired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adverse effects on our ability to comply with covenants in our existing debt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impairment of acquired intangible assets;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debt financing, which may not be available on attractive terms.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business strategy includes the divestiture of our demolition business, which presents certain risks and uncertainties.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February 25, 2014 the Company announced that, during the fourth quarter, the management team proposed, and the board of directors approved, a plan to sell our historical demolition business. The pursuit of the sale of this business raises some of the same risks associated with pursuing acquisitions, including diversion of management’s attention from other business concerns; failure to achieve financial or operating objectives; potential loss of customers or key employees; and volatility in the Company’s stock price. We cannot predict whether and to what extent we will be successful in effecting a divestiture of our demolition business. Following divestiture, there may be ongoing costs and expenses related to the discontinued operations for certain retained liabilities and asset recoveries. The divestiture of the historic demolition business could result in the Company becoming subject to significant withdrawal liability with respect to one or more multiemployer pension plans in which the subsidiaries in the historic demolition business participate. Some of the multiemployer plans in which we participate are reported to have significant underfunded liabilities. A future incurrence of withdrawal liability could have a material adverse impact on the ongoing costs and expenses related to the discontinued operations. Failure to divest the demolition business could have a material adverse impact on our business, operating results, cash flows or financial condition.</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industry, and more specifically, our operations, facilities and vessels, are subject to various environmental laws and regulations relating to, among other things: dredging operations; the disposal of dredged material; protection of wetlands; storm water and waste water discharges; demolition activities; asbestos removal; transportation and disposal of wastes and other regulated materials; air emissions; and remediation of contaminated soil, sediments, surface water and groundwater. We are also subject to laws designed to protect certain marine species and habitats. Compliance with these statutes and regulations can delay permitting and/or performance of particular projects and increase related project costs. These delays and increased costs could have a material adverse effect on our business, operating results, cash flows or financial condition. Non-compliance can also result in fines, penalties and claims by third parties seeking damages for alleged personal injury, as well as damages to property and natural resources.</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6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projects may involve demolition, excavation, remediation,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Our demolition business, for example, requires us to transport and dispose of hazardous substances and other wastes, such as asbestos.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7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Environmental requirements have generally become more stringent over time, for example in the areas of air emissions controls for vessels and ballast treatment and handling. New or stricter enforcement of existing laws, the discovery of currently unknown conditions or accidental discharges of regulated materials in the future could cause us to incur additional costs for environmental matters which might be significant.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party to numerous collective bargaining agreements in the U.S. that govern our industry’s relationships with our unionized hourly workforce. However, three unions represent approximately 55% of our dredging employees—the International Union of Operating Engineers (“IUOE”), Local 25 and the Seafarers International Union. The Company’s contracts with IUOE, Local 25 and the Seafarers International Union expire in September 2015.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employees are covered by federal laws that may provide seagoing employees remedies for job-related claims in addition to those provided by state laws.</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Substantially all of our seagoing employees are covered by provisions of the Jones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business is subject to significant operating risks and hazards that could result in damage or destruction to persons or property, which could result in losses or liabilities to us.</w:t>
      </w:r>
    </w:p>
    <w:p>
      <w:pPr>
        <w:spacing w:after="0" w:line="6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dredging, demolition and remediation businesses are generally subject to a number of risks and hazards, including environmental hazards, industrial accidents, encountering unusual or unexpected geological formations, cave-ins below water levels, collisions, disruption of transportation services and flooding. These risks could result in damage to, or destruction of, dredges, transportation vessels, other maritime structures and buildings, and could also result in personal injury, environmental damage, performance delays, monetary losses or legal liability to third parties. We may also be exposed to disruption of our operations and loss of use of our equipment that may materially adversely reduce our revenue and profits.</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safety record is an important consideration for our customers. If serious accidents or fatalities occur or our safety record was to deteriorate, we may be ineligible to bid on certain work, and existing service arrangements could be terminated. Adverse experience with hazards and claims could have a negative effect on our reputation with our existing or potential new customers and our prospects for future work.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operating results, profits or financial condition.</w:t>
      </w:r>
    </w:p>
    <w:p>
      <w:pPr>
        <w:spacing w:after="0" w:line="2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key personnel and skilled labor, our ability to bid for and successfully complete contracts may be negatively impacted.</w:t>
      </w:r>
    </w:p>
    <w:p>
      <w:pPr>
        <w:spacing w:after="0" w:line="62"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ability to attract and retain reliable, qualified personnel is a significant factor that enables us to successfully bid for and profitably complete our work. This includes members of our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not be able to maintain an adequate skilled labor force necessary to operate efficiently and to support our growth strategy. We have from time to time experienced, and may in the future experience, shortages of certain types of qualified equipment operating personnel. The supply of experienced engineers, project managers, field supervisors and other skilled workers may not be sufficient to meet current or expected demand. If we are unable to hire employees with the requisite skills, we may also be forced to incur significant training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expenses. The occurrence of any of the foregoing could have an adverse effect on our business, operating results, cash flows or financial condition.</w:t>
      </w:r>
    </w:p>
    <w:p>
      <w:pPr>
        <w:spacing w:after="0" w:line="3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systems to conduct our business and disruption, failure or security breaches of these systems could adversely affect our business and results of operations.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rely on information technology (IT) systems in order to achieve our business objectives.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 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 We are incurring costs associated with designing and implementing a new enterprise resource planning software system (ERP) with the objective of gradually migrating to the new system. Capital expenditures and expenses for the ERP for 2014 and beyond will depend upon the pace of conversion. If implementation is not executed successfully, this could result in business interruptions. If we do not complete the implementation of the ERP timely and successfully, we may incur additional costs associated with completing this project and a delay in our ability to improve existing operations, support future growth and enable us to take advantage of new engineering and other applications and technologies.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11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Increased concern about the potential impact of greenhouse gases (GHG), such as carbon dioxide resulting from combustion of fossil fuels, on climate change has resulted in efforts to regulate their emission. For example, there is a growing consensus that new and additional regulations concerning GHG emissions including “cap and trade” legislation may be enacted, which could result in increased compliance costs for us.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makes us more vulnerable to adverse economic and competitive conditions.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December 31, 2013, we had indebtedness of $285 million consisting of $250 million of senior subordinated notes and $35 million of borrowings on our revolving credit facility. Our debt could:</w:t>
      </w:r>
    </w:p>
    <w:p>
      <w:pPr>
        <w:spacing w:after="0" w:line="76" w:lineRule="exact"/>
        <w:rPr>
          <w:sz w:val="20"/>
          <w:szCs w:val="20"/>
          <w:color w:val="auto"/>
        </w:rPr>
      </w:pPr>
    </w:p>
    <w:p>
      <w:pPr>
        <w:ind w:left="900" w:right="2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affect our competitiveness compared to our less leveraged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In addition, we currently anticipate financing the construction and completed cost of our new hopper dredge under an operating lease or similar financing structure. If we are unable to secure that financing due to our current debt levels, credit ratings, size of the vessel cost and uncertainty of market conditions, it could have a material effect on the Company’s operating results, cash flows or financial condition in future periods.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meet liquidity needs, access to capital and cost of capital.</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In 2013, our credit rating was downgraded. As a result, we may have difficulty securing future funding, or funding may be on terms less favorable to us.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credit facility. 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adoption and implementation of new statutory and regulatory requirements for derivative transactions could have an adverse impact on our ability to hedge risks associated with our business.</w:t>
      </w:r>
    </w:p>
    <w:p>
      <w:pPr>
        <w:spacing w:after="0" w:line="6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(the “Financial Reform Act”) provides for new statutory and regulatory requirements for derivative transactions, including foreign currency and other over-the-counter derivative hedging transactions. Several rulemaking requirements in the Financial Reform Act have not promulgated into final rules and the Company could be negatively impacted by future rulemaking. The rules currently adopted from the Financial Reform Act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new regulation under the Financial Reform Act. The cost of our counterparties’ compliance will likely be passed on to customers such as ourselves, thus potentially decreasing the benefits to us of hedging transactions and potentially reducing our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exchange risks, and improper management of that risk could result in large cash losses.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exposed to market risk associated with changes in foreign currency exchange rates. The primary foreign currencies to which the Company has exposure are the Bahraini dinar, the Australian dollar and the Brazilian real.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The value of the Bahraini dinar has historically been pegged to the value of the U.S. dollar, which has effectively eliminated the foreign currency risk with respect to that currency. However, if the dinar were no longer to be so pegged, whether due to civil unrest in Bahrain or otherwise, the Company could become subject to additional, and substantial, foreign currency risk.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current uncertainty in the economic environment and other factors could lead to our goodwill and other intangible assets becoming impaired, which may require us to take significant non-cash charges against earnings.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cash flows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operating results, cash flows or financial condition. In the second quarter of 2013, the Company recorded an impairment charge at its demolition reporting unit of $21.5 million. See Item 7. “Management’s Discussion and Analysis of Financial Condition and Results of Operations—Critical Accounting Policies and Estimates.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made and may continue to make debt or equity investments in privately financed projects in which we could sustain significant losses.</w:t>
      </w:r>
    </w:p>
    <w:p>
      <w:pPr>
        <w:spacing w:after="0" w:line="14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have participated and may continue to participate in privately financed projects that enable state and local governments and other customers to finance dredging, demolition and remediation projects, such as dredging of local navigable waterways and lakes, coastal protection and environmental remediation projects. These projects typically include the facilitation of non-recourse financing and the provision of dredging, demolition, remediation and related services. We may incur contractually reimbursable costs and may extend debt financing and/or make an equity investment in an entity prior to, in connection with, or as part of project financing, and in some cases we may be the sole or primary source of the project financing.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which may not be under our control. As a result, we could sustain a loss of part or all of our equity investments in such projects.</w:t>
      </w:r>
    </w:p>
    <w:p>
      <w:pPr>
        <w:spacing w:after="0" w:line="37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Risks Related to our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he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you may consider favorable.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provisions of our certificate of incorporation and bylaws may deter, delay or prevent a third-party from acquiring us. These provisions include:</w:t>
      </w:r>
    </w:p>
    <w:p>
      <w:pPr>
        <w:spacing w:after="0" w:line="14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the ability of stockholders to amend our charter documents, including stockholder supermajority voting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stockholders may not receive dividends because of restrictions in our debt agreements, Delaware law and state regulatory requirements.</w:t>
      </w:r>
    </w:p>
    <w:p>
      <w:pPr>
        <w:spacing w:after="0" w:line="14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ability to pay dividends is restricted by the agreements governing our debt, including the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fluctuate significantly, and this may make it difficult for holders to resell our common stock when they want or at prices that they find attractive.</w:t>
      </w:r>
    </w:p>
    <w:p>
      <w:pPr>
        <w:spacing w:after="0" w:line="6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8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strategic developments, significant contracts, acquisitions and other material events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owns or leases the properties described below. The Company believes that its existing facilities are adequate for its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Company’s headquarters are located at 2122 York Road, Oak Brook, Illinois 60523, with approximately 64,275 square feet of office space that it leases with a term expiring in 2019. As of December 31, 2013 the Company owns or leases the following additional facilities: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Location</w:t>
            </w: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Type of</w:t>
            </w:r>
          </w:p>
        </w:tc>
        <w:tc>
          <w:tcPr>
            <w:tcW w:w="620" w:type="dxa"/>
            <w:vAlign w:val="bottom"/>
          </w:tcPr>
          <w:p>
            <w:pPr>
              <w:spacing w:after="0"/>
              <w:rPr>
                <w:sz w:val="14"/>
                <w:szCs w:val="1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Size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Leased or</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Facility</w:t>
            </w:r>
          </w:p>
        </w:tc>
        <w:tc>
          <w:tcPr>
            <w:tcW w:w="6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Staten Island, New York</w:t>
            </w:r>
          </w:p>
        </w:tc>
        <w:tc>
          <w:tcPr>
            <w:tcW w:w="3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Yard</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11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Acres</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Morgan City, Louisiana</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Yard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Norfolk, Virginia</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Yard</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Acres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Green Cove Springs, Florida</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Yard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Norfolk, Virginia</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Yard</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Acres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Chickasaw, AL</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Yard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Chesapeake, VA</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Storage</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Acres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Kingwood, Texas</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Office</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750</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Cape Girardeau, Missouri</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726</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Square feet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Cape Girardeau, Missouri</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Storage</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7,200</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Cape Girardeau, Missouri</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Yard</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Acres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Little Rock, Arkansas</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Yard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350"/>
        </w:trPr>
        <w:tc>
          <w:tcPr>
            <w:tcW w:w="3860" w:type="dxa"/>
            <w:vAlign w:val="bottom"/>
          </w:tcPr>
          <w:p>
            <w:pPr>
              <w:spacing w:after="0"/>
              <w:rPr>
                <w:sz w:val="24"/>
                <w:szCs w:val="24"/>
                <w:color w:val="auto"/>
              </w:rPr>
            </w:pPr>
          </w:p>
        </w:tc>
        <w:tc>
          <w:tcPr>
            <w:tcW w:w="3340" w:type="dxa"/>
            <w:vAlign w:val="bottom"/>
          </w:tcPr>
          <w:p>
            <w:pPr>
              <w:jc w:val="right"/>
              <w:ind w:right="131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28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 of</w:t>
            </w:r>
          </w:p>
        </w:tc>
        <w:tc>
          <w:tcPr>
            <w:tcW w:w="72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Size</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Leased or</w:t>
            </w:r>
          </w:p>
        </w:tc>
        <w:tc>
          <w:tcPr>
            <w:tcW w:w="0" w:type="dxa"/>
            <w:vAlign w:val="bottom"/>
          </w:tcPr>
          <w:p>
            <w:pPr>
              <w:spacing w:after="0"/>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28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Facility</w:t>
            </w:r>
          </w:p>
        </w:tc>
        <w:tc>
          <w:tcPr>
            <w:tcW w:w="7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2"/>
              </w:rPr>
              <w:t>Waltham,</w:t>
            </w:r>
          </w:p>
        </w:tc>
        <w:tc>
          <w:tcPr>
            <w:tcW w:w="41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Massachusetts*</w:t>
            </w:r>
          </w:p>
        </w:tc>
        <w:tc>
          <w:tcPr>
            <w:tcW w:w="28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Office</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Square feet</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1"/>
              </w:rPr>
              <w:t>Leased</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Billerica, Massachusetts</w:t>
            </w:r>
          </w:p>
        </w:tc>
        <w:tc>
          <w:tcPr>
            <w:tcW w:w="3740" w:type="dxa"/>
            <w:vAlign w:val="bottom"/>
            <w:gridSpan w:val="3"/>
          </w:tcPr>
          <w:p>
            <w:pPr>
              <w:ind w:left="2840"/>
              <w:spacing w:after="0"/>
              <w:rPr>
                <w:sz w:val="20"/>
                <w:szCs w:val="20"/>
                <w:color w:val="auto"/>
              </w:rPr>
            </w:pPr>
            <w:r>
              <w:rPr>
                <w:rFonts w:ascii="Arial" w:cs="Arial" w:eastAsia="Arial" w:hAnsi="Arial"/>
                <w:sz w:val="18"/>
                <w:szCs w:val="18"/>
                <w:color w:val="auto"/>
              </w:rPr>
              <w:t>Office</w:t>
            </w:r>
          </w:p>
        </w:tc>
        <w:tc>
          <w:tcPr>
            <w:tcW w:w="720" w:type="dxa"/>
            <w:vAlign w:val="bottom"/>
          </w:tcPr>
          <w:p>
            <w:pPr>
              <w:jc w:val="right"/>
              <w:spacing w:after="0"/>
              <w:rPr>
                <w:sz w:val="20"/>
                <w:szCs w:val="20"/>
                <w:color w:val="auto"/>
              </w:rPr>
            </w:pPr>
            <w:r>
              <w:rPr>
                <w:rFonts w:ascii="Arial" w:cs="Arial" w:eastAsia="Arial" w:hAnsi="Arial"/>
                <w:sz w:val="18"/>
                <w:szCs w:val="18"/>
                <w:color w:val="auto"/>
              </w:rPr>
              <w:t>10,400</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Square feet</w:t>
            </w:r>
          </w:p>
        </w:tc>
        <w:tc>
          <w:tcPr>
            <w:tcW w:w="800" w:type="dxa"/>
            <w:vAlign w:val="bottom"/>
          </w:tcPr>
          <w:p>
            <w:pPr>
              <w:ind w:left="300"/>
              <w:spacing w:after="0"/>
              <w:rPr>
                <w:sz w:val="20"/>
                <w:szCs w:val="20"/>
                <w:color w:val="auto"/>
              </w:rPr>
            </w:pPr>
            <w:r>
              <w:rPr>
                <w:rFonts w:ascii="Arial" w:cs="Arial" w:eastAsia="Arial" w:hAnsi="Arial"/>
                <w:sz w:val="18"/>
                <w:szCs w:val="18"/>
                <w:color w:val="auto"/>
                <w:w w:val="81"/>
              </w:rPr>
              <w:t>Leased</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Kalamazoo, Michigan**</w:t>
            </w:r>
          </w:p>
        </w:tc>
        <w:tc>
          <w:tcPr>
            <w:tcW w:w="3740" w:type="dxa"/>
            <w:vAlign w:val="bottom"/>
            <w:gridSpan w:val="3"/>
            <w:shd w:val="clear" w:color="auto" w:fill="CCEEFF"/>
          </w:tcPr>
          <w:p>
            <w:pPr>
              <w:ind w:left="2840"/>
              <w:spacing w:after="0"/>
              <w:rPr>
                <w:sz w:val="20"/>
                <w:szCs w:val="20"/>
                <w:color w:val="auto"/>
              </w:rPr>
            </w:pPr>
            <w:r>
              <w:rPr>
                <w:rFonts w:ascii="Arial" w:cs="Arial" w:eastAsia="Arial" w:hAnsi="Arial"/>
                <w:sz w:val="18"/>
                <w:szCs w:val="18"/>
                <w:color w:val="auto"/>
              </w:rPr>
              <w:t>Office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Square feet</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1"/>
              </w:rPr>
              <w:t>Leased</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Romulus, Michigan</w:t>
            </w:r>
          </w:p>
        </w:tc>
        <w:tc>
          <w:tcPr>
            <w:tcW w:w="3740" w:type="dxa"/>
            <w:vAlign w:val="bottom"/>
            <w:gridSpan w:val="3"/>
          </w:tcPr>
          <w:p>
            <w:pPr>
              <w:ind w:left="2840"/>
              <w:spacing w:after="0"/>
              <w:rPr>
                <w:sz w:val="20"/>
                <w:szCs w:val="20"/>
                <w:color w:val="auto"/>
              </w:rPr>
            </w:pPr>
            <w:r>
              <w:rPr>
                <w:rFonts w:ascii="Arial" w:cs="Arial" w:eastAsia="Arial" w:hAnsi="Arial"/>
                <w:sz w:val="18"/>
                <w:szCs w:val="18"/>
                <w:color w:val="auto"/>
              </w:rPr>
              <w:t>Office</w:t>
            </w:r>
          </w:p>
        </w:tc>
        <w:tc>
          <w:tcPr>
            <w:tcW w:w="720" w:type="dxa"/>
            <w:vAlign w:val="bottom"/>
          </w:tcPr>
          <w:p>
            <w:pPr>
              <w:jc w:val="right"/>
              <w:spacing w:after="0"/>
              <w:rPr>
                <w:sz w:val="20"/>
                <w:szCs w:val="20"/>
                <w:color w:val="auto"/>
              </w:rPr>
            </w:pPr>
            <w:r>
              <w:rPr>
                <w:rFonts w:ascii="Arial" w:cs="Arial" w:eastAsia="Arial" w:hAnsi="Arial"/>
                <w:sz w:val="18"/>
                <w:szCs w:val="18"/>
                <w:color w:val="auto"/>
              </w:rPr>
              <w:t>35,250</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Square feet</w:t>
            </w:r>
          </w:p>
        </w:tc>
        <w:tc>
          <w:tcPr>
            <w:tcW w:w="800" w:type="dxa"/>
            <w:vAlign w:val="bottom"/>
          </w:tcPr>
          <w:p>
            <w:pPr>
              <w:ind w:left="300"/>
              <w:spacing w:after="0"/>
              <w:rPr>
                <w:sz w:val="20"/>
                <w:szCs w:val="20"/>
                <w:color w:val="auto"/>
              </w:rPr>
            </w:pPr>
            <w:r>
              <w:rPr>
                <w:rFonts w:ascii="Arial" w:cs="Arial" w:eastAsia="Arial" w:hAnsi="Arial"/>
                <w:sz w:val="18"/>
                <w:szCs w:val="18"/>
                <w:color w:val="auto"/>
                <w:w w:val="81"/>
              </w:rPr>
              <w:t>Leased</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Romulus, Michigan</w:t>
            </w:r>
          </w:p>
        </w:tc>
        <w:tc>
          <w:tcPr>
            <w:tcW w:w="3740" w:type="dxa"/>
            <w:vAlign w:val="bottom"/>
            <w:gridSpan w:val="3"/>
            <w:shd w:val="clear" w:color="auto" w:fill="CCEEFF"/>
          </w:tcPr>
          <w:p>
            <w:pPr>
              <w:ind w:left="2840"/>
              <w:spacing w:after="0"/>
              <w:rPr>
                <w:sz w:val="20"/>
                <w:szCs w:val="20"/>
                <w:color w:val="auto"/>
              </w:rPr>
            </w:pPr>
            <w:r>
              <w:rPr>
                <w:rFonts w:ascii="Arial" w:cs="Arial" w:eastAsia="Arial" w:hAnsi="Arial"/>
                <w:sz w:val="18"/>
                <w:szCs w:val="18"/>
                <w:color w:val="auto"/>
              </w:rPr>
              <w:t>Yard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Acre</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1"/>
              </w:rPr>
              <w:t>Leased</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Grand Rapids, Michigan</w:t>
            </w:r>
          </w:p>
        </w:tc>
        <w:tc>
          <w:tcPr>
            <w:tcW w:w="3740" w:type="dxa"/>
            <w:vAlign w:val="bottom"/>
            <w:gridSpan w:val="3"/>
          </w:tcPr>
          <w:p>
            <w:pPr>
              <w:ind w:left="2840"/>
              <w:spacing w:after="0"/>
              <w:rPr>
                <w:sz w:val="20"/>
                <w:szCs w:val="20"/>
                <w:color w:val="auto"/>
              </w:rPr>
            </w:pPr>
            <w:r>
              <w:rPr>
                <w:rFonts w:ascii="Arial" w:cs="Arial" w:eastAsia="Arial" w:hAnsi="Arial"/>
                <w:sz w:val="18"/>
                <w:szCs w:val="18"/>
                <w:color w:val="auto"/>
              </w:rPr>
              <w:t>Office</w:t>
            </w:r>
          </w:p>
        </w:tc>
        <w:tc>
          <w:tcPr>
            <w:tcW w:w="720" w:type="dxa"/>
            <w:vAlign w:val="bottom"/>
          </w:tcPr>
          <w:p>
            <w:pPr>
              <w:jc w:val="right"/>
              <w:spacing w:after="0"/>
              <w:rPr>
                <w:sz w:val="20"/>
                <w:szCs w:val="20"/>
                <w:color w:val="auto"/>
              </w:rPr>
            </w:pPr>
            <w:r>
              <w:rPr>
                <w:rFonts w:ascii="Arial" w:cs="Arial" w:eastAsia="Arial" w:hAnsi="Arial"/>
                <w:sz w:val="18"/>
                <w:szCs w:val="18"/>
                <w:color w:val="auto"/>
              </w:rPr>
              <w:t>7,500</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Square feet</w:t>
            </w:r>
          </w:p>
        </w:tc>
        <w:tc>
          <w:tcPr>
            <w:tcW w:w="800" w:type="dxa"/>
            <w:vAlign w:val="bottom"/>
          </w:tcPr>
          <w:p>
            <w:pPr>
              <w:ind w:left="300"/>
              <w:spacing w:after="0"/>
              <w:rPr>
                <w:sz w:val="20"/>
                <w:szCs w:val="20"/>
                <w:color w:val="auto"/>
              </w:rPr>
            </w:pPr>
            <w:r>
              <w:rPr>
                <w:rFonts w:ascii="Arial" w:cs="Arial" w:eastAsia="Arial" w:hAnsi="Arial"/>
                <w:sz w:val="18"/>
                <w:szCs w:val="18"/>
                <w:color w:val="auto"/>
                <w:w w:val="81"/>
              </w:rPr>
              <w:t>Leased</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environmental &amp; remediation segment leases this facility in Waltham, Massachusetts, from a minority interest owner in Yankee and prior to 2011, 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profits interest owner in NASDI, pursuant to a lease that expires in 2016. See Note 13 to the Company’s consolidated financial statements.</w:t>
      </w:r>
    </w:p>
    <w:p>
      <w:pPr>
        <w:spacing w:after="0" w:line="21" w:lineRule="exact"/>
        <w:rPr>
          <w:sz w:val="20"/>
          <w:szCs w:val="20"/>
          <w:color w:val="auto"/>
        </w:rPr>
      </w:pPr>
    </w:p>
    <w:p>
      <w:pPr>
        <w:ind w:left="460" w:right="80" w:hanging="452"/>
        <w:spacing w:after="0" w:line="32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environmental &amp; remediation segment leases the Kalamazoo, Michigan facilities from the President of Terra Contracting Services, LLC who was also the former owner of Terra Contracting, LLC, pursuant to leases expiring in 2015. See Note 13 to the Company’s consolidated financial statements.</w:t>
      </w:r>
    </w:p>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in 2007 and 2008. Per the Massachusetts Attorney General’s request, NASDI executed a tolling agreement regarding the matter in 2009 and engaged in further discussions with the Massachusetts Attorney General’s office.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89"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In 2011, NASDI received a subpoena from a federal grand jury in the District of Massachusetts directing NASDI to furnish certain documents relating to certain projects performed by NASDI since January 2005. The Company conducted an internal investigation into this matter and has cooperated with the grand jury’s investigation. Based on the limited information known to the Company, the Company cannot predict the outcome of the investigation, the U.S.</w:t>
      </w:r>
    </w:p>
    <w:p>
      <w:pPr>
        <w:ind w:right="240"/>
        <w:spacing w:after="0" w:line="261" w:lineRule="auto"/>
        <w:rPr>
          <w:sz w:val="20"/>
          <w:szCs w:val="20"/>
          <w:color w:val="auto"/>
        </w:rPr>
      </w:pPr>
      <w:r>
        <w:rPr>
          <w:rFonts w:ascii="Arial" w:cs="Arial" w:eastAsia="Arial" w:hAnsi="Arial"/>
          <w:sz w:val="18"/>
          <w:szCs w:val="18"/>
          <w:color w:val="auto"/>
        </w:rPr>
        <w:t>Attorney’s views of the issues being investigated, any action the U.S. Attorney may take, or the impact, if any, that this matter may have on the Company’s business, financial position, results of operations or cash flows.</w:t>
      </w:r>
    </w:p>
    <w:p>
      <w:pPr>
        <w:spacing w:after="0" w:line="18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 plaintiffs filed an amended class action complaint on August 9, 2013, which the defendants moved to dismiss on October 8, 2013. The Company denies liability and intends to vigorously defend this action.</w:t>
      </w:r>
    </w:p>
    <w:p>
      <w:pPr>
        <w:spacing w:after="0" w:line="17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is otherwise stayed until there is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is also stayed pending a ruling on the motion to dismiss the securities class action.</w:t>
      </w:r>
    </w:p>
    <w:p>
      <w:pPr>
        <w:spacing w:after="0" w:line="1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on the Company’s termination for default, including but not limited to the Company’s right to draw on letters of credit that had been issued by the shipyard as financial security required in the contract. In May 2013, the Company drew upon the shipyard’s letters of credit related to the contract and received $13.6 million. Arbitration proceedings were initiated. In January 2014, the Company and the shipyard executed a settlement agreement pursuant to which the Company retained $10.5 million of the proceeds of the financial security and remitted $3.1 million of those funds to the shipyard, all other claims were released, and the arbitration was dismissed with prejudice.</w:t>
      </w:r>
    </w:p>
    <w:p>
      <w:pPr>
        <w:spacing w:after="0" w:line="16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1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firstLine="456"/>
        <w:spacing w:after="0" w:line="342" w:lineRule="auto"/>
        <w:rPr>
          <w:sz w:val="20"/>
          <w:szCs w:val="20"/>
          <w:color w:val="auto"/>
        </w:rPr>
      </w:pPr>
      <w:r>
        <w:rPr>
          <w:rFonts w:ascii="Arial" w:cs="Arial" w:eastAsia="Arial" w:hAnsi="Arial"/>
          <w:sz w:val="16"/>
          <w:szCs w:val="16"/>
          <w:color w:val="auto"/>
        </w:rPr>
        <w:t>Our common stock is traded under the symbol “GLDD” on the NASDAQ Global Market. The table below sets forth, for the calendar quarters indicated, the high and low sales prices of the common stock as reported by NASDAQ from January 1, 2012 through December 31, 2013.</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4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Common Stock</w:t>
            </w:r>
          </w:p>
        </w:tc>
      </w:tr>
      <w:tr>
        <w:trPr>
          <w:trHeight w:val="142"/>
        </w:trPr>
        <w:tc>
          <w:tcPr>
            <w:tcW w:w="438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60" w:type="dxa"/>
            <w:vAlign w:val="bottom"/>
            <w:tcBorders>
              <w:bottom w:val="single" w:sz="8" w:color="CCEEFF"/>
            </w:tcBorders>
          </w:tcPr>
          <w:p>
            <w:pPr>
              <w:spacing w:after="0"/>
              <w:rPr>
                <w:sz w:val="12"/>
                <w:szCs w:val="12"/>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2012</w:t>
            </w:r>
          </w:p>
        </w:tc>
        <w:tc>
          <w:tcPr>
            <w:tcW w:w="2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$7.82</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$5.65</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Second Quarter 2012</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$6.14</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2012</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$6.94</w:t>
            </w:r>
          </w:p>
        </w:tc>
        <w:tc>
          <w:tcPr>
            <w:tcW w:w="60" w:type="dxa"/>
            <w:vAlign w:val="bottom"/>
            <w:shd w:val="clear" w:color="auto" w:fill="CCEEFF"/>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Fourth Quarter 2012</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$6.94</w:t>
            </w:r>
          </w:p>
        </w:tc>
        <w:tc>
          <w:tcPr>
            <w:tcW w:w="60" w:type="dxa"/>
            <w:vAlign w:val="bottom"/>
          </w:tcPr>
          <w:p>
            <w:pPr>
              <w:spacing w:after="0"/>
              <w:rPr>
                <w:sz w:val="20"/>
                <w:szCs w:val="20"/>
                <w:color w:val="auto"/>
              </w:rPr>
            </w:pPr>
          </w:p>
        </w:tc>
      </w:tr>
      <w:tr>
        <w:trPr>
          <w:trHeight w:val="377"/>
        </w:trPr>
        <w:tc>
          <w:tcPr>
            <w:tcW w:w="4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4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Common Stock</w:t>
            </w:r>
          </w:p>
        </w:tc>
      </w:tr>
      <w:tr>
        <w:trPr>
          <w:trHeight w:val="142"/>
        </w:trPr>
        <w:tc>
          <w:tcPr>
            <w:tcW w:w="438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60" w:type="dxa"/>
            <w:vAlign w:val="bottom"/>
            <w:tcBorders>
              <w:bottom w:val="single" w:sz="8" w:color="CCEEFF"/>
            </w:tcBorders>
          </w:tcPr>
          <w:p>
            <w:pPr>
              <w:spacing w:after="0"/>
              <w:rPr>
                <w:sz w:val="12"/>
                <w:szCs w:val="12"/>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2013</w:t>
            </w:r>
          </w:p>
        </w:tc>
        <w:tc>
          <w:tcPr>
            <w:tcW w:w="2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$8.69</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$6.55</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Second Quarter 2013</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$6.30</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2013</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$6.28</w:t>
            </w:r>
          </w:p>
        </w:tc>
        <w:tc>
          <w:tcPr>
            <w:tcW w:w="60" w:type="dxa"/>
            <w:vAlign w:val="bottom"/>
            <w:shd w:val="clear" w:color="auto" w:fill="CCEEFF"/>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Fourth Quarter 2013</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98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$6.99</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145415</wp:posOffset>
            </wp:positionV>
            <wp:extent cx="4948555" cy="3593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48555"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00"/>
          </w:cols>
          <w:pgMar w:left="240" w:top="459" w:right="9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12/31/2009</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12/31/2010</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12/31/2011</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12/31/2012</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12/31/2013</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Great Lakes Dredge &amp; Dock Corp</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158.33</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232.42</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239.45</w:t>
            </w:r>
          </w:p>
        </w:tc>
        <w:tc>
          <w:tcPr>
            <w:tcW w:w="60" w:type="dxa"/>
            <w:vAlign w:val="bottom"/>
            <w:shd w:val="clear" w:color="auto" w:fill="CCEEFF"/>
          </w:tcPr>
          <w:p>
            <w:pPr>
              <w:spacing w:after="0"/>
              <w:rPr>
                <w:sz w:val="18"/>
                <w:szCs w:val="18"/>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Peer Average (see below)</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121.32</w:t>
            </w: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124.01</w:t>
            </w:r>
          </w:p>
        </w:tc>
        <w:tc>
          <w:tcPr>
            <w:tcW w:w="4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110.66</w:t>
            </w: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w:t>
            </w:r>
          </w:p>
        </w:tc>
        <w:tc>
          <w:tcPr>
            <w:tcW w:w="4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143.89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168.22</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165.19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191.47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264.84</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The graph above shows the cumulative total return to stockholders of the Company’s common stock during a five year period ending December 31, 2013, the last trading day of our 2013 fiscal year, compared with the return on the NASDAQ Composite Index and a group of our peers which we use internally as a benchmark for our performance. The graph assumes initial investments of $100 each on December 31, 2008, in GLDD stock (assuming reinvestment of all dividends paid during the period), the NASDAQ Composite Index and the peer group companies, collectively. The peer group is comprised of the following member companies against which we measure our performance for compensation purposes.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Ticker</w:t>
            </w: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Dycom Industries, Inc.</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DY</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Global Industries, Ltd. (prior to its purchase on September 9, 2011 by Technip S.A.)</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GLBL</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Granite Construction Inc.</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GVA</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Aegion Corporations, successor to Insituform Technologies, Inc.</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AEGN</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Layne Christensen Company</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LAYN</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MasTec, Inc.</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MTZ</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Matrix Service Company</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MTRX</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MYR Group Inc.</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MYRG</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Orion Marine Group, Inc.</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ORN</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Pike Electric Corporation</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PIKE</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Primoris Services Corp</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PRIM</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Sterling Construction Company, Inc.</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STRL</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Team, Inc.</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TISI</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Willbros Group, Inc.</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WG</w:t>
            </w:r>
          </w:p>
        </w:tc>
      </w:tr>
    </w:tbl>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Given the integral nature of this peer group for compensation purposes and the fact that each peer is a capital intensive business, the Company deems it appropriate to also use this peer group for showing the comparative cumulative total return to stockholders of Great Lakes.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of February 28, 2014, the Company had approximately 34 shareholders of record of the Company’s common stock. A substantial number of holders of the Company’s common stock are “street name” or beneficial holders, whose shares are held of record by banks, brokers and other financial institutions.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dividends per common share for the most recent two years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Dividend</w:t>
            </w:r>
          </w:p>
        </w:tc>
      </w:tr>
      <w:tr>
        <w:trPr>
          <w:trHeight w:val="142"/>
        </w:trPr>
        <w:tc>
          <w:tcPr>
            <w:tcW w:w="4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160" w:type="dxa"/>
            <w:vAlign w:val="bottom"/>
            <w:tcBorders>
              <w:top w:val="single" w:sz="8" w:color="auto"/>
            </w:tcBorders>
            <w:gridSpan w:val="2"/>
          </w:tcPr>
          <w:p>
            <w:pPr>
              <w:ind w:left="76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85"/>
              </w:rPr>
              <w:t>$—</w:t>
            </w:r>
          </w:p>
        </w:tc>
        <w:tc>
          <w:tcPr>
            <w:tcW w:w="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$0.021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Second Quarter</w:t>
            </w:r>
          </w:p>
        </w:tc>
        <w:tc>
          <w:tcPr>
            <w:tcW w:w="3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w w:val="87"/>
              </w:rPr>
              <w:t>$0.021</w:t>
            </w:r>
          </w:p>
        </w:tc>
        <w:tc>
          <w:tcPr>
            <w:tcW w:w="1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7"/>
              </w:rPr>
              <w:t>$0.021</w:t>
            </w:r>
          </w:p>
        </w:tc>
        <w:tc>
          <w:tcPr>
            <w:tcW w:w="14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Fourth Quarter</w:t>
            </w:r>
          </w:p>
        </w:tc>
        <w:tc>
          <w:tcPr>
            <w:tcW w:w="3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660"/>
              <w:spacing w:after="0"/>
              <w:rPr>
                <w:sz w:val="20"/>
                <w:szCs w:val="20"/>
                <w:color w:val="auto"/>
              </w:rPr>
            </w:pPr>
            <w:r>
              <w:rPr>
                <w:rFonts w:ascii="Arial" w:cs="Arial" w:eastAsia="Arial" w:hAnsi="Arial"/>
                <w:sz w:val="18"/>
                <w:szCs w:val="18"/>
                <w:color w:val="auto"/>
                <w:w w:val="99"/>
              </w:rPr>
              <w:t>$0.250*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Represents a special cash dividend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fourth quarter of 2012, the board of directors issued a special dividend representing quarterly dividends that likely would have been declared in fourth quarter 2012 as well as the acceleration of dividends for four quarters of 2013 plus an additional return of capital.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sets forth selected financial data and should be read in conjunction with Item 7.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17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5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60" w:type="dxa"/>
            <w:vAlign w:val="bottom"/>
            <w:gridSpan w:val="12"/>
          </w:tcPr>
          <w:p>
            <w:pPr>
              <w:jc w:val="right"/>
              <w:ind w:right="45"/>
              <w:spacing w:after="0" w:line="142" w:lineRule="exact"/>
              <w:rPr>
                <w:sz w:val="20"/>
                <w:szCs w:val="20"/>
                <w:color w:val="auto"/>
              </w:rPr>
            </w:pPr>
            <w:r>
              <w:rPr>
                <w:rFonts w:ascii="Arial" w:cs="Arial" w:eastAsia="Arial" w:hAnsi="Arial"/>
                <w:sz w:val="14"/>
                <w:szCs w:val="14"/>
                <w:color w:val="auto"/>
                <w:w w:val="92"/>
              </w:rPr>
              <w:t>(dollars in millions except shares in thousands and per share data)</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731.4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8"/>
                <w:szCs w:val="18"/>
                <w:color w:val="auto"/>
              </w:rPr>
              <w:t>631.1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491.7</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1000" w:type="dxa"/>
            <w:vAlign w:val="bottom"/>
            <w:gridSpan w:val="2"/>
          </w:tcPr>
          <w:p>
            <w:pPr>
              <w:jc w:val="right"/>
              <w:ind w:right="408"/>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loss of use claim</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Gain on sale of assets—net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joint ventures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Loss on foreign currency transactions—net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602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 of Great Lakes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Dredge &amp; Dock Corporation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(34.4)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earnings per share attributable to income from continuing operations (1)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spacing w:after="0" w:line="201" w:lineRule="exact"/>
              <w:rPr>
                <w:sz w:val="20"/>
                <w:szCs w:val="20"/>
                <w:color w:val="auto"/>
              </w:rPr>
            </w:pPr>
            <w:r>
              <w:rPr>
                <w:rFonts w:ascii="Arial" w:cs="Arial" w:eastAsia="Arial" w:hAnsi="Arial"/>
                <w:sz w:val="18"/>
                <w:szCs w:val="18"/>
                <w:color w:val="auto"/>
              </w:rPr>
              <w:t>Basic loss per share attributable to loss on discontinued operations, net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0"/>
                <w:szCs w:val="20"/>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Basic earnings (loss) per share attributable to common stockholders of Great</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Lakes Dredge &amp; Dock Corporation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59,495</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59,195</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58,891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58,647</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58,507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 earnings per share attributable to income from continuing operations (1)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spacing w:after="0" w:line="201" w:lineRule="exact"/>
              <w:rPr>
                <w:sz w:val="20"/>
                <w:szCs w:val="20"/>
                <w:color w:val="auto"/>
              </w:rPr>
            </w:pPr>
            <w:r>
              <w:rPr>
                <w:rFonts w:ascii="Arial" w:cs="Arial" w:eastAsia="Arial" w:hAnsi="Arial"/>
                <w:sz w:val="18"/>
                <w:szCs w:val="18"/>
                <w:color w:val="auto"/>
                <w:w w:val="99"/>
              </w:rPr>
              <w:t>Diluted loss per share attributable to loss on discontinued operations, net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Diluted earnings (loss) per share attributable to common stockholders of Great</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Lakes Dredge &amp; Dock Corporation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4"/>
        </w:trPr>
        <w:tc>
          <w:tcPr>
            <w:tcW w:w="6020" w:type="dxa"/>
            <w:vAlign w:val="bottom"/>
            <w:gridSpan w:val="2"/>
          </w:tcPr>
          <w:p>
            <w:pPr>
              <w:spacing w:after="0"/>
              <w:rPr>
                <w:sz w:val="20"/>
                <w:szCs w:val="20"/>
                <w:color w:val="auto"/>
              </w:rPr>
            </w:pPr>
            <w:r>
              <w:rPr>
                <w:rFonts w:ascii="Arial" w:cs="Arial" w:eastAsia="Arial" w:hAnsi="Arial"/>
                <w:sz w:val="18"/>
                <w:szCs w:val="18"/>
                <w:color w:val="auto"/>
              </w:rPr>
              <w:t>Diluted weighted average shares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60,101</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59,673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59,230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58,871</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58,612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6020" w:type="dxa"/>
            <w:vAlign w:val="bottom"/>
            <w:gridSpan w:val="2"/>
          </w:tcPr>
          <w:p>
            <w:pPr>
              <w:ind w:left="56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5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(in millions)</w:t>
            </w:r>
          </w:p>
        </w:tc>
        <w:tc>
          <w:tcPr>
            <w:tcW w:w="8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1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Adjusted EBITDA from continuing operations (2)</w:t>
            </w:r>
          </w:p>
        </w:tc>
        <w:tc>
          <w:tcPr>
            <w:tcW w:w="2520" w:type="dxa"/>
            <w:vAlign w:val="bottom"/>
            <w:gridSpan w:val="2"/>
          </w:tcPr>
          <w:p>
            <w:pPr>
              <w:jc w:val="right"/>
              <w:ind w:right="240"/>
              <w:spacing w:after="0"/>
              <w:rPr>
                <w:sz w:val="20"/>
                <w:szCs w:val="20"/>
                <w:color w:val="auto"/>
              </w:rPr>
            </w:pPr>
            <w:r>
              <w:rPr>
                <w:rFonts w:ascii="Arial" w:cs="Arial" w:eastAsia="Arial" w:hAnsi="Arial"/>
                <w:sz w:val="18"/>
                <w:szCs w:val="18"/>
                <w:color w:val="auto"/>
              </w:rPr>
              <w:t>$ 98.9</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$ 74.7</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$ 90.1</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$101.4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$ 79.3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2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24.6</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127.8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2520" w:type="dxa"/>
            <w:vAlign w:val="bottom"/>
            <w:gridSpan w:val="2"/>
          </w:tcPr>
          <w:p>
            <w:pPr>
              <w:jc w:val="right"/>
              <w:ind w:right="180"/>
              <w:spacing w:after="0"/>
              <w:rPr>
                <w:sz w:val="20"/>
                <w:szCs w:val="20"/>
                <w:color w:val="auto"/>
              </w:rPr>
            </w:pPr>
            <w:r>
              <w:rPr>
                <w:rFonts w:ascii="Arial" w:cs="Arial" w:eastAsia="Arial" w:hAnsi="Arial"/>
                <w:sz w:val="18"/>
                <w:szCs w:val="18"/>
                <w:color w:val="auto"/>
              </w:rPr>
              <w:t>(46.3)</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(63.4)</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(16.7)</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(61.9)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2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(23.6)</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57.4</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gridSpan w:val="2"/>
          </w:tcPr>
          <w:p>
            <w:pPr>
              <w:jc w:val="right"/>
              <w:ind w:right="240"/>
              <w:spacing w:after="0"/>
              <w:rPr>
                <w:sz w:val="20"/>
                <w:szCs w:val="20"/>
                <w:color w:val="auto"/>
              </w:rPr>
            </w:pPr>
            <w:r>
              <w:rPr>
                <w:rFonts w:ascii="Arial" w:cs="Arial" w:eastAsia="Arial" w:hAnsi="Arial"/>
                <w:sz w:val="18"/>
                <w:szCs w:val="18"/>
                <w:color w:val="auto"/>
              </w:rPr>
              <w:t>46.6</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37.4</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37.3</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2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51.8</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43.1</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Capital expenditures</w:t>
            </w:r>
          </w:p>
        </w:tc>
        <w:tc>
          <w:tcPr>
            <w:tcW w:w="2520" w:type="dxa"/>
            <w:vAlign w:val="bottom"/>
            <w:gridSpan w:val="2"/>
          </w:tcPr>
          <w:p>
            <w:pPr>
              <w:jc w:val="right"/>
              <w:ind w:right="240"/>
              <w:spacing w:after="0"/>
              <w:rPr>
                <w:sz w:val="20"/>
                <w:szCs w:val="20"/>
                <w:color w:val="auto"/>
              </w:rPr>
            </w:pPr>
            <w:r>
              <w:rPr>
                <w:rFonts w:ascii="Arial" w:cs="Arial" w:eastAsia="Arial" w:hAnsi="Arial"/>
                <w:sz w:val="18"/>
                <w:szCs w:val="18"/>
                <w:color w:val="auto"/>
              </w:rPr>
              <w:t>62.0</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76.3</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22.9</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65.0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right="140" w:hanging="452"/>
        <w:spacing w:after="0" w:line="25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 to Note 1 in the Company’s consolidated financial statements for the years ended December 31, 2013, 2012 and 2011 and above information for additional details regarding these calculations.</w:t>
      </w:r>
    </w:p>
    <w:p>
      <w:pPr>
        <w:spacing w:after="0" w:line="1"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definition of Adjusted EBITDA from continuing operations in Item 7. Management’s Discussion and Analysis of Financial Condition and Results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8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8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7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8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320" w:type="dxa"/>
            <w:vAlign w:val="bottom"/>
          </w:tcPr>
          <w:p>
            <w:pPr>
              <w:jc w:val="right"/>
              <w:ind w:right="397"/>
              <w:spacing w:after="0"/>
              <w:rPr>
                <w:sz w:val="20"/>
                <w:szCs w:val="20"/>
                <w:color w:val="auto"/>
              </w:rPr>
            </w:pPr>
            <w:r>
              <w:rPr>
                <w:rFonts w:ascii="Arial" w:cs="Arial" w:eastAsia="Arial" w:hAnsi="Arial"/>
                <w:sz w:val="14"/>
                <w:szCs w:val="14"/>
                <w:b w:val="1"/>
                <w:bCs w:val="1"/>
                <w:color w:val="auto"/>
              </w:rPr>
              <w:t>2011</w:t>
            </w:r>
          </w:p>
        </w:tc>
        <w:tc>
          <w:tcPr>
            <w:tcW w:w="8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(in millions)</w:t>
            </w:r>
          </w:p>
        </w:tc>
        <w:tc>
          <w:tcPr>
            <w:tcW w:w="8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tcPr>
          <w:p>
            <w:pPr>
              <w:jc w:val="right"/>
              <w:ind w:right="260"/>
              <w:spacing w:after="0"/>
              <w:rPr>
                <w:sz w:val="20"/>
                <w:szCs w:val="20"/>
                <w:color w:val="auto"/>
              </w:rPr>
            </w:pPr>
            <w:r>
              <w:rPr>
                <w:rFonts w:ascii="Arial" w:cs="Arial" w:eastAsia="Arial" w:hAnsi="Arial"/>
                <w:sz w:val="18"/>
                <w:szCs w:val="18"/>
                <w:color w:val="auto"/>
              </w:rPr>
              <w:t>$ 75.3</w:t>
            </w:r>
          </w:p>
        </w:tc>
        <w:tc>
          <w:tcPr>
            <w:tcW w:w="800" w:type="dxa"/>
            <w:vAlign w:val="bottom"/>
          </w:tcPr>
          <w:p>
            <w:pPr>
              <w:jc w:val="right"/>
              <w:spacing w:after="0"/>
              <w:rPr>
                <w:sz w:val="20"/>
                <w:szCs w:val="20"/>
                <w:color w:val="auto"/>
              </w:rPr>
            </w:pPr>
            <w:r>
              <w:rPr>
                <w:rFonts w:ascii="Arial" w:cs="Arial" w:eastAsia="Arial" w:hAnsi="Arial"/>
                <w:sz w:val="18"/>
                <w:szCs w:val="18"/>
                <w:color w:val="auto"/>
              </w:rPr>
              <w:t>$ 24.4</w:t>
            </w:r>
          </w:p>
        </w:tc>
        <w:tc>
          <w:tcPr>
            <w:tcW w:w="1320" w:type="dxa"/>
            <w:vAlign w:val="bottom"/>
          </w:tcPr>
          <w:p>
            <w:pPr>
              <w:jc w:val="right"/>
              <w:ind w:right="297"/>
              <w:spacing w:after="0"/>
              <w:rPr>
                <w:sz w:val="20"/>
                <w:szCs w:val="20"/>
                <w:color w:val="auto"/>
              </w:rPr>
            </w:pPr>
            <w:r>
              <w:rPr>
                <w:rFonts w:ascii="Arial" w:cs="Arial" w:eastAsia="Arial" w:hAnsi="Arial"/>
                <w:sz w:val="18"/>
                <w:szCs w:val="18"/>
                <w:color w:val="auto"/>
              </w:rPr>
              <w:t>$113.3</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$ 48.4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2.8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3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195.3</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90.1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2820" w:type="dxa"/>
            <w:vAlign w:val="bottom"/>
            <w:gridSpan w:val="2"/>
          </w:tcPr>
          <w:p>
            <w:pPr>
              <w:jc w:val="right"/>
              <w:ind w:right="260"/>
              <w:spacing w:after="0"/>
              <w:rPr>
                <w:sz w:val="20"/>
                <w:szCs w:val="20"/>
                <w:color w:val="auto"/>
              </w:rPr>
            </w:pPr>
            <w:r>
              <w:rPr>
                <w:rFonts w:ascii="Arial" w:cs="Arial" w:eastAsia="Arial" w:hAnsi="Arial"/>
                <w:sz w:val="18"/>
                <w:szCs w:val="18"/>
                <w:color w:val="auto"/>
              </w:rPr>
              <w:t>852.6</w:t>
            </w:r>
          </w:p>
        </w:tc>
        <w:tc>
          <w:tcPr>
            <w:tcW w:w="800" w:type="dxa"/>
            <w:vAlign w:val="bottom"/>
          </w:tcPr>
          <w:p>
            <w:pPr>
              <w:jc w:val="right"/>
              <w:spacing w:after="0"/>
              <w:rPr>
                <w:sz w:val="20"/>
                <w:szCs w:val="20"/>
                <w:color w:val="auto"/>
              </w:rPr>
            </w:pPr>
            <w:r>
              <w:rPr>
                <w:rFonts w:ascii="Arial" w:cs="Arial" w:eastAsia="Arial" w:hAnsi="Arial"/>
                <w:sz w:val="18"/>
                <w:szCs w:val="18"/>
                <w:color w:val="auto"/>
              </w:rPr>
              <w:t>826.5</w:t>
            </w:r>
          </w:p>
        </w:tc>
        <w:tc>
          <w:tcPr>
            <w:tcW w:w="1320" w:type="dxa"/>
            <w:vAlign w:val="bottom"/>
          </w:tcPr>
          <w:p>
            <w:pPr>
              <w:jc w:val="right"/>
              <w:ind w:right="297"/>
              <w:spacing w:after="0"/>
              <w:rPr>
                <w:sz w:val="20"/>
                <w:szCs w:val="20"/>
                <w:color w:val="auto"/>
              </w:rPr>
            </w:pPr>
            <w:r>
              <w:rPr>
                <w:rFonts w:ascii="Arial" w:cs="Arial" w:eastAsia="Arial" w:hAnsi="Arial"/>
                <w:sz w:val="18"/>
                <w:szCs w:val="18"/>
                <w:color w:val="auto"/>
              </w:rPr>
              <w:t>788.5</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693.8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promissory notes and subordinated notes</w:t>
            </w:r>
          </w:p>
        </w:tc>
        <w:tc>
          <w:tcPr>
            <w:tcW w:w="2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3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255.0</w:t>
            </w: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20" w:type="dxa"/>
            <w:vAlign w:val="bottom"/>
            <w:gridSpan w:val="2"/>
          </w:tcPr>
          <w:p>
            <w:pPr>
              <w:jc w:val="right"/>
              <w:ind w:right="260"/>
              <w:spacing w:after="0"/>
              <w:rPr>
                <w:sz w:val="20"/>
                <w:szCs w:val="20"/>
                <w:color w:val="auto"/>
              </w:rPr>
            </w:pPr>
            <w:r>
              <w:rPr>
                <w:rFonts w:ascii="Arial" w:cs="Arial" w:eastAsia="Arial" w:hAnsi="Arial"/>
                <w:sz w:val="18"/>
                <w:szCs w:val="18"/>
                <w:color w:val="auto"/>
              </w:rPr>
              <w:t>242.1</w:t>
            </w:r>
          </w:p>
        </w:tc>
        <w:tc>
          <w:tcPr>
            <w:tcW w:w="800" w:type="dxa"/>
            <w:vAlign w:val="bottom"/>
          </w:tcPr>
          <w:p>
            <w:pPr>
              <w:jc w:val="right"/>
              <w:spacing w:after="0"/>
              <w:rPr>
                <w:sz w:val="20"/>
                <w:szCs w:val="20"/>
                <w:color w:val="auto"/>
              </w:rPr>
            </w:pPr>
            <w:r>
              <w:rPr>
                <w:rFonts w:ascii="Arial" w:cs="Arial" w:eastAsia="Arial" w:hAnsi="Arial"/>
                <w:sz w:val="18"/>
                <w:szCs w:val="18"/>
                <w:color w:val="auto"/>
              </w:rPr>
              <w:t>273.4</w:t>
            </w:r>
          </w:p>
        </w:tc>
        <w:tc>
          <w:tcPr>
            <w:tcW w:w="1320" w:type="dxa"/>
            <w:vAlign w:val="bottom"/>
          </w:tcPr>
          <w:p>
            <w:pPr>
              <w:jc w:val="right"/>
              <w:ind w:right="297"/>
              <w:spacing w:after="0"/>
              <w:rPr>
                <w:sz w:val="20"/>
                <w:szCs w:val="20"/>
                <w:color w:val="auto"/>
              </w:rPr>
            </w:pPr>
            <w:r>
              <w:rPr>
                <w:rFonts w:ascii="Arial" w:cs="Arial" w:eastAsia="Arial" w:hAnsi="Arial"/>
                <w:sz w:val="18"/>
                <w:szCs w:val="18"/>
                <w:color w:val="auto"/>
              </w:rPr>
              <w:t>292.5</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276.8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350"/>
        </w:trPr>
        <w:tc>
          <w:tcPr>
            <w:tcW w:w="4880" w:type="dxa"/>
            <w:vAlign w:val="bottom"/>
          </w:tcPr>
          <w:p>
            <w:pPr>
              <w:spacing w:after="0"/>
              <w:rPr>
                <w:sz w:val="24"/>
                <w:szCs w:val="24"/>
                <w:color w:val="auto"/>
              </w:rPr>
            </w:pPr>
          </w:p>
        </w:tc>
        <w:tc>
          <w:tcPr>
            <w:tcW w:w="2060" w:type="dxa"/>
            <w:vAlign w:val="bottom"/>
          </w:tcPr>
          <w:p>
            <w:pPr>
              <w:jc w:val="right"/>
              <w:ind w:right="1053"/>
              <w:spacing w:after="0"/>
              <w:rPr>
                <w:sz w:val="20"/>
                <w:szCs w:val="20"/>
                <w:color w:val="auto"/>
              </w:rPr>
            </w:pPr>
            <w:r>
              <w:rPr>
                <w:rFonts w:ascii="Arial" w:cs="Arial" w:eastAsia="Arial" w:hAnsi="Arial"/>
                <w:sz w:val="18"/>
                <w:szCs w:val="18"/>
                <w:color w:val="auto"/>
              </w:rPr>
              <w:t>38</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the largest provider of dredging services in the United States. In addition, the Company is the only U.S. dredging service provider with significant international operations, which represented 22% of its dredging revenues for 2013.</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Dredging generally involves the enhancement or preservation of the navigability of waterways or the protection of shorelines through the removal or replenishment of soil, sand or rock. The U.S. dredging market consists of three primary types of work: capital, coastal protection (formerly referred to as beach nourishment) and maintenance. 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Coastal protection projects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Rivers &amp; lakes dredging and related operations typically consist of lake and river dredging, inland levee and construction dredging, environmental restoration and habitat improvement and other marine construction projects.</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December 31, 2012, the Company acquired the assets and assumed certain liabilities of Terra Contracting, LLC (“Terra”), a respected provider of a wide variety of essential services for environmental, maintenance and infrastructure-related applications headquartered in Kalamazoo, MI, for a purchase price of approximately $26 million. The Terra acquisition has broadened the Company’s environmental &amp; remediation segment with additional services and expertise as well as expanded its footprint in the Midwest.</w:t>
      </w:r>
    </w:p>
    <w:p>
      <w:pPr>
        <w:spacing w:after="0" w:line="187" w:lineRule="exact"/>
        <w:rPr>
          <w:sz w:val="20"/>
          <w:szCs w:val="20"/>
          <w:color w:val="auto"/>
        </w:rPr>
      </w:pPr>
    </w:p>
    <w:p>
      <w:pPr>
        <w:jc w:val="both"/>
        <w:ind w:right="380" w:firstLine="456"/>
        <w:spacing w:after="0" w:line="279" w:lineRule="auto"/>
        <w:rPr>
          <w:sz w:val="20"/>
          <w:szCs w:val="20"/>
          <w:color w:val="auto"/>
        </w:rPr>
      </w:pPr>
      <w:r>
        <w:rPr>
          <w:rFonts w:ascii="Arial" w:cs="Arial" w:eastAsia="Arial" w:hAnsi="Arial"/>
          <w:sz w:val="17"/>
          <w:szCs w:val="17"/>
          <w:color w:val="auto"/>
        </w:rPr>
        <w:t>In the fourth quarter 2013, the management team proposed, and the board of directors approved, a plan to sell the Company’s historical demolition business. The Company has received several indications of interest and expects to finalize disposition of the demolition business in 2014. The historical demolition business has been retrospectively presented as discontinued operations and is no longer reflected in continuing operations, see Note 14 to our consolidated financial statements included in Item 15 of this Annual Report on Form 10-K.</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Company’s bid market is defined as the aggregate dollar value of domestic dredging projects on which the Company bid or could have bid if not for capacity constraints (“bid market”). The Company experienced an average combined bid market share in the U.S. of 37% over the prior three years, including 29%, 60% and 31% of the domestic capital, coastal protection and maintenance sectors, respectively. The Company’s average bid market share of rivers &amp; lakes in the two years of activity since its acquisition is 43%.</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in two reportable segments: dredging and environmental &amp; remediation.</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2013, dredging revenues accounted for 87% of revenue. The Company’s fleet of 32 dredges, of which nine are deployed internationally, 19 material transportation barges, two drillboats, and numerous other specialized support vessels is the largest and most diverse fleet of any U.S. dredging company. For the dredging segment, the Company’s fleet of dredging equipment can be utilized on one or many types of work and in various geographic locations. This flexible approach to the Company’s fleet utilization, driven by the project scope and equipment, enables us to move equipment in response to changes in demand for dredging services to take advantage of the most attractive opportunities. The Company estimates the replacement cost of the Company’s fleet to be in excess of $1.5 billion in the current market.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The advance of multi-jurisdictional cost sharing arrangements are allowing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the Company’s customer. In 2013, the Company’s dredging revenues earned from contracts with federal government agencies, including the Corps as well as other federal entities such as the U.S. Coast Guard and the U.S. Navy, were approximately 51% of dredging revenues, down slightly from the Company’s prior three year average of 62%.</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2013, environmental &amp; remediation revenues accounted for 13% of total revenue. The environmental &amp; remediation segment’s principal services consist of specialty contracting services such as environmental, industrial and hazard materials abatement and remediation services. The majority of the environmental &amp; remediation segment’s work is performed in the Midwest U.S. market.</w:t>
      </w:r>
    </w:p>
    <w:p>
      <w:pPr>
        <w:spacing w:after="0" w:line="18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Most of the Company’s dredging contracts are obtained through competitive bidding on terms specified by the party inviting the bid. The types of equipment required to perform the specified service and the estimated project duration affect the cost of performing the contract and the price that dredging contractors will bid.</w:t>
      </w:r>
    </w:p>
    <w:p>
      <w:pPr>
        <w:spacing w:after="0" w:line="18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Company recognizes contract revenues under the percentage-of-completion method based on the Company’s engineering estimates of the physical percentage completed for dredging projects and based on costs incurred to date compared to total estimated costs for environmental projects. For dredging projects, costs of contract revenues are adjusted to reflect the gross profit percentage expected to be achieved upon ultimate completion of each dredging project. For environmental &amp; remediation projects, contract revenues are adjusted to reflect the estimated gross profit percentage.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incidental to major contracts are deferred and recognized as contract costs based on contract performance over the duration of the related project. These expenditures are reported as prepaid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fuel, subcontracts, short-term rentals and project overhead. Hourly labor is generally hired on a project-by-project basis. Much of our domestic hourly labor force is represented by labor unions with collective bargaining agreements that expire at various dates during 2014 through 2016, which historically have been extended without disruption.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Costs of contract revenues vary significantly depending on the type and location of work performed and assets utilized. Generally, capital dredging projects have the highest margins due to the complexity of the projects, while coastal protection projects have the most volatile margins because they are most often exposed to variability in weather conditions.</w:t>
      </w:r>
    </w:p>
    <w:p>
      <w:pPr>
        <w:spacing w:after="0" w:line="18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Company’s cost structure includes significant annual equipment related costs, including depreciation, maintenance, insurance and long-term equipment rentals, averaging approximately 20% to 23% of total costs of contract revenues over the prior three years. During the year, both equipment utilization and the timing of cost expenditures fluctuate significantly. Accordingly, the Company allocates these equipment costs to interim periods in proportion to revenues recognized over the year to better match revenues and expenses. Specifically, at each interim reporting date the Company compares actual revenues earned to date on the Company’s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Dredging</w:t>
      </w:r>
      <w:r>
        <w:rPr>
          <w:rFonts w:ascii="Arial" w:cs="Arial" w:eastAsia="Arial" w:hAnsi="Arial"/>
          <w:sz w:val="18"/>
          <w:szCs w:val="18"/>
          <w:color w:val="auto"/>
        </w:rPr>
        <w:t>. The Company’s results of operations for its dredging segment for a calendar or quarterly period are generally determined by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three factors:</w:t>
      </w:r>
    </w:p>
    <w:p>
      <w:pPr>
        <w:spacing w:after="0" w:line="76" w:lineRule="exact"/>
        <w:rPr>
          <w:sz w:val="20"/>
          <w:szCs w:val="20"/>
          <w:color w:val="auto"/>
        </w:rPr>
      </w:pPr>
    </w:p>
    <w:p>
      <w:pPr>
        <w:ind w:left="900" w:right="80" w:hanging="325"/>
        <w:spacing w:after="0" w:line="25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Bid wins and dredge employment </w:t>
      </w:r>
      <w:r>
        <w:rPr>
          <w:rFonts w:ascii="Arial" w:cs="Arial" w:eastAsia="Arial" w:hAnsi="Arial"/>
          <w:sz w:val="18"/>
          <w:szCs w:val="18"/>
          <w:color w:val="auto"/>
        </w:rPr>
        <w:t>—The Company’s dredging segment generates revenues when the Company wins a bid for a dredging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and starts that project. Although the Company’s dredging equipment is subject to downtime for scheduled periodic maintenance and repair, the Company seeks to maximize its revenues by employing its dredging equipment on a full-time basis. If a dredge is idle (i.e., the dredge is not employed on a dredging project or undergoing scheduled periodic maintenance and repair), the Company does not earn revenue with respect to that dredge during the time period for which it is idle.</w:t>
      </w:r>
    </w:p>
    <w:p>
      <w:pPr>
        <w:spacing w:after="0" w:line="93" w:lineRule="exact"/>
        <w:rPr>
          <w:rFonts w:ascii="Arial" w:cs="Arial" w:eastAsia="Arial" w:hAnsi="Arial"/>
          <w:sz w:val="18"/>
          <w:szCs w:val="18"/>
          <w:color w:val="auto"/>
        </w:rPr>
      </w:pPr>
    </w:p>
    <w:p>
      <w:pPr>
        <w:ind w:left="900" w:right="200" w:hanging="325"/>
        <w:spacing w:after="0" w:line="25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Project and dredge mix </w:t>
      </w:r>
      <w:r>
        <w:rPr>
          <w:rFonts w:ascii="Arial" w:cs="Arial" w:eastAsia="Arial" w:hAnsi="Arial"/>
          <w:sz w:val="18"/>
          <w:szCs w:val="18"/>
          <w:color w:val="auto"/>
        </w:rPr>
        <w:t>—The Company’s domestic dredging projects generally involve domestic capital, maintenance and coastal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work and its foreign dredging projects generally involve capital work. In addition, the Company’s dredging projects vary in duration and, in general, projects of longer duration result in less dredge downtime in a given period. Moreover, the Company’s dredges have different physical capabilities and typically work on certain types of dredging projects. Accordingly, the Company’s dredges have different daily revenue generating capacities.</w:t>
      </w:r>
    </w:p>
    <w:p>
      <w:pPr>
        <w:spacing w:after="0" w:line="80" w:lineRule="exact"/>
        <w:rPr>
          <w:sz w:val="20"/>
          <w:szCs w:val="20"/>
          <w:color w:val="auto"/>
        </w:rPr>
      </w:pPr>
    </w:p>
    <w:p>
      <w:pPr>
        <w:ind w:left="920" w:right="40"/>
        <w:spacing w:after="0" w:line="271" w:lineRule="auto"/>
        <w:rPr>
          <w:sz w:val="20"/>
          <w:szCs w:val="20"/>
          <w:color w:val="auto"/>
        </w:rPr>
      </w:pPr>
      <w:r>
        <w:rPr>
          <w:rFonts w:ascii="Arial" w:cs="Arial" w:eastAsia="Arial" w:hAnsi="Arial"/>
          <w:sz w:val="17"/>
          <w:szCs w:val="17"/>
          <w:color w:val="auto"/>
        </w:rPr>
        <w:t>The Company generally expects to achieve different levels of gross profit margin (i.e., gross profit divided by revenues) for work performed on the different types of dredging projects and for work performed by different types of dredges. The Company’s expected gross margin for a project is based upon the Company’s estimates at the time of the bid. Although the Company seeks to bid on and win projects that will maximize its gross margin, the Company cannot control the type of dredging projects that are available for bid from time to time, the type of dredge that is needed to complete these projects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the Company works on a mix of dredging projects that, in the aggregate, have relatively low expected gross margins (based on project type and dredges employed).</w:t>
      </w:r>
    </w:p>
    <w:p>
      <w:pPr>
        <w:spacing w:after="0" w:line="84" w:lineRule="exact"/>
        <w:rPr>
          <w:sz w:val="20"/>
          <w:szCs w:val="20"/>
          <w:color w:val="auto"/>
        </w:rPr>
      </w:pPr>
    </w:p>
    <w:p>
      <w:pPr>
        <w:ind w:left="900" w:right="120" w:hanging="325"/>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Project execution </w:t>
      </w:r>
      <w:r>
        <w:rPr>
          <w:rFonts w:ascii="Arial" w:cs="Arial" w:eastAsia="Arial" w:hAnsi="Arial"/>
          <w:sz w:val="18"/>
          <w:szCs w:val="18"/>
          <w:color w:val="auto"/>
        </w:rPr>
        <w:t>—The Company seeks to execute all of its dredging projects consistent with its project estimates. In general,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achieve its project estimates depends upon many factors including weather, variances from estimated project conditions, equipment mobilization time periods, unplanned equipment downtime or other events or circumstances beyond the Company’s control. If the Company experiences any of these events and circumstances, the completion of a dredging project will often be accelerated or delayed, as applicable, and, consequently,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will experience project results that are better or worse than its estimates. The Company does its best to estimate for events and circumstances that are not within its control; however, these situations are inherent in dredging.</w:t>
      </w:r>
    </w:p>
    <w:p>
      <w:pPr>
        <w:spacing w:after="0" w:line="170"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i w:val="1"/>
          <w:iCs w:val="1"/>
          <w:color w:val="auto"/>
        </w:rPr>
        <w:t xml:space="preserve">Environmental &amp; remediation. </w:t>
      </w:r>
      <w:r>
        <w:rPr>
          <w:rFonts w:ascii="Arial" w:cs="Arial" w:eastAsia="Arial" w:hAnsi="Arial"/>
          <w:sz w:val="17"/>
          <w:szCs w:val="17"/>
          <w:color w:val="auto"/>
        </w:rPr>
        <w:t>The Company’s environmental &amp; remediation segment generates revenues when the Company is awarded a contract for</w:t>
      </w:r>
      <w:r>
        <w:rPr>
          <w:rFonts w:ascii="Arial" w:cs="Arial" w:eastAsia="Arial" w:hAnsi="Arial"/>
          <w:sz w:val="17"/>
          <w:szCs w:val="17"/>
          <w:i w:val="1"/>
          <w:iCs w:val="1"/>
          <w:color w:val="auto"/>
        </w:rPr>
        <w:t xml:space="preserve"> </w:t>
      </w:r>
      <w:r>
        <w:rPr>
          <w:rFonts w:ascii="Arial" w:cs="Arial" w:eastAsia="Arial" w:hAnsi="Arial"/>
          <w:sz w:val="17"/>
          <w:szCs w:val="17"/>
          <w:color w:val="auto"/>
        </w:rPr>
        <w:t>specialty contracting services and starts the project. The Company’s revenues from its environmental &amp; remediation segment increase or decrease based upon market demand. Like the Company’s dredging segment, results of operations for the Company’s environmental &amp; remediation segment fluctuate based upon project mix and the Company’s ability to execute its projects consistent with its estimates.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significant accounting policies are discussed in the Notes to the consolidated financial statements. The application of certain of these policies requires significant judgments or an estimation process that can affect the Company’s results of operations, financial position and cash flows, as well as the related footnote disclosures. The Company bases its estimates on historical experience and other assumptions that it believes are reasonable. If actual amounts are ultimately different from previous estimates, the revisions are included in the Company’s results of operations for the period in which the actual amounts become known. The following accounting policies comprise those that management believes are the most critical to aid in fully understanding and evaluating the Company’s reported financial results.</w:t>
      </w:r>
    </w:p>
    <w:p>
      <w:pPr>
        <w:spacing w:after="0" w:line="1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Percentage-of-completion method of revenue recognition</w:t>
      </w:r>
      <w:r>
        <w:rPr>
          <w:rFonts w:ascii="Arial" w:cs="Arial" w:eastAsia="Arial" w:hAnsi="Arial"/>
          <w:sz w:val="16"/>
          <w:szCs w:val="16"/>
          <w:color w:val="auto"/>
        </w:rPr>
        <w:t>—The Company’s contract revenues are recognized under the percentage-of-completion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 which is by its nature based on an estimation process. For dredging projects, the Company uses engineering estimates of the physical percentage of completion. For environmental &amp; remediation projects, the Company uses estimates of costs incurred to date compared to total estimated costs to determine the percentage of project completion. In preparing estimates, the Company draws on its extensive experience in the dredging and environmental &amp; remediation businesses and its database of historical dredging information to ensure that its estimates are as accurate as possible, given current circumstances. Provisions for estimated losses on contracts in progress are made in the period in which such losses are determined. Change orders are not recognized in revenue until the recovery is probable and collectability is reasonably assured. Claims for additional compensation are not recognized in contract revenues until such claims are settled. Cost and profit estimates are reviewed on a periodic basis to reflect changes in expected project performance.</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Impairment of goodwill</w:t>
      </w:r>
      <w:r>
        <w:rPr>
          <w:rFonts w:ascii="Arial" w:cs="Arial" w:eastAsia="Arial" w:hAnsi="Arial"/>
          <w:sz w:val="17"/>
          <w:szCs w:val="17"/>
          <w:color w:val="auto"/>
        </w:rPr>
        <w:t>—Goodwill is tested for impairment at the reporting unit level on an annual basis and between annual tests if an event occurs or</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The Company performs its annual impairment test as of July 1 each year. The Company operates in two reportable segments: dredging and environmental &amp; remediation.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based upon historical operating data,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 Due to the fact that there are no public companies that are direct competitors, the Company weighed the results of this approach less than the income approach.</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second quarter of 2013, due to a decline in the overall financial performance and declining cash flows of the demolition reporting unit, the Company recorded an impairment charge of $21.5 million. See Note 5 in the Company’s consolidated financial statements. At both December 31, 2013 and 2012, the dredging segment’s goodwill was $76.6 million. At December 31, 2013 and 2012, the environmental &amp; remediation segment’s goodwill was $2.8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Years Ended December 31, 2013, 2012 and 2011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net income attributable to common stockholders of Great Lakes Dredge &amp; Dock Corporation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from continuing operations, as defined below, as a percentage of contract revenues for the years ended December 31:</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5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100.0%</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(86.3)</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(86.7)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(9.3)</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(7.8)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loss of use claim</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Gain on sale of assets—net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700" w:type="dxa"/>
            <w:vAlign w:val="bottom"/>
          </w:tcPr>
          <w:p>
            <w:pPr>
              <w:spacing w:after="0"/>
              <w:rPr>
                <w:sz w:val="19"/>
                <w:szCs w:val="19"/>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Interest expense—net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(3.6)</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joint ventures</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Loss on foreign currency transactions—net</w:t>
            </w: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(4.7)</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(0.6)</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noncontrolling interests</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Arial" w:cs="Arial" w:eastAsia="Arial" w:hAnsi="Arial"/>
                <w:sz w:val="18"/>
                <w:szCs w:val="18"/>
                <w:color w:val="auto"/>
              </w:rPr>
              <w:t>Net income (loss) attributable to common stockholders of Great Lakes Dredge &amp; Dock</w:t>
            </w:r>
          </w:p>
        </w:tc>
        <w:tc>
          <w:tcPr>
            <w:tcW w:w="4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80"/>
              <w:spacing w:after="0"/>
              <w:rPr>
                <w:sz w:val="20"/>
                <w:szCs w:val="20"/>
                <w:color w:val="auto"/>
              </w:rPr>
            </w:pPr>
            <w:r>
              <w:rPr>
                <w:rFonts w:ascii="Arial" w:cs="Arial" w:eastAsia="Arial" w:hAnsi="Arial"/>
                <w:sz w:val="18"/>
                <w:szCs w:val="18"/>
                <w:color w:val="auto"/>
              </w:rPr>
              <w:t>Corporation</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from continuing operations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Adjusted EBITDA from continuing operations, as provided herein, represents net income attributable to common stockholders of Great Lakes Dredge &amp; Dock Corporation, adjusted for net interest expense, income taxes, depreciation and amortization expense, debt extinguishment and accelerated maintenance expense for new international deployments. In 2012, the Company modified the Adjusted EBITDA from continuing operations calculation for accelerated maintenance expense for new international deployments that are not directly recoverable under the related dredging contract and are therefore expensed as incurred. The Company does not</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frequently incur significant accelerated maintenance as a part of its international deployments. As such, the exclusion of these accelerated maintenance expenses from the calculation of Adjusted EBITDA from continuing operations allows users of the financial statements to more easily compare our year-to-year results.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should not be considered an alternative to, or more meaningful than, amounts determined in accordance with GAAP including:</w:t>
      </w:r>
    </w:p>
    <w:p>
      <w:pPr>
        <w:spacing w:after="0" w:line="5" w:lineRule="exact"/>
        <w:rPr>
          <w:sz w:val="20"/>
          <w:szCs w:val="20"/>
          <w:color w:val="auto"/>
        </w:rPr>
      </w:pPr>
    </w:p>
    <w:p>
      <w:pPr>
        <w:ind w:right="80" w:firstLine="8"/>
        <w:spacing w:after="0" w:line="252"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attributable to common stockholders of Great Lakes Dredge &amp; Dock Corporation:</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 stockholders of Great Lakes Dredge &amp;</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Dock Corporation</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3"/>
              </w:rPr>
              <w:t>$(34,361)</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(2,695)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$16,528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(54,850)</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(9,635)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632</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645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5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Adjusted for:</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Accelerated maintenance expenses</w:t>
            </w:r>
          </w:p>
        </w:tc>
        <w:tc>
          <w:tcPr>
            <w:tcW w:w="9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4,672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expense—net</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21,941</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20,925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21,373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10,460</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5,419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37,430</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4"/>
              </w:rPr>
              <w:t>$ 98,880</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74,741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90,073</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4700"/>
              <w:spacing w:after="0"/>
              <w:rPr>
                <w:sz w:val="20"/>
                <w:szCs w:val="20"/>
                <w:color w:val="auto"/>
              </w:rPr>
            </w:pPr>
            <w:r>
              <w:rPr>
                <w:rFonts w:ascii="Arial" w:cs="Arial" w:eastAsia="Arial" w:hAnsi="Arial"/>
                <w:sz w:val="18"/>
                <w:szCs w:val="18"/>
                <w:color w:val="auto"/>
              </w:rPr>
              <w:t>44</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by segment and type of work, the Company’s contract revenues for the years ended December 31 (in thousands):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Capital—U.S.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$153,781</w:t>
            </w:r>
          </w:p>
        </w:tc>
        <w:tc>
          <w:tcPr>
            <w:tcW w:w="4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$175,317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$156,251</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138,436</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112,242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77,232</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228,868</w:t>
            </w:r>
          </w:p>
        </w:tc>
        <w:tc>
          <w:tcPr>
            <w:tcW w:w="4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126,873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135,164</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90,833</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137,924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116,016</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700" w:type="dxa"/>
            <w:vAlign w:val="bottom"/>
          </w:tcPr>
          <w:p>
            <w:pPr>
              <w:jc w:val="right"/>
              <w:spacing w:after="0"/>
              <w:rPr>
                <w:sz w:val="20"/>
                <w:szCs w:val="20"/>
                <w:color w:val="auto"/>
              </w:rPr>
            </w:pPr>
            <w:r>
              <w:rPr>
                <w:rFonts w:ascii="Arial" w:cs="Arial" w:eastAsia="Arial" w:hAnsi="Arial"/>
                <w:sz w:val="18"/>
                <w:szCs w:val="18"/>
                <w:color w:val="auto"/>
              </w:rPr>
              <w:t>30,684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35,873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35,471</w:t>
            </w:r>
          </w:p>
        </w:tc>
      </w:tr>
      <w:tr>
        <w:trPr>
          <w:trHeight w:val="27"/>
        </w:trPr>
        <w:tc>
          <w:tcPr>
            <w:tcW w:w="6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dredging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642,602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588,229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520,134</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94,840</w:t>
            </w:r>
          </w:p>
        </w:tc>
        <w:tc>
          <w:tcPr>
            <w:tcW w:w="4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(6,024)</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revenues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731,418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588,430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520,134</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Environmental &amp; remediation revenue in 2013 includes Terra which did not operate as part of the Company prior to January 1,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Total revenue was $731.4 million in 2013, an increase of $143.0 million, or 24.3%, from 2012 total revenue of $588.4 million. The increase was largely attributable to the acquisition of our Terra business and higher coastal protection revenue, which included emergency and supplemental work as a result of Superstorm Sandy. Foreign capital dredging revenue contributed to the increase driven by significant projects in Qatar and Brazil as well as the Wheatstone LNG Project in Western Australia. The increases in total revenue were partially offset by declines in domestic capital dredging, maintenance dredging, and river &amp; lakes revenues. The Company categorizes revenue by service type to understand the market in which the Company operates and to assess how the Company is performing on bidding work or projects and is generating revenue from backlog.</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Revenues from domestic capital dredging projects of $153.8 million in 2013 decreased $21.5 million, or 12.3%, from 2012 revenues of $175.3 million. The decrease in domestic capital dredging revenue was primarily attributable a greater amount of deepening work performed in New York and New Jersey in 2012 as well as a large project in Florida that did not reoccur in 2013. These decreases were partially offset by coastal restoration projects in Louisiana that added $78.7 million to domestic capital dredging revenue in the current year, compared to $58.4 million in the prior year. The preliminary stages of the PortMiami deepening project also contributed to revenue in 2013. In 2013, the Company earned 100% of its backlog carried forward from December 31, 2012.</w:t>
      </w:r>
    </w:p>
    <w:p>
      <w:pPr>
        <w:spacing w:after="0" w:line="19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Revenues from foreign dredging operations in 2013 totaled $138.4 million, an increase of $26.2 million, or 23.3%, from 2012 revenues of $112.2 million. Foreign dredging revenue was driven by a significant project in Qatar as well as mobilization and commencement of dredging activities for the Wheatstone LNG Project in Western Australia and a project in Brazil. These three contracts in our foreign operations comprise approximately 85% of the foreign dredging revenue earned.</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Revenues from coastal protection projects of $228.9 million in 2013 increased $102.0 million, or 80.4%, from $126.9 million in 2012. The significant increase in coastal protection revenue is mainly attributable projects in New York and New Jersey, which included emergency work as well as supplemental work as a result of Superstorm Sandy. Additionally the Company worked on large beach projects in Florida, North Carolina and Delaware. The Company converted 90% of the backlog at December 31, 2012 into revenues during 2013. In 2012, less coastal protection projects were let to bid and those projects were awarded later in the year causing fewer days in which to earn revenue.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Revenues from maintenance dredging projects in 2013 were $90.8 million, a decrease of $47.1 million, or 34.1%, from $137.9 million in 2012. The Company performed a greater amount of harbor work in 2012 that was not repeated in 2013. Additionally, several large maintenance projects in Louisiana did not reoccur in 2013. The Company executed substantially all its backlog from 2012. The Company worked on projects in Florida, Maryland, Georgia and Tennessee.</w:t>
      </w:r>
    </w:p>
    <w:p>
      <w:pPr>
        <w:spacing w:after="0" w:line="187"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Revenues from rivers &amp; lakes projects were $30.7 million for 2013, a decrease of $5.2 million, or 14.5%, from $35.9 million in 2012. The decrease in rivers &amp; lakes revenue was attributable to projects in Mississippi and along the Mississippi River that did not reoccur in 2013. During 2013, Rivers &amp; lakes teamed with Terra on a remediation project in the Midwest and continued work on its large municipal lake project in Texas.</w:t>
      </w:r>
    </w:p>
    <w:p>
      <w:pPr>
        <w:spacing w:after="0" w:line="166"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The environmental &amp; remediation segment recorded revenues in 2013 of $94.8 million. Revenue was driven by our Terra business which did not operate as part of the Company prior to January 1, 2013. Environmental &amp; remediation revenue also includes work performed on a large brownfield remediation project in New Jersey.</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Dredging segment gross profit in 2013 increased 8.8% to $85.2 million from $78.3 million in 2012, and dredging segment gross profit margin (dredging gross profit divided by dredging revenue) was 13.3% in 2013, consistent with 2012. Gross profit margin was up primarily due to our Wheatstone LNG Project in Australia. This increase was partially offset by lower domestic capital dredging gross profit.</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Environmental &amp; remediation segment gross profit was $15.1 million in 2013 with a gross profit margin of 15.9%. The gross profit margin was mainly attributable to our acquisition of the Terra business which did not become part of the Company until the first quarter of 2013. During the year, the Company worked on two environment remediation projects with strong margins.</w:t>
      </w:r>
    </w:p>
    <w:p>
      <w:pPr>
        <w:spacing w:after="0" w:line="18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 xml:space="preserve">Dredging segment operating income for 2013 increased 66.2% to $54.7 million, from $32.9 million in 2012 due to the higher gross profit described above, the receipt of the proceeds from the dredge </w:t>
      </w:r>
      <w:r>
        <w:rPr>
          <w:rFonts w:ascii="Arial" w:cs="Arial" w:eastAsia="Arial" w:hAnsi="Arial"/>
          <w:sz w:val="17"/>
          <w:szCs w:val="17"/>
          <w:i w:val="1"/>
          <w:iCs w:val="1"/>
          <w:color w:val="auto"/>
        </w:rPr>
        <w:t>New York</w:t>
      </w:r>
      <w:r>
        <w:rPr>
          <w:rFonts w:ascii="Arial" w:cs="Arial" w:eastAsia="Arial" w:hAnsi="Arial"/>
          <w:sz w:val="17"/>
          <w:szCs w:val="17"/>
          <w:color w:val="auto"/>
        </w:rPr>
        <w:t xml:space="preserve"> loss of use claim, as described below, and $5.8 million of gains in 2013 from the sales of underutilized assets. The increase in dredging segment operating income was partially offset by an increase in general and administrative expenses, specifically related to payroll, legal and professional fees and technical and consulting fees in 2013.</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In May 2013, the Company concluded its litigation regarding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loss of use claim. In January 2008, the Company filed suit against the M/V </w:t>
      </w:r>
      <w:r>
        <w:rPr>
          <w:rFonts w:ascii="Arial" w:cs="Arial" w:eastAsia="Arial" w:hAnsi="Arial"/>
          <w:sz w:val="18"/>
          <w:szCs w:val="18"/>
          <w:i w:val="1"/>
          <w:iCs w:val="1"/>
          <w:color w:val="auto"/>
        </w:rPr>
        <w:t>Orange Sun</w:t>
      </w:r>
      <w:r>
        <w:rPr>
          <w:rFonts w:ascii="Arial" w:cs="Arial" w:eastAsia="Arial" w:hAnsi="Arial"/>
          <w:sz w:val="18"/>
          <w:szCs w:val="18"/>
          <w:color w:val="auto"/>
        </w:rPr>
        <w:t xml:space="preserve"> and her owners for damages incurred by the Company in connection with the allision in the approach channel to Port Newark, New Jersey. The Company received $13.3 million which is included in proceeds from loss of use claim in the consolidated statement of operations for the year ended December 31, 2013.</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Environmental &amp; remediation segment operating loss was $3.3 million for 2013. This loss was driven by general and administrative expenses of which $8.4 million related to the Terra business acquired on December 31, 2012.</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Company’s net interest expense for 2013 totaled $21.9 million compared with $20.9 million in 2012. The slight increase is primarily due to interest related to the Company’s borrowings under the revolving credit facility.</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Income tax expense in 2013 was $10.5 million compared to $5.4 million in 2012. This $5.1 million increase is primarily the result of the improved operating income in 2013. The effective tax rate for the year ended December 31, 2013 was 34.5% compared to 46.3% for the year ended December 31, 2012. The reduction in the effective tax rate is primarily attributable to additional benefits in 2013 from state income tax and research and development credits.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the year ended December 31, 2013, net income from continuing operations was $19.9 million compared to net income from continuing operations of $6.3 million for the year ended December 31, 2012. This $13.6 million increase was primarily driven by the higher dredging operating income, as described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Adjusted EBITDA from continuing operations (as defined on page 43) was $98.9 million and $74.7 million for the years ended December 31, 2013 and 2012, respectively. The increase of $24.2 million, or 32.4%, is related to the increase in dredging segment operating income described above. In 2013, the Company recorded $46.6 million of depreciation and amortization expense that is included as a component of operating income, but is excluded for the purposes of calculating Adjusted EBITDA from continuing operations. The depreciation and amortization expense recorded in 2012 was $37.4 million. In 2013, the Company incurred $2.4 million of additional depreciation and amortization from the Terra business and $5.8 million of additional depreciation at the dredging segment for the capital expenditures from the prior year. During 2012, the Company incurred $4.7 million of accelerated maintenance expenses related to preparation of vessels for the Wheatstone project in Australia that are recognized in the Company’s operating income. The Company does not frequently incur significant accelerated maintenance as a part of its international deployments. We have therefore excluded these accelerated maintenance expenses from the calculation of Adjusted EBITDA from continuing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Total revenue was $588.4 million in 2012, an increase of $68.3 million, or 13.1%, from 2011 total revenue of $520.1 million. Higher domestic and foreign capital dredging revenue as well as maintenance revenues were driven by strong execution on prior year backlog and early stages of mobilization for the Wheatstone LNG project in Western Australia. The increases in total revenue were partially offset by declines in coastal protection revenues with fewer contracts performed in 2012 as compared to the larger than normal number of contracts performed in 2011.</w:t>
      </w:r>
    </w:p>
    <w:p>
      <w:pPr>
        <w:spacing w:after="0" w:line="17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Revenues from domestic capital dredging projects of $175.3 million in 2012 increased $19.0 million, or 12.2%, from 2011 revenues of $156.3 million. The Company executed substantially all of its entire backlog from 2011 in addition to 82% of the awards won in 2012. Coastal restoration projects in Louisiana added $58.4 million to domestic capital dredging revenue in the current year, compared to $2.2 million in the prior year. This increase was partially offset by a greater number of domestic capital projects worked in the prior year, including the remaining work on the construction of sand berms off the coast of Louisiana, which accounted for approximately $20.6 million of 2011 revenue that did not reoccur in 2012.</w:t>
      </w:r>
    </w:p>
    <w:p>
      <w:pPr>
        <w:spacing w:after="0" w:line="17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Revenues from foreign dredging operations in 2012 totaled $112.2 million, an increase of $35.0 million, or 45.3%, from 2011 revenues of $77.2 million. 2012 foreign revenue was driven higher with a greater number of large value contracts earned in our Middle East business and early stages of mobilization for the Wheatstone LNG project in Western Australia. Four contracts in our foreign operations comprised over 90% of the revenue earned in 2012.</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Revenues from coastal protection projects of $126.9 million in 2012 decreased $8.3 million, or 6.1%, from $135.2 million in 2011. A significant increase in coastal protection projects were bid and awarded in 2011. The Company was able to convert a portion of these prior year awards into revenue in 2011 as the dredging work was performed and revenue was earned. In 2012, less bids for coastal protection were let to bid and they were awarded later in year causing fewer days in which to earn revenue. Additionally, the Company performed emergency work in New York City after Superstorm Sandy that deferred some of the ongoing coastal protection projects.</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Revenues from maintenance dredging projects in 2012 were $137.9 million, an increase of $21.9 million, or 18.9%, from $116.0 million in 2011. The Company performed a greater number of contracts at a larger dollar value in 2012 as compared to the prior year. An increased backlog at December 31, 2011 combined with larger dollar value of contracts awarded and strong execution contributed to increase the revenue from maintenance dredging year over year. This increase in revenue was partially muted by atypically high revenue in the first half of 2011 as the Company performed maintenance projects that had been delayed from 2010.</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Revenues from rivers &amp; lakes projects were $35.9 million for 2012, an increase of $0.4 million, or 1.1%, from $35.5 million in 2011. Revenues were in line with the prior year as there was a slight rise in the number of contracts performed, especially for projects on the Mississippi River, which were offset by shorter length and lower value contracts than the prior year.</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environmental &amp; remediation segment includes our Terra business which did not operate as part of the Company prior to January 1, 2013. The historical demolition and site preparation businesses are a reporting unit of the environmental &amp; remediation segment, but are classified as discontinued and are currently held for sale.</w:t>
      </w:r>
    </w:p>
    <w:p>
      <w:pPr>
        <w:spacing w:after="0" w:line="18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Operating income for 2012 decreased 39.1% to $32.6 million, from $53.5 million in 2011 due to the lower gross profit described above, $11.7 million of gains in the prior year from sales of underutilized assets, and higher general and administrative expenses. The prior year also included $2.2 million of amortization of intangibles from the Rivers &amp; lakes acquisition that were fully amortized by the current year and partially offset the higher expenses.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net interest expense for 2012 totaled $20.9 million compared with $21.4 million in 2011. This decrease is primarily due to the Company’s issuance of $250 million of 7.375% senior notes and the related redemption of the Company’s $175 million of 7.75% senior subordinated notes in the 2011 first quarter. Due to timing requirements, both of these note issuances were outstanding and accruing interest for approximately 30 days in 2011, resulting in duplicative interest expense of approximately $1.1 million. In addition, in 2012 the Company realized a $0.1 million gain on interest rate swaps, while 2011 included a $0.4 million gain. Income tax expense in 2012 was $5.4 million compared to $9.9 million in 2011. This $4.5 million decrease is primarily the result of the decrease in the Company’s operating income. The effective tax rate for the year ended December 31, 2012 was 46.3% compared to 37.8% for the year ended December 31, 2011.</w:t>
      </w:r>
    </w:p>
    <w:p>
      <w:pPr>
        <w:spacing w:after="0" w:line="18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For the year ended December 31, 2012, net income from continuing operations was $11.7 million compared to net income from continuing operations of $26.3 million for the year ended December 31, 2011. This $14.6 million decrease was primarily driven by the lower operating income, net of taxes in 2012 as described above.</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Adjusted EBITDA from continuing operations (as defined on page 37) was $74.7 million and $90.1 million for the years ended December 31, 2012 and 2011, respectively. The decrease of $15.4 million, or 17.1%, is related to the decrease in dredging segment operating income described above. In 2012, the Company recorded $37.4 million of depreciation and amortization expense that is included as a component of operating income, but is excluded for the purposes of calculating Adjusted EBITDA from continuing operations. The depreciation and amortization expense recorded in 2011 was $37.3 million. During 2012, the Company incurred $4.7 million of accelerated maintenance expenses related to preparation of vessels for the Wheatstone project in Australia that are recognized in the Company’s operating income. The Company does not frequently incur significant accelerated maintenance as a part of its international deployments. We have therefore excluded these accelerated maintenance expenses from the calculation of Adjusted EBITDA from continuing operations.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by segment and type of dredging work, the Company’s backlog as of the dates indicated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Backlog</w:t>
            </w:r>
          </w:p>
        </w:tc>
        <w:tc>
          <w:tcPr>
            <w:tcW w:w="16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Capital—U.S.</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176,117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43,177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109,897</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98,666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218,953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78,379</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Coastal protection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143,498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80,245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84,607</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70,633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22,406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31,293</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Rivers &amp; lakes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26,158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24,510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15,256</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Dredging Backlog</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515,072</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389,291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319,432</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Environmental &amp; remediation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28,330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31,006 †</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Backlog</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543,402</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420,297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319,432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20" w:right="80" w:hanging="212"/>
        <w:spacing w:after="0" w:line="277"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December 31, 2012 environmental &amp; remediation backlog includes backlog acquired by the Company on December 31, 2012 in connection with the Terra acquisition.</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necessarily indicative of future revenues or profitability. Also, 75% of the Company’s 2013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Approximately 91% of the Company’s backlog at December 31, 2013 is expected to be completed and converted into revenue in 2014.</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2013 domestic dredging bid market totaled $1,276.1 million, a 35.8% increase from the 2012 domestic dredging bid market of $939.3 million. The 2013 bid market saw significantly higher coastal protection contracts let to bid than in the prior year, specifically 200% over the amount of projects let to bid in all of 2012. Much of this work was funded by a special appropriations bill passed in response to Superstorm Sandy to restore miles of coastline damaged by the storm. The 2013 domestic capital dredging bid market greatly increased from the prior year primarily due to the addition of the first two phases of the PortMiami project. Partially offsetting this increase were decreases in contract values let to bid in the maintenance dredging and rivers &amp; lakes markets in the current year. The Company won 54% of the overall 2013 domestic bid market, significantly above its 37% win rate of the overall 2012 domestic bid market. The Company’s prior three-year average win rate is 37%. Variability in contract wins from period to period is not unusual. The Company believes trends in its win rate over the prior three year periods provide a historical background against which current year results can be compared.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Company’s December 31, 2013 contracted dredging backlog was $515.1 million. This represents an increase of $125.8 million, or 32.3%, over the Company’s December 31, 2012 dredging backlog of $389.3 million. These amounts do not reflect approximately $136.4 million of domestic low bids pending formal award and additional phases (“options”) pending on projects currently in backlog. At December 31, 2012 the amount of domestic low bids pending award was $82.1 million. Backlog at December 31, 2013 includes $151 million related to the first two phases of the PortMiami deepening project that was awarded in the current year. Excluding the backlog for this project, the remaining increase in the Company’s annual dredging backlog is attributable to higher value coastal protection and maintenance projects won by the Company in 2013 compared to the prior year.</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won 65%, or $284.3 million, of the domestic capital dredging projects awarded in 2013. Significant new awards during the year included $174.1 million for the PortMiami deepening project, a New York harbor deepening project and a Louisiana coastal restoration project. Approximately $176.1 million, or 34%, of the Company’s December 31, 2013 contracted dredging backlog consists of domestic capital dredging work, a substantial portion of which is expected to be performed in 2014. Domestic capital dredging backlog at December 31, 2013 was $132.9 million greater than the prior year. Subsequent to year end, the Company was awarded the remaining option of $31.6 million on the PortMiami project, bringing the total contract value to $205.7 million. The government is operating under an approved fiscal year 2014 budget which provided an increase in funding for the Corps. Both the President and Congress continue to put a focus on the importance of our ports to the U.S. economy. Additional funding for work in the Port of Savannah was specifically appropriated in this budget. The Company also anticipates an active bid market related to coastal restoration work in the Gulf over the next twelve months.</w:t>
      </w:r>
    </w:p>
    <w:p>
      <w:pPr>
        <w:spacing w:after="0" w:line="197" w:lineRule="exact"/>
        <w:rPr>
          <w:sz w:val="20"/>
          <w:szCs w:val="20"/>
          <w:color w:val="auto"/>
        </w:rPr>
      </w:pPr>
    </w:p>
    <w:p>
      <w:pPr>
        <w:ind w:right="340" w:firstLine="456"/>
        <w:spacing w:after="0" w:line="288" w:lineRule="auto"/>
        <w:rPr>
          <w:sz w:val="20"/>
          <w:szCs w:val="20"/>
          <w:color w:val="auto"/>
        </w:rPr>
      </w:pPr>
      <w:r>
        <w:rPr>
          <w:rFonts w:ascii="Arial" w:cs="Arial" w:eastAsia="Arial" w:hAnsi="Arial"/>
          <w:sz w:val="16"/>
          <w:szCs w:val="16"/>
          <w:color w:val="auto"/>
        </w:rPr>
        <w:t>Foreign capital dredging backlog decreased to $98.7 million at December 31, 2013 from $219.0 million at the end of 2012. The decrease in the Company’s foreign backlog is a result of the conclusion of our work on a large land reclamation project in Bahrain which the Company worked on since 2006. Additionally, the Company continued to earn on the Wheatstone LNG project, a project in Brazil and a project in Qatar which decreased backlog in</w:t>
      </w:r>
    </w:p>
    <w:p>
      <w:pPr>
        <w:ind w:right="300"/>
        <w:spacing w:after="0" w:line="254" w:lineRule="auto"/>
        <w:rPr>
          <w:sz w:val="20"/>
          <w:szCs w:val="20"/>
          <w:color w:val="auto"/>
        </w:rPr>
      </w:pPr>
      <w:r>
        <w:rPr>
          <w:rFonts w:ascii="Arial" w:cs="Arial" w:eastAsia="Arial" w:hAnsi="Arial"/>
          <w:sz w:val="18"/>
          <w:szCs w:val="18"/>
          <w:color w:val="auto"/>
        </w:rPr>
        <w:t>2013. The Company continues to look for work internationally to fully utilize our fleet of vessels. Growth around developing urban areas has spurred land reclamation and large public projects involving dredging to support expanding populations. Global energy demand necessitates improvements in the infrastructure base around sources of rich resources and countries that import global energy. The Company expects the increase in global population and transportation to provide a source of increased future international revenue.</w:t>
      </w:r>
    </w:p>
    <w:p>
      <w:pPr>
        <w:spacing w:after="0" w:line="19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won 57%, or $245.2 million, of the coastal protection projects awarded in 2013. A majority of coastal protection projects won during 2013 were for communities in Florida as well as beaches on the New York/New Jersey coast needed as a result of Superstorm Sandy which impacted the East Coast of the U.S. causing damage to a wide area of private and public infrastructure including severe erosion in many beachfront communities. The Company has contracted dredging backlog related to coastal protection of $143.5 million at December 31, 2013 compared to $80.2 million at the end of 2012. The Company expects to perform its entire coastal protection backlog throughout 2014. In January 2013, the President signed legislation appropriating $50.5 billion in emergency funds to assist the needed relief for the region. These monies are helping people rebuild their homes and communities which in many cases abut the coastline and rely upon the beach. The legislation included nearly $4 billion for long-term Corps projects to clear navigation channels, renourish damaged beaches and mitigate shore erosion from future storms. The Company expects the second wave of projects related to the Sandy funding to be released in the second half of 2014.</w:t>
      </w:r>
    </w:p>
    <w:p>
      <w:pPr>
        <w:spacing w:after="0" w:line="18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won 37%, or $131.3 million, of the maintenance dredging projects awarded in 2013. The Corps awarded several large maintenance projects in the year including two projects in New York/New Jersey totaling $45.2 million, a $10.3 million harbor project in Maryland and six projects in Florida and Georgia. The Company has contracted maintenance dredging backlog at December 31, 2013 of $70.6 million which is $48.2 million higher than the backlog of $22.4 million at December 31, 2012. The Corps’ approved fiscal year 2014 budget includes new funding specifically appropriated for port maintenance dredging. Additionally, the Senate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and the House passed versions of the </w:t>
      </w:r>
      <w:r>
        <w:rPr>
          <w:rFonts w:ascii="Arial" w:cs="Arial" w:eastAsia="Arial" w:hAnsi="Arial"/>
          <w:sz w:val="18"/>
          <w:szCs w:val="18"/>
          <w:i w:val="1"/>
          <w:iCs w:val="1"/>
          <w:color w:val="auto"/>
        </w:rPr>
        <w:t>Water Resources Reform and Development Act</w:t>
      </w:r>
      <w:r>
        <w:rPr>
          <w:rFonts w:ascii="Arial" w:cs="Arial" w:eastAsia="Arial" w:hAnsi="Arial"/>
          <w:sz w:val="18"/>
          <w:szCs w:val="18"/>
          <w:color w:val="auto"/>
        </w:rPr>
        <w:t xml:space="preserve"> in 2013 which includes language that will require over time, more money from the Harbor Maintenance Trust Fund (“HMTF”) to be spent on maintenance dredging. The differences in the bills are currently being resolved and we expect passage by the summer of 2014.</w:t>
      </w:r>
    </w:p>
    <w:p>
      <w:pPr>
        <w:spacing w:after="0" w:line="18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Rivers &amp; lakes won 73%, or $31.2 million, of the projects in the markets where the group operates. Rivers &amp; lakes has contracted backlog of $26.2 million at December 31, 2013 which is $1.6 million more than the backlog at December 31, 2012. Rivers &amp; lakes awards in 2013 included a significant remediation project in the Midwest with Terra and a large dredging project in Kansas. Subsequent to year end, the Company was awarded an $89 million project on Lake Decatur in Illinois.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Environmental &amp; remediation services backlog was $28.3 million and $31.0 million at December 31, 2013 and 2012, respectively, a decrease of $2.7 million year over year. During 2013, the Company was awarded a large environment remediation project in Michigan. Environmental &amp; remediation earned revenue on this project during the year along with other backlog acquired as part of the Terra acquisition in 2012. The Company continued to work on the brownfield remediation project in New Jersey. The decrease in backlog is the result of the revenue earned during 2013.</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Company’s principal sources of liquidity are net cash flows provided by operating activities, the Company’s revolving credit facility and proceeds from previous issuances of long term debt. See Note 7 in the Company’s consolidated financial statements. The Company’s principal uses of cash are to meet debt service requirements, finance capital expenditures, provide working capital and other general corporate purposes.</w:t>
      </w:r>
    </w:p>
    <w:p>
      <w:pPr>
        <w:spacing w:after="0" w:line="16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Company’s net cash provided by (used in) operating activities for the years ended December 31, 2013, 2012 and 2011 totaled $74.8 million, $(1.9) million and $24.6 million, respectively. Normal increases or decreases in the level of working capital relative to the level of operational activity impact cash flow from operating activities. In 2013, the increase in net cash provided by operating activities was primarily the result of higher adjusted EBITDA from continuing operations and the recovery of investment in working capital on two significant projects as compared to the same period in the prior year. During 2012, the Company invested nearly $60 million in working capital on these two projects.</w:t>
      </w:r>
    </w:p>
    <w:p>
      <w:pPr>
        <w:spacing w:after="0" w:line="173"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The Company’s net cash flows used in investing activities for the years ended December 31, 2013, 2012 and 2011 totaled $46.3 million, $63.4 million and $16.7 million, respectively. Investing activities in all periods primarily relate to normal course upgrades and capital maintenance of the Company’s dredging fleet. During December 31, 2013, the Company spent $17.1 million, compared to $10.4 million in the prior year, on construction in progress for a vessel being built to our specifications. The Company intends to secure financing during construction and upon completion of the vessel. Additionally, the Company sold two vessels during the year which accounted for $6.7 million in proceeds from dispositions of property and equipment. In the prior year the Company overhauled the engines on the dredge Alaska to provide increased useful life and efficiency which accounted for $5.5 million of investing capital expenditures in 2012. Additionally, the Company spent $13.7 million building a semi-permanent pipeline and purchased a storage yard for $6.4 million during 2012. In 2011, the Company sold the dredges Northerly Island and Victoria Island along with a parcel of land in Channelview, TX adding $15.6 million in proceeds from dispositions of property and equipment.</w:t>
      </w:r>
    </w:p>
    <w:p>
      <w:pPr>
        <w:spacing w:after="0" w:line="18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Company’s net cash flows provided by (used in) financing activities for the years ended December 31, 2013, 2012 and 2011 totaled $22.5 million, $(23.6) million and $57.4 million, respectively. The increase in cash provided by financing activities was primarily due to net borrowings of $35 million on the Company’s revolving credit facility. Additionally during 2012, the Company paid dividends of $18.6 million and financing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fees of $2.0 million related to the revolving credit facility. No dividends or financing fees were paid in 2013. Slightly offsetting the increase, the Company paid $10.5 million on a promissory note related to the Terra acquisition during 2013. The Company issued $250 million of 7.375% senior notes in 2011, resulting in $244.2 million of net proceeds. The Company used a portion of these net proceeds to redeem its $175 million of 7.75% senior subordinated notes in the first three months of 2011 for $180.0 million, which included a redemption premium and unpaid interest. The Company also paid $6.0 million in financing fees on the issuance of the senior notes in 2011.</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being in pro forma compliance with the existing financial covenants after giving effect to the increase and other standard conditions. The prior credit agreement with Bank of America N.A. was terminated.</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2013, the Company had $35.0 million of borrowings and $89.0 million of letters of credit outstanding, resulting in $51.0 million of availability under the Credit Agreement.</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Separately, the Company determined that a perfection trigger event had occurred under the Credit Agreement. As a result, the outstanding obligations under the Credit Agreement, which were previously unsecured, became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liens securing the obligations under the Credit Agreement can occur until the Company has delivered to the lenders its audited financial statements with respect to its fiscal year ending December 31, 2013.</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demolition projects. The Company has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 million to $10 million. At December 31, 2013, the Company had outstanding performance bonds with a notional amount of approximately $819.6 million of which $81.8 million relates to projects accounted for in discontinued operations. The revenue value remaining in backlog related to the projects of continuing operations totaled approximately $405.6 million.</w:t>
      </w:r>
    </w:p>
    <w:p>
      <w:pPr>
        <w:spacing w:after="0" w:line="17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to its credit facility, the Company has a $24 million International Letter of Credit Facility with Wells Fargo Bank, National Association, as successor by merger to Wells Fargo HSBC Trade Bank. This facility is used for performance and advance payment guarantees on foreign contracts, including our long-term land reclamation project in Bahrain. The Company’s obligations under the agreement are collateralized by the Company’s foreign accounts receivable. In addition, the Export-Import Bank of the United States (“Ex-Im Bank”) has issued a guarantee under the Ex-Im Bank’s Working Capital Guarantee Program, which covers 90% of the obligations owing under the facility. The Company had no letters of credit issued under this facility at December 31, 2013. At December 31, 2012, the Company also failed to the meet the International Letter of Credit Facility’s requirement of maintaining a minimum fixed charge coverage ratio of 1.25 to 1.0. On March 15, 2013, the Company executed a Waiver to the International Letter of Credit Facility (the “LC Waiver”) pursuant to which the counterparties thereto agreed, among other things, to waive any default, event of default, or possible event of default, as applicable, related to the Company’s failure to meet the above-described financial covenant in the International Letter of Credit Facility.</w:t>
      </w:r>
    </w:p>
    <w:p>
      <w:pPr>
        <w:spacing w:after="0" w:line="16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In January 2011, the Company issued $250 million in aggregate principal amount of its 7.375% senior notes due February 1, 2019. Approximately $180 million of the net proceeds from the issuance of the senior notes was used to prepay all of the Company’s 7.75% senior subordinated notes due December 2013, including prepayment premiums and accrued and unpaid interest. The remaining net proceeds from the issuance of the senior notes will be used for general corporate purposes, which may include acquisitions.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8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paid dividends of $3.7 million through the first three quarters of 2012. In the fourth quarter of 2012, the board of directors paid a special dividend of $14.9 million representing quarterly dividends that likely would have been declared in the fourth quarter 2012 as well as the acceleration of dividends for the four quarters of 2013 plus an additional return of capital. Prior to that, the Company paid dividends of approximately $1.2 million each quarter, beginning in the second quarter of 2011, and approximately $1.0 million each quarter prior to that in 2011. The future declaration and payment of dividends will be at the discretion of the Company’s board of directors and will depend on many factors, including general economic and business conditions, the Company’s strategic plans, its financial results and condition and legal requirements, including restrictions and limitations contained in the Credit Agreement, bonding agreement and the indenture relating to its senior notes. Accordingly, the Company cannot make any assurances as to the size of any such dividend or that it will pay any such dividend in future quarters.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Australian Dollar and the Brazilian Real, is reflected in the cumulative translation adjustment—net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summarizes the Company’s contractual cash obligations at December 31, 2013. Additional information related to these obligations can be found in Note 7 and Note 12 to the Company’s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2"/>
          </w:tcPr>
          <w:p>
            <w:pPr>
              <w:ind w:left="100"/>
              <w:spacing w:after="0"/>
              <w:rPr>
                <w:sz w:val="20"/>
                <w:szCs w:val="20"/>
                <w:color w:val="auto"/>
              </w:rPr>
            </w:pPr>
            <w:r>
              <w:rPr>
                <w:rFonts w:ascii="Arial" w:cs="Arial" w:eastAsia="Arial" w:hAnsi="Arial"/>
                <w:sz w:val="14"/>
                <w:szCs w:val="14"/>
                <w:b w:val="1"/>
                <w:bCs w:val="1"/>
                <w:color w:val="auto"/>
                <w:w w:val="94"/>
              </w:rPr>
              <w:t>Obligations coming due in year(s) ending:</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(1)</w:t>
            </w: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0"/>
                <w:szCs w:val="10"/>
                <w:color w:val="auto"/>
              </w:rPr>
            </w:pPr>
          </w:p>
        </w:tc>
        <w:tc>
          <w:tcPr>
            <w:tcW w:w="70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2015-</w:t>
            </w:r>
          </w:p>
        </w:tc>
        <w:tc>
          <w:tcPr>
            <w:tcW w:w="300" w:type="dxa"/>
            <w:vAlign w:val="bottom"/>
          </w:tcPr>
          <w:p>
            <w:pPr>
              <w:spacing w:after="0"/>
              <w:rPr>
                <w:sz w:val="10"/>
                <w:szCs w:val="10"/>
                <w:color w:val="auto"/>
              </w:rPr>
            </w:pPr>
          </w:p>
        </w:tc>
        <w:tc>
          <w:tcPr>
            <w:tcW w:w="5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2018-</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2021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Long term bank debt (2)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Senior notes (3)</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343.7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commitments (4)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53.5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584.3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91.4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207.1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282.5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Excluded from the above table are $0.2 million in liabilities for uncertain tax positions for which the period of settlement is not determinable.</w:t>
      </w:r>
    </w:p>
    <w:p>
      <w:pPr>
        <w:spacing w:after="0" w:line="34" w:lineRule="exact"/>
        <w:rPr>
          <w:rFonts w:ascii="Arial" w:cs="Arial" w:eastAsia="Arial" w:hAnsi="Arial"/>
          <w:sz w:val="17"/>
          <w:szCs w:val="17"/>
          <w:color w:val="auto"/>
        </w:rPr>
      </w:pPr>
    </w:p>
    <w:p>
      <w:pPr>
        <w:ind w:left="460" w:right="2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credit agreement. At December 31, 2013, total outstanding on this facility was $35 million. Includes cash interest payments calculated at variable rates between 2.46% and 2.50%.</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cash interest payments calculated at stated fixed rate of 7.375%.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payments for vessels being built to Company specifications and other contract related commitments.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had outstanding letters of credit relating to foreign contract guarantees and insurance payment liabilities totaling $76.9 million at December 31, 2013. The Company has granted liens in 2013 subsequent to the end of the prior fiscal year on a substantial portion of its owned operating equipment as security for borrowings under its Credit Agreement. The Company’s Credit Agreement, bonding agreement and the indenture relating to its senior notes also contain provisions that require the Company to maintain certain financial ratios and restrict its ability to pay dividends, incur indebtedness, create liens, and take certain other actions. The Company did not meet one of its financial covenants in the Credit Agreement and the International Letter of Credit Facility at December 31, 2012. Both the Credit Agreement and the International Letter of Credit Facility require the Company to maintain a minimum fixed charge coverage ratio of 1.25 to 1.0. The Company’s fixed charge coverage ratio as of December 31, 2012 was 1.12x, resulting in an event of default under the Credit Agreement and the International Letter of Credit Facility. On March 15, 2013, the counterparties thereto agreed,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among other things, to waive any default, event of default, or possible event of default, as applicable, related to the Company’s failure to meet the above-described financial covenant in the Credit Agreement and the International Letter of Credit Facility.</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finances certain key vessels, office space, and other equipment used in its operations with off-balance sheet operating lease arrangements with unrelated lessors, requiring annual rentals of $18.6 million which decline to $1.5 million over the next nine years subject to future lease arrangements. These off-balance sheet leases contain default provisions, which are triggered by an acceleration of debt maturity under the terms of the Company’s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At December 31, 2013, the Company had outstanding performance bonds with a notional amount of approximately $819.6 million of which $81.8 million relates to projects accounted for in discontinued operations. The revenue value remaining in backlog related to the projects of continuing operations totaled approximately $405.6 million.</w:t>
      </w:r>
    </w:p>
    <w:p>
      <w:pPr>
        <w:spacing w:after="0" w:line="181"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three to five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it unlikely that it would have to perform under any of the aforementioned contingent obligations, other than operating leases.</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60" w:firstLine="456"/>
        <w:spacing w:after="0" w:line="276" w:lineRule="auto"/>
        <w:rPr>
          <w:sz w:val="20"/>
          <w:szCs w:val="20"/>
          <w:color w:val="auto"/>
        </w:rPr>
      </w:pPr>
      <w:r>
        <w:rPr>
          <w:rFonts w:ascii="Arial" w:cs="Arial" w:eastAsia="Arial" w:hAnsi="Arial"/>
          <w:sz w:val="17"/>
          <w:szCs w:val="17"/>
          <w:color w:val="auto"/>
        </w:rPr>
        <w:t>A significant portion of the Company’s current dredging operations are conducted outside of the U.S., primarily in the Middle East, Australia and Brazil. It is the Company’s policy to hedge foreign currency exchange risk on contracts denominated in currencies other than the U.S. dollar, if available. Currently, the majority of the Company’s foreign dredging work is in Bahrain. The currency in Bahrain, the Bahraini Dinar, is linked to the U.S. dollar; therefore, there is no foreign currency exposure on these transactions. Additionally, there are no current contracts in Australia or Brazil that present any foreign currency exposure. At December 31, 2013, the Company had no foreign exchange forward contracts outstanding.</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At December 31, 2013, the Company had long-term senior notes outstanding with a recorded book value of $250.0 million. The fair value of these notes, which bear interest at a fixed rate of 7.375%, was $261.3 million at December 31, 2013 based on market prices. Assuming a 10% decrease in interest rates from the rates at December 31, 2013 the fair value of this fixed rate debt would have increased to $269.7 million.</w:t>
      </w:r>
    </w:p>
    <w:p>
      <w:pPr>
        <w:spacing w:after="0" w:line="16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significant operating cost for the Company is diesel fuel, which represents approximately 13% of the Company’s costs of contract revenues. The Company uses fuel commodity forward contracts, typically with durations of less than one year, to reduce the impacts of changing fuel prices on operations. The Company does not purchase fuel hedges for trading purposes. Based on the Company’s 2014 projected domestic fuel consumption, a 10% increase in the average price per gallon of fuel would have an immaterial effect on fuel expense, after the effect of fuel commodity contracts in place at December 31, 2013. At December 31, 2013 the Company had outstanding arrangements to hedge the price of a portion of its fuel purchases related to domestic dredging work in backlog, representing approximately 80% of its anticipated domestic fuel requirements for 2012. As of December 31, 2013, there were 6.5 million gallons remaining on these contracts. Under these agreements, the Company will pay fixed prices ranging from $2.87 to $3.14 per gallon. At December 31, 2013, the fair value asset on these contracts was estimated to be $0.3 million, based on quoted market prices and 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recorded in other current assets. A 10% change in forward fuel prices would result in an immaterial change in the fair value of fuel hedges outstanding at December 31, 2013.</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consolidated financial statements (including financial statement schedules listed under Item 15 of this Report) of the Company called for by this Item, together with the Report of Independent Registered Public Accounting Firm dated March 11, 2014, are set forth on pages 64 to 103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tables set forth our unaudited quarterly results of operations for 2013 and 2012.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 presented. You should read this quarterly financial data along with the Condensed Consolidated Financial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and the related notes to those statements included in our Quarterly Reports on Form 10-Q filed with the Commission. The operating results for any quarter are not necessarily indicative of the results for the annual period or any future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6"/>
              </w:rPr>
              <w:t>Quarter Ended</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8"/>
              <w:spacing w:after="0" w:line="119" w:lineRule="exact"/>
              <w:rPr>
                <w:sz w:val="20"/>
                <w:szCs w:val="20"/>
                <w:color w:val="auto"/>
              </w:rPr>
            </w:pPr>
            <w:r>
              <w:rPr>
                <w:rFonts w:ascii="Arial" w:cs="Arial" w:eastAsia="Arial" w:hAnsi="Arial"/>
                <w:sz w:val="13"/>
                <w:szCs w:val="13"/>
                <w:b w:val="1"/>
                <w:bCs w:val="1"/>
                <w:color w:val="auto"/>
              </w:rPr>
              <w:t>Unaudited</w:t>
            </w:r>
          </w:p>
        </w:tc>
        <w:tc>
          <w:tcPr>
            <w:tcW w:w="6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(dollars in millions except shares in thousands and per share data)</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Contract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180.2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147.1</w:t>
            </w: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187.9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transactions—net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Income from continuing operations before income</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Loss from discontinued operations, net of income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Net income (loss) attributable to common</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stockholders of Great Lakes Dredge &amp; Dock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 attributable to income from</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0.15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rPr>
              <w:t>Basic loss per share attributable to loss on discontinued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operations, net of income taxes</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(loss) per share attributable to common</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of Great Lakes Dredge &amp; Dock</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0.02</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share attributable to income from</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0.15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rPr>
              <w:t>Diluted loss per share attributable to loss 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discontinued operations, net of income taxes</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(loss) per share attributable to common</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of Great Lakes Dredge &amp; Dock</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0.02</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6"/>
              </w:rPr>
              <w:t>Quarter Ended</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8"/>
              <w:spacing w:after="0" w:line="119" w:lineRule="exact"/>
              <w:rPr>
                <w:sz w:val="20"/>
                <w:szCs w:val="20"/>
                <w:color w:val="auto"/>
              </w:rPr>
            </w:pPr>
            <w:r>
              <w:rPr>
                <w:rFonts w:ascii="Arial" w:cs="Arial" w:eastAsia="Arial" w:hAnsi="Arial"/>
                <w:sz w:val="13"/>
                <w:szCs w:val="13"/>
                <w:b w:val="1"/>
                <w:bCs w:val="1"/>
                <w:color w:val="auto"/>
              </w:rPr>
              <w:t>Unaudited</w:t>
            </w:r>
          </w:p>
        </w:tc>
        <w:tc>
          <w:tcPr>
            <w:tcW w:w="6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(dollars in millions except shares in thousands and per share data)</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Contract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123.7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135.4</w:t>
            </w: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138.9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(113.6)</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Gain on sale of assets—net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expense—net</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joint ventures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on foreign currency transactions—net</w:t>
            </w: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340"/>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income (loss) attributable to common</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stockholders of Great Lakes Dredge &amp; Dock</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 attributable to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from continuing operations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(0.05)</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(loss) per share attributable to loss 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 net of income taxes</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9"/>
        </w:trPr>
        <w:tc>
          <w:tcPr>
            <w:tcW w:w="4840" w:type="dxa"/>
            <w:vAlign w:val="bottom"/>
            <w:gridSpan w:val="2"/>
          </w:tcPr>
          <w:p>
            <w:pPr>
              <w:spacing w:after="0"/>
              <w:rPr>
                <w:sz w:val="20"/>
                <w:szCs w:val="20"/>
                <w:color w:val="auto"/>
              </w:rPr>
            </w:pPr>
            <w:r>
              <w:rPr>
                <w:rFonts w:ascii="Arial" w:cs="Arial" w:eastAsia="Arial" w:hAnsi="Arial"/>
                <w:sz w:val="18"/>
                <w:szCs w:val="18"/>
                <w:color w:val="auto"/>
              </w:rPr>
              <w:t>Basic earnings (loss) per share attributable to common</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stockholders of Great Lakes Dredge &amp; Dock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(0.09)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310"/>
        </w:trPr>
        <w:tc>
          <w:tcPr>
            <w:tcW w:w="4840" w:type="dxa"/>
            <w:vAlign w:val="bottom"/>
            <w:gridSpan w:val="2"/>
          </w:tcPr>
          <w:p>
            <w:pPr>
              <w:spacing w:after="0"/>
              <w:rPr>
                <w:sz w:val="20"/>
                <w:szCs w:val="20"/>
                <w:color w:val="auto"/>
              </w:rPr>
            </w:pPr>
            <w:r>
              <w:rPr>
                <w:rFonts w:ascii="Arial" w:cs="Arial" w:eastAsia="Arial" w:hAnsi="Arial"/>
                <w:sz w:val="18"/>
                <w:szCs w:val="18"/>
                <w:color w:val="auto"/>
              </w:rPr>
              <w:t>Diluted earnings (loss) per share attributable to income</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from continuing operations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(0.05)</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(loss) per share attributable to loss 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 net of income taxes</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9"/>
        </w:trPr>
        <w:tc>
          <w:tcPr>
            <w:tcW w:w="4840" w:type="dxa"/>
            <w:vAlign w:val="bottom"/>
            <w:gridSpan w:val="2"/>
          </w:tcPr>
          <w:p>
            <w:pPr>
              <w:spacing w:after="0"/>
              <w:rPr>
                <w:sz w:val="20"/>
                <w:szCs w:val="20"/>
                <w:color w:val="auto"/>
              </w:rPr>
            </w:pPr>
            <w:r>
              <w:rPr>
                <w:rFonts w:ascii="Arial" w:cs="Arial" w:eastAsia="Arial" w:hAnsi="Arial"/>
                <w:sz w:val="18"/>
                <w:szCs w:val="18"/>
                <w:color w:val="auto"/>
              </w:rPr>
              <w:t>Diluted earnings (loss) per share attributable to common</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stockholders of Great Lakes Dredge &amp; Dock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(0.09)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Note: Items may not sum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 2013. Our disclosure controls and procedures are designed to provide reasonable assurance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78"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Based on that evaluation, the Chief Executive Officer and the Chief Financial Officer have concluded that the Company’s disclosure controls and procedures, as designed and implemented, were effective as of December 31, 2013.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the Company’s periodic reports.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Management had previously identified a material weakness in the Company’s internal control over financial reporting as of December 31, 2012 related to processes and controls to timely and consistently capture and analyze contract change orders in our demolition businesses and insufficient monitoring by corporate office personnel. During 2013, the Company implemented a number of changes in its internal control over financial reporting that have remediated the previously identified material weakness. As previously disclosed, the Company has implemented and executed the Company’s remediation plans, and as of December 31, 2013, such remediation plan was successfully tested and the material weakness was deemed remediated.</w:t>
      </w:r>
    </w:p>
    <w:p>
      <w:pPr>
        <w:spacing w:after="0" w:line="15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Other than those described above, there were no changes in our internal control over financial reporting (as defined in Rule 13a-15(f) under the Exchange Act) during the fiscal quarter ended December 31, 2013 that have materially affected, or are reasonably likely to materially affect, our internal control over financial reporting.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Management’s annual report on internal control over financial reporting</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published by the Committee of Sponsoring Organizations of the Treadway Commission (“COSO”) to evaluate the effectiveness of the Company’s internal control over financial reporting.</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the preparation of financial statements for external purposes in accordance with generally accepted accounting principles, and includes those policies and procedures that:</w:t>
      </w:r>
    </w:p>
    <w:p>
      <w:pPr>
        <w:spacing w:after="0" w:line="76" w:lineRule="exact"/>
        <w:rPr>
          <w:sz w:val="20"/>
          <w:szCs w:val="20"/>
          <w:color w:val="auto"/>
        </w:rPr>
      </w:pPr>
    </w:p>
    <w:p>
      <w:pPr>
        <w:ind w:left="900" w:right="1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89"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independent registered public accounting firm, Deloitte &amp; Touche LLP, who audited Great Lakes’ consolidated financial statements included in this Form 10-K, has issued a report on Great Lakes’ internal control over financial reporting, which is included herein.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has concluded that our internal control over financial reporting was effective as of December 31, 2013.</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s / J</w:t>
      </w:r>
      <w:r>
        <w:rPr>
          <w:rFonts w:ascii="Arial" w:cs="Arial" w:eastAsia="Arial" w:hAnsi="Arial"/>
          <w:sz w:val="15"/>
          <w:szCs w:val="15"/>
          <w:color w:val="auto"/>
        </w:rPr>
        <w:t>ONATHAN</w:t>
      </w:r>
      <w:r>
        <w:rPr>
          <w:rFonts w:ascii="Arial" w:cs="Arial" w:eastAsia="Arial" w:hAnsi="Arial"/>
          <w:sz w:val="18"/>
          <w:szCs w:val="18"/>
          <w:color w:val="auto"/>
        </w:rPr>
        <w:t xml:space="preserve"> W. B</w:t>
      </w:r>
      <w:r>
        <w:rPr>
          <w:rFonts w:ascii="Arial" w:cs="Arial" w:eastAsia="Arial" w:hAnsi="Arial"/>
          <w:sz w:val="15"/>
          <w:szCs w:val="15"/>
          <w:color w:val="auto"/>
        </w:rPr>
        <w:t>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W. Berger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Officer and Director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 W</w:t>
      </w:r>
      <w:r>
        <w:rPr>
          <w:rFonts w:ascii="Arial" w:cs="Arial" w:eastAsia="Arial" w:hAnsi="Arial"/>
          <w:sz w:val="15"/>
          <w:szCs w:val="15"/>
          <w:color w:val="auto"/>
        </w:rPr>
        <w:t>ILLIAM</w:t>
      </w:r>
      <w:r>
        <w:rPr>
          <w:rFonts w:ascii="Arial" w:cs="Arial" w:eastAsia="Arial" w:hAnsi="Arial"/>
          <w:sz w:val="18"/>
          <w:szCs w:val="18"/>
          <w:color w:val="auto"/>
        </w:rPr>
        <w:t xml:space="preserve"> S. S</w:t>
      </w:r>
      <w:r>
        <w:rPr>
          <w:rFonts w:ascii="Arial" w:cs="Arial" w:eastAsia="Arial" w:hAnsi="Arial"/>
          <w:sz w:val="15"/>
          <w:szCs w:val="15"/>
          <w:color w:val="auto"/>
        </w:rPr>
        <w:t>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William S. Steckel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11, 2014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Great Lakes Dredge &amp; Dock Corporation and subsidiaries (the “Company”) as of December 31, 2013,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2013, of the Company and our report dated March 11, 2014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2014</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Information regarding our executive officers is incorporated by reference herein from the discussion under </w:t>
      </w:r>
      <w:r>
        <w:rPr>
          <w:rFonts w:ascii="Arial" w:cs="Arial" w:eastAsia="Arial" w:hAnsi="Arial"/>
          <w:sz w:val="18"/>
          <w:szCs w:val="18"/>
          <w:i w:val="1"/>
          <w:iCs w:val="1"/>
          <w:color w:val="auto"/>
        </w:rPr>
        <w:t>Item 1. Business—Executive Officers</w:t>
      </w:r>
      <w:r>
        <w:rPr>
          <w:rFonts w:ascii="Arial" w:cs="Arial" w:eastAsia="Arial" w:hAnsi="Arial"/>
          <w:sz w:val="18"/>
          <w:szCs w:val="18"/>
          <w:color w:val="auto"/>
        </w:rPr>
        <w:t xml:space="preserve">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adopted a written code of business conduct and ethics that applies to all of its employees, including its principal executive officer, principal financial officer, controller, and persons performing similar functions. The Company’s code of ethics can be found on its website at www.gldd.com. The Company will post on our website any amendments to or waivers of the code of business conduct and ethics for executive officers or directors, in accordance with applicable laws and regulations.</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remaining information called for by this Item 10 is incorporated by reference herein from the discussions under the headings “Election of Directors,” “Board of Directors and Corporate Governance” and “Security Ownership of Certain Beneficial Owners and Management” and “Section 16(a) Beneficial Ownership Reporting Compliance” in the definitive Proxy Statement for the 2014 Annual Meeting of Stockholders.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Tables” and “Compensation Discussion and Analysis” and “Board of Directors and Corporate Governance” in the definitive Proxy Statement for the 2014 Annual Meeting of Stockholders.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Related Stockholder Matters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information required by Item 12 of Form 10-K is incorporated by reference herein from the discussion under the heading “Security Ownership of Certain Beneficial Owners and Management” and “Equity Compensation Plan Information” in our definitive Proxy Statement for the 2014 Annual Meeting of Stockholders.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“Board of Directors and Corporate Governance” and “Change of Control of the Company” and “Certain Relationships and Related Transactions” in the definitive Proxy Statement for the 2014 Annual Meeting of Stockholders.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information required by Item 14 of Form 10-K is incorporated by reference herein from the discussion under the heading “Matters Related to Independent Registered Public Accounting Firm” in the definitive Proxy Statement for the 2014 Annual Meeting of Stockholders.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report</w:t>
      </w:r>
    </w:p>
    <w:p>
      <w:pPr>
        <w:spacing w:after="0" w:line="13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set forth on pages 64 to 103 of this Report and are incorporated by reference in Item 8 of this Report.</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All other schedules, except Schedule II—Valuation and Qualifying Accounts on page 104, are omitted because they are not required or the required information is shown in the financial statements or notes thereto.</w:t>
      </w:r>
    </w:p>
    <w:p>
      <w:pPr>
        <w:spacing w:after="0" w:line="31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9"/>
            <w:vMerge w:val="restart"/>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9"/>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020" w:type="dxa"/>
            <w:vAlign w:val="bottom"/>
            <w:gridSpan w:val="9"/>
          </w:tcPr>
          <w:p>
            <w:pPr>
              <w:spacing w:after="0"/>
              <w:rPr>
                <w:sz w:val="20"/>
                <w:szCs w:val="20"/>
                <w:color w:val="auto"/>
              </w:rPr>
            </w:pPr>
            <w:r>
              <w:rPr>
                <w:rFonts w:ascii="Arial" w:cs="Arial" w:eastAsia="Arial" w:hAnsi="Arial"/>
                <w:sz w:val="18"/>
                <w:szCs w:val="18"/>
                <w:color w:val="auto"/>
              </w:rPr>
              <w:t>CONSOLIDATED FINANCIAL STATEMENTS AS OF DECEMBER 31, 2013 AND 2012, AND FOR THE YEARS ENDED DECEMBER 31,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20" w:type="dxa"/>
            <w:vAlign w:val="bottom"/>
            <w:gridSpan w:val="9"/>
          </w:tcPr>
          <w:p>
            <w:pPr>
              <w:ind w:left="180"/>
              <w:spacing w:after="0"/>
              <w:rPr>
                <w:sz w:val="20"/>
                <w:szCs w:val="20"/>
                <w:color w:val="auto"/>
              </w:rPr>
            </w:pPr>
            <w:r>
              <w:rPr>
                <w:rFonts w:ascii="Arial" w:cs="Arial" w:eastAsia="Arial" w:hAnsi="Arial"/>
                <w:sz w:val="18"/>
                <w:szCs w:val="18"/>
                <w:color w:val="auto"/>
              </w:rPr>
              <w:t>2013, 2012 AND 2011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2080" w:type="dxa"/>
            <w:vAlign w:val="bottom"/>
            <w:tcBorders>
              <w:bottom w:val="single" w:sz="8" w:color="0000EE"/>
            </w:tcBorders>
          </w:tcPr>
          <w:p>
            <w:pPr>
              <w:spacing w:after="0" w:line="190"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Consolidated Balance Sheets</w:t>
              </w:r>
            </w:hyperlink>
          </w:p>
        </w:tc>
        <w:tc>
          <w:tcPr>
            <w:tcW w:w="8560" w:type="dxa"/>
            <w:vAlign w:val="bottom"/>
            <w:gridSpan w:val="7"/>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240" w:type="dxa"/>
            <w:vAlign w:val="bottom"/>
            <w:tcBorders>
              <w:bottom w:val="single" w:sz="8" w:color="0000EE"/>
            </w:tcBorders>
            <w:gridSpan w:val="6"/>
          </w:tcPr>
          <w:p>
            <w:pPr>
              <w:spacing w:after="0" w:line="18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Income (Loss)</w:t>
              </w:r>
            </w:hyperlink>
          </w:p>
        </w:tc>
        <w:tc>
          <w:tcPr>
            <w:tcW w:w="6400" w:type="dxa"/>
            <w:vAlign w:val="bottom"/>
            <w:gridSpan w:val="2"/>
          </w:tcPr>
          <w:p>
            <w:pPr>
              <w:spacing w:after="0"/>
              <w:rPr>
                <w:sz w:val="17"/>
                <w:szCs w:val="17"/>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5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Equity</w:t>
              </w:r>
            </w:hyperlink>
          </w:p>
        </w:tc>
        <w:tc>
          <w:tcPr>
            <w:tcW w:w="8140" w:type="dxa"/>
            <w:vAlign w:val="bottom"/>
            <w:gridSpan w:val="6"/>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Statements of Cash Flows</w:t>
              </w:r>
            </w:hyperlink>
          </w:p>
        </w:tc>
        <w:tc>
          <w:tcPr>
            <w:tcW w:w="778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Notes to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Great Lakes Dredge &amp; Dock Corporation and subsidiaries (the “Company”) as of December 31, 2013 and 2012, and the related consolidated statements of operations, comprehensive income (loss), equity, and cash flows for each of the three years in the period ended December 31, 2013.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Great Lakes Dredge &amp; Dock Corporation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and our report dated March 11, 2014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6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75,338</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320"/>
              <w:spacing w:after="0"/>
              <w:rPr>
                <w:sz w:val="20"/>
                <w:szCs w:val="20"/>
                <w:color w:val="auto"/>
              </w:rPr>
            </w:pPr>
            <w:r>
              <w:rPr>
                <w:rFonts w:ascii="Arial" w:cs="Arial" w:eastAsia="Arial" w:hAnsi="Arial"/>
                <w:sz w:val="16"/>
                <w:szCs w:val="16"/>
                <w:color w:val="auto"/>
              </w:rPr>
              <w:t>Accounts receivable—net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96,515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124,215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Contract revenues in excess of billings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67,432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32,500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320"/>
              <w:spacing w:after="0"/>
              <w:rPr>
                <w:sz w:val="20"/>
                <w:szCs w:val="20"/>
                <w:color w:val="auto"/>
              </w:rPr>
            </w:pPr>
            <w:r>
              <w:rPr>
                <w:rFonts w:ascii="Arial" w:cs="Arial" w:eastAsia="Arial" w:hAnsi="Arial"/>
                <w:sz w:val="16"/>
                <w:szCs w:val="16"/>
                <w:color w:val="auto"/>
              </w:rPr>
              <w:t>Other current assets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39,953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Assets held for sale</w:t>
            </w: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45,104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660" w:type="dxa"/>
            <w:vAlign w:val="bottom"/>
          </w:tcPr>
          <w:p>
            <w:pPr>
              <w:ind w:left="960"/>
              <w:spacing w:after="0"/>
              <w:rPr>
                <w:sz w:val="20"/>
                <w:szCs w:val="20"/>
                <w:color w:val="auto"/>
              </w:rPr>
            </w:pPr>
            <w:r>
              <w:rPr>
                <w:rFonts w:ascii="Arial" w:cs="Arial" w:eastAsia="Arial" w:hAnsi="Arial"/>
                <w:sz w:val="16"/>
                <w:szCs w:val="16"/>
                <w:color w:val="auto"/>
              </w:rPr>
              <w:t>Total current assets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361,053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313,764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9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EQUIPMENT—Net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345,620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335,509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GOODWILL</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79,326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 Net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INVENTORIES—Noncurrent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38,496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37,392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JOINT VENTURES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ASSETS HELD FOR SALE—Noncurrent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8,856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32,661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852,645</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826,468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restart"/>
          </w:tcPr>
          <w:p>
            <w:pPr>
              <w:spacing w:after="0"/>
              <w:rPr>
                <w:sz w:val="9"/>
                <w:szCs w:val="9"/>
                <w:color w:val="auto"/>
              </w:rPr>
            </w:pPr>
          </w:p>
        </w:tc>
        <w:tc>
          <w:tcPr>
            <w:tcW w:w="9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116,121</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105,623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32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38,531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35,571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Billings in excess of contract revenues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320"/>
              <w:spacing w:after="0"/>
              <w:rPr>
                <w:sz w:val="20"/>
                <w:szCs w:val="20"/>
                <w:color w:val="auto"/>
              </w:rPr>
            </w:pPr>
            <w:r>
              <w:rPr>
                <w:rFonts w:ascii="Arial" w:cs="Arial" w:eastAsia="Arial" w:hAnsi="Arial"/>
                <w:sz w:val="16"/>
                <w:szCs w:val="16"/>
                <w:color w:val="auto"/>
              </w:rPr>
              <w:t>Current portion of long term debt</w:t>
            </w: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Liabilities held for sale</w:t>
            </w: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660" w:type="dxa"/>
            <w:vAlign w:val="bottom"/>
          </w:tcPr>
          <w:p>
            <w:pPr>
              <w:ind w:left="96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193,899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186,024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7 3/8% SENIOR NOTES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250,000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REVOLVING CREDIT FACILITY</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108,511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106,128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LIABILITIES HELD FOR SALE—Noncurrent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610,544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553,043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EQUITY:</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stock—$.0001 par value; 90,000 authorized, 59,670 and 59,359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shares issued and outstanding at December 31, 2013 and December 31, 2012, respectively.</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275,183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271,418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Retained earnings (accumulated deficit)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(31,770)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(473)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6"/>
                <w:szCs w:val="16"/>
                <w:color w:val="auto"/>
              </w:rPr>
              <w:t>Total Great Lakes Dredge &amp; Dock Corporation equity</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242,946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273,635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(845)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equity</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242,101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273,425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852,645</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826,468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731,418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588,430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520,134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631,123</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510,272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437,499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100,295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78,158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68,039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45,723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(13,372)</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Total operating income</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51,401</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Interest expense—net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(21,941)</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(20,925)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(loss) of joint ventures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Loss on foreign currency transactions—net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Total other expense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(21,084)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(20,919)</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30,317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INCOME TAX PROVISION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(10,460)</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(54,850)</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(9,635)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(34,993)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 STOCKHOLDERS OF GREAT LAKES</w:t>
            </w: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DREDGE &amp; DOCK CORPORATION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(34,361)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attributable to income from continuing operations</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earnings (loss) per share attributable to loss on discontinued operations, net of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840" w:type="dxa"/>
            <w:vAlign w:val="bottom"/>
            <w:gridSpan w:val="2"/>
          </w:tcPr>
          <w:p>
            <w:pPr>
              <w:spacing w:after="0"/>
              <w:rPr>
                <w:sz w:val="20"/>
                <w:szCs w:val="20"/>
                <w:color w:val="auto"/>
              </w:rPr>
            </w:pPr>
            <w:r>
              <w:rPr>
                <w:rFonts w:ascii="Arial" w:cs="Arial" w:eastAsia="Arial" w:hAnsi="Arial"/>
                <w:sz w:val="18"/>
                <w:szCs w:val="18"/>
                <w:color w:val="auto"/>
                <w:w w:val="98"/>
              </w:rPr>
              <w:t>Basic earnings (loss) per share attributable to common stockholders of Great Lakes Dredge &amp; Dock</w:t>
            </w: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Corporation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59,495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58,891</w:t>
            </w:r>
          </w:p>
        </w:tc>
        <w:tc>
          <w:tcPr>
            <w:tcW w:w="0" w:type="dxa"/>
            <w:vAlign w:val="bottom"/>
          </w:tcPr>
          <w:p>
            <w:pPr>
              <w:spacing w:after="0"/>
              <w:rPr>
                <w:sz w:val="1"/>
                <w:szCs w:val="1"/>
                <w:color w:val="auto"/>
              </w:rPr>
            </w:pPr>
          </w:p>
        </w:tc>
      </w:tr>
      <w:tr>
        <w:trPr>
          <w:trHeight w:val="284"/>
        </w:trPr>
        <w:tc>
          <w:tcPr>
            <w:tcW w:w="7840" w:type="dxa"/>
            <w:vAlign w:val="bottom"/>
            <w:gridSpan w:val="2"/>
          </w:tcPr>
          <w:p>
            <w:pPr>
              <w:spacing w:after="0"/>
              <w:rPr>
                <w:sz w:val="20"/>
                <w:szCs w:val="20"/>
                <w:color w:val="auto"/>
              </w:rPr>
            </w:pPr>
            <w:r>
              <w:rPr>
                <w:rFonts w:ascii="Arial" w:cs="Arial" w:eastAsia="Arial" w:hAnsi="Arial"/>
                <w:sz w:val="18"/>
                <w:szCs w:val="18"/>
                <w:color w:val="auto"/>
              </w:rPr>
              <w:t>Diluted earnings per share attributable to income from continuing operations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7"/>
              </w:rPr>
              <w:t>Diluted earnings (loss) per share attributable to loss on discontinued operations, net of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840" w:type="dxa"/>
            <w:vAlign w:val="bottom"/>
            <w:gridSpan w:val="2"/>
          </w:tcPr>
          <w:p>
            <w:pPr>
              <w:spacing w:after="0"/>
              <w:rPr>
                <w:sz w:val="20"/>
                <w:szCs w:val="20"/>
                <w:color w:val="auto"/>
              </w:rPr>
            </w:pPr>
            <w:r>
              <w:rPr>
                <w:rFonts w:ascii="Arial" w:cs="Arial" w:eastAsia="Arial" w:hAnsi="Arial"/>
                <w:sz w:val="18"/>
                <w:szCs w:val="18"/>
                <w:color w:val="auto"/>
                <w:w w:val="97"/>
              </w:rPr>
              <w:t>Diluted earnings (loss) per share attributable to common stockholders of Great Lakes Dredge &amp; Dock</w:t>
            </w: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Corporation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60,101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59,673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$(34,993)</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$(3,340)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(397)</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derivatives—net of tax (2)</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Other comprehensive loss—net of tax</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(35,086)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660" w:type="dxa"/>
            <w:vAlign w:val="bottom"/>
          </w:tcPr>
          <w:p>
            <w:pPr>
              <w:jc w:val="right"/>
              <w:spacing w:after="0"/>
              <w:rPr>
                <w:sz w:val="20"/>
                <w:szCs w:val="20"/>
                <w:color w:val="auto"/>
              </w:rPr>
            </w:pPr>
            <w:r>
              <w:rPr>
                <w:rFonts w:ascii="Arial" w:cs="Arial" w:eastAsia="Arial" w:hAnsi="Arial"/>
                <w:sz w:val="18"/>
                <w:szCs w:val="18"/>
                <w:color w:val="auto"/>
              </w:rPr>
              <w:t>632</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Great Lakes Dredge &amp; Dock Corporation</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(34,454)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(3,078)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(provision) benefit of $261, $(7) and $(177) for the years ended December 31, 2013, 2012 and 2011,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(provision) benefit of $204, $(250) and $(58) for the years ended December 31, 2013, 2012 and 2011,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w w:val="94"/>
              </w:rPr>
              <w:t>Great Lakes Dredge &amp; Dock Corporation shareholders</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Shares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1040" w:type="dxa"/>
            <w:vAlign w:val="bottom"/>
            <w:gridSpan w:val="2"/>
            <w:vMerge w:val="continue"/>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BALANCE—January 1, 2011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58,770</w:t>
            </w: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w w:val="71"/>
              </w:rPr>
              <w:t>6</w:t>
            </w: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$ 266,329</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12,261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82"/>
              </w:rPr>
              <w:t>357</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$276,825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Share-based compensation</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1,838</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Vesting of restricted stock units, including impact of</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 withheld for taxes</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106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Excess income tax benefit from share-based</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compensation</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Acquisition of noncontrolling interest in NASDI, LLC</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1,973</w:t>
            </w: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Dividends declared and paid ($0.08 per share)</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(4,711)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Dividend equivalents paid on restricted stock units</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16,528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w w:val="82"/>
              </w:rPr>
              <w:t>723</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Other comprehensive loss—net of tax</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(354)</w:t>
            </w:r>
          </w:p>
        </w:tc>
        <w:tc>
          <w:tcPr>
            <w:tcW w:w="14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BALANCE—December 31, 2011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58,999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$ 267,918</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24,042</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w w:val="82"/>
              </w:rPr>
              <w:t>568</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292,537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320"/>
              <w:spacing w:after="0"/>
              <w:rPr>
                <w:sz w:val="20"/>
                <w:szCs w:val="20"/>
                <w:color w:val="auto"/>
              </w:rPr>
            </w:pPr>
            <w:r>
              <w:rPr>
                <w:rFonts w:ascii="Arial" w:cs="Arial" w:eastAsia="Arial" w:hAnsi="Arial"/>
                <w:sz w:val="16"/>
                <w:szCs w:val="16"/>
                <w:color w:val="auto"/>
              </w:rPr>
              <w:t>Share-based compensation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165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3,081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Vesting of restricted stock units, including impact of</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 withheld for taxes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60" w:type="dxa"/>
            <w:vAlign w:val="bottom"/>
          </w:tcPr>
          <w:p>
            <w:pPr>
              <w:ind w:left="420"/>
              <w:spacing w:after="0"/>
              <w:rPr>
                <w:sz w:val="20"/>
                <w:szCs w:val="20"/>
                <w:color w:val="auto"/>
              </w:rPr>
            </w:pPr>
            <w:r>
              <w:rPr>
                <w:rFonts w:ascii="Arial" w:cs="Arial" w:eastAsia="Arial" w:hAnsi="Arial"/>
                <w:sz w:val="16"/>
                <w:szCs w:val="16"/>
                <w:color w:val="auto"/>
                <w:w w:val="82"/>
              </w:rPr>
              <w:t>461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Excess income tax benefit from share-based</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compensation</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color w:val="auto"/>
                <w:w w:val="82"/>
              </w:rPr>
              <w:t>189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Dividends declared and paid ($0.31 per share)</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(18,560)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(18,560)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 equivalents paid on restricted stock units</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Distributions paid to noncontrolling interests</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(133)</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(2,695)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Other comprehensive loss—net of tax</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(383)</w:t>
            </w:r>
          </w:p>
        </w:tc>
        <w:tc>
          <w:tcPr>
            <w:tcW w:w="14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BALANCE—December 31, 2012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59,359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$ 271,418</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(380)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273,425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320"/>
              <w:spacing w:after="0"/>
              <w:rPr>
                <w:sz w:val="20"/>
                <w:szCs w:val="20"/>
                <w:color w:val="auto"/>
              </w:rPr>
            </w:pPr>
            <w:r>
              <w:rPr>
                <w:rFonts w:ascii="Arial" w:cs="Arial" w:eastAsia="Arial" w:hAnsi="Arial"/>
                <w:sz w:val="16"/>
                <w:szCs w:val="16"/>
                <w:color w:val="auto"/>
              </w:rPr>
              <w:t>Share-based compensation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3,251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Vesting of restricted stock units, including impact of</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 withheld for taxes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w w:val="98"/>
              </w:rPr>
              <w:t>Exercise of stock options and purchases from employee</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ind w:left="480"/>
              <w:spacing w:after="0"/>
              <w:rPr>
                <w:sz w:val="20"/>
                <w:szCs w:val="20"/>
                <w:color w:val="auto"/>
              </w:rPr>
            </w:pPr>
            <w:r>
              <w:rPr>
                <w:rFonts w:ascii="Arial" w:cs="Arial" w:eastAsia="Arial" w:hAnsi="Arial"/>
                <w:sz w:val="16"/>
                <w:szCs w:val="16"/>
                <w:color w:val="auto"/>
              </w:rPr>
              <w:t>stock plans</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60" w:type="dxa"/>
            <w:vAlign w:val="bottom"/>
          </w:tcPr>
          <w:p>
            <w:pPr>
              <w:ind w:left="420"/>
              <w:spacing w:after="0"/>
              <w:rPr>
                <w:sz w:val="20"/>
                <w:szCs w:val="20"/>
                <w:color w:val="auto"/>
              </w:rPr>
            </w:pPr>
            <w:r>
              <w:rPr>
                <w:rFonts w:ascii="Arial" w:cs="Arial" w:eastAsia="Arial" w:hAnsi="Arial"/>
                <w:sz w:val="16"/>
                <w:szCs w:val="16"/>
                <w:color w:val="auto"/>
                <w:w w:val="82"/>
              </w:rPr>
              <w:t>668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Excess income tax benefit from share-based</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compensation</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color w:val="auto"/>
                <w:w w:val="82"/>
              </w:rPr>
              <w:t>154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Distributions paid to noncontrolling interests</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(34,361)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Other comprehensive loss—net of tax</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BALANCE—December 31, 2013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59,670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$ 275,183</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(31,770)</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(473)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242,101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3"/>
                <w:szCs w:val="13"/>
                <w:b w:val="1"/>
                <w:bCs w:val="1"/>
                <w:color w:val="auto"/>
              </w:rPr>
              <w:t>2013</w:t>
            </w:r>
          </w:p>
        </w:tc>
        <w:tc>
          <w:tcPr>
            <w:tcW w:w="540" w:type="dxa"/>
            <w:vAlign w:val="bottom"/>
          </w:tcPr>
          <w:p>
            <w:pPr>
              <w:spacing w:after="0"/>
              <w:rPr>
                <w:sz w:val="13"/>
                <w:szCs w:val="13"/>
                <w:color w:val="auto"/>
              </w:rPr>
            </w:pPr>
          </w:p>
        </w:tc>
        <w:tc>
          <w:tcPr>
            <w:tcW w:w="660" w:type="dxa"/>
            <w:vAlign w:val="bottom"/>
          </w:tcPr>
          <w:p>
            <w:pPr>
              <w:jc w:val="right"/>
              <w:ind w:right="111"/>
              <w:spacing w:after="0"/>
              <w:rPr>
                <w:sz w:val="20"/>
                <w:szCs w:val="20"/>
                <w:color w:val="auto"/>
              </w:rPr>
            </w:pPr>
            <w:r>
              <w:rPr>
                <w:rFonts w:ascii="Arial" w:cs="Arial" w:eastAsia="Arial" w:hAnsi="Arial"/>
                <w:sz w:val="13"/>
                <w:szCs w:val="13"/>
                <w:b w:val="1"/>
                <w:bCs w:val="1"/>
                <w:color w:val="auto"/>
              </w:rPr>
              <w:t>2012</w:t>
            </w:r>
          </w:p>
        </w:tc>
        <w:tc>
          <w:tcPr>
            <w:tcW w:w="560" w:type="dxa"/>
            <w:vAlign w:val="bottom"/>
          </w:tcPr>
          <w:p>
            <w:pPr>
              <w:spacing w:after="0"/>
              <w:rPr>
                <w:sz w:val="13"/>
                <w:szCs w:val="13"/>
                <w:color w:val="auto"/>
              </w:rPr>
            </w:pPr>
          </w:p>
        </w:tc>
        <w:tc>
          <w:tcPr>
            <w:tcW w:w="660" w:type="dxa"/>
            <w:vAlign w:val="bottom"/>
          </w:tcPr>
          <w:p>
            <w:pPr>
              <w:jc w:val="right"/>
              <w:ind w:right="131"/>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$(34,993)</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 (3,340)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(54,850)</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(9,635)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8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19,857</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used in operating activities:</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46,622</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37,430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loss of joint ventures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(1,208)</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Loss on extinguishment of 7 3/4% senior subordinated notes</w:t>
            </w:r>
          </w:p>
        </w:tc>
        <w:tc>
          <w:tcPr>
            <w:tcW w:w="8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(304)</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4,471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Gain on dispositions of property and equipment</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(5,773)</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(198)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adjustment of contingent earnout</w:t>
            </w:r>
          </w:p>
        </w:tc>
        <w:tc>
          <w:tcPr>
            <w:tcW w:w="8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1,153</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1,245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currency (gain) loss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(179)</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3,251</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3,081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(154)</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36,260</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(17,795)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Contract revenues in excess of billings</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(17,142)</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(29,661)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(5,144)</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(2,603)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(10,124)</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(1,444)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22,622</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20,253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Billings in excess of contract revenues</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(2,900)</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(1,177)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 and liabilities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(490)</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8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86,347</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19,736</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provided by (used in) by operating activities of discontinued operations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(11,524)</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(21,596)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Cash provided by (used in) operating activities</w:t>
            </w:r>
          </w:p>
        </w:tc>
        <w:tc>
          <w:tcPr>
            <w:tcW w:w="8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74,823</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(66,654)</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(60,516)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6,953</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Terra assets</w:t>
            </w:r>
          </w:p>
        </w:tc>
        <w:tc>
          <w:tcPr>
            <w:tcW w:w="8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vendor performance obligations</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13,600</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8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(46,101)</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(61,919)</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used in investing activities of discontinued operations</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(153)</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Cash used in investing activities</w:t>
            </w:r>
          </w:p>
        </w:tc>
        <w:tc>
          <w:tcPr>
            <w:tcW w:w="8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(46,254)</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(63,443)</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7440" w:type="dxa"/>
            <w:vAlign w:val="bottom"/>
            <w:gridSpan w:val="2"/>
          </w:tcPr>
          <w:p>
            <w:pPr>
              <w:jc w:val="right"/>
              <w:ind w:right="1550"/>
              <w:spacing w:after="0"/>
              <w:rPr>
                <w:sz w:val="20"/>
                <w:szCs w:val="20"/>
                <w:color w:val="auto"/>
              </w:rPr>
            </w:pPr>
            <w:r>
              <w:rPr>
                <w:rFonts w:ascii="Arial" w:cs="Arial" w:eastAsia="Arial" w:hAnsi="Arial"/>
                <w:sz w:val="18"/>
                <w:szCs w:val="18"/>
                <w:color w:val="auto"/>
              </w:rPr>
              <w:t>70</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2013</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2012</w:t>
            </w: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1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Senior subordinated notes redemption premium</w:t>
            </w:r>
          </w:p>
        </w:tc>
        <w:tc>
          <w:tcPr>
            <w:tcW w:w="1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Repayment of long term note payable</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(13,047)</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minority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(18,560)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Exercise of stock options and purchases from employee stock plans</w:t>
            </w:r>
          </w:p>
        </w:tc>
        <w:tc>
          <w:tcPr>
            <w:tcW w:w="1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227,000</w:t>
            </w:r>
          </w:p>
        </w:tc>
        <w:tc>
          <w:tcPr>
            <w:tcW w:w="10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(192,000)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Cash provided by (used in) financing activities of continuing operations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22,464</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(23,009)</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in financing activities of discontinued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Cash provided by (used in)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22,464</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(23,552)</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50,898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(88,848)</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24,440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113,288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20,083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19,462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purchased on capital leases and equipment notes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 in NASDI, LLC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Purchase price of Terra assets comprised of promissory notes and other liabilities</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23,798</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383"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2013 AND 2012 AND FOR THE YEARS ENDED December 31, 2013, 2012 AND 2011 (In thousands, except per share amounts or as otherwise noted)</w:t>
      </w:r>
    </w:p>
    <w:p>
      <w:pPr>
        <w:spacing w:after="0" w:line="10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w:t>
      </w:r>
    </w:p>
    <w:p>
      <w:pPr>
        <w:spacing w:after="0" w:line="117" w:lineRule="exact"/>
        <w:rPr>
          <w:sz w:val="20"/>
          <w:szCs w:val="20"/>
          <w:color w:val="auto"/>
        </w:rPr>
      </w:pPr>
    </w:p>
    <w:p>
      <w:pPr>
        <w:ind w:right="560" w:firstLine="456"/>
        <w:spacing w:after="0" w:line="258"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—Great Lakes Dredge &amp; Dock Corporation and its subsidiaries (the “Company” or “Great Lakes”) are in the business of marine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primarily dredging, and specialty contracting which primarily offer demolition, environmental and remediation services. The Company’s primary dredging customers are domestic and foreign government agencies, as well as private entities, and its primary environmental &amp; remediation customers are general contractors, corporations, environmental engineering and construction firms that commission projects and local government and municipal agencies.</w:t>
      </w:r>
    </w:p>
    <w:p>
      <w:pPr>
        <w:spacing w:after="0" w:line="184"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Principles of Consolidation and Basis of Presentation</w:t>
      </w:r>
      <w:r>
        <w:rPr>
          <w:rFonts w:ascii="Arial" w:cs="Arial" w:eastAsia="Arial" w:hAnsi="Arial"/>
          <w:sz w:val="18"/>
          <w:szCs w:val="18"/>
          <w:color w:val="auto"/>
        </w:rPr>
        <w:t>—The consolidated financial statements include the accounts of Great Lakes Dredge &amp; Dock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80"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certain reported amounts and disclosures. Accordingly, actual results could differ from those estimates.</w:t>
      </w:r>
    </w:p>
    <w:p>
      <w:pPr>
        <w:spacing w:after="0" w:line="17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—Substantially all of the Company’s contracts for dredging services are fixed-price contracts,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remeasurement based on actual quantities dredged. The majority of the Company’s environmental &amp; remediation contracts are also fixed-price contracts, with others performed on a time-and-materials basis. Contract revenues are recognized under the percentage-of-completion method based on the Company’s engineering estimates of the physical percentage completed for dredging projects and based on costs incurred to date compared to total estimated costs for fixed-price environmental &amp; remediation projects. For dredging projects, costs of contract revenues are adjusted to reflect the gross profit percentage expected to be achieved upon ultimate completion. For environmental &amp; remediation contracts, contract revenues are adjusted to reflect the estimated gross profit percentage.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reporting periods.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dredging projects have the highest margins due to the complexity of the projects, while coastal protection projects have the most volatile margins because they are most often exposed to variability in weather conditions.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cost structure includes significant annual equipment-related costs, including depreciation, maintenance, insurance and long-term rentals. These costs have averaged approximately 20% to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normal course of contract completion, unless completion of such contracts extends significantly beyond one year.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Cash Equivalents</w:t>
      </w:r>
      <w:r>
        <w:rPr>
          <w:rFonts w:ascii="Arial" w:cs="Arial" w:eastAsia="Arial" w:hAnsi="Arial"/>
          <w:sz w:val="16"/>
          <w:szCs w:val="16"/>
          <w:color w:val="auto"/>
        </w:rPr>
        <w:t>—The Company considers all highly liquid investments with a maturity at purchase of three months or less to be cash equivalents.</w:t>
      </w:r>
    </w:p>
    <w:p>
      <w:pPr>
        <w:spacing w:after="0" w:line="248" w:lineRule="exact"/>
        <w:rPr>
          <w:sz w:val="20"/>
          <w:szCs w:val="20"/>
          <w:color w:val="auto"/>
        </w:rPr>
      </w:pPr>
    </w:p>
    <w:p>
      <w:pPr>
        <w:jc w:val="both"/>
        <w:ind w:right="120" w:firstLine="456"/>
        <w:spacing w:after="0" w:line="314"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—Accounts receivable represent amounts due or billable under the terms of contracts with customers, including amounts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retainage. The Company anticipates collection of retainage generally within one year, and accordingly presents retainage as a current asset. The Company provides an allowance for estimated uncollectible accounts receivable when events or conditions indicate that amounts outstanding are not recoverable.</w:t>
      </w:r>
    </w:p>
    <w:p>
      <w:pPr>
        <w:spacing w:after="0" w:line="142"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therefore, a certain amount of pipe and spare part inventories is not anticipated to be used within the current year and is classified as long-term. Inventories are stated at the lower of net realizable value or weighted average historical cost.</w:t>
      </w:r>
    </w:p>
    <w:p>
      <w:pPr>
        <w:spacing w:after="0" w:line="17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w:t>
            </w:r>
          </w:p>
        </w:tc>
        <w:tc>
          <w:tcPr>
            <w:tcW w:w="1840" w:type="dxa"/>
            <w:vAlign w:val="bottom"/>
            <w:gridSpan w:val="2"/>
          </w:tcPr>
          <w:p>
            <w:pPr>
              <w:jc w:val="center"/>
              <w:ind w:left="1034"/>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1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840" w:type="dxa"/>
            <w:vAlign w:val="bottom"/>
            <w:gridSpan w:val="2"/>
          </w:tcPr>
          <w:p>
            <w:pPr>
              <w:jc w:val="center"/>
              <w:ind w:left="1054"/>
              <w:spacing w:after="0"/>
              <w:rPr>
                <w:sz w:val="20"/>
                <w:szCs w:val="20"/>
                <w:color w:val="auto"/>
              </w:rPr>
            </w:pPr>
            <w:r>
              <w:rPr>
                <w:rFonts w:ascii="Arial" w:cs="Arial" w:eastAsia="Arial" w:hAnsi="Arial"/>
                <w:sz w:val="18"/>
                <w:szCs w:val="18"/>
                <w:color w:val="auto"/>
                <w:w w:val="94"/>
              </w:rPr>
              <w:t>5-10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1840" w:type="dxa"/>
            <w:vAlign w:val="bottom"/>
            <w:gridSpan w:val="2"/>
            <w:shd w:val="clear" w:color="auto" w:fill="CCEEFF"/>
          </w:tcPr>
          <w:p>
            <w:pPr>
              <w:jc w:val="center"/>
              <w:ind w:left="1034"/>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1840" w:type="dxa"/>
            <w:vAlign w:val="bottom"/>
            <w:gridSpan w:val="2"/>
          </w:tcPr>
          <w:p>
            <w:pPr>
              <w:jc w:val="center"/>
              <w:ind w:left="1054"/>
              <w:spacing w:after="0"/>
              <w:rPr>
                <w:sz w:val="20"/>
                <w:szCs w:val="20"/>
                <w:color w:val="auto"/>
              </w:rPr>
            </w:pPr>
            <w:r>
              <w:rPr>
                <w:rFonts w:ascii="Arial" w:cs="Arial" w:eastAsia="Arial" w:hAnsi="Arial"/>
                <w:sz w:val="18"/>
                <w:szCs w:val="18"/>
                <w:color w:val="auto"/>
                <w:w w:val="91"/>
              </w:rPr>
              <w:t>10-30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Goodwill and Other Intangible Assets</w:t>
      </w:r>
      <w:r>
        <w:rPr>
          <w:rFonts w:ascii="Arial" w:cs="Arial" w:eastAsia="Arial" w:hAnsi="Arial"/>
          <w:sz w:val="17"/>
          <w:szCs w:val="17"/>
          <w:color w:val="auto"/>
        </w:rPr>
        <w:t>—Goodwill represents the excess of acquisition cost over fair value of the net assets acquired.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identifiable intangible assets mainly represent developed technology and databases, customer relationships, and customer contracts acquired in business combinations and are being amortized over a one to five-year period.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3"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 Due to the fact that there are no public companies that are direct competitors, the Company weighed the results of this approach less than the income approach.</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has four operating segments that, through aggregation, comprise two reportable segments: dredging and environmental &amp; remediation, previously referred to as the demolition segment. The historical demolition business has been retrospectively presented as discontinued operations and is no longer reflected in continuing operations.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are comprised of property and equipment and intangible assets subject to amortization. Long-lived assets to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No triggering events were identified in 2013 or 2012. If long-lived assets are to be disposed, depreciation is discontinued, if applicable, and the assets are reclassified as held for sale at the lower of their carrying amounts or fair values less estimated costs to sell.</w:t>
      </w:r>
    </w:p>
    <w:p>
      <w:pPr>
        <w:spacing w:after="0" w:line="158"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Company capitalizes construction in progress and records a corresponding long-term liability for build-to-suit lease agreements where we are considered the owner during the construction period for accounting purposes. There was no build-to-suit equipment capitalized at December 31, 2013.</w:t>
      </w:r>
    </w:p>
    <w:p>
      <w:pPr>
        <w:spacing w:after="0" w:line="12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Self-insurance Reserves</w:t>
      </w:r>
      <w:r>
        <w:rPr>
          <w:rFonts w:ascii="Arial" w:cs="Arial" w:eastAsia="Arial" w:hAnsi="Arial"/>
          <w:sz w:val="18"/>
          <w:szCs w:val="18"/>
          <w:color w:val="auto"/>
        </w:rPr>
        <w:t>—The Company self-insures costs associated with its seagoing employees covered by the provisions of Jones Act,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provision for income taxes includes federal, foreign, and state income taxes currently payable and those deferred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The Company’s current policy is to repatriate all earnings from foreign subsidiaries’ operations as generated and at this time no amounts are considered to be permanently reinvested in those operations.</w:t>
      </w:r>
    </w:p>
    <w:p>
      <w:pPr>
        <w:spacing w:after="0" w:line="184" w:lineRule="exact"/>
        <w:rPr>
          <w:sz w:val="20"/>
          <w:szCs w:val="20"/>
          <w:color w:val="auto"/>
        </w:rPr>
      </w:pPr>
    </w:p>
    <w:p>
      <w:pPr>
        <w:ind w:right="220" w:firstLine="456"/>
        <w:spacing w:after="0" w:line="314" w:lineRule="auto"/>
        <w:rPr>
          <w:sz w:val="20"/>
          <w:szCs w:val="20"/>
          <w:color w:val="auto"/>
        </w:rPr>
      </w:pPr>
      <w:r>
        <w:rPr>
          <w:rFonts w:ascii="Arial" w:cs="Arial" w:eastAsia="Arial" w:hAnsi="Arial"/>
          <w:sz w:val="16"/>
          <w:szCs w:val="16"/>
          <w:b w:val="1"/>
          <w:bCs w:val="1"/>
          <w:color w:val="auto"/>
        </w:rPr>
        <w:t>Hedging Instruments</w:t>
      </w:r>
      <w:r>
        <w:rPr>
          <w:rFonts w:ascii="Arial" w:cs="Arial" w:eastAsia="Arial" w:hAnsi="Arial"/>
          <w:sz w:val="16"/>
          <w:szCs w:val="16"/>
          <w:color w:val="auto"/>
        </w:rPr>
        <w:t>—The Company designates certain derivative contracts as a cash flow hedge as defined by GAAP. Accordingly,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formally documents, at the inception of each hedge, all relationships between hedging instruments and hedged items, as well as our risk-management objective and strategy for undertaking hedge transactions. This process includes linking all derivatives to highly-probable forecasted transactions.</w:t>
      </w:r>
    </w:p>
    <w:p>
      <w:pPr>
        <w:spacing w:after="0" w:line="146"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6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—The financial statements of the Company’s foreign subsidiaries where the operations are primarily denominated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foreign currency are translated into U.S. dollars for reporting. Balance sheet accounts are translated at the current foreign exchange rate at the end of each period and income statement accounts are translated at the average foreign exchange rate for each period. Gains and losses on foreign currency translations are reflected as a currency translation adjustment, net of tax, in accumulated other comprehensive income (loss). Foreign currency transaction gains and losses are included in loss on foreign currency transactions—net.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Noncontrolling Interest </w:t>
      </w:r>
      <w:r>
        <w:rPr>
          <w:rFonts w:ascii="Arial" w:cs="Arial" w:eastAsia="Arial" w:hAnsi="Arial"/>
          <w:sz w:val="17"/>
          <w:szCs w:val="17"/>
          <w:color w:val="auto"/>
        </w:rPr>
        <w:t>—On January 1, 2009 the Company acquired a 65% interest in Yankee Environmental Services, LLC (“Yankee”).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at December 31, 2013 and 2012 is related to the membership interest the Company does not own in Yankee.</w:t>
      </w:r>
    </w:p>
    <w:p>
      <w:pPr>
        <w:spacing w:after="0" w:line="207"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—Basic earnings per share is computed by dividing net income attributable to common stockholders by the weighted-average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years ended December 31, 2013, 2012 and 2011 no shares of stock options (“NQSO”) and restricted stock units (“RSU”) were excluded from the diluted weighted-average common shares outstanding, respectively. For the year ended December 31, 2011, 299 thousand NQSOs were excluded from the calculation of diluted earnings per share based on the application of the treasury stock method, as such options were determined to be anti-dilutive.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for basic and diluted earnings per share for the years ended December 31, 2013, 2012 and 2011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16,329</w:t>
            </w:r>
          </w:p>
        </w:tc>
        <w:tc>
          <w:tcPr>
            <w:tcW w:w="60" w:type="dxa"/>
            <w:vAlign w:val="bottom"/>
            <w:shd w:val="clear" w:color="auto" w:fill="CCEEFF"/>
          </w:tcPr>
          <w:p>
            <w:pPr>
              <w:spacing w:after="0"/>
              <w:rPr>
                <w:sz w:val="18"/>
                <w:szCs w:val="18"/>
                <w:color w:val="auto"/>
              </w:rPr>
            </w:pPr>
          </w:p>
        </w:tc>
      </w:tr>
      <w:tr>
        <w:trPr>
          <w:trHeight w:val="202"/>
        </w:trPr>
        <w:tc>
          <w:tcPr>
            <w:tcW w:w="5880" w:type="dxa"/>
            <w:vAlign w:val="bottom"/>
          </w:tcPr>
          <w:p>
            <w:pPr>
              <w:spacing w:after="0" w:line="201" w:lineRule="exact"/>
              <w:rPr>
                <w:sz w:val="20"/>
                <w:szCs w:val="20"/>
                <w:color w:val="auto"/>
              </w:rPr>
            </w:pPr>
            <w:r>
              <w:rPr>
                <w:rFonts w:ascii="Arial" w:cs="Arial" w:eastAsia="Arial" w:hAnsi="Arial"/>
                <w:sz w:val="18"/>
                <w:szCs w:val="18"/>
                <w:color w:val="auto"/>
                <w:w w:val="98"/>
              </w:rPr>
              <w:t>Loss on discontinued operations, net of income taxes, attributable to Great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8"/>
                <w:szCs w:val="18"/>
                <w:color w:val="auto"/>
              </w:rPr>
              <w:t>Lakes Dredge &amp; Dock Corporation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(54,218)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(8,990)</w:t>
            </w:r>
          </w:p>
        </w:tc>
        <w:tc>
          <w:tcPr>
            <w:tcW w:w="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r>
      <w:tr>
        <w:trPr>
          <w:trHeight w:val="202"/>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 stockholders of Great Lakes</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Dredge &amp; Dock Corporation</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(34,361)</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(2,695)</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16,528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Weighted-average common shares outstanding—basic</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59,495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59,195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58,891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Weighted-average common shares outstanding—diluted</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60,101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59,673</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59,230</w:t>
            </w:r>
          </w:p>
        </w:tc>
        <w:tc>
          <w:tcPr>
            <w:tcW w:w="6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from continuing operations—basic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Earnings per share from continuing operations—diluted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r>
    </w:tbl>
    <w:p>
      <w:pPr>
        <w:spacing w:after="0" w:line="33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AND ESCROWED CASH</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At December 31, 2013 and 2012, other noncurrent assets include $1,500 of cash held in escrow as security for the Company’s lease rental obligation under a long-term equipment operating lease.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 December 31, 2013 and 2012, assets held for sale include $2,314 and $450 of cash, respectively, held in escrow related to an outstanding lawsuit at our discontinued demolition business.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2013 the Company held cash and cash equivalents of $2,750 in an escrow account related to its sale of a vessel.</w:t>
      </w:r>
    </w:p>
    <w:p>
      <w:pPr>
        <w:spacing w:after="0" w:line="370" w:lineRule="exact"/>
        <w:rPr>
          <w:sz w:val="20"/>
          <w:szCs w:val="20"/>
          <w:color w:val="auto"/>
        </w:rPr>
      </w:pPr>
    </w:p>
    <w:p>
      <w:pPr>
        <w:ind w:left="460" w:right="5740" w:hanging="452"/>
        <w:spacing w:after="0" w:line="488" w:lineRule="auto"/>
        <w:tabs>
          <w:tab w:leader="none" w:pos="449"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AND CONTRACTS IN PROGRESS </w:t>
      </w:r>
      <w:r>
        <w:rPr>
          <w:rFonts w:ascii="Arial" w:cs="Arial" w:eastAsia="Arial" w:hAnsi="Arial"/>
          <w:sz w:val="16"/>
          <w:szCs w:val="16"/>
          <w:color w:val="auto"/>
        </w:rPr>
        <w:t>Accounts receivable at December 31, 2013 and 2012 are as follows:</w:t>
      </w:r>
    </w:p>
    <w:p>
      <w:pPr>
        <w:spacing w:after="0" w:line="3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5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29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$17,361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Contracts in progress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62,177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98,044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Total accounts receivable—net</w:t>
            </w:r>
          </w:p>
        </w:tc>
        <w:tc>
          <w:tcPr>
            <w:tcW w:w="29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96,515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$96,515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294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96,515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40" w:type="dxa"/>
            <w:vAlign w:val="bottom"/>
            <w:vMerge w:val="restart"/>
          </w:tcPr>
          <w:p>
            <w:pPr>
              <w:jc w:val="right"/>
              <w:ind w:right="2173"/>
              <w:spacing w:after="0"/>
              <w:rPr>
                <w:sz w:val="20"/>
                <w:szCs w:val="20"/>
                <w:color w:val="auto"/>
              </w:rPr>
            </w:pPr>
            <w:r>
              <w:rPr>
                <w:rFonts w:ascii="Arial" w:cs="Arial" w:eastAsia="Arial" w:hAnsi="Arial"/>
                <w:sz w:val="18"/>
                <w:szCs w:val="18"/>
                <w:color w:val="auto"/>
              </w:rPr>
              <w:t>76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contracts in progress at December 31, 2013 and 2012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435,470</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288,235</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billed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(370,730)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(240,844)</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64,740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47,391</w:t>
            </w:r>
          </w:p>
        </w:tc>
        <w:tc>
          <w:tcPr>
            <w:tcW w:w="12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50,294</w:t>
            </w:r>
          </w:p>
        </w:tc>
        <w:tc>
          <w:tcPr>
            <w:tcW w:w="12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Amounts billed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(156,794)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(331,894)</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150,040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322,240</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at December 31, 2013 and 2012 are as follows:</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Operating equipment</w:t>
            </w:r>
          </w:p>
        </w:tc>
        <w:tc>
          <w:tcPr>
            <w:tcW w:w="1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602,395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549,424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property and equipment</w:t>
            </w:r>
          </w:p>
        </w:tc>
        <w:tc>
          <w:tcPr>
            <w:tcW w:w="1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622,216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566,700</w:t>
            </w:r>
          </w:p>
        </w:tc>
        <w:tc>
          <w:tcPr>
            <w:tcW w:w="120" w:type="dxa"/>
            <w:vAlign w:val="bottom"/>
            <w:shd w:val="clear" w:color="auto" w:fill="CCEEFF"/>
          </w:tcPr>
          <w:p>
            <w:pPr>
              <w:spacing w:after="0"/>
              <w:rPr>
                <w:sz w:val="18"/>
                <w:szCs w:val="18"/>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(276,595</w:t>
            </w:r>
          </w:p>
        </w:tc>
        <w:tc>
          <w:tcPr>
            <w:tcW w:w="360" w:type="dxa"/>
            <w:vAlign w:val="bottom"/>
          </w:tcPr>
          <w:p>
            <w:pPr>
              <w:jc w:val="right"/>
              <w:ind w:right="280"/>
              <w:spacing w:after="0"/>
              <w:rPr>
                <w:sz w:val="20"/>
                <w:szCs w:val="20"/>
                <w:color w:val="auto"/>
              </w:rPr>
            </w:pPr>
            <w:r>
              <w:rPr>
                <w:rFonts w:ascii="Arial" w:cs="Arial" w:eastAsia="Arial" w:hAnsi="Arial"/>
                <w:sz w:val="8"/>
                <w:szCs w:val="8"/>
                <w:color w:val="auto"/>
                <w:w w:val="73"/>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(231,191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345,620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335,509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equipment of $1,704 and $2,440 was classified as held for sale at December 31, 2013 and 2012, respectively.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$45,531, $37,249 and $34,970, for the years ended December 31, 2013, 2012 and 2011, respectively.</w:t>
      </w:r>
    </w:p>
    <w:p>
      <w:pPr>
        <w:spacing w:after="0" w:line="37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annual goodwill impairment test is conducted in the third quarter of each year and interim evaluations are performed when the Company determines that a triggering event has occurred that would more likely than not reduce the fair value of goodwill below its carrying value. Due to a decline in the overall financial performance and declining cash flows in the demolition reporting unit, the Company concluded there was a triggering event that required an interim impairment test for the reporting unit in the second quarter of 2013.</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performed step one of the demolition reporting unit goodwill impairment test as of June 30, 2013, which compared the fair value of the demolition reporting unit against its carrying amount, including goodwill. In deriving the fair value of the demolition reporting unit, the Company used both a market-based approach and an income-based approach. Under the income approach, the fair value of the reporting unit is based on the present value of estimated future cash flows. Under the market approach, the Company uses the guideline public company method by applying estimated market-based enterprise value multiples to the reporting unit’s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estimated revenue and Adjusted EBITDA. Based on the first step analysis, management concluded that the fair value of the demolition reporting unit was less than its carrying value; therefore, the Company performed step two of the goodwill impairment analysis.</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Step two of the goodwill impairment analysis measures the impairment charge by allocating the reporting unit’s fair value to all of the assets and liabilities of the reporting unit in a hypothetical analysis that calculates implied fair value of goodwill in the same manner as if the reporting unit was being acquired in a business combination. Any excess of the carrying value of the reporting unit’s goodwill over the implied fair value of the reporting unit’s goodwill is recorded as a loss on impairment of goodwill.</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Management determined that the demolition reporting unit’s implied fair value of goodwill was below the carrying value as of June 30, 2013. As a result, the Company recorded a full impairment charge of $21,474. The impairment of goodwill recorded at the historical demolition segment, now referred to as the environmental &amp; remediation segment, is included in Income (loss) from discontinued operations, net of taxes.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performed its most recent annual test of impairment as of July 1, 2013 for the goodwill at the remaining reporting units with no indication of goodwill impairment as of the test date. The Company will perform its next scheduled annual test of goodwill in the third quarter of 2014 should no triggering events occur which would require a test prior to the next annual test.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during the years ended December 31, 2013 and 2012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Dredging</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54"/>
              <w:spacing w:after="0"/>
              <w:rPr>
                <w:sz w:val="20"/>
                <w:szCs w:val="20"/>
                <w:color w:val="auto"/>
              </w:rPr>
            </w:pPr>
            <w:r>
              <w:rPr>
                <w:rFonts w:ascii="Arial" w:cs="Arial" w:eastAsia="Arial" w:hAnsi="Arial"/>
                <w:sz w:val="14"/>
                <w:szCs w:val="14"/>
                <w:b w:val="1"/>
                <w:bCs w:val="1"/>
                <w:color w:val="auto"/>
                <w:w w:val="97"/>
              </w:rPr>
              <w:t>Environmental &amp;</w:t>
            </w:r>
          </w:p>
        </w:tc>
        <w:tc>
          <w:tcPr>
            <w:tcW w:w="900" w:type="dxa"/>
            <w:vAlign w:val="bottom"/>
          </w:tcPr>
          <w:p>
            <w:pPr>
              <w:spacing w:after="0"/>
              <w:rPr>
                <w:sz w:val="14"/>
                <w:szCs w:val="14"/>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Segment</w:t>
            </w:r>
          </w:p>
        </w:tc>
        <w:tc>
          <w:tcPr>
            <w:tcW w:w="8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Remediation Segment</w:t>
            </w:r>
          </w:p>
        </w:tc>
        <w:tc>
          <w:tcPr>
            <w:tcW w:w="9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Balance—January 1, 2012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$76,575</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$76,575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Acquisition of Terra Contracting</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2,751</w:t>
            </w:r>
          </w:p>
        </w:tc>
        <w:tc>
          <w:tcPr>
            <w:tcW w:w="9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79,326</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Balance—December 31, 2013</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76,575</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9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2013 and 2012, the net book value of identifiable intangible assets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As of December 31, 2013</w:t>
            </w:r>
          </w:p>
        </w:tc>
        <w:tc>
          <w:tcPr>
            <w:tcW w:w="4800" w:type="dxa"/>
            <w:vAlign w:val="bottom"/>
            <w:vMerge w:val="restart"/>
          </w:tcPr>
          <w:p>
            <w:pPr>
              <w:spacing w:after="0"/>
              <w:rPr>
                <w:sz w:val="14"/>
                <w:szCs w:val="14"/>
                <w:color w:val="auto"/>
              </w:rPr>
            </w:pPr>
          </w:p>
        </w:tc>
        <w:tc>
          <w:tcPr>
            <w:tcW w:w="5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Cost</w:t>
            </w:r>
          </w:p>
        </w:tc>
        <w:tc>
          <w:tcPr>
            <w:tcW w:w="3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Net</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tcBorders>
              <w:bottom w:val="single" w:sz="8" w:color="auto"/>
            </w:tcBorders>
            <w:vMerge w:val="continue"/>
          </w:tcPr>
          <w:p>
            <w:pPr>
              <w:spacing w:after="0"/>
              <w:rPr>
                <w:sz w:val="14"/>
                <w:szCs w:val="14"/>
                <w:color w:val="auto"/>
              </w:rPr>
            </w:pPr>
          </w:p>
        </w:tc>
        <w:tc>
          <w:tcPr>
            <w:tcW w:w="480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627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1,976</w:t>
            </w: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As of December 31, 2012</w:t>
            </w:r>
          </w:p>
        </w:tc>
        <w:tc>
          <w:tcPr>
            <w:tcW w:w="4800" w:type="dxa"/>
            <w:vAlign w:val="bottom"/>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520" w:type="dxa"/>
            <w:vAlign w:val="bottom"/>
            <w:tcBorders>
              <w:bottom w:val="single" w:sz="8" w:color="auto"/>
            </w:tcBorders>
            <w:vMerge w:val="continue"/>
          </w:tcPr>
          <w:p>
            <w:pPr>
              <w:spacing w:after="0"/>
              <w:rPr>
                <w:sz w:val="11"/>
                <w:szCs w:val="11"/>
                <w:color w:val="auto"/>
              </w:rPr>
            </w:pPr>
          </w:p>
        </w:tc>
        <w:tc>
          <w:tcPr>
            <w:tcW w:w="48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$1,646</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Software and databases</w:t>
            </w:r>
          </w:p>
        </w:tc>
        <w:tc>
          <w:tcPr>
            <w:tcW w:w="500" w:type="dxa"/>
            <w:vAlign w:val="bottom"/>
          </w:tcPr>
          <w:p>
            <w:pPr>
              <w:jc w:val="right"/>
              <w:spacing w:after="0"/>
              <w:rPr>
                <w:sz w:val="20"/>
                <w:szCs w:val="20"/>
                <w:color w:val="auto"/>
              </w:rPr>
            </w:pPr>
            <w:r>
              <w:rPr>
                <w:rFonts w:ascii="Arial" w:cs="Arial" w:eastAsia="Arial" w:hAnsi="Arial"/>
                <w:sz w:val="18"/>
                <w:szCs w:val="18"/>
                <w:color w:val="auto"/>
              </w:rPr>
              <w:t>1,209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1,136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Backlog</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4,419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December 31, 2012 the Company acquired the assets of Terra Contracting, LLC. (“Terra”) resulting in the recognition of additional intangible assets and goodwill. The weighted average amortization period for intangible assets acquired in 2012 is 3.7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Amortization expense was $1,091, $181 and $2,312, for the years ended December 31, 2013, 2012 and 2011, respectively, and is included as a component of general and administrative expenses. Amortization expense related to intangible assets is estimated to be $642 in 2014, $516 in 2015, $409 in 2016 and $409 in 2017.</w:t>
      </w:r>
    </w:p>
    <w:p>
      <w:pPr>
        <w:spacing w:after="0" w:line="32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at December 31, 2013 and 2012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$13,664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Insurance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8,649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7,642</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and other taxes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3,709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1,426</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Construction liabilities</w:t>
            </w:r>
          </w:p>
        </w:tc>
        <w:tc>
          <w:tcPr>
            <w:tcW w:w="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6,426</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6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38,531</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35,571</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at December 31, 2013 and 2012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7.375% senior notes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12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285,000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263,047</w:t>
            </w:r>
          </w:p>
        </w:tc>
        <w:tc>
          <w:tcPr>
            <w:tcW w:w="12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(13,047)</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285,000</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250,000</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$175,000, subfacilities for the issuance of standby letters of credit up to a $125,000 sublimit, multicurrency borrowings up to a $50,000 sublimit and swingline loans up to a $10,000 sublimit. The Credit Agreement also includes an incremental loans feature that will allow the Company to increase the senior revolving credit facility by an aggregate principal amount of up to $50,000.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 The prior credit agreement with Bank of America N.A. was terminated.</w:t>
      </w:r>
    </w:p>
    <w:p>
      <w:pPr>
        <w:spacing w:after="0" w:line="19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at either a LIBOR rate plus a margin of between 1.50% to 2.50% per annum or a base rate plus a margin of between 0.50% to 1.50% per annum.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At December 31, 2012, the Company’s fixed charge coverage ratio was 1.12x, resulting in an event of default under the Credit Agreement.</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March 15, 2013, the Company executed a Waiver and Amendment No. 2 to the Credit Agreement (the “Credit Agreement Waiver and Amendment”) pursuant to which the counterparties thereto agreed, among other things, to waive any default, event of default, or possible event of default, as applicable, related to the Company’s failure to meet the above-described financial covenant in the Credit Agreement.</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Separately, the Company determined that a perfection trigger event had occurred under the Credit Agreement. As a result, the outstanding obligations under the Credit Agreement, which were previously unsecured, are now secured by liens on certain of the Company’s vessels and all of its domestic accounts receivable, subject to the liens and interests of certain other parties holding first priority perfected liens. Under the original terms of the Credit Agreement, the obligations thereunder that became secured under these circumstances could again become unsecured provided that (i) no event of default has occurred and is continuing and (ii) the Company has maintained for two consecutive quarters, and is projected to maintain for the next two consecutive quarters, a total leverage ratio less than or equal to 3.75 to 1.0. Pursuant to the Credit Agreement Waiver and Amendment, this provision has been amended to add the additional condition that no release of the liens securing the obligations under the Credit Agreement can occur until the Company has delivered to the lenders its audited financial statements with respect to its fiscal year ending December 31, 2013.</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As of December 31, 2013, the Company had $35,000 in borrowings and $89,040 of letters of credit outstanding, resulting in $50,960 of availability under the Credit Agreement. At December 31, 2013, the Company was in compliance with its various financial covenants under its Credit Agreement.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January 2011, the Company issued $250,000 of 7.375% senior notes due February 1, 2019. Interest is paid semi-annually and principal is due at maturity.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Great Lakes has a $24,000 International Letter of Credit Facility with Wells Fargo Bank, National Association, as successor by merger to Wells Fargo HSBC Trade Bank. This facility is used for performance and advance payment guarantees on foreign contracts, including our long-term land reclamation project in Bahrain. The Company’s obligations under the agreement are collateralized by the Company’s foreign accounts receivable. In addition, the Export-Import Bank of the United States (“Ex-Im Bank”) has issued a guarantee under the Ex-Im Bank’s Working Capital Guarantee Program, which covers 90% of the obligations owing under the facility. At December 31, 2013, there were no letters of credit outstanding under this facility. At December 31, 2012, the Company failed to the meet the International Letter of Credit Facility’s requirement of maintaining a minimum fixed charge coverage ratio of 1.25 to 1.0. On March 15, 2013, the Company executed a Waiver to the International Letter of Credit Facility (the “LC Waiver”) pursuant to which the counterparties thereto agreed, among other things, to waive any default, event of default, or possible event of default, as applicable, related to the Company’s failure to meet the above-described financial covenant in the Credit Agreement and the International Letter of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accordance with the purchase of certain assets of Terra (See Note 14), the Company issued a secured promissory note in the amount of $10,547 to the former owner of Terra. The balance of the note of $10,547 was paid in January 2013.</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scheduled principal payments through the maturity date of the Company’s long-term debt, excluding equipment notes, at December 31, 2013,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6"/>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2015</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2017</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Thereafter</w:t>
            </w:r>
          </w:p>
        </w:tc>
        <w:tc>
          <w:tcPr>
            <w:tcW w:w="2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Company incurred amortization of deferred financing fees for its long term debt of $1,153, $1,245 and $1,515 for each of the years ended December 31, 2013, 2012 and 2011. Such amortization is recorded as a component of interest expense.</w:t>
      </w:r>
    </w:p>
    <w:p>
      <w:pPr>
        <w:spacing w:after="0" w:line="3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December 31, 2013 and 2012, the Company held certain derivative contracts that it uses to manage foreign currency risk, commodity price risk or interest rate risk. The Company does not hold or issue derivatives for speculative or trading purposes. The fair values of these financial instruments are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920" w:type="dxa"/>
            <w:vAlign w:val="bottom"/>
          </w:tcPr>
          <w:p>
            <w:pPr>
              <w:spacing w:after="0"/>
              <w:rPr>
                <w:sz w:val="10"/>
                <w:szCs w:val="10"/>
                <w:color w:val="auto"/>
              </w:rPr>
            </w:pPr>
          </w:p>
        </w:tc>
        <w:tc>
          <w:tcPr>
            <w:tcW w:w="202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5"/>
              </w:rPr>
              <w:t>Significant Other</w:t>
            </w:r>
          </w:p>
        </w:tc>
        <w:tc>
          <w:tcPr>
            <w:tcW w:w="24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9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12"/>
                <w:szCs w:val="12"/>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920" w:type="dxa"/>
            <w:vAlign w:val="bottom"/>
          </w:tcPr>
          <w:p>
            <w:pPr>
              <w:spacing w:after="0"/>
              <w:rPr>
                <w:sz w:val="12"/>
                <w:szCs w:val="12"/>
                <w:color w:val="auto"/>
              </w:rPr>
            </w:pPr>
          </w:p>
        </w:tc>
        <w:tc>
          <w:tcPr>
            <w:tcW w:w="20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920" w:type="dxa"/>
            <w:vAlign w:val="bottom"/>
          </w:tcPr>
          <w:p>
            <w:pPr>
              <w:spacing w:after="0"/>
              <w:rPr>
                <w:sz w:val="10"/>
                <w:szCs w:val="10"/>
                <w:color w:val="auto"/>
              </w:rPr>
            </w:pPr>
          </w:p>
        </w:tc>
        <w:tc>
          <w:tcPr>
            <w:tcW w:w="202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5"/>
              </w:rPr>
              <w:t>Significant Other</w:t>
            </w:r>
          </w:p>
        </w:tc>
        <w:tc>
          <w:tcPr>
            <w:tcW w:w="24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9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12"/>
                <w:szCs w:val="12"/>
                <w:color w:val="auto"/>
              </w:rPr>
            </w:pPr>
          </w:p>
        </w:tc>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920" w:type="dxa"/>
            <w:vAlign w:val="bottom"/>
          </w:tcPr>
          <w:p>
            <w:pPr>
              <w:spacing w:after="0"/>
              <w:rPr>
                <w:sz w:val="12"/>
                <w:szCs w:val="12"/>
                <w:color w:val="auto"/>
              </w:rPr>
            </w:pPr>
          </w:p>
        </w:tc>
        <w:tc>
          <w:tcPr>
            <w:tcW w:w="20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117"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In May 2009, the Company entered into two interest rate swap arrangements, which were effective through December 15, 2012, to swap a notional amount of $50 million from a fixed rate of 7.75% to a floating LIBOR-based rate in order to manage the interest rate paid with respect to the Company’s</w:t>
      </w:r>
    </w:p>
    <w:p>
      <w:pPr>
        <w:ind w:right="180"/>
        <w:spacing w:after="0" w:line="255" w:lineRule="auto"/>
        <w:rPr>
          <w:sz w:val="20"/>
          <w:szCs w:val="20"/>
          <w:color w:val="auto"/>
        </w:rPr>
      </w:pPr>
      <w:r>
        <w:rPr>
          <w:rFonts w:ascii="Arial" w:cs="Arial" w:eastAsia="Arial" w:hAnsi="Arial"/>
          <w:sz w:val="18"/>
          <w:szCs w:val="18"/>
          <w:color w:val="auto"/>
        </w:rPr>
        <w:t>7.75% senior subordinated notes. Although the senior subordinated notes were redeemed in January 2011, the swaps remained in place. The swaps were not accounted for as a hedge; therefore, the changes in fair value were recorded as adjustments to interest expense in each reporting period. The swaps expired and were settled in December 2012.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has various exposures to foreign currencies that fluctuate in relation to the U.S. dollar. The Company periodically enters into foreign exchange forward contracts to hedge this risk. At December 31, 2013 and 2012 there were no outstanding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2013, the Company was party to various swap arrangements to hedge the price of a portion of its diesel fuel purchase requirements for work in its backlog to be performed through October 2014. As of December 31, 2013, there were 6.5 million gallons remaining on these contracts which represent approximately 80% of the Company’s forecasted fuel purchases through October 2014. Under these swap agreements, the Company will pay fixed prices ranging from $2.87 to $3.14 per gallon.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2013, the fair value asset of the fuel hedge contracts was estimated to be $332 and is recorded in other current assets. At</w:t>
      </w:r>
    </w:p>
    <w:p>
      <w:pPr>
        <w:spacing w:after="0" w:line="3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December 31, 2012, the fair value liability of the fuel hedge contracts was estimated to be $178 and was recorded in accrued expenses. The gain reclassified to earnings from changes in fair value of derivatives, net of cash settlements and taxes, for the year ended December 31, 2013 was $270. The remaining gains and losses included in accumulated other comprehensive income (loss) at December 31, 2013 will be reclassified into earnings over the next ten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6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fuel hedge contracts outstanding as of December 31, 2013 and 2012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4"/>
                <w:szCs w:val="14"/>
                <w:color w:val="auto"/>
              </w:rPr>
            </w:pPr>
          </w:p>
        </w:tc>
        <w:tc>
          <w:tcPr>
            <w:tcW w:w="2080" w:type="dxa"/>
            <w:vAlign w:val="bottom"/>
            <w:gridSpan w:val="6"/>
          </w:tcPr>
          <w:p>
            <w:pPr>
              <w:ind w:left="100"/>
              <w:spacing w:after="0"/>
              <w:rPr>
                <w:sz w:val="20"/>
                <w:szCs w:val="20"/>
                <w:color w:val="auto"/>
              </w:rPr>
            </w:pPr>
            <w:r>
              <w:rPr>
                <w:rFonts w:ascii="Arial" w:cs="Arial" w:eastAsia="Arial" w:hAnsi="Arial"/>
                <w:sz w:val="14"/>
                <w:szCs w:val="14"/>
                <w:b w:val="1"/>
                <w:bCs w:val="1"/>
                <w:color w:val="auto"/>
              </w:rPr>
              <w:t>Fair Value at December 31,</w:t>
            </w: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1480" w:type="dxa"/>
            <w:vAlign w:val="bottom"/>
            <w:tcBorders>
              <w:top w:val="single" w:sz="8" w:color="auto"/>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Derivatives designated as hedges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Fuel hedge contracts</w:t>
            </w:r>
          </w:p>
        </w:tc>
        <w:tc>
          <w:tcPr>
            <w:tcW w:w="2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Other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332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Liability derivatives:</w:t>
            </w: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Derivatives designated as hedges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Fuel hedge contracts</w:t>
            </w:r>
          </w:p>
        </w:tc>
        <w:tc>
          <w:tcPr>
            <w:tcW w:w="218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other nonfinancial assets and liabilities measured at fair value in the financial statements on a nonrecurring basis are subject to fair value measurements and disclosures. Nonfinancial assets and liabilities included in our consolidated balance sheets and measured at fair value on a nonrecurring basis consist of goodwill and long-lived assets, including other acquired intangibles.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recorded a goodwill impairment charge of $21,474 at the demolition reporting unit. The fair value of goodwill was determined using quantitative models that contained significant unobservable inputs. The operations of the business have been discontinued; therefore, the impairment of goodwill is included in income (loss) on discontinued operations, net of tax. The goodwill for the historical demolition business at December 31, 2012 has been reclassified to assets held for sale.</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780" w:type="dxa"/>
            <w:vAlign w:val="bottom"/>
            <w:gridSpan w:val="3"/>
          </w:tcPr>
          <w:p>
            <w:pPr>
              <w:spacing w:after="0"/>
              <w:rPr>
                <w:sz w:val="20"/>
                <w:szCs w:val="20"/>
                <w:color w:val="auto"/>
              </w:rPr>
            </w:pPr>
            <w:r>
              <w:rPr>
                <w:rFonts w:ascii="Arial" w:cs="Arial" w:eastAsia="Arial" w:hAnsi="Arial"/>
                <w:sz w:val="14"/>
                <w:szCs w:val="14"/>
                <w:b w:val="1"/>
                <w:bCs w:val="1"/>
                <w:color w:val="auto"/>
                <w:w w:val="96"/>
              </w:rPr>
              <w:t>Fair Value Measurements Using Significant</w:t>
            </w:r>
          </w:p>
        </w:tc>
      </w:tr>
      <w:tr>
        <w:trPr>
          <w:trHeight w:val="171"/>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Unobservable Inputs (Level 3)</w:t>
            </w:r>
          </w:p>
        </w:tc>
      </w:tr>
      <w:tr>
        <w:trPr>
          <w:trHeight w:val="142"/>
        </w:trPr>
        <w:tc>
          <w:tcPr>
            <w:tcW w:w="68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40" w:type="dxa"/>
            <w:vAlign w:val="bottom"/>
            <w:tcBorders>
              <w:top w:val="single" w:sz="8" w:color="auto"/>
              <w:bottom w:val="single" w:sz="8" w:color="auto"/>
            </w:tcBorders>
          </w:tcPr>
          <w:p>
            <w:pPr>
              <w:jc w:val="right"/>
              <w:ind w:right="111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 included in assets held for sale</w:t>
            </w: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Balance at January 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21,474</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(21,474)</w:t>
            </w: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Balance at December 31,</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components of the accumulated balances of other comprehensive income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(397)</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of derivative losses (gains) to earnings—net of tax</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(1,437)</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Change in fair value of derivatives—net of tax</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derivatives—net of tax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other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(383</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70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to earnings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 of Operations Location</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4"/>
                <w:szCs w:val="14"/>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w:t>
            </w:r>
          </w:p>
        </w:tc>
        <w:tc>
          <w:tcPr>
            <w:tcW w:w="164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Fuel hedge contracts</w:t>
            </w:r>
          </w:p>
        </w:tc>
        <w:tc>
          <w:tcPr>
            <w:tcW w:w="4380" w:type="dxa"/>
            <w:vAlign w:val="bottom"/>
            <w:gridSpan w:val="3"/>
          </w:tcPr>
          <w:p>
            <w:pPr>
              <w:ind w:left="1640"/>
              <w:spacing w:after="0"/>
              <w:rPr>
                <w:sz w:val="20"/>
                <w:szCs w:val="20"/>
                <w:color w:val="auto"/>
              </w:rPr>
            </w:pPr>
            <w:r>
              <w:rPr>
                <w:rFonts w:ascii="Arial" w:cs="Arial" w:eastAsia="Arial" w:hAnsi="Arial"/>
                <w:sz w:val="18"/>
                <w:szCs w:val="18"/>
                <w:color w:val="auto"/>
              </w:rPr>
              <w:t>Costs of contract revenues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$450</w:t>
            </w: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 (2,319)</w:t>
            </w:r>
          </w:p>
        </w:tc>
      </w:tr>
      <w:tr>
        <w:trPr>
          <w:trHeight w:val="202"/>
        </w:trPr>
        <w:tc>
          <w:tcPr>
            <w:tcW w:w="3140" w:type="dxa"/>
            <w:vAlign w:val="bottom"/>
            <w:shd w:val="clear" w:color="auto" w:fill="CCEEFF"/>
          </w:tcPr>
          <w:p>
            <w:pPr>
              <w:spacing w:after="0"/>
              <w:rPr>
                <w:sz w:val="17"/>
                <w:szCs w:val="17"/>
                <w:color w:val="auto"/>
              </w:rPr>
            </w:pPr>
          </w:p>
        </w:tc>
        <w:tc>
          <w:tcPr>
            <w:tcW w:w="4380" w:type="dxa"/>
            <w:vAlign w:val="bottom"/>
            <w:gridSpan w:val="3"/>
            <w:shd w:val="clear" w:color="auto" w:fill="CCEEFF"/>
          </w:tcPr>
          <w:p>
            <w:pPr>
              <w:ind w:left="1640"/>
              <w:spacing w:after="0" w:line="201" w:lineRule="exact"/>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spacing w:after="0"/>
              <w:rPr>
                <w:sz w:val="20"/>
                <w:szCs w:val="20"/>
                <w:color w:val="auto"/>
              </w:rPr>
            </w:pPr>
          </w:p>
        </w:tc>
        <w:tc>
          <w:tcPr>
            <w:tcW w:w="4380" w:type="dxa"/>
            <w:vAlign w:val="bottom"/>
            <w:gridSpan w:val="3"/>
            <w:shd w:val="clear" w:color="auto" w:fill="CCEEFF"/>
          </w:tcPr>
          <w:p>
            <w:pPr>
              <w:ind w:left="1640"/>
              <w:spacing w:after="0"/>
              <w:rPr>
                <w:sz w:val="20"/>
                <w:szCs w:val="20"/>
                <w:color w:val="auto"/>
              </w:rPr>
            </w:pPr>
            <w:r>
              <w:rPr>
                <w:rFonts w:ascii="Arial" w:cs="Arial" w:eastAsia="Arial" w:hAnsi="Arial"/>
                <w:sz w:val="18"/>
                <w:szCs w:val="18"/>
                <w:color w:val="auto"/>
              </w:rPr>
              <w:t>benefit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(882)</w:t>
            </w:r>
          </w:p>
        </w:tc>
      </w:tr>
      <w:tr>
        <w:trPr>
          <w:trHeight w:val="223"/>
        </w:trPr>
        <w:tc>
          <w:tcPr>
            <w:tcW w:w="3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270</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(1,437)</w:t>
            </w: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In January 2011, the Company issued $250,000 of 7.375% senior notes due February 1, 2019, which were outstanding at December 31, 2013 (See Note 7). The senior notes are senior unsecured obligations of the Company and its subsidiaries that guarantee the senior notes. The fair value of the senior notes was $261,250 at December 31, 2013, which is a Level 1 fair value measurement as the senior notes value was obtained using quoted prices in active markets.</w:t>
      </w:r>
    </w:p>
    <w:p>
      <w:pPr>
        <w:spacing w:after="0" w:line="33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Company’s income tax (provision) benefit from continuing and discontinued operations for the years ended December 31, 2013, 2012 and 2011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1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from continuing operations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(10,460)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(5,419)</w:t>
            </w:r>
          </w:p>
        </w:tc>
        <w:tc>
          <w:tcPr>
            <w:tcW w:w="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Income tax benefit from discontinued operations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7,490</w:t>
            </w:r>
          </w:p>
        </w:tc>
        <w:tc>
          <w:tcPr>
            <w:tcW w:w="5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(9,545)</w:t>
            </w: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pre- tax income (loss) from domestic and foreign operations for the years ended December 31, 2013, 2012 and 2011 is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Borders>
              <w:bottom w:val="single" w:sz="8" w:color="CCEEFF"/>
            </w:tcBorders>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$23,716</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$15,884</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$21,067</w:t>
            </w:r>
          </w:p>
        </w:tc>
        <w:tc>
          <w:tcPr>
            <w:tcW w:w="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Foreign operations</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6,601</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(4,170)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r>
      <w:tr>
        <w:trPr>
          <w:trHeight w:val="27"/>
        </w:trPr>
        <w:tc>
          <w:tcPr>
            <w:tcW w:w="6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pre-tax income</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30,317</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11,714</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26,273</w:t>
            </w: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from continuing operations as of December 31, 2013, 2012 and 2011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86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Current</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8,384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859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(4,577)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4"/>
              </w:rPr>
              <w:t>1,948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13,064</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State:</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Deferred</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Current</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(1,975)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4"/>
              </w:rPr>
              <w:t>1,975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10,460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5,419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740" w:type="dxa"/>
            <w:vAlign w:val="bottom"/>
            <w:vMerge w:val="restart"/>
          </w:tcPr>
          <w:p>
            <w:pPr>
              <w:jc w:val="right"/>
              <w:ind w:right="16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income tax provision from continuing operations reconciles to the provision at the statutory U.S. federal income tax rate of 35%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statutory U.S. federal income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$10,611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$ 9,196</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State income tax—net of federal income tax benefit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245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provision (benefit)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Change in deferred state tax rate</w:t>
            </w:r>
          </w:p>
        </w:tc>
        <w:tc>
          <w:tcPr>
            <w:tcW w:w="11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246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Changes in unrecognized tax benefits</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(500)</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228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(193)</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10,460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$ 9,944</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At December 31, 2013 and 2012, the Company had gross net operating loss carryforwards for state income tax purposes totaling $37,537 and $26,918, respectively. The outstanding carryforwards will expire between 2023 and 2033. At December 31, 2013 and 2012, a valuation allowance has been established for a portion of the deferred tax asset related to these state net operating loss carryforwards in the amount of $0 and $720, respectively.</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also has foreign gross net operating loss carryforwards of approximately $7,194 and $10,164 as of December 31, 2013 and 2012. The net operating losses expire between 2014 and 2033. At December 31, 2013 and 2012, a full valuation allowance has been established for the deferred tax asset of $2,505 and $2,632 related to foreign net operating loss carryforwards, respectively, as the Company believes it is more likely than not that the net operating loss carryforwards will not be realized.</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December 31, 2013 and 2012, the Company had $253 and $471, respectively, in unrecognized tax benefits, the recognition of which would have an impact of $164 and $241 on the effective tax rate.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60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benefits—January 1</w:t>
            </w:r>
          </w:p>
        </w:tc>
        <w:tc>
          <w:tcPr>
            <w:tcW w:w="1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$ 471</w:t>
            </w: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Gross increases—tax positions in prior period</w:t>
            </w:r>
          </w:p>
        </w:tc>
        <w:tc>
          <w:tcPr>
            <w:tcW w:w="192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increases—current period tax positions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Gross decreases—expirations</w:t>
            </w:r>
          </w:p>
        </w:tc>
        <w:tc>
          <w:tcPr>
            <w:tcW w:w="2900" w:type="dxa"/>
            <w:vAlign w:val="bottom"/>
            <w:gridSpan w:val="3"/>
          </w:tcPr>
          <w:p>
            <w:pPr>
              <w:jc w:val="right"/>
              <w:ind w:right="500"/>
              <w:spacing w:after="0"/>
              <w:rPr>
                <w:sz w:val="20"/>
                <w:szCs w:val="20"/>
                <w:color w:val="auto"/>
              </w:rPr>
            </w:pPr>
            <w:r>
              <w:rPr>
                <w:rFonts w:ascii="Arial" w:cs="Arial" w:eastAsia="Arial" w:hAnsi="Arial"/>
                <w:sz w:val="18"/>
                <w:szCs w:val="18"/>
                <w:color w:val="auto"/>
              </w:rPr>
              <w:t>(201)</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decreases—tax positions in prior period</w:t>
            </w:r>
          </w:p>
        </w:tc>
        <w:tc>
          <w:tcPr>
            <w:tcW w:w="2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Settlements</w:t>
            </w:r>
          </w:p>
        </w:tc>
        <w:tc>
          <w:tcPr>
            <w:tcW w:w="19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benefits—December 31,</w:t>
            </w:r>
          </w:p>
        </w:tc>
        <w:tc>
          <w:tcPr>
            <w:tcW w:w="2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$ 253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$ 471</w:t>
            </w:r>
          </w:p>
        </w:tc>
        <w:tc>
          <w:tcPr>
            <w:tcW w:w="700" w:type="dxa"/>
            <w:vAlign w:val="bottom"/>
            <w:gridSpan w:val="3"/>
            <w:shd w:val="clear" w:color="auto" w:fill="CCEEFF"/>
          </w:tcPr>
          <w:p>
            <w:pPr>
              <w:jc w:val="center"/>
              <w:ind w:left="5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633</w:t>
            </w:r>
          </w:p>
        </w:tc>
      </w:tr>
      <w:tr>
        <w:trPr>
          <w:trHeight w:val="20"/>
        </w:trPr>
        <w:tc>
          <w:tcPr>
            <w:tcW w:w="5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2013 and 2012, the Company had approximately $18 and $148, respectively, of interest and penalties recorded.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files income tax returns at the U.S. federal level and in various state and foreign jurisdictions. U.S. federal income tax years prior to 2011 are closed and no longer subject to examination. With few exceptions, the statute of limitations in state taxing jurisdictions in which the Company operates has expired for all years prior to 2009. In foreign jurisdictions in which the Company operates, years prior to 2010 are closed and are no longer subject to examination.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deferred tax assets (liabilities) at December 31, 2013 and 2012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9,427</w:t>
            </w:r>
          </w:p>
        </w:tc>
        <w:tc>
          <w:tcPr>
            <w:tcW w:w="4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Foreign NOLs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NOLs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Fuel hedges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w:t>
            </w:r>
          </w:p>
        </w:tc>
      </w:tr>
      <w:tr>
        <w:trPr>
          <w:trHeight w:val="230"/>
        </w:trPr>
        <w:tc>
          <w:tcPr>
            <w:tcW w:w="20" w:type="dxa"/>
            <w:vAlign w:val="bottom"/>
          </w:tcPr>
          <w:p>
            <w:pPr>
              <w:spacing w:after="0"/>
              <w:rPr>
                <w:sz w:val="20"/>
                <w:szCs w:val="20"/>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13,512</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(115,542)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(111,321)</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Fuel hedges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(115,674)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(113,296)</w:t>
            </w: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(102,162</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(102,262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 reported in the balance sheet: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Net current deferred tax assets (included in other current assets)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noncurrent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(108,511)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(106,128)</w:t>
            </w: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(102,162</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(102,262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Deferred tax assets relate primarily to reserves and other liabilities for costs and expenses not currently deductible for tax purposes. Deferred tax liabilities relate primarily to the cumulative difference between book depreciation and amounts deducted for tax purposes. With the exception of certain state and foreign net operating loss carryforwards, a valuation allowance has not been recorded to reduce the balance of deferred tax assets at either December 31, 2013, or December 31, 2012, because the Company believes that it is more likely than not that the deferred income tax assets will ultimately be realized.</w:t>
      </w:r>
    </w:p>
    <w:p>
      <w:pPr>
        <w:spacing w:after="0" w:line="29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5,800 shares of common stock.</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Compensation cost charged to expense related to share-based compensation arrangements was $3,251 $3,081 and $1,838, for the December 31, 2013 2012 and 2011,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Non-qualified stock options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NQSOs. The expected life of the NQSOs was determined from historical exercise data providing a reasonable basis upon which to estimate the expected life.</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grants issued in 2013, 2012 and 2011, the volatility assumptions were based on historical volatility of Great Lakes and comparable publicly-traded companies, primarily more mature and well-established companies in the engineering and construction sector.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is not an active market for options on the Company’s common stock and, as such, implied volatility for the Company’s stock was not considered.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Company’s general policy is to issue new shares of registered common stock to satisfy stock option exercises or grants of restricted stock.</w:t>
      </w:r>
    </w:p>
    <w:p>
      <w:pPr>
        <w:spacing w:after="0" w:line="23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2013, 2012 and 2011 was $4.06, $2.93 and $2.23 respectively. The fair value of each option was estimated using the following assumptions: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6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58.2%</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55.0%</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dividends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- 6.5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- 6.5</w:t>
            </w:r>
          </w:p>
        </w:tc>
        <w:tc>
          <w:tcPr>
            <w:tcW w:w="200" w:type="dxa"/>
            <w:vAlign w:val="bottom"/>
            <w:shd w:val="clear" w:color="auto" w:fill="CCEEFF"/>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Risk free rate</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- 1.0%</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w:t>
            </w:r>
          </w:p>
        </w:tc>
      </w:tr>
    </w:tbl>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 summary of stock option activity under the Incentive Plan as of December 31, 2013, and changes during the year ended December 31, 2013, is presented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Contract</w:t>
            </w:r>
          </w:p>
        </w:tc>
        <w:tc>
          <w:tcPr>
            <w:tcW w:w="3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vMerge w:val="restart"/>
          </w:tcPr>
          <w:p>
            <w:pPr>
              <w:ind w:left="2060"/>
              <w:spacing w:after="0"/>
              <w:rPr>
                <w:sz w:val="20"/>
                <w:szCs w:val="20"/>
                <w:color w:val="auto"/>
              </w:rPr>
            </w:pPr>
            <w:r>
              <w:rPr>
                <w:rFonts w:ascii="Arial" w:cs="Arial" w:eastAsia="Arial" w:hAnsi="Arial"/>
                <w:sz w:val="14"/>
                <w:szCs w:val="14"/>
                <w:b w:val="1"/>
                <w:bCs w:val="1"/>
                <w:color w:val="auto"/>
              </w:rPr>
              <w:t>Options</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Term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9"/>
              </w:rPr>
              <w:t>Exercise Price</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(yrs)</w:t>
            </w:r>
          </w:p>
        </w:tc>
        <w:tc>
          <w:tcPr>
            <w:tcW w:w="38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as of January 1, 2013</w:t>
            </w:r>
          </w:p>
        </w:tc>
        <w:tc>
          <w:tcPr>
            <w:tcW w:w="7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1,637</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7.56</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4.11</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7.56</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1,912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23"/>
        </w:trPr>
        <w:tc>
          <w:tcPr>
            <w:tcW w:w="5320" w:type="dxa"/>
            <w:vAlign w:val="bottom"/>
            <w:gridSpan w:val="3"/>
          </w:tcPr>
          <w:p>
            <w:pPr>
              <w:spacing w:after="0"/>
              <w:rPr>
                <w:sz w:val="20"/>
                <w:szCs w:val="20"/>
                <w:color w:val="auto"/>
              </w:rPr>
            </w:pPr>
            <w:r>
              <w:rPr>
                <w:rFonts w:ascii="Arial" w:cs="Arial" w:eastAsia="Arial" w:hAnsi="Arial"/>
                <w:sz w:val="18"/>
                <w:szCs w:val="18"/>
                <w:color w:val="auto"/>
              </w:rPr>
              <w:t>Vested at December 31, 2013</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7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1,903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5.99</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RSUs generally vest in one installment on the third anniversary of the grant date. The fair value of RSUs was based upon the Company’s stock price on the date of grant. A summary of the status of the Company’s non-vested RSUs as of December 31, 2013, and changes during the year ended December 31, 2013, is presented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Nonvested Restricted Stock Units</w:t>
            </w:r>
          </w:p>
        </w:tc>
        <w:tc>
          <w:tcPr>
            <w:tcW w:w="600" w:type="dxa"/>
            <w:vAlign w:val="bottom"/>
          </w:tcPr>
          <w:p>
            <w:pPr>
              <w:spacing w:after="0"/>
              <w:rPr>
                <w:sz w:val="14"/>
                <w:szCs w:val="14"/>
                <w:color w:val="auto"/>
              </w:rPr>
            </w:pPr>
          </w:p>
        </w:tc>
        <w:tc>
          <w:tcPr>
            <w:tcW w:w="21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2200" w:type="dxa"/>
            <w:vAlign w:val="bottom"/>
            <w:gridSpan w:val="4"/>
          </w:tcPr>
          <w:p>
            <w:pPr>
              <w:ind w:left="540"/>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as of January 1, 2013</w:t>
            </w:r>
          </w:p>
        </w:tc>
        <w:tc>
          <w:tcPr>
            <w:tcW w:w="6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Granted</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222</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1720" w:type="dxa"/>
            <w:vAlign w:val="bottom"/>
            <w:gridSpan w:val="2"/>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Expected to vest at December 31, 2013</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511</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20" w:type="dxa"/>
            <w:vAlign w:val="bottom"/>
            <w:gridSpan w:val="2"/>
          </w:tcPr>
          <w:p>
            <w:pPr>
              <w:jc w:val="right"/>
              <w:ind w:right="948"/>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there was $3,786 of total unrecognized compensation cost related to non-vested NQSOs and RSUs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cost is expected to be recognized over a weighted-average period of 1.9 years.</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$308 and $231 for the years ended December 31, 2013 and 2012, respectively.</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Director compensation</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Company uses a combination of cash and share-based compensation to attract and retain qualified candidates to serve on our Board of Directors. Compensation is paid to non-employee directors. Directors who are employees receive no additional compensation for services as members of the Board or any of its committees. All of our directors are non-employee directors with the exception of Mr. Berger. Share-based compensation is paid pursuant to the Incentive Plan. Each non-employee director of the Company received an annual retainer of $155, payable quarterly in arrears, and was paid 50% in cash and 50% in common stock of the Company. The Chairman of the Board received an additional $250 of compensation, paid in stock.</w:t>
      </w:r>
    </w:p>
    <w:p>
      <w:pPr>
        <w:spacing w:after="0" w:line="15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the years ended December 31, 2013, 2012 and 2011, 96 thousand, 93 thousand and 83 thousand shares, respectively, of the Company’s common stock were issued to non-employee directors under the Incentive Plan.</w:t>
      </w:r>
    </w:p>
    <w:p>
      <w:pPr>
        <w:spacing w:after="0" w:line="31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sponsors four 401(k) savings plans, one covering substantially all non-union salaried employees (“Salaried Plan”), a second covering its hourly employees (“Hourly Plan”), a third plan specifically for its employees that are members of a tugboat union and a fourth for the salary and non-union employees of certain subsidiaries (“Affiliated Plan”). Under the Salaried Plan, the Hourly Plan and the Affiliated Plan, individual employees may contribute a percentage of compensation and the Company will match a portion of the employees’ contributions. Additionally, the Salaried Plan and Affiliated Plan includes a profit-sharing component, permitting the Company to make discretionary employer contributions to all eligible employees of these plans. The Company’s expense for matching and discretionary contributions for 2013, 2012 and 2011, was $5,123, $4,017 and $3,936, respectively.</w:t>
      </w:r>
    </w:p>
    <w:p>
      <w:pPr>
        <w:spacing w:after="0" w:line="16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also contributes to various multiemployer pension plans pursuant to collective bargaining agreements.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 to these plans were less than 5% of each such plan’s total contributions.</w:t>
      </w:r>
    </w:p>
    <w:p>
      <w:pPr>
        <w:spacing w:after="0" w:line="188" w:lineRule="exact"/>
        <w:rPr>
          <w:sz w:val="20"/>
          <w:szCs w:val="20"/>
          <w:color w:val="auto"/>
        </w:rPr>
      </w:pPr>
    </w:p>
    <w:p>
      <w:pPr>
        <w:jc w:val="both"/>
        <w:ind w:right="240" w:firstLine="456"/>
        <w:spacing w:after="0" w:line="284" w:lineRule="auto"/>
        <w:rPr>
          <w:sz w:val="20"/>
          <w:szCs w:val="20"/>
          <w:color w:val="auto"/>
        </w:rPr>
      </w:pPr>
      <w:r>
        <w:rPr>
          <w:rFonts w:ascii="Arial" w:cs="Arial" w:eastAsia="Arial" w:hAnsi="Arial"/>
          <w:sz w:val="16"/>
          <w:szCs w:val="16"/>
          <w:color w:val="auto"/>
        </w:rPr>
        <w:t>At December 31, 2013 a funding improvement plan was in place for the Massachusetts Laborers Pension Fund, a multiemployer plan to which the Company contributes. This plan did not require the Company to pay a surcharge on contributions for years presented. 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w:t>
      </w:r>
    </w:p>
    <w:p>
      <w:pPr>
        <w:spacing w:after="0" w:line="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However, information from the plans’ administrators is not available to permit the Company to determine its share, if any, of unfunded vested benefits. The Company is currently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investigating any potential withdrawal liability associated with the potential sale of the historical demolition segment. At this time, no information is available to determine the value, if any, of a withdrawal liability.</w:t>
      </w:r>
    </w:p>
    <w:p>
      <w:pPr>
        <w:spacing w:after="0" w:line="31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demolition projects. The Company has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$1,000 to $10,000. At December 31, 2013, the Company had outstanding performance bonds with a notional amount of approximately $819,584, of which $81,784 relates to projects accounted for in discontinued operations. The revenue value remaining in backlog related to the projects of continuing operations totaled approximately $405,561.</w:t>
      </w:r>
    </w:p>
    <w:p>
      <w:pPr>
        <w:spacing w:after="0" w:line="17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8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2011, NASDI received a subpoena from a federal grand jury in the District of Massachusetts directing NASDI to furnish certain documents relating to certain projects performed by NASDI since January 2005. The Company conducted an internal investigation into this matter and has cooperated with the grand jury’s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investigation. Based on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 plaintiffs filed an amended class action complaint on August 9, 2013, which the defendants moved to dismiss on October 8, 2013. The Company denies liability and intends to vigorously defend this action.</w:t>
      </w:r>
    </w:p>
    <w:p>
      <w:pPr>
        <w:spacing w:after="0" w:line="16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is otherwise stayed until there is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is also stayed pending a ruling on the motion to dismiss the securities class action.</w:t>
      </w:r>
    </w:p>
    <w:p>
      <w:pPr>
        <w:spacing w:after="0" w:line="1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on the Company’s termination for default, including but not limited to the Company’s right to draw on letters of credit that had been issued by the shipyard as financial security required in the contract. In May 2013, the Company drew upon the shipyard’s letters of credit related to the contract and received $13,600. Arbitration proceedings were initiated. In January 2014, the Company and the shipyard executed a settlement agreement pursuant to which the Company retained $10,500 of the proceeds of the financial security and remitted $3,100 of those funds to the shipyard, all other claims were released, and the arbitration was dismissed with prejudice.</w:t>
      </w:r>
    </w:p>
    <w:p>
      <w:pPr>
        <w:spacing w:after="0" w:line="16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In May 2013, the Company concluded its litigation regarding the dredge New York loss of use claim. In January 2008, the Company filed suit against the M/V </w:t>
      </w:r>
      <w:r>
        <w:rPr>
          <w:rFonts w:ascii="Arial" w:cs="Arial" w:eastAsia="Arial" w:hAnsi="Arial"/>
          <w:sz w:val="18"/>
          <w:szCs w:val="18"/>
          <w:i w:val="1"/>
          <w:iCs w:val="1"/>
          <w:color w:val="auto"/>
        </w:rPr>
        <w:t>Orange Sun</w:t>
      </w:r>
      <w:r>
        <w:rPr>
          <w:rFonts w:ascii="Arial" w:cs="Arial" w:eastAsia="Arial" w:hAnsi="Arial"/>
          <w:sz w:val="18"/>
          <w:szCs w:val="18"/>
          <w:color w:val="auto"/>
        </w:rPr>
        <w:t xml:space="preserve"> and her owners for damages incurred by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in connection with the allision in the approach channel to Port Newark, New Jersey. The Company received $13,272 which is included in proceeds from loss of use claim.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 obligations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Company leases certain operating equipment and office facilities under long-term operating leases expiring at various dates through 2022. The equipment leases contain renewal or purchase options that specify prices at the then fair value upon the expiration of the lease terms. The leases also contain default provisions that are triggered by an acceleration of debt maturity under the terms of the Company’s Credit Agreement, or, in certain instances, cross default to other equipment leases and certain lease arrangements require that the Company maintain certain financial ratios comparable to those required by its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Future minimum operating lease payments at December 31, 2013, are as follows:</w:t>
            </w: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5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2015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2017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14,270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Thereafter</w:t>
            </w:r>
          </w:p>
        </w:tc>
        <w:tc>
          <w:tcPr>
            <w:tcW w:w="1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operating lease payments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Total rent expense under long-term operating lease arrangements for the years ended December 31, 2013, 2012 and 2011 was $21,620, $18,370 and $18,316, respectively. This excludes expenses for equipment and facilities rented on a short-term, as-needed basis.</w:t>
      </w:r>
    </w:p>
    <w:p>
      <w:pPr>
        <w:spacing w:after="0" w:line="31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historical demolition business is operated out of a building owned by a minority interest owner in Yankee and prior to 2011, a profits interest owner in NASDI. In 2013, 2012 and 2011, NASDI and Yankee paid the minority interest owner $449, $449 and $483, respectively, for rent and property taxes.</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Our rivers &amp; lakes group operated out of facilities owned by the former owner and an employee of the group. The Company paid $95, $95 and $103 in rent to the building owner during 2013, 2012 and 2011, respectively. The rivers &amp; lakes group relocated part of its operations to a new facility in late 2013.</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Certain units of our Environmental &amp; remediation segment operate out of facilities owned by an employee who is also the former owner of Terra. In 2013, the Company paid $243 for rent on the two properties. As the purchase of Terra occurred on December 31, 2012, the Company paid no rents in 2012 or 2011.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current receivable due from TerraSea Environmental Solutions, a joint venture, of $2,064 at December 31, 2013.</w:t>
      </w:r>
    </w:p>
    <w:p>
      <w:pPr>
        <w:spacing w:after="0" w:line="37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DISPOSITIONS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Businesses or asset groups are reported as discontinued operations when the Company commits to a plan to divest the business or group and the sale of the business or asset group is deemed probable within the next twelve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months. In the fourth quarter, the management team proposed, and the Board of Directors approved, a plan to sell our historical demolition business. The Company has received indications of interest and expects to finalize disposition of the demolition business in 2014. The disposal group of the historical demolition business has therefore been classified as discontinued operations for all periods presented.</w:t>
      </w:r>
    </w:p>
    <w:p>
      <w:pPr>
        <w:spacing w:after="0" w:line="16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Included in the results of discontinued operations for the year ended December 31, 2013 is a provision of $18,436 to reduce the net assets of the historical demolition businesses to fair value less costs to sell. Fair values were determined using various factors including a third-party appraisal of equipment, an evaluation of working capital and non-binding letters of interest. The loss on disposition of assets held for sale is subject to change prior to completion of the disposition and could differ materially from the Company’s estimate.</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To the extent the Company incurs liabilities for exit costs, including severance, other employee benefit costs and operating lease obligations, the liabilities will be measured at fair value and recorded when incurred.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the businesses have been reported in discontinued operations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$ 39,550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107,199</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Income (loss) before income taxes from discontinued operations</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$(55,530)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(17,125)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523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Preliminary loss on disposal of assets held for sale</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(18,436)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Income tax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19,116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399</w:t>
            </w:r>
          </w:p>
        </w:tc>
      </w:tr>
      <w:tr>
        <w:trPr>
          <w:trHeight w:val="27"/>
        </w:trPr>
        <w:tc>
          <w:tcPr>
            <w:tcW w:w="6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922</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 classes of assets and liabilities of businesses reported as discontinued operations are shown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2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Accounts receivable—net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15,445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$24,928</w:t>
            </w:r>
          </w:p>
        </w:tc>
        <w:tc>
          <w:tcPr>
            <w:tcW w:w="100" w:type="dxa"/>
            <w:vAlign w:val="bottom"/>
          </w:tcPr>
          <w:p>
            <w:pPr>
              <w:spacing w:after="0"/>
              <w:rPr>
                <w:sz w:val="19"/>
                <w:szCs w:val="19"/>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 in excess of billings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shd w:val="clear" w:color="auto" w:fill="CCEEFF"/>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Other current assets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Goodwill</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21,474</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Assets of discontinued operations</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52,256</w:t>
            </w:r>
          </w:p>
        </w:tc>
        <w:tc>
          <w:tcPr>
            <w:tcW w:w="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85,456</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Accounts payable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Reserve for loss on disposal</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18,436</w:t>
            </w:r>
          </w:p>
        </w:tc>
        <w:tc>
          <w:tcPr>
            <w:tcW w:w="6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Other liabilities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6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of discontinued operations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33,705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23,669</w:t>
            </w:r>
          </w:p>
        </w:tc>
        <w:tc>
          <w:tcPr>
            <w:tcW w:w="100" w:type="dxa"/>
            <w:vAlign w:val="bottom"/>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Terra Contracting acquisition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December 31, 2012, the Company acquired the assets including certain assumed liabilities of Terra, a provider of a wide variety of essential services for environmental, maintenance and infrastructure-related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applications headquartered in Kalamazoo, MI, for a purchase price of approximately $26 million. The Terra acquisition broadened the Company’s environmental &amp; remediation segment with additional services and expertise as well as expanded its footprint in the Midwest. The seller may receive cash payments for any of the calendar years ended 2013, 2014 and 2015 if certain earnings based criteria are met. Per the purchase agreement, for each calendar year, the earnout payment amount shall be equal to (i) 25% of the amount, up to $500, by which EBITDA exceeds $4,000 plus (ii) 50% of the amount by which EBITDA exceeds $4,500; provided, that in no event shall seller receive an amount more than $2,000. At December 31, 2013 and 2012, the fair value of the recorded earnout liability was $1,833 and $1,636 of which $725 and $647 is recorded in accrued liabilities and $1,108 and $989 is recorded in other liabilities, respectively. After assuming the seller’s indebtedness, the acquisition was funded with a seller note of $10,547 and future contingent consideration. In addition, $2,000 of cash was placed in escrow pursuant to the indemnification clauses in the purchase agreement. The balance of the note was paid in January 2013.</w:t>
      </w:r>
    </w:p>
    <w:p>
      <w:pPr>
        <w:spacing w:after="0" w:line="19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purchase price has been allocated to the assets acquired and liabilities assumed using estimated fair values as of the acquisition date. Tangible assets acquired of $27 million primarily were receivables of $14.6 million and property, plant, and equipment of $11.3 million. Finite-lived intangible assets acquired of $2.7 million were primarily related to a non-compete agreement and also included acquired backlog, patents and trade names. The acquired backlog is being amortized on a straight-line basis over one year while all other finite-lived intangible assets are being amortized on a straight-line basis over five years. Liabilities assumed of $18.3 million, includes primarily $17.5 million of accounts payable. Goodwill of $2.8 million represents the excess of cost over the fair value of the net tangible and intangible assets acquired.</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the acquisition took place on December 31, 2012, no income or earnings of Terra were included in the consolidated statement of operations of the Company for the period ended December 31, 2012.</w:t>
      </w:r>
    </w:p>
    <w:p>
      <w:pPr>
        <w:spacing w:after="0" w:line="31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2013, 2012 and 2011, is provided as follows: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4"/>
                <w:szCs w:val="14"/>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Contract revenues</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$642,602</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$588,229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$520,134</w:t>
            </w: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54,683</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32,947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53,793</w:t>
            </w: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44,118</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37,279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37,176</w:t>
            </w: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821,253</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757,666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742,292</w:t>
            </w: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Property and equipment—net</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330,689</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323,082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298,140</w:t>
            </w: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76,575</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76,575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76,575</w:t>
            </w: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Investment in joint ventures</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8,256</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7,047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6,923</w:t>
            </w: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57,902</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64,598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revenues</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94,840</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3660" w:type="dxa"/>
            <w:vAlign w:val="bottom"/>
            <w:gridSpan w:val="3"/>
          </w:tcPr>
          <w:p>
            <w:pPr>
              <w:jc w:val="right"/>
              <w:ind w:right="260"/>
              <w:spacing w:after="0"/>
              <w:rPr>
                <w:sz w:val="20"/>
                <w:szCs w:val="20"/>
                <w:color w:val="auto"/>
              </w:rPr>
            </w:pPr>
            <w:r>
              <w:rPr>
                <w:rFonts w:ascii="Arial" w:cs="Arial" w:eastAsia="Arial" w:hAnsi="Arial"/>
                <w:sz w:val="18"/>
                <w:szCs w:val="18"/>
                <w:color w:val="auto"/>
              </w:rPr>
              <w:t>(3,282)</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(314)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2,504</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31,392</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68,802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46,168</w:t>
            </w: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equipment—net</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14,931</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12,427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3660" w:type="dxa"/>
            <w:vAlign w:val="bottom"/>
            <w:gridSpan w:val="3"/>
          </w:tcPr>
          <w:p>
            <w:pPr>
              <w:jc w:val="right"/>
              <w:ind w:right="320"/>
              <w:spacing w:after="0"/>
              <w:rPr>
                <w:sz w:val="20"/>
                <w:szCs w:val="20"/>
                <w:color w:val="auto"/>
              </w:rPr>
            </w:pPr>
            <w:r>
              <w:rPr>
                <w:rFonts w:ascii="Arial" w:cs="Arial" w:eastAsia="Arial" w:hAnsi="Arial"/>
                <w:sz w:val="18"/>
                <w:szCs w:val="18"/>
                <w:color w:val="auto"/>
              </w:rPr>
              <w:t>2,751</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2,751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3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4,100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65"/>
        </w:trPr>
        <w:tc>
          <w:tcPr>
            <w:tcW w:w="3620" w:type="dxa"/>
            <w:vAlign w:val="bottom"/>
          </w:tcPr>
          <w:p>
            <w:pPr>
              <w:spacing w:after="0"/>
              <w:rPr>
                <w:sz w:val="24"/>
                <w:szCs w:val="24"/>
                <w:color w:val="auto"/>
              </w:rPr>
            </w:pPr>
          </w:p>
        </w:tc>
        <w:tc>
          <w:tcPr>
            <w:tcW w:w="2660" w:type="dxa"/>
            <w:vAlign w:val="bottom"/>
          </w:tcPr>
          <w:p>
            <w:pPr>
              <w:jc w:val="right"/>
              <w:ind w:right="1311"/>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Intersegment:</w:t>
            </w:r>
          </w:p>
        </w:tc>
        <w:tc>
          <w:tcPr>
            <w:tcW w:w="1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Contract revenues</w:t>
            </w:r>
          </w:p>
        </w:tc>
        <w:tc>
          <w:tcPr>
            <w:tcW w:w="2800" w:type="dxa"/>
            <w:vAlign w:val="bottom"/>
            <w:gridSpan w:val="4"/>
          </w:tcPr>
          <w:p>
            <w:pPr>
              <w:jc w:val="right"/>
              <w:ind w:right="400"/>
              <w:spacing w:after="0"/>
              <w:rPr>
                <w:sz w:val="20"/>
                <w:szCs w:val="20"/>
                <w:color w:val="auto"/>
              </w:rPr>
            </w:pPr>
            <w:r>
              <w:rPr>
                <w:rFonts w:ascii="Arial" w:cs="Arial" w:eastAsia="Arial" w:hAnsi="Arial"/>
                <w:sz w:val="18"/>
                <w:szCs w:val="18"/>
                <w:color w:val="auto"/>
              </w:rPr>
              <w:t>$  (6,024)</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Contract revenues</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731,418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588,430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520,134</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8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51,401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32,633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53,479</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0" w:type="dxa"/>
            <w:vAlign w:val="bottom"/>
            <w:gridSpan w:val="4"/>
          </w:tcPr>
          <w:p>
            <w:pPr>
              <w:jc w:val="right"/>
              <w:ind w:right="460"/>
              <w:spacing w:after="0"/>
              <w:rPr>
                <w:sz w:val="20"/>
                <w:szCs w:val="20"/>
                <w:color w:val="auto"/>
              </w:rPr>
            </w:pPr>
            <w:r>
              <w:rPr>
                <w:rFonts w:ascii="Arial" w:cs="Arial" w:eastAsia="Arial" w:hAnsi="Arial"/>
                <w:sz w:val="18"/>
                <w:szCs w:val="18"/>
                <w:color w:val="auto"/>
              </w:rPr>
              <w:t>46,622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37,430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37,282</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852,645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826,468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788,460</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Property and equipment—net</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345,620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335,509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299,041</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8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79,326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79,326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76,575</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Investment in joint ventures</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8,256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7,047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6,923</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8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62,002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64,598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22,860</w:t>
            </w:r>
          </w:p>
        </w:tc>
        <w:tc>
          <w:tcPr>
            <w:tcW w:w="60" w:type="dxa"/>
            <w:vAlign w:val="bottom"/>
            <w:shd w:val="clear" w:color="auto" w:fill="CCEEFF"/>
          </w:tcPr>
          <w:p>
            <w:pPr>
              <w:spacing w:after="0"/>
              <w:rPr>
                <w:sz w:val="18"/>
                <w:szCs w:val="18"/>
                <w:color w:val="auto"/>
              </w:rPr>
            </w:pPr>
          </w:p>
        </w:tc>
      </w:tr>
      <w:tr>
        <w:trPr>
          <w:trHeight w:val="432"/>
        </w:trPr>
        <w:tc>
          <w:tcPr>
            <w:tcW w:w="7620" w:type="dxa"/>
            <w:vAlign w:val="bottom"/>
            <w:gridSpan w:val="7"/>
          </w:tcPr>
          <w:p>
            <w:pPr>
              <w:jc w:val="right"/>
              <w:ind w:right="360"/>
              <w:spacing w:after="0"/>
              <w:rPr>
                <w:sz w:val="20"/>
                <w:szCs w:val="20"/>
                <w:color w:val="auto"/>
              </w:rPr>
            </w:pPr>
            <w:r>
              <w:rPr>
                <w:rFonts w:ascii="Arial" w:cs="Arial" w:eastAsia="Arial" w:hAnsi="Arial"/>
                <w:sz w:val="18"/>
                <w:szCs w:val="18"/>
                <w:color w:val="auto"/>
                <w:w w:val="91"/>
              </w:rPr>
              <w:t>The Company classifies the revenue related to its dredging projects into the following types of work: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dredging— U.S.</w:t>
            </w:r>
          </w:p>
        </w:tc>
        <w:tc>
          <w:tcPr>
            <w:tcW w:w="21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$ 153,781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$ 175,317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156,251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Capital dredging—foreign</w:t>
            </w:r>
          </w:p>
        </w:tc>
        <w:tc>
          <w:tcPr>
            <w:tcW w:w="2800" w:type="dxa"/>
            <w:vAlign w:val="bottom"/>
            <w:gridSpan w:val="4"/>
          </w:tcPr>
          <w:p>
            <w:pPr>
              <w:jc w:val="right"/>
              <w:spacing w:after="0"/>
              <w:rPr>
                <w:sz w:val="20"/>
                <w:szCs w:val="20"/>
                <w:color w:val="auto"/>
              </w:rPr>
            </w:pPr>
            <w:r>
              <w:rPr>
                <w:rFonts w:ascii="Arial" w:cs="Arial" w:eastAsia="Arial" w:hAnsi="Arial"/>
                <w:sz w:val="18"/>
                <w:szCs w:val="18"/>
                <w:color w:val="auto"/>
              </w:rPr>
              <w:t>138,436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520"/>
              <w:spacing w:after="0"/>
              <w:rPr>
                <w:sz w:val="20"/>
                <w:szCs w:val="20"/>
                <w:color w:val="auto"/>
              </w:rPr>
            </w:pPr>
            <w:r>
              <w:rPr>
                <w:rFonts w:ascii="Arial" w:cs="Arial" w:eastAsia="Arial" w:hAnsi="Arial"/>
                <w:sz w:val="18"/>
                <w:szCs w:val="18"/>
                <w:color w:val="auto"/>
              </w:rPr>
              <w:t>112,242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77,232</w:t>
            </w: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Coastal protection dredging</w:t>
            </w:r>
          </w:p>
        </w:tc>
        <w:tc>
          <w:tcPr>
            <w:tcW w:w="2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228,868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126,873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135,164</w:t>
            </w:r>
          </w:p>
        </w:tc>
      </w:tr>
      <w:tr>
        <w:trPr>
          <w:trHeight w:val="216"/>
        </w:trPr>
        <w:tc>
          <w:tcPr>
            <w:tcW w:w="4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dredging</w:t>
            </w:r>
          </w:p>
        </w:tc>
        <w:tc>
          <w:tcPr>
            <w:tcW w:w="2940" w:type="dxa"/>
            <w:vAlign w:val="bottom"/>
            <w:gridSpan w:val="5"/>
          </w:tcPr>
          <w:p>
            <w:pPr>
              <w:jc w:val="right"/>
              <w:ind w:right="140"/>
              <w:spacing w:after="0"/>
              <w:rPr>
                <w:sz w:val="20"/>
                <w:szCs w:val="20"/>
                <w:color w:val="auto"/>
              </w:rPr>
            </w:pPr>
            <w:r>
              <w:rPr>
                <w:rFonts w:ascii="Arial" w:cs="Arial" w:eastAsia="Arial" w:hAnsi="Arial"/>
                <w:sz w:val="18"/>
                <w:szCs w:val="18"/>
                <w:color w:val="auto"/>
              </w:rPr>
              <w:t>90,833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520"/>
              <w:spacing w:after="0"/>
              <w:rPr>
                <w:sz w:val="20"/>
                <w:szCs w:val="20"/>
                <w:color w:val="auto"/>
              </w:rPr>
            </w:pPr>
            <w:r>
              <w:rPr>
                <w:rFonts w:ascii="Arial" w:cs="Arial" w:eastAsia="Arial" w:hAnsi="Arial"/>
                <w:sz w:val="18"/>
                <w:szCs w:val="18"/>
                <w:color w:val="auto"/>
              </w:rPr>
              <w:t>137,924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116,016</w:t>
            </w: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Rivers &amp; lakes</w:t>
            </w:r>
          </w:p>
        </w:tc>
        <w:tc>
          <w:tcPr>
            <w:tcW w:w="29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30,684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35,873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35,471</w:t>
            </w:r>
          </w:p>
        </w:tc>
      </w:tr>
      <w:tr>
        <w:trPr>
          <w:trHeight w:val="223"/>
        </w:trPr>
        <w:tc>
          <w:tcPr>
            <w:tcW w:w="4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dredging</w:t>
            </w:r>
          </w:p>
        </w:tc>
        <w:tc>
          <w:tcPr>
            <w:tcW w:w="210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$ 642,602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$ 588,229</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520,134</w:t>
            </w:r>
          </w:p>
        </w:tc>
        <w:tc>
          <w:tcPr>
            <w:tcW w:w="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derived revenues and gross profit from foreign project operations for the years ended December 31, 2013, 2012, and 2011,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138,436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112,242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$ 77,232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(117,029)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(104,038)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(63,256)</w:t>
            </w: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8,204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$ 13,976</w:t>
            </w: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2013, foreign revenues were primarily from projects in the Middle East as well as for the Wheatstone LNG project in Western Australia. In 2012, the majority of the Company’s foreign revenue came from projects in the Middle East. The majority of the Company’s long-lived assets are marine vessels and related equipment. At any point in time, the Company may employ certain assets outside of the U.S., as needed, to perform work on the Company’s foreign projects. As of December 31, 2013 and 2012, long-lived assets with a net book value of $104,099 and $88,003, respectively, were located outside of the U.S.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primary customer is the U.S. Army Corps of Engineers (the “Corps”), which has responsibility for federally funded projects related to waterway navigation and flood control. In 2013, 2012 and 2011, 45.0%, 68.9% and 55.6%, respectively, of contract revenues were earned from contracts with federal government agencies, including the Corps, as well as other federal entities such as the U.S. Coast Guard and U.S. Navy. At December 31, 2013 and 2012, approximately 48.7% and 32.6%,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2013, the Company earned significant revenue from a large, single customer foreign contract. The contract is with another dredging company and is subject to terms that limit our ability to control the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affecting the profitability of the Company’s contract. The expected revenue and profit on this contract is subject to material changes based upon the actual time and costs incurred to perform the work and the realization of contract incentives which may be outside the Company’s control. Changes in the estimated profitability of this contract may have a material effect on the Company’s operating results, cash flows or financial condition until the project is completed, which is expected in 2015.</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2013, revenue from foreign projects was concentrated in Bahrain and primarily with the government of Bahrain which comprised of 14.2% and 9.1% of total revenue in 2012 and 2011, respectively. At December 31, 2013 and 2012, approximately 13.1% and 24.5%, respectively, of accounts receivable, including retainage and contract revenues in excess of billings, were due on contracts with the government of Bahrain. There is a dependence on future projects in the Bahrain region, as vessels are currently located there. However, certain of the vessels located in Bahrain can be moved back to the U.S. or all can be moved to other international markets as opportunities arise.</w:t>
      </w:r>
    </w:p>
    <w:p>
      <w:pPr>
        <w:spacing w:after="0" w:line="317"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Company’s long-term debt at December 31, 2013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5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balance sheets as of December 31, 2013 and 2012;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(loss) for the years ended December 31, 2013, 2012 and 2011;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statements of cash flows for the years ended December 31, 2013, 2012 and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0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71,939</w:t>
            </w:r>
          </w:p>
        </w:tc>
        <w:tc>
          <w:tcPr>
            <w:tcW w:w="3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3,399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Receivables from affiliates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131,984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7,337</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12,205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(151,526)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32,500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19,636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20,180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41,763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11,877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460,802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27,630</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(160,062)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345,612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79,326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38,496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638,955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(640,167)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SALE—Noncurrent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5,193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948,362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27,701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676,831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(800,249)</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852,645</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115,235</w:t>
            </w:r>
          </w:p>
        </w:tc>
        <w:tc>
          <w:tcPr>
            <w:tcW w:w="30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132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Payables to affiliates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96,270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24,862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(151,526)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28,086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10,430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9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38,158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2,871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284,503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28,502</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40,956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(160,062)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250,000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9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108,531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LIABILITIES HELD FOR SALE—Noncurrent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21,679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307,394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28,502</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434,730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(160,082)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610,544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640,968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242,946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(640,167)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(845)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640,968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242,101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(640,167)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242,101</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948,362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27,701</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676,831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(800,249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ind w:left="48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GLDD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300" w:type="dxa"/>
            <w:vAlign w:val="bottom"/>
            <w:gridSpan w:val="3"/>
            <w:vMerge w:val="continue"/>
          </w:tcPr>
          <w:p>
            <w:pPr>
              <w:spacing w:after="0"/>
              <w:rPr>
                <w:sz w:val="12"/>
                <w:szCs w:val="12"/>
                <w:color w:val="auto"/>
              </w:rPr>
            </w:pP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24,272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124,215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Receivables from affiliates</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102,971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38,115</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(144,968)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50,294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28,460</w:t>
            </w: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3,883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13,465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13,648</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53,694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401,254</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51,865</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(148,771)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313,764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335,500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79,326</w:t>
            </w: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INVENTORIES—Noncurrent</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37,392</w:t>
            </w: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7,047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2,127</w:t>
            </w: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618,954</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(621,081)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SALE—Noncurrent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32,294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11,356</w:t>
            </w: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6,343</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909,363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677,162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(769,852)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826,468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105,622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Payables to affiliates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101,475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38,648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(144,968)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27,157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8,396</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9,654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Current portion of long term debt</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13,047</w:t>
            </w: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24,262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281,217</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47,045</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(148,771)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186,024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250,000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106,144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LIABILITIES HELD FOR SALE—Noncurrent</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8,803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291,544</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403,737</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(148,771)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553,043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617,819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273,635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(621,081)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617,819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273,425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(621,081)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273,425</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909,363</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677,162</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(769,852</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826,468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GLDD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Guarantors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718,041</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24,932</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(11,555)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(614,908)</w:t>
            </w: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(27,770)</w:t>
            </w:r>
          </w:p>
        </w:tc>
        <w:tc>
          <w:tcPr>
            <w:tcW w:w="12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11,555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(631,123)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103,133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100,295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68,029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68,039</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Proceeds from loss of use claim</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(13,372)</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assets—net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(5,775)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720"/>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54,251</w:t>
            </w:r>
          </w:p>
        </w:tc>
        <w:tc>
          <w:tcPr>
            <w:tcW w:w="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(2,848)</w:t>
            </w: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51,401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59,477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(59,689)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joint ventures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Loss on foreign currency transactions—net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income taxes</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55,532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37,926</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(59,689)</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30,317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(10,757)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(3,448)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(59,689)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19,857</w:t>
            </w:r>
          </w:p>
        </w:tc>
        <w:tc>
          <w:tcPr>
            <w:tcW w:w="0" w:type="dxa"/>
            <w:vAlign w:val="bottom"/>
          </w:tcPr>
          <w:p>
            <w:pPr>
              <w:spacing w:after="0"/>
              <w:rPr>
                <w:sz w:val="1"/>
                <w:szCs w:val="1"/>
                <w:color w:val="auto"/>
              </w:rPr>
            </w:pPr>
          </w:p>
        </w:tc>
      </w:tr>
      <w:tr>
        <w:trPr>
          <w:trHeight w:val="202"/>
        </w:trPr>
        <w:tc>
          <w:tcPr>
            <w:tcW w:w="4700" w:type="dxa"/>
            <w:vAlign w:val="bottom"/>
          </w:tcPr>
          <w:p>
            <w:pPr>
              <w:ind w:left="720"/>
              <w:spacing w:after="0" w:line="201" w:lineRule="exact"/>
              <w:rPr>
                <w:sz w:val="20"/>
                <w:szCs w:val="20"/>
                <w:color w:val="auto"/>
              </w:rPr>
            </w:pPr>
            <w:r>
              <w:rPr>
                <w:rFonts w:ascii="Arial" w:cs="Arial" w:eastAsia="Arial" w:hAnsi="Arial"/>
                <w:sz w:val="18"/>
                <w:szCs w:val="18"/>
                <w:color w:val="auto"/>
              </w:rPr>
              <w:t>Loss from discontinued operations, net of income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900"/>
              <w:spacing w:after="0"/>
              <w:rPr>
                <w:sz w:val="20"/>
                <w:szCs w:val="20"/>
                <w:color w:val="auto"/>
              </w:rPr>
            </w:pPr>
            <w:r>
              <w:rPr>
                <w:rFonts w:ascii="Arial" w:cs="Arial" w:eastAsia="Arial" w:hAnsi="Arial"/>
                <w:sz w:val="18"/>
                <w:szCs w:val="18"/>
                <w:color w:val="auto"/>
              </w:rPr>
              <w:t>taxes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(55,106)</w:t>
            </w:r>
          </w:p>
        </w:tc>
        <w:tc>
          <w:tcPr>
            <w:tcW w:w="14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(62,162)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63,866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(54,850)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(34,993)</w:t>
            </w:r>
          </w:p>
        </w:tc>
        <w:tc>
          <w:tcPr>
            <w:tcW w:w="0" w:type="dxa"/>
            <w:vAlign w:val="bottom"/>
          </w:tcPr>
          <w:p>
            <w:pPr>
              <w:spacing w:after="0"/>
              <w:rPr>
                <w:sz w:val="1"/>
                <w:szCs w:val="1"/>
                <w:color w:val="auto"/>
              </w:rPr>
            </w:pPr>
          </w:p>
        </w:tc>
      </w:tr>
      <w:tr>
        <w:trPr>
          <w:trHeight w:val="223"/>
        </w:trPr>
        <w:tc>
          <w:tcPr>
            <w:tcW w:w="4700" w:type="dxa"/>
            <w:vAlign w:val="bottom"/>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income (loss) attributable to Great Lakes</w:t>
            </w: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Dredge &amp; Dock Corporation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(34,361)</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(34,361)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Comprehensive income (loss) attributable to Great Lakes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Dredge &amp; Dock Corporation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(5,293)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(34,454)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4,270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(34,454)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588,430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(509,620)</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(510,272)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78,158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42,547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45,723</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(Gain) loss on sale of assets—net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Interest expense—net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(20,212)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9"/>
        </w:trPr>
        <w:tc>
          <w:tcPr>
            <w:tcW w:w="5500" w:type="dxa"/>
            <w:vAlign w:val="bottom"/>
          </w:tcPr>
          <w:p>
            <w:pPr>
              <w:ind w:left="720"/>
              <w:spacing w:after="0"/>
              <w:rPr>
                <w:sz w:val="20"/>
                <w:szCs w:val="20"/>
                <w:color w:val="auto"/>
              </w:rPr>
            </w:pPr>
            <w:r>
              <w:rPr>
                <w:rFonts w:ascii="Arial" w:cs="Arial" w:eastAsia="Arial" w:hAnsi="Arial"/>
                <w:sz w:val="18"/>
                <w:szCs w:val="18"/>
                <w:color w:val="auto"/>
              </w:rPr>
              <w:t>Income (loss) from continuing operations before income</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90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35,981</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13,436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(36,887)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23"/>
        </w:trPr>
        <w:tc>
          <w:tcPr>
            <w:tcW w:w="5500" w:type="dxa"/>
            <w:vAlign w:val="bottom"/>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35,975</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(36,887)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discontinued operations, net of income taxes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(9,798)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23"/>
        </w:trPr>
        <w:tc>
          <w:tcPr>
            <w:tcW w:w="550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26,177</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(23,654)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9"/>
        </w:trPr>
        <w:tc>
          <w:tcPr>
            <w:tcW w:w="5500" w:type="dxa"/>
            <w:vAlign w:val="bottom"/>
          </w:tcPr>
          <w:p>
            <w:pPr>
              <w:ind w:left="720"/>
              <w:spacing w:after="0"/>
              <w:rPr>
                <w:sz w:val="20"/>
                <w:szCs w:val="20"/>
                <w:color w:val="auto"/>
              </w:rPr>
            </w:pPr>
            <w:r>
              <w:rPr>
                <w:rFonts w:ascii="Arial" w:cs="Arial" w:eastAsia="Arial" w:hAnsi="Arial"/>
                <w:sz w:val="18"/>
                <w:szCs w:val="18"/>
                <w:color w:val="auto"/>
              </w:rPr>
              <w:t>Net income (loss) attributable to Great Lakes Dredge &amp;</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900"/>
              <w:spacing w:after="0"/>
              <w:rPr>
                <w:sz w:val="20"/>
                <w:szCs w:val="20"/>
                <w:color w:val="auto"/>
              </w:rPr>
            </w:pPr>
            <w:r>
              <w:rPr>
                <w:rFonts w:ascii="Arial" w:cs="Arial" w:eastAsia="Arial" w:hAnsi="Arial"/>
                <w:sz w:val="18"/>
                <w:szCs w:val="18"/>
                <w:color w:val="auto"/>
              </w:rPr>
              <w:t>Dock Corporation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26,177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(2,523)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(2,695)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(23,654)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 attributable to Great Lakes Dredge &amp;</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Dock Corporation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(23,271)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350"/>
              <w:spacing w:after="0"/>
              <w:rPr>
                <w:sz w:val="20"/>
                <w:szCs w:val="20"/>
                <w:color w:val="auto"/>
              </w:rPr>
            </w:pPr>
            <w:r>
              <w:rPr>
                <w:rFonts w:ascii="Arial" w:cs="Arial" w:eastAsia="Arial" w:hAnsi="Arial"/>
                <w:sz w:val="18"/>
                <w:szCs w:val="18"/>
                <w:color w:val="auto"/>
                <w:w w:val="99"/>
              </w:rPr>
              <w:t>99</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518,200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(433,641)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2,579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(437,499)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82,635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40,892</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Gain on sale of assets—net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(11,747)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53,479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(20,728)</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(21,373)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56,518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(56,508)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(5,145)</w:t>
            </w:r>
          </w:p>
        </w:tc>
        <w:tc>
          <w:tcPr>
            <w:tcW w:w="1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57,658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27,279</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(56,508)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(9,954)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23"/>
        </w:trPr>
        <w:tc>
          <w:tcPr>
            <w:tcW w:w="5540" w:type="dxa"/>
            <w:vAlign w:val="bottom"/>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17,325</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(56,508)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Income (loss) from discontinued operations, net of income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3"/>
        </w:trPr>
        <w:tc>
          <w:tcPr>
            <w:tcW w:w="554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58,342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17,251</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(58,519)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9"/>
        </w:trPr>
        <w:tc>
          <w:tcPr>
            <w:tcW w:w="5540" w:type="dxa"/>
            <w:vAlign w:val="bottom"/>
          </w:tcPr>
          <w:p>
            <w:pPr>
              <w:ind w:left="720"/>
              <w:spacing w:after="0"/>
              <w:rPr>
                <w:sz w:val="20"/>
                <w:szCs w:val="20"/>
                <w:color w:val="auto"/>
              </w:rPr>
            </w:pPr>
            <w:r>
              <w:rPr>
                <w:rFonts w:ascii="Arial" w:cs="Arial" w:eastAsia="Arial" w:hAnsi="Arial"/>
                <w:sz w:val="18"/>
                <w:szCs w:val="18"/>
                <w:color w:val="auto"/>
                <w:w w:val="99"/>
              </w:rPr>
              <w:t>Net income (loss) attributable to Great Lakes Dredge &amp; Dock</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900"/>
              <w:spacing w:after="0"/>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58,342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16,528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(58,519)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attributable to</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Great Lakes Dredge &amp; Dock Corporation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58,255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(58,165)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4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386"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2013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GLDD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0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provided by (used in) operating</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80"/>
              <w:spacing w:after="0"/>
              <w:rPr>
                <w:sz w:val="20"/>
                <w:szCs w:val="20"/>
                <w:color w:val="auto"/>
              </w:rPr>
            </w:pPr>
            <w:r>
              <w:rPr>
                <w:rFonts w:ascii="Arial" w:cs="Arial" w:eastAsia="Arial" w:hAnsi="Arial"/>
                <w:sz w:val="18"/>
                <w:szCs w:val="18"/>
                <w:color w:val="auto"/>
              </w:rPr>
              <w:t>activities of continuing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126,736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(32,641)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86,347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operating activities of</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(5,049)</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(6,475)</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Cash provided by (used in) operating activities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121,687</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(14,223)</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(32,641)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(66,654)</w:t>
            </w: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6,953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vendor performance obligations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Net change in accounts with affiliates</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(37,282)</w:t>
            </w:r>
          </w:p>
        </w:tc>
        <w:tc>
          <w:tcPr>
            <w:tcW w:w="14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37,584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 continuing</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(83,383)</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37,584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8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provided by (used in) investing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(83,536)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long term note payable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Distributions paid to minority interests</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on settlement of vested share awards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10,342</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8,603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(18,945)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340"/>
              <w:spacing w:after="0" w:line="201" w:lineRule="exact"/>
              <w:rPr>
                <w:sz w:val="20"/>
                <w:szCs w:val="20"/>
                <w:color w:val="auto"/>
              </w:rPr>
            </w:pPr>
            <w:r>
              <w:rPr>
                <w:rFonts w:ascii="Arial" w:cs="Arial" w:eastAsia="Arial" w:hAnsi="Arial"/>
                <w:sz w:val="18"/>
                <w:szCs w:val="18"/>
                <w:color w:val="auto"/>
              </w:rPr>
              <w:t>Exercise of stock options and purchases from employee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520"/>
              <w:spacing w:after="0"/>
              <w:rPr>
                <w:sz w:val="20"/>
                <w:szCs w:val="20"/>
                <w:color w:val="auto"/>
              </w:rPr>
            </w:pPr>
            <w:r>
              <w:rPr>
                <w:rFonts w:ascii="Arial" w:cs="Arial" w:eastAsia="Arial" w:hAnsi="Arial"/>
                <w:sz w:val="18"/>
                <w:szCs w:val="18"/>
                <w:color w:val="auto"/>
              </w:rPr>
              <w:t>stock plans</w:t>
            </w:r>
          </w:p>
        </w:tc>
        <w:tc>
          <w:tcPr>
            <w:tcW w:w="12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loans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227,000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Repayments of revolving loans</w:t>
            </w:r>
          </w:p>
        </w:tc>
        <w:tc>
          <w:tcPr>
            <w:tcW w:w="12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(192,000)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provided by (used in) financing</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activities of continuing operations</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32,641</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(18,945)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Net cash flows provided by financing activities of</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8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12,016</w:t>
            </w: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6,623</w:t>
            </w:r>
          </w:p>
        </w:tc>
        <w:tc>
          <w:tcPr>
            <w:tcW w:w="120" w:type="dxa"/>
            <w:vAlign w:val="bottom"/>
          </w:tcPr>
          <w:p>
            <w:pPr>
              <w:spacing w:after="0"/>
              <w:rPr>
                <w:sz w:val="20"/>
                <w:szCs w:val="20"/>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(18,639)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provided by financing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9,516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17,891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(37,584)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rPr>
              <w:t>Effect of foreign currency exchange rates on cash and cash</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47,667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3,231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24,272</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71,939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386"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2012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5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700"/>
              <w:spacing w:after="0" w:line="201" w:lineRule="exact"/>
              <w:rPr>
                <w:sz w:val="20"/>
                <w:szCs w:val="20"/>
                <w:color w:val="auto"/>
              </w:rPr>
            </w:pPr>
            <w:r>
              <w:rPr>
                <w:rFonts w:ascii="Arial" w:cs="Arial" w:eastAsia="Arial" w:hAnsi="Arial"/>
                <w:sz w:val="18"/>
                <w:szCs w:val="18"/>
                <w:color w:val="auto"/>
                <w:w w:val="97"/>
              </w:rPr>
              <w:t>Net cash flows provided by (used in) operating activities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880"/>
              <w:spacing w:after="0"/>
              <w:rPr>
                <w:sz w:val="20"/>
                <w:szCs w:val="20"/>
                <w:color w:val="auto"/>
              </w:rPr>
            </w:pPr>
            <w:r>
              <w:rPr>
                <w:rFonts w:ascii="Arial" w:cs="Arial" w:eastAsia="Arial" w:hAnsi="Arial"/>
                <w:sz w:val="18"/>
                <w:szCs w:val="18"/>
                <w:color w:val="auto"/>
              </w:rPr>
              <w:t>of continuing operations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48,544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(831)</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(27,977)</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operating activities of</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(20,636)</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Cash provided by (used in) operating activities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27,908</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(27,977)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(60,516)</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Acquisition of Terra assets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Net cash flows used in investing activities of continuing</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(61,919)</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88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(63,443)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fees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Repayment of long term note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paid to minority interests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(18,560)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equivalents paid on restricted stock units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Taxes paid on vested share awards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(46,135)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48,486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Excess income tax benefit from share-based compensation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Net cash flows provided by (used in) financing activities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880"/>
              <w:spacing w:after="0"/>
              <w:rPr>
                <w:sz w:val="20"/>
                <w:szCs w:val="20"/>
                <w:color w:val="auto"/>
              </w:rPr>
            </w:pPr>
            <w:r>
              <w:rPr>
                <w:rFonts w:ascii="Arial" w:cs="Arial" w:eastAsia="Arial" w:hAnsi="Arial"/>
                <w:sz w:val="18"/>
                <w:szCs w:val="18"/>
                <w:color w:val="auto"/>
              </w:rPr>
              <w:t>of continuing operations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(48,635)</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27,977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Net cash flows provided by (used in) financing activities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 discontinued operations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(49,178)</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foreign currency exchange rates on cash and cash</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(84,713)</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(88,848)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108,985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113,288</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79"/>
              </w:rPr>
              <w:t>168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386"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2011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4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Guarantors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provided by (used in) operating activities of</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88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63,432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(36,433)</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24,814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provided by (used in) operating activities of</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Cash provided by (used in) operating activities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62,474</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(36,433)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(28,707)</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Net cash flows used in investing activities of continuing</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8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(12,028)</w:t>
            </w:r>
          </w:p>
        </w:tc>
        <w:tc>
          <w:tcPr>
            <w:tcW w:w="160" w:type="dxa"/>
            <w:vAlign w:val="bottom"/>
          </w:tcPr>
          <w:p>
            <w:pPr>
              <w:spacing w:after="0"/>
              <w:rPr>
                <w:sz w:val="20"/>
                <w:szCs w:val="20"/>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 discontinued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(16,716)</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Proceeds from issuance of 7 3/8% senior notes</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250,000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Redemption of 7 3/4% senior subordinated notes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(175,000)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Senior subordinated notes redemption premium</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(2,264)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fees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Repayment of long term note payable</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on vested share awards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19,222</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(25,385)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Repayments of equipment debt</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Borrowings under revolving loans</w:t>
            </w:r>
          </w:p>
        </w:tc>
        <w:tc>
          <w:tcPr>
            <w:tcW w:w="1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provided by financing activities of continuing</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16,713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6,163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36,433</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used in financing activities of discontinued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8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(1,902)</w:t>
            </w:r>
          </w:p>
        </w:tc>
        <w:tc>
          <w:tcPr>
            <w:tcW w:w="160" w:type="dxa"/>
            <w:vAlign w:val="bottom"/>
          </w:tcPr>
          <w:p>
            <w:pPr>
              <w:spacing w:after="0"/>
              <w:rPr>
                <w:sz w:val="20"/>
                <w:szCs w:val="20"/>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Effect of foreign currency exchange rates on cash and cash equivalents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60,569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64,810</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48,416</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108,985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rPr>
              <w:t>Additions</w:t>
            </w:r>
          </w:p>
        </w:tc>
        <w:tc>
          <w:tcPr>
            <w:tcW w:w="5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tcPr>
          <w:p>
            <w:pPr>
              <w:spacing w:after="0" w:line="123" w:lineRule="exact"/>
              <w:rPr>
                <w:sz w:val="20"/>
                <w:szCs w:val="20"/>
                <w:color w:val="auto"/>
              </w:rPr>
            </w:pPr>
            <w:r>
              <w:rPr>
                <w:rFonts w:ascii="Arial" w:cs="Arial" w:eastAsia="Arial" w:hAnsi="Arial"/>
                <w:sz w:val="14"/>
                <w:szCs w:val="14"/>
                <w:color w:val="auto"/>
              </w:rPr>
              <w:t>Charged to</w:t>
            </w:r>
          </w:p>
        </w:tc>
        <w:tc>
          <w:tcPr>
            <w:tcW w:w="240" w:type="dxa"/>
            <w:vAlign w:val="bottom"/>
          </w:tcPr>
          <w:p>
            <w:pPr>
              <w:spacing w:after="0"/>
              <w:rPr>
                <w:sz w:val="10"/>
                <w:szCs w:val="10"/>
                <w:color w:val="auto"/>
              </w:rPr>
            </w:pPr>
          </w:p>
        </w:tc>
        <w:tc>
          <w:tcPr>
            <w:tcW w:w="6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9"/>
              </w:rPr>
              <w:t>Charged to</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Beginning</w:t>
            </w:r>
          </w:p>
        </w:tc>
        <w:tc>
          <w:tcPr>
            <w:tcW w:w="22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costs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3"/>
              </w:rPr>
              <w:t>other</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Ending</w:t>
            </w: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expenses</w:t>
            </w:r>
          </w:p>
        </w:tc>
        <w:tc>
          <w:tcPr>
            <w:tcW w:w="24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w w:val="89"/>
              </w:rPr>
              <w:t>accounts</w:t>
            </w:r>
          </w:p>
        </w:tc>
        <w:tc>
          <w:tcPr>
            <w:tcW w:w="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Deductions</w:t>
            </w:r>
          </w:p>
        </w:tc>
        <w:tc>
          <w:tcPr>
            <w:tcW w:w="20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w w:val="93"/>
              </w:rPr>
              <w:t>balance</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Description</w:t>
            </w:r>
          </w:p>
        </w:tc>
        <w:tc>
          <w:tcPr>
            <w:tcW w:w="1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Year ended December 31, 2011</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Allowances deducted from assets to which they apply:</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720"/>
              <w:spacing w:after="0"/>
              <w:rPr>
                <w:sz w:val="20"/>
                <w:szCs w:val="20"/>
                <w:color w:val="auto"/>
              </w:rPr>
            </w:pPr>
            <w:r>
              <w:rPr>
                <w:rFonts w:ascii="Arial" w:cs="Arial" w:eastAsia="Arial" w:hAnsi="Arial"/>
                <w:sz w:val="18"/>
                <w:szCs w:val="18"/>
                <w:color w:val="auto"/>
              </w:rPr>
              <w:t>Allowances for doubtful accounts</w:t>
            </w:r>
          </w:p>
        </w:tc>
        <w:tc>
          <w:tcPr>
            <w:tcW w:w="15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color w:val="auto"/>
              </w:rPr>
              <w:t>Allowances deducted from assets to which they apply:</w:t>
            </w:r>
          </w:p>
        </w:tc>
        <w:tc>
          <w:tcPr>
            <w:tcW w:w="1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Allowances for doubtful accounts</w:t>
            </w:r>
          </w:p>
        </w:tc>
        <w:tc>
          <w:tcPr>
            <w:tcW w:w="16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1,051</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Year ended December 31, 2013</w:t>
            </w: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Allowances deducted from assets to which they apply:</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720"/>
              <w:spacing w:after="0"/>
              <w:rPr>
                <w:sz w:val="20"/>
                <w:szCs w:val="20"/>
                <w:color w:val="auto"/>
              </w:rPr>
            </w:pPr>
            <w:r>
              <w:rPr>
                <w:rFonts w:ascii="Arial" w:cs="Arial" w:eastAsia="Arial" w:hAnsi="Arial"/>
                <w:sz w:val="18"/>
                <w:szCs w:val="18"/>
                <w:color w:val="auto"/>
              </w:rPr>
              <w:t>Allowances for doubtful accounts</w:t>
            </w:r>
          </w:p>
        </w:tc>
        <w:tc>
          <w:tcPr>
            <w:tcW w:w="15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6"/>
              </w:rPr>
              <w:t>478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20" w:type="dxa"/>
            <w:vAlign w:val="bottom"/>
            <w:vMerge w:val="restart"/>
          </w:tcPr>
          <w:p>
            <w:pPr>
              <w:jc w:val="right"/>
              <w:ind w:right="530"/>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W</w:t>
            </w:r>
            <w:r>
              <w:rPr>
                <w:rFonts w:ascii="Arial" w:cs="Arial" w:eastAsia="Arial" w:hAnsi="Arial"/>
                <w:sz w:val="15"/>
                <w:szCs w:val="15"/>
                <w:color w:val="auto"/>
              </w:rPr>
              <w:t>ILLIAM</w:t>
            </w:r>
            <w:r>
              <w:rPr>
                <w:rFonts w:ascii="Arial" w:cs="Arial" w:eastAsia="Arial" w:hAnsi="Arial"/>
                <w:sz w:val="18"/>
                <w:szCs w:val="18"/>
                <w:color w:val="auto"/>
              </w:rPr>
              <w:t xml:space="preserve"> S. S</w:t>
            </w:r>
            <w:r>
              <w:rPr>
                <w:rFonts w:ascii="Arial" w:cs="Arial" w:eastAsia="Arial" w:hAnsi="Arial"/>
                <w:sz w:val="15"/>
                <w:szCs w:val="15"/>
                <w:color w:val="auto"/>
              </w:rPr>
              <w:t>TECKEL</w:t>
            </w:r>
          </w:p>
        </w:tc>
      </w:tr>
      <w:tr>
        <w:trPr>
          <w:trHeight w:val="195"/>
        </w:trPr>
        <w:tc>
          <w:tcPr>
            <w:tcW w:w="260" w:type="dxa"/>
            <w:vAlign w:val="bottom"/>
          </w:tcPr>
          <w:p>
            <w:pPr>
              <w:spacing w:after="0"/>
              <w:rPr>
                <w:sz w:val="16"/>
                <w:szCs w:val="16"/>
                <w:color w:val="auto"/>
              </w:rPr>
            </w:pPr>
          </w:p>
        </w:tc>
        <w:tc>
          <w:tcPr>
            <w:tcW w:w="4300" w:type="dxa"/>
            <w:vAlign w:val="bottom"/>
          </w:tcPr>
          <w:p>
            <w:pPr>
              <w:jc w:val="center"/>
              <w:spacing w:after="0" w:line="195" w:lineRule="exact"/>
              <w:rPr>
                <w:sz w:val="20"/>
                <w:szCs w:val="20"/>
                <w:color w:val="auto"/>
              </w:rPr>
            </w:pPr>
            <w:r>
              <w:rPr>
                <w:rFonts w:ascii="Arial" w:cs="Arial" w:eastAsia="Arial" w:hAnsi="Arial"/>
                <w:sz w:val="18"/>
                <w:szCs w:val="18"/>
                <w:color w:val="auto"/>
                <w:w w:val="94"/>
              </w:rPr>
              <w:t>William S. Steckel</w:t>
            </w:r>
          </w:p>
        </w:tc>
      </w:tr>
      <w:tr>
        <w:trPr>
          <w:trHeight w:val="216"/>
        </w:trPr>
        <w:tc>
          <w:tcPr>
            <w:tcW w:w="26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Senior Vice President and</w:t>
            </w:r>
          </w:p>
        </w:tc>
      </w:tr>
      <w:tr>
        <w:trPr>
          <w:trHeight w:val="216"/>
        </w:trPr>
        <w:tc>
          <w:tcPr>
            <w:tcW w:w="26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Chief Financial Officer (Principal Financial</w:t>
            </w:r>
          </w:p>
        </w:tc>
      </w:tr>
      <w:tr>
        <w:trPr>
          <w:trHeight w:val="230"/>
        </w:trPr>
        <w:tc>
          <w:tcPr>
            <w:tcW w:w="26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3"/>
              </w:rPr>
              <w:t>and Accounting Officer and Duly Authorized Officer)</w:t>
            </w:r>
          </w:p>
        </w:tc>
      </w:tr>
    </w:tbl>
    <w:p>
      <w:pPr>
        <w:spacing w:after="0" w:line="20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March 11, 2014</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tcPr>
          <w:p>
            <w:pPr>
              <w:spacing w:after="0"/>
              <w:rPr>
                <w:sz w:val="16"/>
                <w:szCs w:val="16"/>
                <w:color w:val="auto"/>
              </w:rPr>
            </w:pPr>
          </w:p>
        </w:tc>
      </w:tr>
      <w:tr>
        <w:trPr>
          <w:trHeight w:val="412"/>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 xml:space="preserve">/ </w:t>
            </w:r>
            <w:r>
              <w:rPr>
                <w:rFonts w:ascii="Arial" w:cs="Arial" w:eastAsia="Arial" w:hAnsi="Arial"/>
                <w:sz w:val="15"/>
                <w:szCs w:val="15"/>
                <w:color w:val="auto"/>
                <w:w w:val="98"/>
              </w:rPr>
              <w:t>S</w:t>
            </w:r>
            <w:r>
              <w:rPr>
                <w:rFonts w:ascii="Arial" w:cs="Arial" w:eastAsia="Arial" w:hAnsi="Arial"/>
                <w:sz w:val="18"/>
                <w:szCs w:val="18"/>
                <w:color w:val="auto"/>
                <w:w w:val="98"/>
              </w:rPr>
              <w:t xml:space="preserve"> /  J</w:t>
            </w:r>
            <w:r>
              <w:rPr>
                <w:rFonts w:ascii="Arial" w:cs="Arial" w:eastAsia="Arial" w:hAnsi="Arial"/>
                <w:sz w:val="15"/>
                <w:szCs w:val="15"/>
                <w:color w:val="auto"/>
                <w:w w:val="98"/>
              </w:rPr>
              <w:t>ONATHAN</w:t>
            </w:r>
            <w:r>
              <w:rPr>
                <w:rFonts w:ascii="Arial" w:cs="Arial" w:eastAsia="Arial" w:hAnsi="Arial"/>
                <w:sz w:val="18"/>
                <w:szCs w:val="18"/>
                <w:color w:val="auto"/>
                <w:w w:val="98"/>
              </w:rPr>
              <w:t xml:space="preserve"> W. B</w:t>
            </w:r>
            <w:r>
              <w:rPr>
                <w:rFonts w:ascii="Arial" w:cs="Arial" w:eastAsia="Arial" w:hAnsi="Arial"/>
                <w:sz w:val="15"/>
                <w:szCs w:val="15"/>
                <w:color w:val="auto"/>
                <w:w w:val="98"/>
              </w:rPr>
              <w:t>ERGER</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w w:val="93"/>
              </w:rPr>
              <w:t>Chief Executive Officer and Director (Principal Executive Officer)</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7"/>
              </w:rPr>
              <w:t>Jonathan W. Berger</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S</w:t>
            </w:r>
            <w:r>
              <w:rPr>
                <w:rFonts w:ascii="Arial" w:cs="Arial" w:eastAsia="Arial" w:hAnsi="Arial"/>
                <w:sz w:val="18"/>
                <w:szCs w:val="18"/>
                <w:color w:val="auto"/>
              </w:rPr>
              <w:t xml:space="preserve"> /  W</w:t>
            </w:r>
            <w:r>
              <w:rPr>
                <w:rFonts w:ascii="Arial" w:cs="Arial" w:eastAsia="Arial" w:hAnsi="Arial"/>
                <w:sz w:val="15"/>
                <w:szCs w:val="15"/>
                <w:color w:val="auto"/>
              </w:rPr>
              <w:t>ILLIAM</w:t>
            </w:r>
            <w:r>
              <w:rPr>
                <w:rFonts w:ascii="Arial" w:cs="Arial" w:eastAsia="Arial" w:hAnsi="Arial"/>
                <w:sz w:val="18"/>
                <w:szCs w:val="18"/>
                <w:color w:val="auto"/>
              </w:rPr>
              <w:t xml:space="preserve"> S. S</w:t>
            </w:r>
            <w:r>
              <w:rPr>
                <w:rFonts w:ascii="Arial" w:cs="Arial" w:eastAsia="Arial" w:hAnsi="Arial"/>
                <w:sz w:val="15"/>
                <w:szCs w:val="15"/>
                <w:color w:val="auto"/>
              </w:rPr>
              <w:t>TECKEL</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Senior Vice President and Chief Financial</w:t>
            </w:r>
          </w:p>
        </w:tc>
      </w:tr>
      <w:tr>
        <w:trPr>
          <w:trHeight w:val="182"/>
        </w:trPr>
        <w:tc>
          <w:tcPr>
            <w:tcW w:w="412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4"/>
              </w:rPr>
              <w:t>William S. Steckel</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00" w:type="dxa"/>
            <w:vAlign w:val="bottom"/>
            <w:gridSpan w:val="3"/>
          </w:tcPr>
          <w:p>
            <w:pPr>
              <w:ind w:left="1080"/>
              <w:spacing w:after="0" w:line="182" w:lineRule="exact"/>
              <w:rPr>
                <w:sz w:val="20"/>
                <w:szCs w:val="20"/>
                <w:color w:val="auto"/>
              </w:rPr>
            </w:pPr>
            <w:r>
              <w:rPr>
                <w:rFonts w:ascii="Arial" w:cs="Arial" w:eastAsia="Arial" w:hAnsi="Arial"/>
                <w:sz w:val="18"/>
                <w:szCs w:val="18"/>
                <w:color w:val="auto"/>
              </w:rPr>
              <w:t>Officer (Principal Financial Officer and</w:t>
            </w:r>
          </w:p>
        </w:tc>
      </w:tr>
      <w:tr>
        <w:trPr>
          <w:trHeight w:val="230"/>
        </w:trPr>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S</w:t>
            </w:r>
            <w:r>
              <w:rPr>
                <w:rFonts w:ascii="Arial" w:cs="Arial" w:eastAsia="Arial" w:hAnsi="Arial"/>
                <w:sz w:val="18"/>
                <w:szCs w:val="18"/>
                <w:color w:val="auto"/>
              </w:rPr>
              <w:t xml:space="preserve"> /  C</w:t>
            </w:r>
            <w:r>
              <w:rPr>
                <w:rFonts w:ascii="Arial" w:cs="Arial" w:eastAsia="Arial" w:hAnsi="Arial"/>
                <w:sz w:val="15"/>
                <w:szCs w:val="15"/>
                <w:color w:val="auto"/>
              </w:rPr>
              <w:t>ARL</w:t>
            </w:r>
            <w:r>
              <w:rPr>
                <w:rFonts w:ascii="Arial" w:cs="Arial" w:eastAsia="Arial" w:hAnsi="Arial"/>
                <w:sz w:val="18"/>
                <w:szCs w:val="18"/>
                <w:color w:val="auto"/>
              </w:rPr>
              <w:t xml:space="preserve"> A. A</w:t>
            </w:r>
            <w:r>
              <w:rPr>
                <w:rFonts w:ascii="Arial" w:cs="Arial" w:eastAsia="Arial" w:hAnsi="Arial"/>
                <w:sz w:val="15"/>
                <w:szCs w:val="15"/>
                <w:color w:val="auto"/>
              </w:rPr>
              <w:t>LBERT</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Director</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7"/>
              </w:rPr>
              <w:t>Carl A. Albert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5"/>
                <w:szCs w:val="15"/>
                <w:color w:val="auto"/>
                <w:w w:val="99"/>
              </w:rPr>
              <w:t>S</w:t>
            </w:r>
            <w:r>
              <w:rPr>
                <w:rFonts w:ascii="Arial" w:cs="Arial" w:eastAsia="Arial" w:hAnsi="Arial"/>
                <w:sz w:val="18"/>
                <w:szCs w:val="18"/>
                <w:color w:val="auto"/>
                <w:w w:val="99"/>
              </w:rPr>
              <w:t xml:space="preserve"> /  S</w:t>
            </w:r>
            <w:r>
              <w:rPr>
                <w:rFonts w:ascii="Arial" w:cs="Arial" w:eastAsia="Arial" w:hAnsi="Arial"/>
                <w:sz w:val="15"/>
                <w:szCs w:val="15"/>
                <w:color w:val="auto"/>
                <w:w w:val="99"/>
              </w:rPr>
              <w:t>TEPHEN</w:t>
            </w:r>
            <w:r>
              <w:rPr>
                <w:rFonts w:ascii="Arial" w:cs="Arial" w:eastAsia="Arial" w:hAnsi="Arial"/>
                <w:sz w:val="18"/>
                <w:szCs w:val="18"/>
                <w:color w:val="auto"/>
                <w:w w:val="99"/>
              </w:rPr>
              <w:t xml:space="preserve"> H. B</w:t>
            </w:r>
            <w:r>
              <w:rPr>
                <w:rFonts w:ascii="Arial" w:cs="Arial" w:eastAsia="Arial" w:hAnsi="Arial"/>
                <w:sz w:val="15"/>
                <w:szCs w:val="15"/>
                <w:color w:val="auto"/>
                <w:w w:val="99"/>
              </w:rPr>
              <w:t>ITTEL</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Director</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1"/>
              </w:rPr>
              <w:t>Stephen H. Bittel</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5"/>
                <w:szCs w:val="15"/>
                <w:color w:val="auto"/>
                <w:w w:val="96"/>
              </w:rPr>
              <w:t>S</w:t>
            </w:r>
            <w:r>
              <w:rPr>
                <w:rFonts w:ascii="Arial" w:cs="Arial" w:eastAsia="Arial" w:hAnsi="Arial"/>
                <w:sz w:val="18"/>
                <w:szCs w:val="18"/>
                <w:color w:val="auto"/>
                <w:w w:val="96"/>
              </w:rPr>
              <w:t xml:space="preserve"> /  P</w:t>
            </w:r>
            <w:r>
              <w:rPr>
                <w:rFonts w:ascii="Arial" w:cs="Arial" w:eastAsia="Arial" w:hAnsi="Arial"/>
                <w:sz w:val="15"/>
                <w:szCs w:val="15"/>
                <w:color w:val="auto"/>
                <w:w w:val="96"/>
              </w:rPr>
              <w:t>ETER</w:t>
            </w:r>
            <w:r>
              <w:rPr>
                <w:rFonts w:ascii="Arial" w:cs="Arial" w:eastAsia="Arial" w:hAnsi="Arial"/>
                <w:sz w:val="18"/>
                <w:szCs w:val="18"/>
                <w:color w:val="auto"/>
                <w:w w:val="96"/>
              </w:rPr>
              <w:t xml:space="preserve"> R. D</w:t>
            </w:r>
            <w:r>
              <w:rPr>
                <w:rFonts w:ascii="Arial" w:cs="Arial" w:eastAsia="Arial" w:hAnsi="Arial"/>
                <w:sz w:val="15"/>
                <w:szCs w:val="15"/>
                <w:color w:val="auto"/>
                <w:w w:val="96"/>
              </w:rPr>
              <w:t>EUTSCH</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Director</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7"/>
              </w:rPr>
              <w:t>Peter R. Deutsch</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5"/>
                <w:szCs w:val="15"/>
                <w:color w:val="auto"/>
                <w:w w:val="99"/>
              </w:rPr>
              <w:t>S</w:t>
            </w:r>
            <w:r>
              <w:rPr>
                <w:rFonts w:ascii="Arial" w:cs="Arial" w:eastAsia="Arial" w:hAnsi="Arial"/>
                <w:sz w:val="18"/>
                <w:szCs w:val="18"/>
                <w:color w:val="auto"/>
                <w:w w:val="99"/>
              </w:rPr>
              <w:t xml:space="preserve"> /  D</w:t>
            </w:r>
            <w:r>
              <w:rPr>
                <w:rFonts w:ascii="Arial" w:cs="Arial" w:eastAsia="Arial" w:hAnsi="Arial"/>
                <w:sz w:val="15"/>
                <w:szCs w:val="15"/>
                <w:color w:val="auto"/>
                <w:w w:val="99"/>
              </w:rPr>
              <w:t>ENISE</w:t>
            </w:r>
            <w:r>
              <w:rPr>
                <w:rFonts w:ascii="Arial" w:cs="Arial" w:eastAsia="Arial" w:hAnsi="Arial"/>
                <w:sz w:val="18"/>
                <w:szCs w:val="18"/>
                <w:color w:val="auto"/>
                <w:w w:val="99"/>
              </w:rPr>
              <w:t xml:space="preserve"> E. D</w:t>
            </w:r>
            <w:r>
              <w:rPr>
                <w:rFonts w:ascii="Arial" w:cs="Arial" w:eastAsia="Arial" w:hAnsi="Arial"/>
                <w:sz w:val="15"/>
                <w:szCs w:val="15"/>
                <w:color w:val="auto"/>
                <w:w w:val="99"/>
              </w:rPr>
              <w:t>ICKINS</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Director</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Denise E. Dickins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S</w:t>
            </w:r>
            <w:r>
              <w:rPr>
                <w:rFonts w:ascii="Arial" w:cs="Arial" w:eastAsia="Arial" w:hAnsi="Arial"/>
                <w:sz w:val="18"/>
                <w:szCs w:val="18"/>
                <w:color w:val="auto"/>
              </w:rPr>
              <w:t xml:space="preserve"> /  N</w:t>
            </w:r>
            <w:r>
              <w:rPr>
                <w:rFonts w:ascii="Arial" w:cs="Arial" w:eastAsia="Arial" w:hAnsi="Arial"/>
                <w:sz w:val="15"/>
                <w:szCs w:val="15"/>
                <w:color w:val="auto"/>
              </w:rPr>
              <w:t>ATHAN</w:t>
            </w:r>
            <w:r>
              <w:rPr>
                <w:rFonts w:ascii="Arial" w:cs="Arial" w:eastAsia="Arial" w:hAnsi="Arial"/>
                <w:sz w:val="18"/>
                <w:szCs w:val="18"/>
                <w:color w:val="auto"/>
              </w:rPr>
              <w:t xml:space="preserve"> D. L</w:t>
            </w:r>
            <w:r>
              <w:rPr>
                <w:rFonts w:ascii="Arial" w:cs="Arial" w:eastAsia="Arial" w:hAnsi="Arial"/>
                <w:sz w:val="15"/>
                <w:szCs w:val="15"/>
                <w:color w:val="auto"/>
              </w:rPr>
              <w:t>EIGHT</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Director</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1"/>
              </w:rPr>
              <w:t>Nathan D. Leight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S</w:t>
            </w:r>
            <w:r>
              <w:rPr>
                <w:rFonts w:ascii="Arial" w:cs="Arial" w:eastAsia="Arial" w:hAnsi="Arial"/>
                <w:sz w:val="18"/>
                <w:szCs w:val="18"/>
                <w:color w:val="auto"/>
              </w:rPr>
              <w:t xml:space="preserve"> /  D</w:t>
            </w:r>
            <w:r>
              <w:rPr>
                <w:rFonts w:ascii="Arial" w:cs="Arial" w:eastAsia="Arial" w:hAnsi="Arial"/>
                <w:sz w:val="15"/>
                <w:szCs w:val="15"/>
                <w:color w:val="auto"/>
              </w:rPr>
              <w:t>OUGLAS</w:t>
            </w:r>
            <w:r>
              <w:rPr>
                <w:rFonts w:ascii="Arial" w:cs="Arial" w:eastAsia="Arial" w:hAnsi="Arial"/>
                <w:sz w:val="18"/>
                <w:szCs w:val="18"/>
                <w:color w:val="auto"/>
              </w:rPr>
              <w:t xml:space="preserve"> B. M</w:t>
            </w:r>
            <w:r>
              <w:rPr>
                <w:rFonts w:ascii="Arial" w:cs="Arial" w:eastAsia="Arial" w:hAnsi="Arial"/>
                <w:sz w:val="15"/>
                <w:szCs w:val="15"/>
                <w:color w:val="auto"/>
              </w:rPr>
              <w:t>ACKIE</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Director</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Douglas B. Mackie</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5"/>
                <w:szCs w:val="15"/>
                <w:color w:val="auto"/>
                <w:w w:val="97"/>
              </w:rPr>
              <w:t>S</w:t>
            </w:r>
            <w:r>
              <w:rPr>
                <w:rFonts w:ascii="Arial" w:cs="Arial" w:eastAsia="Arial" w:hAnsi="Arial"/>
                <w:sz w:val="18"/>
                <w:szCs w:val="18"/>
                <w:color w:val="auto"/>
                <w:w w:val="97"/>
              </w:rPr>
              <w:t xml:space="preserve"> /  J</w:t>
            </w:r>
            <w:r>
              <w:rPr>
                <w:rFonts w:ascii="Arial" w:cs="Arial" w:eastAsia="Arial" w:hAnsi="Arial"/>
                <w:sz w:val="15"/>
                <w:szCs w:val="15"/>
                <w:color w:val="auto"/>
                <w:w w:val="97"/>
              </w:rPr>
              <w:t>ASON</w:t>
            </w:r>
            <w:r>
              <w:rPr>
                <w:rFonts w:ascii="Arial" w:cs="Arial" w:eastAsia="Arial" w:hAnsi="Arial"/>
                <w:sz w:val="18"/>
                <w:szCs w:val="18"/>
                <w:color w:val="auto"/>
                <w:w w:val="97"/>
              </w:rPr>
              <w:t xml:space="preserve"> G. W</w:t>
            </w:r>
            <w:r>
              <w:rPr>
                <w:rFonts w:ascii="Arial" w:cs="Arial" w:eastAsia="Arial" w:hAnsi="Arial"/>
                <w:sz w:val="15"/>
                <w:szCs w:val="15"/>
                <w:color w:val="auto"/>
                <w:w w:val="97"/>
              </w:rPr>
              <w:t>EISS</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March 11, 2014</w:t>
            </w:r>
          </w:p>
        </w:tc>
        <w:tc>
          <w:tcPr>
            <w:tcW w:w="5900" w:type="dxa"/>
            <w:vAlign w:val="bottom"/>
            <w:gridSpan w:val="3"/>
          </w:tcPr>
          <w:p>
            <w:pPr>
              <w:ind w:left="1080"/>
              <w:spacing w:after="0"/>
              <w:rPr>
                <w:sz w:val="20"/>
                <w:szCs w:val="20"/>
                <w:color w:val="auto"/>
              </w:rPr>
            </w:pPr>
            <w:r>
              <w:rPr>
                <w:rFonts w:ascii="Arial" w:cs="Arial" w:eastAsia="Arial" w:hAnsi="Arial"/>
                <w:sz w:val="18"/>
                <w:szCs w:val="18"/>
                <w:color w:val="auto"/>
              </w:rPr>
              <w:t>Director</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5"/>
              </w:rPr>
              <w:t>Jason G. Weiss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64"/>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640" w:type="dxa"/>
            <w:vAlign w:val="bottom"/>
            <w:gridSpan w:val="2"/>
          </w:tcPr>
          <w:p>
            <w:pPr>
              <w:jc w:val="center"/>
              <w:ind w:right="4688"/>
              <w:spacing w:after="0"/>
              <w:rPr>
                <w:sz w:val="20"/>
                <w:szCs w:val="20"/>
                <w:color w:val="auto"/>
              </w:rPr>
            </w:pPr>
            <w:r>
              <w:rPr>
                <w:rFonts w:ascii="Arial" w:cs="Arial" w:eastAsia="Arial" w:hAnsi="Arial"/>
                <w:sz w:val="18"/>
                <w:szCs w:val="18"/>
                <w:b w:val="1"/>
                <w:bCs w:val="1"/>
                <w:color w:val="auto"/>
              </w:rPr>
              <w:t>I. EXHIBIT INDEX</w:t>
            </w:r>
          </w:p>
        </w:tc>
      </w:tr>
      <w:tr>
        <w:trPr>
          <w:trHeight w:val="405"/>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4"/>
                <w:szCs w:val="14"/>
                <w:b w:val="1"/>
                <w:bCs w:val="1"/>
                <w:color w:val="auto"/>
              </w:rPr>
              <w:t>Document Description</w:t>
            </w: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2.1</w:t>
            </w:r>
          </w:p>
        </w:tc>
        <w:tc>
          <w:tcPr>
            <w:tcW w:w="780" w:type="dxa"/>
            <w:vAlign w:val="bottom"/>
          </w:tcPr>
          <w:p>
            <w:pPr>
              <w:spacing w:after="0"/>
              <w:rPr>
                <w:sz w:val="16"/>
                <w:szCs w:val="16"/>
                <w:color w:val="auto"/>
              </w:rPr>
            </w:pPr>
          </w:p>
        </w:tc>
        <w:tc>
          <w:tcPr>
            <w:tcW w:w="101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2"/>
              </w:rPr>
              <w:t>Amended and Restated Agreement and Plan of Merger dated as of December 22, 2003, among Great Lakes Dredge &amp; Dock Corporation,</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GLDD Acquisitions Corp., GLDD Merger Sub, Inc. and Vectura Holding Company LLC. (1)</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5"/>
              </w:rPr>
              <w:t>Agreement and Plan of Merger by and among GLDD Acquisitions Corp., Aldabra Acquisition Corporation, and certain shareholders of</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Aldabra Acquisition Corporation and GLDD Acquisitions Corp., dated as of June 20, 2006. (2)</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4"/>
              </w:rPr>
              <w:t>Agreement and Plan of Merger, dated as of August 21, 2006, among Great Lakes Dredge &amp; Dock Holdings Corp., Aldabra Acquisition</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Corporation, and GLH Merger Sub, L.L.C. (3)</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4"/>
              </w:rPr>
              <w:t>Amended and Restated Certificate of Incorporation of Great Lakes Dredge &amp; Dock Holdings Corp., effective December 26, 2006 (now</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renamed Great Lakes Dredge &amp; Dock Corporation). (4)</w:t>
            </w:r>
          </w:p>
        </w:tc>
      </w:tr>
      <w:tr>
        <w:trPr>
          <w:trHeight w:val="324"/>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Third Amended and Restated Bylaws of Great Lakes Dredge &amp; Dock Corporation, effective as of March 8, 2011. (5)</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6"/>
              </w:rPr>
              <w:t>Certificate of Ownership and Merger of Great Lakes Dredge &amp; Dock Corporation with and into Great Lakes Dredge &amp; Dock Holdings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Corp. (6)</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5"/>
              </w:rPr>
              <w:t>Indenture, dated January 28, 2011, by and among the Company, certain subsidiary guarantors named therein and Wells Fargo Bank,</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National Association, as trustee. (7)</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6"/>
              </w:rPr>
              <w:t>Supplemental Indenture, dated May 6, 2011, among NASDI, LLC, a Delaware limited liability company, a subsidiary of Great Lakes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1"/>
              </w:rPr>
              <w:t>Dredge &amp; Dock Corporation, as issuer, the Company, the existing Guarantors, and Wells Fargo Bank, National Association, as trustee (33)</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7"/>
              </w:rPr>
              <w:t>Supplemental Indenture, dated January 15, 2013, among Terra Contracting Services, LLC, a Delaware limited liability company, a</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subsidiary of Great Lakes Dredge &amp; Dock Corporation, as issuer, the Company, the existing Guarantors, and Wells Fargo Bank, National</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Association, as trustee (34)</w:t>
            </w:r>
          </w:p>
        </w:tc>
      </w:tr>
      <w:tr>
        <w:trPr>
          <w:trHeight w:val="284"/>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3"/>
              </w:rPr>
              <w:t>Form of 7.375% Senior Note due 2019 (filed as Exhibit A to the Indenture, dated January 28, 2011, by and among the Company, certain</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subsidiary guarantors named therein and Wells Fargo Bank, National Association, as trustee). (7)</w:t>
            </w:r>
          </w:p>
        </w:tc>
      </w:tr>
      <w:tr>
        <w:trPr>
          <w:trHeight w:val="324"/>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Specimen Common Stock Certificate for Great Lakes Dredge &amp; Dock Corporation. (11)</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10.1</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4"/>
              </w:rPr>
              <w:t>Third Amended and Restated Underwriting and Continuing Indemnity Agreement, dated as of December 22, 2003, among Great Lakes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6"/>
              </w:rPr>
              <w:t>Dredge &amp; Dock Corporation, certain of its subsidiaries, Travelers Casualty and Surety Company and Travelers Casualty and Surety</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Company of America. (9)</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10.2</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1"/>
              </w:rPr>
              <w:t>First Amendment to Third Amended and Restated Underwriting and Continuing Indemnity Agreement, dated as of September 30, 2004, by</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3"/>
              </w:rPr>
              <w:t>and among Great Lakes Dredge &amp; Dock Corporation, certain of its subsidiaries, Travelers Casualty and Surety Company and Travelers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Casualty and Surety Company of America. (10)</w:t>
            </w:r>
          </w:p>
        </w:tc>
      </w:tr>
      <w:tr>
        <w:trPr>
          <w:trHeight w:val="31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10.3</w:t>
            </w:r>
          </w:p>
        </w:tc>
        <w:tc>
          <w:tcPr>
            <w:tcW w:w="78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1"/>
              </w:rPr>
              <w:t>Second Amendment to Third Amended and Restated Underwriting and Continuing Indemnity Agreement, dated as of November 14, 2005,</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1"/>
              </w:rPr>
              <w:t>by and among the Great Lakes Dredge &amp; Dock Corporation, the subsidiaries of Great Lakes Dredge &amp; Dock Company, Travelers Casualty</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1"/>
              </w:rPr>
              <w:t>and Surety Company, United Pacific Insurance Company, Reliance National Insurance Company, Reliance Surety Company and Travelers</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Casualty and Surety Company of America. (13)</w:t>
            </w: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900" w:type="dxa"/>
            <w:vAlign w:val="bottom"/>
            <w:gridSpan w:val="4"/>
          </w:tcPr>
          <w:p>
            <w:pPr>
              <w:jc w:val="right"/>
              <w:ind w:right="5508"/>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16"/>
                <w:szCs w:val="16"/>
                <w:color w:val="auto"/>
              </w:rPr>
            </w:pPr>
          </w:p>
        </w:tc>
        <w:tc>
          <w:tcPr>
            <w:tcW w:w="10240" w:type="dxa"/>
            <w:vAlign w:val="bottom"/>
            <w:tcBorders>
              <w:bottom w:val="single" w:sz="8" w:color="auto"/>
            </w:tcBorders>
          </w:tcPr>
          <w:p>
            <w:pPr>
              <w:ind w:left="4440"/>
              <w:spacing w:after="0"/>
              <w:rPr>
                <w:sz w:val="20"/>
                <w:szCs w:val="20"/>
                <w:color w:val="auto"/>
              </w:rPr>
            </w:pPr>
            <w:r>
              <w:rPr>
                <w:rFonts w:ascii="Arial" w:cs="Arial" w:eastAsia="Arial" w:hAnsi="Arial"/>
                <w:sz w:val="14"/>
                <w:szCs w:val="14"/>
                <w:b w:val="1"/>
                <w:bCs w:val="1"/>
                <w:color w:val="auto"/>
              </w:rPr>
              <w:t>Document Description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rPr>
              <w:t>10.4</w:t>
            </w:r>
          </w:p>
        </w:tc>
        <w:tc>
          <w:tcPr>
            <w:tcW w:w="660" w:type="dxa"/>
            <w:vAlign w:val="bottom"/>
          </w:tcPr>
          <w:p>
            <w:pPr>
              <w:spacing w:after="0"/>
              <w:rPr>
                <w:sz w:val="16"/>
                <w:szCs w:val="16"/>
                <w:color w:val="auto"/>
              </w:rPr>
            </w:pPr>
          </w:p>
        </w:tc>
        <w:tc>
          <w:tcPr>
            <w:tcW w:w="10240" w:type="dxa"/>
            <w:vAlign w:val="bottom"/>
          </w:tcPr>
          <w:p>
            <w:pPr>
              <w:spacing w:after="0" w:line="195" w:lineRule="exact"/>
              <w:rPr>
                <w:sz w:val="20"/>
                <w:szCs w:val="20"/>
                <w:color w:val="auto"/>
              </w:rPr>
            </w:pPr>
            <w:r>
              <w:rPr>
                <w:rFonts w:ascii="Arial" w:cs="Arial" w:eastAsia="Arial" w:hAnsi="Arial"/>
                <w:sz w:val="18"/>
                <w:szCs w:val="18"/>
                <w:color w:val="auto"/>
                <w:w w:val="92"/>
              </w:rPr>
              <w:t>Third Amendment to Third Amended and Restated Underwriting and Continuing Indemnity Agreement dated as of September 28, 2006, by</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5"/>
              </w:rPr>
              <w:t>and among Great Lakes Dredge &amp; Dock Corporation, certain of its subsidiaries, Travelers Casualty and Surety Company and Travelers</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Casualty and Surety Company of America. (14)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Fourth Amendment to Third Amended and Restated Underwriting and Continuing Indemnity Agreement dated as of June 12, 2007, by and</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6"/>
              </w:rPr>
              <w:t>among Great Lakes Dredge &amp; Dock Corporation, certain of its subsidiaries, Travelers Casualty and Surety Company of America. (18)</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Fifth Amendment to Third Amended and Restated Underwriting and Continuing Indemnity Agreement dated as of April 27, 2009, by and</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6"/>
              </w:rPr>
              <w:t>among Great Lakes Dredge &amp; Dock Corporation, certain of its subsidiaries, Travelers Casualty and Surety Company of America. (15)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5"/>
              </w:rPr>
              <w:t>Sixth Amendment to Third Amended and Restated Underwriting and Continuing Indemnity Agreement, dated January 24, 2011, by and</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among the Company, the subsidiaries of the Company party thereto, Travelers Casualty and Surety Company and Travelers Casualty and</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Surety Company of America. (7)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Seventh Amendment to Third Amended and Restated Underwriting and Continuing Indemnity Agreement, dated as of November 11, 2011,</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by and among Great Lakes Dredge &amp; Dock Corporation, certain of its subsidiaries, Travelers Casualty and Surety Company and Travelers</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Casualty and Surety Company of America. (26)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International Letter of Credit Agreement, dated September 29, 2006, by and among Great Lakes Dredge &amp; Dock Corporation and Wells</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Fargo Bank, National Association, as successor by merger to Wells Fargo HSBC Trade Bank, as amended (the “International Letter of Credit</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Facility”). (23)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First Amendment to International Letter of Credit Agreement, dated July 16, 2007, by and among Great Lakes Dredge &amp; Dock Corporation</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and Wells Fargo Bank, National Association, as successor by merger to Wells Fargo HSBC Trade Bank, as amended (the “International Letter</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of Credit Facility”). (16)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Second Amendment to International Letter of Credit Agreement dated September 29, 2009, by and among Great Lakes Dredge &amp; Dock</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Corporation, Great Lakes Dredge &amp; Dock Company, LLC and Wells Fargo Bank, National Association, as successor by merger to Wells</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Fargo HSBC Trade Bank, as amended (the “International Letter of Credit Facility”). (17)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Third Amendment to International Letter of Credit Agreement dated June 12, 2012, by and among Great Lakes Dredge &amp; Dock Corporation,</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Great Lakes Dredge &amp; Dock Company, LLC and Wells Fargo Bank, National Association, as successor by merger to Wells Fargo HSBC</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Trade Bank, as amended (the “International Letter of Credit Facility”). (34)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5"/>
              </w:rPr>
              <w:t>Waiver to International Letter of Credit Agreement, dated as of March 15, 2013, to the International Letter of Credit Agreement, by and</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among Great Lakes Dredge &amp; Dock Corporation, Great Lakes Dredge &amp; Dock Company, LLC and Wells Fargo Bank, National Association.</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660"/>
              <w:spacing w:after="0"/>
              <w:rPr>
                <w:sz w:val="20"/>
                <w:szCs w:val="20"/>
                <w:color w:val="auto"/>
              </w:rPr>
            </w:pPr>
            <w:r>
              <w:rPr>
                <w:rFonts w:ascii="Arial" w:cs="Arial" w:eastAsia="Arial" w:hAnsi="Arial"/>
                <w:sz w:val="18"/>
                <w:szCs w:val="18"/>
                <w:color w:val="auto"/>
              </w:rPr>
              <w:t>(31)</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Reaffirmation, Ratification and Assumption Agreement dated December 26, 2006, by and between Great Lakes Dredge &amp; Dock Corporation</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(formerly named Great Lakes Dredge &amp; Dock Holdings Corp.) and Wells Fargo Bank, National Association, as successor by merger to Wells</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Fargo HSBC Trade Bank, as amended (the “International Letter of Credit Facility”). (6)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Amended and Restated Management Equity Agreement dated December 26, 2006 by and among Aldabra Acquisition Corporation, Great</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Lakes Dredge &amp; Dock Holdings Corp. and each of the other persons identified on the signature pages thereto. †(6)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Employment Agreement between the Company and Jonathan W. Berger. †(12)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Employment Agreement between the Company and Bruce J. Biemeck. †(12)</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491"/>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16"/>
                <w:szCs w:val="16"/>
                <w:color w:val="auto"/>
              </w:rPr>
            </w:pPr>
          </w:p>
        </w:tc>
        <w:tc>
          <w:tcPr>
            <w:tcW w:w="10240" w:type="dxa"/>
            <w:vAlign w:val="bottom"/>
            <w:tcBorders>
              <w:bottom w:val="single" w:sz="8" w:color="auto"/>
            </w:tcBorders>
          </w:tcPr>
          <w:p>
            <w:pPr>
              <w:ind w:left="4440"/>
              <w:spacing w:after="0"/>
              <w:rPr>
                <w:sz w:val="20"/>
                <w:szCs w:val="20"/>
                <w:color w:val="auto"/>
              </w:rPr>
            </w:pPr>
            <w:r>
              <w:rPr>
                <w:rFonts w:ascii="Arial" w:cs="Arial" w:eastAsia="Arial" w:hAnsi="Arial"/>
                <w:sz w:val="14"/>
                <w:szCs w:val="14"/>
                <w:b w:val="1"/>
                <w:bCs w:val="1"/>
                <w:color w:val="auto"/>
              </w:rPr>
              <w:t>Document Description</w:t>
            </w:r>
          </w:p>
        </w:tc>
      </w:tr>
      <w:tr>
        <w:trPr>
          <w:trHeight w:val="224"/>
        </w:trPr>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66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8"/>
              </w:rPr>
              <w:t>Employment Agreement dated as of April 9, 2012 between Great Lakes Dredge &amp; Dock Corporation and David E. Simonelli. †(27)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9"/>
              </w:rPr>
              <w:t>Employment Agreement dated as of April 26, 2012 between Great Lakes Dredge &amp; Dock Corporation and Kyle D. Johnson. †(28)</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Offer letter, dated as of August 9, 2012 to William S. Steckel. †(34)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5"/>
              </w:rPr>
              <w:t>Second Amended and Restated Great Lakes Dredge &amp; Dock Company, LLC Annual Bonus Plan effective as of January 1, 2012. †(25)</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401(k) Savings Plan. †(19)</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401(k) Lost Benefit Plan. †(11)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10.24</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Amended and Restated Great Lakes Dredge &amp; Dock Corporation Supplemental Savings Plan effective January 1, 2014. *†</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10.25</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Lease Agreement between North American Site Developers, Inc. and MJC Berry Enterprises, LLC, dated as of December 31, 2006. (20)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10.26</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8"/>
              </w:rPr>
              <w:t>Form of Investor Rights Agreement among Aldabra Acquisition Corporation, Great Lakes Dredge &amp; Dock Holdings Corp., Madison</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Dearborn Capital Partners IV, L.P., certain stockholders of Aldabra Acquisition Corporation and certain stockholders of GLDD Acquisitions</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Corp. (3)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10.27</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7"/>
              </w:rPr>
              <w:t>Limited Liability Company Agreement, dated April 30, 2008, by and among NASDI Holdings Corporation, Christopher A. Berardi and</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NASDI, LLC. (21)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10.28</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Great Lakes Dredge &amp; Dock Corporation 2007 Long-Term Incentive Plan. †(35)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10.29</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6"/>
              </w:rPr>
              <w:t>Form of Great Lakes Dredge &amp; Dock Corporation Non-Qualified Stock Option Agreement pursuant to the Great Lakes Dredge &amp; Dock</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Corporation 2007 Long-Term Incentive Plan. †(22)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5"/>
              </w:rPr>
              <w:t>Form of Great Lakes Dredge &amp; Dock Corporation Restricted Stock Unit Award Agreement pursuant to the Great Lakes Dredge &amp; Dock</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Corporation 2007 Long-Term Incentive Plan. †(22)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Form of Great Lakes Dredge &amp; Dock Corporation Performance Vesting RSU Award Agreement pursuant to the Great Lakes Dredge &amp; Dock</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Corporation 2007 Long-Term Incentive Plan. †(22)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Asset Purchase Agreement dated as of December 31, 2010 among Great Lakes Dredge &amp; Dock Corporation, L.W. Matteson, Inc., Lawrence</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W. Matteson and Larry W. Matteson. (8)</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10.33</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Registration Rights Agreement, dated January 28, 2011, by and among the Company, certain subsidiary guarantors named therein and the</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initial purchasers named therein. (7)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10.34</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Credit Agreement dated as of June 4, 2012 by and among Great Lakes Dredge &amp; Dock Corporation, as Borrower, the other Credit Parties</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party thereto, the financial institutions from time to time party thereto as lenders, Wells Fargo Bank, National Association, as Administrative</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Agent, Swingline Lender and an Issuing Lender, Bank of America N.A., as Syndication Agent and PNC Bank, National Association, BMO</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Harris Bank N.A. and Fifth Third Bank, as Co-Documentation Agents. (29)</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10.35</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First Amendment to Credit Agreement dated as of December 11, 2012 by and among Great Lakes Dredge &amp; Dock Corporation, as Borrower,</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7"/>
              </w:rPr>
              <w:t>the other Credit Parties party thereto, the financial institutions from time to time party thereto as lenders, Wells Fargo Bank, National</w:t>
            </w: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Association, as Administrative Agent, Swingline Lender and an Issuing Lender, Bank of America N.A., as Syndication Agent and PNC Bank,</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National Association, BMO Harris Bank N.A. and Fifth Third Bank, as Co-Documentation Agents. (30)</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491"/>
              <w:spacing w:after="0"/>
              <w:rPr>
                <w:sz w:val="20"/>
                <w:szCs w:val="20"/>
                <w:color w:val="auto"/>
              </w:rPr>
            </w:pPr>
            <w:r>
              <w:rPr>
                <w:rFonts w:ascii="Arial" w:cs="Arial" w:eastAsia="Arial" w:hAnsi="Arial"/>
                <w:sz w:val="18"/>
                <w:szCs w:val="18"/>
                <w:color w:val="auto"/>
              </w:rPr>
              <w:t>108</w:t>
            </w: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040" w:type="dxa"/>
            <w:vAlign w:val="bottom"/>
          </w:tcPr>
          <w:p>
            <w:pPr>
              <w:ind w:left="4340"/>
              <w:spacing w:after="0"/>
              <w:rPr>
                <w:sz w:val="20"/>
                <w:szCs w:val="20"/>
                <w:color w:val="auto"/>
              </w:rPr>
            </w:pPr>
            <w:r>
              <w:rPr>
                <w:rFonts w:ascii="Arial" w:cs="Arial" w:eastAsia="Arial" w:hAnsi="Arial"/>
                <w:sz w:val="14"/>
                <w:szCs w:val="14"/>
                <w:b w:val="1"/>
                <w:bCs w:val="1"/>
                <w:color w:val="auto"/>
              </w:rPr>
              <w:t>Document Description</w:t>
            </w: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88"/>
              </w:rPr>
              <w:t>10.36</w:t>
            </w:r>
          </w:p>
        </w:tc>
        <w:tc>
          <w:tcPr>
            <w:tcW w:w="86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Waiver and Amendment No. 2 to Credit Agreement, dated as of March 15, 2013, by and among Great Lakes Dredge &amp; Dock Corporation,</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the other Credit Parties party thereto, Wells Fargo Bank, National Association, as Administrative Agent, Swingline Lender and an Issuing</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Lender, and the other lenders party thereto. (31)</w:t>
            </w: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10.37</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Amendment No. 3 to Credit Agreement, dated as of July 3, 2013, by and among Great Lakes Dredge &amp; Dock Corporation, the other Credit</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Parties party thereto, Wells Fargo Bank, National Association, as Administrative Agent, Swingline Lender and an Issuing Lender, and the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other lenders party thereto. (32)</w:t>
            </w: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10.38</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Lender-Surety Priority Agreement, dated as of June 4, 2012, by and between Wells Fargo Bank, National Association and Zurich</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American Insurance Company and its subsidiaries and affiliates. (34)</w:t>
            </w: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10.39</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Agreement of Indemnity, dated as of September 7, 2011, by and among Great Lakes Dredge &amp; Dock Corporation, Great Lakes Dredge &amp;</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Dock Company, LLC, Lydon Dredging and Construction Company, Ltd., Fifty-Three Dredging Corporation, Dawson Marine Services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Company, Great Lakes Dredge &amp; Dock Environmental, Inc. f/k/a Great Lakes Caribbean Dredging, Inc., NASDI, LLC, NASDI Holdings</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Corporation, Yankee Environmental Services, LLC, Great Lakes Dredge &amp; Dock (Bahamas) Ltd. and Zurich American Insurance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 and its subsidiaries and affiliates. (34)</w:t>
            </w: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10.40</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Vessel Construction Agreement, dated January 10, 2014, by and between Eastern Shipbuilding Group, Inc. and Great Lakes Dredge &amp;</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Dock Company, LLC. *#</w:t>
            </w:r>
          </w:p>
        </w:tc>
      </w:tr>
      <w:tr>
        <w:trPr>
          <w:trHeight w:val="32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12.1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Ratio of Earnings to Fixed Charges.*</w:t>
            </w:r>
          </w:p>
        </w:tc>
      </w:tr>
      <w:tr>
        <w:trPr>
          <w:trHeight w:val="32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14.1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Code of Business Conduct and Ethics. (24)</w:t>
            </w:r>
          </w:p>
        </w:tc>
      </w:tr>
      <w:tr>
        <w:trPr>
          <w:trHeight w:val="32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Subsidiaries of Great Lakes Dredge &amp; Dock Corporation. *</w:t>
            </w:r>
          </w:p>
        </w:tc>
      </w:tr>
      <w:tr>
        <w:trPr>
          <w:trHeight w:val="32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Deloitte &amp; Touche LLP. *</w:t>
            </w: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2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spacing w:after="0"/>
              <w:rPr>
                <w:sz w:val="20"/>
                <w:szCs w:val="20"/>
                <w:color w:val="auto"/>
              </w:rPr>
            </w:pPr>
            <w:r>
              <w:rPr>
                <w:rFonts w:ascii="Arial" w:cs="Arial" w:eastAsia="Arial" w:hAnsi="Arial"/>
                <w:sz w:val="18"/>
                <w:szCs w:val="18"/>
                <w:color w:val="auto"/>
              </w:rPr>
              <w:t>XBRL Instance Document. *</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6, 2004 (Commission file no. 333-64687).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20" w:hanging="452"/>
        <w:spacing w:after="0" w:line="25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June 22, 2006 (Commission file no. 333-64687).</w:t>
      </w:r>
    </w:p>
    <w:p>
      <w:pPr>
        <w:spacing w:after="0" w:line="1" w:lineRule="exact"/>
        <w:rPr>
          <w:rFonts w:ascii="Arial" w:cs="Arial" w:eastAsia="Arial" w:hAnsi="Arial"/>
          <w:sz w:val="18"/>
          <w:szCs w:val="18"/>
          <w:color w:val="auto"/>
        </w:rPr>
      </w:pPr>
    </w:p>
    <w:p>
      <w:pPr>
        <w:ind w:left="460" w:right="78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Holding Corp.’s Registration Statement on Form S-4 filed with the Commission on August 24, 2006 (Commission file no. 333-136861-01).</w:t>
      </w:r>
    </w:p>
    <w:p>
      <w:pPr>
        <w:ind w:left="460" w:right="9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Registration Statement on Form 8-A filed with the Commission on December 26, 2006 (Commission file no. 001-33225).</w:t>
      </w:r>
    </w:p>
    <w:p>
      <w:pPr>
        <w:ind w:left="460" w:right="30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March 14, 2011 (Commission file no. 001-33225).</w:t>
      </w:r>
    </w:p>
    <w:p>
      <w:pPr>
        <w:ind w:left="460" w:right="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December 29, 2006 (Commission file no. 001-33225).</w:t>
      </w:r>
    </w:p>
    <w:p>
      <w:pPr>
        <w:ind w:left="460" w:right="20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28, 2011 (Commission file no. 001-33225).</w:t>
      </w:r>
    </w:p>
    <w:p>
      <w:pPr>
        <w:ind w:left="460" w:right="30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3, 2011 (Commission file no. 001-33225).</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460" w:right="2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22, 2007 (Commission file no. 001-33225).</w:t>
      </w:r>
    </w:p>
    <w:p>
      <w:pPr>
        <w:ind w:left="460" w:right="8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September 8, 2010 (Commission file no. 001-33225).</w:t>
      </w:r>
    </w:p>
    <w:p>
      <w:pPr>
        <w:ind w:left="460" w:right="40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17, 2005 (Commission file no. 333-64687).</w:t>
      </w:r>
    </w:p>
    <w:p>
      <w:pPr>
        <w:ind w:left="460" w:right="2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4, 2006 (Commission file no. 333-64687).</w:t>
      </w:r>
    </w:p>
    <w:p>
      <w:pPr>
        <w:ind w:left="460" w:right="38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April 29, 2009 (Commission file no. 001-33225).</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460" w:right="2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5, 2009 (Commission file no. 001-33225).</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460" w:right="2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30, 2005 (Commission file no. 333-64687).</w:t>
      </w:r>
    </w:p>
    <w:p>
      <w:pPr>
        <w:ind w:left="460" w:right="10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February 20, 2007 (Commission file no. 001-33225).</w:t>
      </w:r>
    </w:p>
    <w:p>
      <w:pPr>
        <w:ind w:left="460" w:right="5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6, 2008 (Commission file no. 001-33225).</w:t>
      </w:r>
    </w:p>
    <w:p>
      <w:pPr>
        <w:ind w:left="460" w:right="5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July 1, 2011 (Commission file no. 001-33225).</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460" w:right="44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11, 2010 (Commission file no. 001-33225).</w:t>
      </w:r>
    </w:p>
    <w:p>
      <w:pPr>
        <w:ind w:left="460" w:right="20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17, 2012 (Commission file no. 001-33225).</w:t>
      </w:r>
    </w:p>
    <w:p>
      <w:pPr>
        <w:ind w:left="4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16, 2011 (Commission file no. 001-33225).</w:t>
      </w:r>
    </w:p>
    <w:p>
      <w:pPr>
        <w:ind w:left="460" w:right="38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April 13, 2012 (Commission file no. 001-33225).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00" w:hanging="452"/>
        <w:spacing w:after="0" w:line="25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2, 2012 (Commission file no. 001-33225).</w:t>
      </w:r>
    </w:p>
    <w:p>
      <w:pPr>
        <w:spacing w:after="0" w:line="1"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June 7, 2012 (Commission file no. 001-33225).</w:t>
      </w:r>
    </w:p>
    <w:p>
      <w:pPr>
        <w:ind w:left="46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December 14, 2012 (Commission file no. 001-33225).</w:t>
      </w:r>
    </w:p>
    <w:p>
      <w:pPr>
        <w:ind w:left="460" w:right="26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March 19, 2013 (Commission file no. 001-33225).</w:t>
      </w:r>
    </w:p>
    <w:p>
      <w:pPr>
        <w:ind w:left="460" w:right="44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July 10, 2013 (Commission file no. 001-33225).</w:t>
      </w:r>
    </w:p>
    <w:p>
      <w:pPr>
        <w:ind w:left="460" w:right="50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9, 2011 (Commission file no. 001-33225).</w:t>
      </w:r>
    </w:p>
    <w:p>
      <w:pPr>
        <w:ind w:left="460" w:right="20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29, 2013 (Commission file no. 001-33225).</w:t>
      </w: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Great Lakes Dredge &amp; Dock Corporation’s Definitive Proxy Statement on Schedule 14A, filed with the Commission on</w:t>
      </w:r>
    </w:p>
    <w:p>
      <w:pPr>
        <w:spacing w:after="0" w:line="23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Portions of this exhibit have been omitted pending a determination by the Securities and Exchange Commission as to whether these portions should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granted confidential treatment.</w:t>
      </w:r>
    </w:p>
    <w:p>
      <w:pPr>
        <w:spacing w:after="0" w:line="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(As Amended and Restated Effective January 1,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Savings Plan</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purpose of the Great Lakes Dredge &amp; Dock Corporation Supplemental Savings Plan (the “Plan”) is to enhance the ability of Great Lakes Dredge &amp; Dock Corporation (the “Company”) to attract and retain employees by providing a select group of senior management and highly compensated employees of the Company and its Affiliates with an opportunity to supplement their retirement income outside of the Company’s tax-qualified Savings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620" w:firstLine="456"/>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Account</w:t>
      </w:r>
      <w:r>
        <w:rPr>
          <w:rFonts w:ascii="Arial" w:cs="Arial" w:eastAsia="Arial" w:hAnsi="Arial"/>
          <w:sz w:val="18"/>
          <w:szCs w:val="18"/>
          <w:b w:val="1"/>
          <w:bCs w:val="1"/>
          <w:color w:val="auto"/>
        </w:rPr>
        <w:t>”</w:t>
      </w:r>
      <w:r>
        <w:rPr>
          <w:rFonts w:ascii="Arial" w:cs="Arial" w:eastAsia="Arial" w:hAnsi="Arial"/>
          <w:sz w:val="18"/>
          <w:szCs w:val="18"/>
          <w:color w:val="auto"/>
        </w:rPr>
        <w:t xml:space="preserve"> means, collectively, the Participant’s Base Salary Deferral Account, Bonus Deferral Account, Matching Account, Profit Sharing Account and Discretionary Contribution Account.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b w:val="1"/>
          <w:bCs w:val="1"/>
          <w:color w:val="auto"/>
        </w:rPr>
        <w:t>”</w:t>
      </w:r>
      <w:r>
        <w:rPr>
          <w:rFonts w:ascii="Arial" w:cs="Arial" w:eastAsia="Arial" w:hAnsi="Arial"/>
          <w:sz w:val="16"/>
          <w:szCs w:val="16"/>
          <w:color w:val="auto"/>
        </w:rPr>
        <w:t xml:space="preserve"> means (i) any person or entity that directly or indirectly controls, is controlled by or is under common control with the Company and/or</w:t>
      </w:r>
    </w:p>
    <w:p>
      <w:pPr>
        <w:spacing w:after="0" w:line="50" w:lineRule="exact"/>
        <w:rPr>
          <w:sz w:val="20"/>
          <w:szCs w:val="20"/>
          <w:color w:val="auto"/>
        </w:rPr>
      </w:pPr>
    </w:p>
    <w:p>
      <w:pPr>
        <w:jc w:val="both"/>
        <w:ind w:right="200" w:firstLine="8"/>
        <w:spacing w:after="0" w:line="254"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78"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Base Salary</w:t>
      </w:r>
      <w:r>
        <w:rPr>
          <w:rFonts w:ascii="Arial" w:cs="Arial" w:eastAsia="Arial" w:hAnsi="Arial"/>
          <w:sz w:val="17"/>
          <w:szCs w:val="17"/>
          <w:b w:val="1"/>
          <w:bCs w:val="1"/>
          <w:color w:val="auto"/>
        </w:rPr>
        <w:t>”</w:t>
      </w:r>
      <w:r>
        <w:rPr>
          <w:rFonts w:ascii="Arial" w:cs="Arial" w:eastAsia="Arial" w:hAnsi="Arial"/>
          <w:sz w:val="17"/>
          <w:szCs w:val="17"/>
          <w:color w:val="auto"/>
        </w:rPr>
        <w:t xml:space="preserve"> means a Participant’s regular base salary, including (i) the amount of any deferrals or reductions under this Plan, the Savings Plan or any other employee benefit plan of the Company or an Affiliate and (ii) any base salary payable as a short-term disability benefit.</w:t>
      </w:r>
    </w:p>
    <w:p>
      <w:pPr>
        <w:spacing w:after="0" w:line="34"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2.4 “</w:t>
      </w:r>
      <w:r>
        <w:rPr>
          <w:rFonts w:ascii="Arial" w:cs="Arial" w:eastAsia="Arial" w:hAnsi="Arial"/>
          <w:sz w:val="16"/>
          <w:szCs w:val="16"/>
          <w:b w:val="1"/>
          <w:bCs w:val="1"/>
          <w:i w:val="1"/>
          <w:iCs w:val="1"/>
          <w:color w:val="auto"/>
        </w:rPr>
        <w:t>Base Salary Deferral Account</w:t>
      </w:r>
      <w:r>
        <w:rPr>
          <w:rFonts w:ascii="Arial" w:cs="Arial" w:eastAsia="Arial" w:hAnsi="Arial"/>
          <w:sz w:val="16"/>
          <w:szCs w:val="16"/>
          <w:color w:val="auto"/>
        </w:rPr>
        <w:t>” means the record maintained by the Company for each Participant for the cumulative amount of (a) Salary amounts deferred under Sections 4.1 and 4.2 of the Plan and (b) increases or decreases to those amounts for deemed investments as provided in Article V.</w:t>
      </w:r>
    </w:p>
    <w:p>
      <w:pPr>
        <w:spacing w:after="0" w:line="12"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person or persons designated in writing by a Participant in accordance with procedures established by the Committee to receive the benefits specified hereunder in the event of the Participant’s death. No beneficiary designation shall become effective until it is filed with the Committee. If there is no such designation or if there is 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shall be the Beneficiary.</w:t>
      </w:r>
    </w:p>
    <w:p>
      <w:pPr>
        <w:sectPr>
          <w:pgSz w:w="11900" w:h="16838" w:orient="portrait"/>
          <w:cols w:equalWidth="0" w:num="1">
            <w:col w:w="11420"/>
          </w:cols>
          <w:pgMar w:left="240" w:top="121" w:right="239"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3"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Bonus</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regular annual cash bonus earned by a Participant under the Company’s annual incentive compensation plan, including the amount of any deferrals or reductions under this Plan, the Savings Plan or any other employee benefit plan of the Company or an Affiliate.</w:t>
      </w:r>
    </w:p>
    <w:p>
      <w:pPr>
        <w:spacing w:after="0" w:line="12"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i w:val="1"/>
          <w:iCs w:val="1"/>
          <w:color w:val="auto"/>
        </w:rPr>
        <w:t>Bonus Deferral Account</w:t>
      </w:r>
      <w:r>
        <w:rPr>
          <w:rFonts w:ascii="Arial" w:cs="Arial" w:eastAsia="Arial" w:hAnsi="Arial"/>
          <w:sz w:val="17"/>
          <w:szCs w:val="17"/>
          <w:color w:val="auto"/>
        </w:rPr>
        <w:t>” means the record maintained by the Company for each Participant for the cumulative amount of (a) any Bonus deferred under Sections 4.1 and 4.2 of the Plan and (b) increases or decreases to such amount for deemed investments as provided in Article V.</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xml:space="preserve"> means a Change in Control as defined in the Company’s 2007 Long-Term Incentive Plan, or any successor plan.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Claimant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Participant or Beneficiary who files a claim pursuant to Article XI.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Internal Revenue Code of 1986,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committee appointed to administer the Plan as provided in Section 9.1.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w:t>
      </w:r>
      <w:r>
        <w:rPr>
          <w:rFonts w:ascii="Arial" w:cs="Arial" w:eastAsia="Arial" w:hAnsi="Arial"/>
          <w:sz w:val="18"/>
          <w:szCs w:val="18"/>
          <w:color w:val="auto"/>
        </w:rPr>
        <w:t xml:space="preserve"> means Great Lakes Dredge &amp; Dock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Compensation Committee of the Board.</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“Disability” or “Disabled”</w:t>
      </w:r>
      <w:r>
        <w:rPr>
          <w:rFonts w:ascii="Arial" w:cs="Arial" w:eastAsia="Arial" w:hAnsi="Arial"/>
          <w:sz w:val="18"/>
          <w:szCs w:val="18"/>
          <w:color w:val="auto"/>
        </w:rPr>
        <w:t xml:space="preserve"> means that the Participant (a) is unable to engage in any substantially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can be expected to last for a continuous period of not less than 12 months, receiving income replacement benefits for a period of not less than 3 months under any disability or accident or health plan covering employees of the Company and Affiliates.</w:t>
      </w:r>
    </w:p>
    <w:p>
      <w:pPr>
        <w:spacing w:after="0" w:line="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Discretionary Contribution Account</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record maintained by the Company for each Participant who has an account balance for the cumulative amount of (a) discretionary employer contributions pursuant to Section 4.5 of the Plan and (b) increases or decreases to those amounts for deemed investments as provided in Article V.</w:t>
      </w:r>
    </w:p>
    <w:p>
      <w:pPr>
        <w:spacing w:after="0" w:line="68"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Distribution Election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election by a Participant made in accordance with Article VII that specifies the time and form in which the Participant’s vested Account will be distributed.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Eligible Employee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 employee of the Company or an Affiliate selected by the Committee in accordance with Article III.</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4" w:right="279" w:bottom="1440" w:gutter="0" w:footer="0" w:header="0"/>
        </w:sectPr>
      </w:pPr>
    </w:p>
    <w:bookmarkStart w:id="113" w:name="page114"/>
    <w:bookmarkEnd w:id="113"/>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2.19 “</w:t>
      </w:r>
      <w:r>
        <w:rPr>
          <w:rFonts w:ascii="Arial" w:cs="Arial" w:eastAsia="Arial" w:hAnsi="Arial"/>
          <w:sz w:val="18"/>
          <w:szCs w:val="18"/>
          <w:b w:val="1"/>
          <w:bCs w:val="1"/>
          <w:i w:val="1"/>
          <w:iCs w:val="1"/>
          <w:color w:val="auto"/>
        </w:rPr>
        <w:t>Investment Fund</w:t>
      </w:r>
      <w:r>
        <w:rPr>
          <w:rFonts w:ascii="Arial" w:cs="Arial" w:eastAsia="Arial" w:hAnsi="Arial"/>
          <w:sz w:val="18"/>
          <w:szCs w:val="18"/>
          <w:color w:val="auto"/>
        </w:rPr>
        <w:t>” means any of the notional investments as may be designated by the Company from time to time for purposes of determining the increase or decrease in value of the Accounts. Investment Funds shall be unfunded.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Matching Account</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record maintained by the Company for each Participant who has an account balance for the cumulative amount of</w:t>
      </w:r>
    </w:p>
    <w:p>
      <w:pPr>
        <w:spacing w:after="0" w:line="50"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matching contributions pursuant to Section 4.3 of the Plan and (b) increases or decreases to those amounts for deemed investments as provided in Article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 Eligible Employee who becomes a participant in this Plan in accordance with Article III.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Great Lakes Dredge &amp; Dock Corporation Supplemental Savings Plan, as amended from time to time.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 Year</w:t>
      </w:r>
      <w:r>
        <w:rPr>
          <w:rFonts w:ascii="Arial" w:cs="Arial" w:eastAsia="Arial" w:hAnsi="Arial"/>
          <w:sz w:val="18"/>
          <w:szCs w:val="18"/>
          <w:color w:val="auto"/>
        </w:rPr>
        <w:t>” means the calendar year.</w:t>
      </w:r>
    </w:p>
    <w:p>
      <w:pPr>
        <w:spacing w:after="0" w:line="117" w:lineRule="exact"/>
        <w:rPr>
          <w:sz w:val="20"/>
          <w:szCs w:val="20"/>
          <w:color w:val="auto"/>
        </w:rPr>
      </w:pPr>
    </w:p>
    <w:p>
      <w:pPr>
        <w:jc w:val="both"/>
        <w:ind w:right="420" w:firstLine="456"/>
        <w:spacing w:after="0" w:line="266"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Profit Sharing Account</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record maintained by the Company for each Participant who has an account balance for the cumulative amount of (a) profit sharing contributions pursuant to Section 4.4 of the Plan and (b) increases or decreases to those amounts for deemed investments as provided in Article V.</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Salary</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Participant’s Base Salary for services to the Company or an Affiliate by the Participant during the Plan Year.</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Savings Plan</w:t>
      </w:r>
      <w:r>
        <w:rPr>
          <w:rFonts w:ascii="Arial" w:cs="Arial" w:eastAsia="Arial" w:hAnsi="Arial"/>
          <w:sz w:val="18"/>
          <w:szCs w:val="18"/>
          <w:color w:val="auto"/>
        </w:rPr>
        <w:t>” means the Company’s 401(k) Savings Plan or such other 401(k) plan maintained by the Company or one of its Affiliates in which the Participant participates.</w:t>
      </w:r>
    </w:p>
    <w:p>
      <w:pPr>
        <w:spacing w:after="0" w:line="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“separation from service” under Section 409A of the Code. A Separation from Service occurs if the facts and circumstances indicate that the Company and its Affiliates reasonably anticipate that no further services will be performed after a certain date or that the level of bona fide services the Participant will perform after such date (whether as an Employee or as an independent contractor) will decrease to no more than 20 percent of the average level of bona fide services performed (whether as an Employee or as an independent contractor) over the immediately preceding 36-month period (or the full period of services if the Participant has been providing services for less than 36 months). Notwithstanding the foregoing, the employment relationship is treated as continuing while the Participant is on military leave, sick leave or other bona fide leave of absence if the period of leave does not exceed six months, or if longer, so long as the Participant retains the right to reemployment with the Company or an Affiliate under an applicable statute or contract.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Vested Interest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Participant’s nonforfeitable interest in his or her Account, determined in accordance with Article VI.</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PARTICIPATION</w:t>
      </w:r>
    </w:p>
    <w:p>
      <w:pPr>
        <w:spacing w:after="0" w:line="2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Eligibility</w:t>
      </w:r>
      <w:r>
        <w:rPr>
          <w:rFonts w:ascii="Arial" w:cs="Arial" w:eastAsia="Arial" w:hAnsi="Arial"/>
          <w:sz w:val="16"/>
          <w:szCs w:val="16"/>
          <w:color w:val="auto"/>
        </w:rPr>
        <w:t xml:space="preserve">. Eligible Employees for a Plan Year shall consist of those management or highly-compensated employees of the Company or an Affiliate designated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employee who is not eligible to participate in the Savings Plan as of the first day of a Plan Year (or such later date on which such employee first becomes eligible to participate in the Plan for such Plan Year) shall not be considered an Eligible Employee hereunder for such Plan Year. As of the effective date of the Plan, the Eligible Employees shall include each employee of one of the following entities who is employed in a Vice-President or more senior position and whose Base Salary and projected target Bonus exceeds the compensation limit under Section 401(a)</w:t>
      </w:r>
    </w:p>
    <w:p>
      <w:pPr>
        <w:spacing w:after="0" w:line="2" w:lineRule="exact"/>
        <w:rPr>
          <w:sz w:val="20"/>
          <w:szCs w:val="20"/>
          <w:color w:val="auto"/>
        </w:rPr>
      </w:pPr>
    </w:p>
    <w:p>
      <w:pPr>
        <w:ind w:right="60" w:firstLine="8"/>
        <w:spacing w:after="0" w:line="270" w:lineRule="auto"/>
        <w:tabs>
          <w:tab w:leader="none" w:pos="3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of the Code for the applicable Plan Year ($255,000 for 2013; $260,000 for 2014): Great Lakes Dredge and Dock Corporation, Great Lakes Dredge &amp; Dock Company, LLC (other than employees of the L.W. Matteson Division unless they are also employed in a vice-president or more senior position of the Company), NASDI, LLC, Yankee Environmental Services, LLC, Terrasea Environmental Solutions LLC and Terra Contracting Services, LLC. After the effective date of the Plan, and commencing October 1, 2014 with respect to the 2015 Plan Year, the Company shall determine the employees who are Eligible Employees in accordance with the foregoing sentence as of October 1</w:t>
      </w:r>
      <w:r>
        <w:rPr>
          <w:rFonts w:ascii="Arial" w:cs="Arial" w:eastAsia="Arial" w:hAnsi="Arial"/>
          <w:sz w:val="14"/>
          <w:szCs w:val="14"/>
          <w:color w:val="auto"/>
        </w:rPr>
        <w:t>st</w:t>
      </w:r>
      <w:r>
        <w:rPr>
          <w:rFonts w:ascii="Arial" w:cs="Arial" w:eastAsia="Arial" w:hAnsi="Arial"/>
          <w:sz w:val="17"/>
          <w:szCs w:val="17"/>
          <w:color w:val="auto"/>
        </w:rPr>
        <w:t xml:space="preserve"> immediately preceding the applicable Plan Year. The Board or the Compensation Committee may, from time to time, change which employees are Eligible Employees under the Plan.</w:t>
      </w:r>
    </w:p>
    <w:p>
      <w:pPr>
        <w:spacing w:after="0" w:line="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Participation</w:t>
      </w:r>
      <w:r>
        <w:rPr>
          <w:rFonts w:ascii="Arial" w:cs="Arial" w:eastAsia="Arial" w:hAnsi="Arial"/>
          <w:sz w:val="17"/>
          <w:szCs w:val="17"/>
          <w:color w:val="auto"/>
        </w:rPr>
        <w:t>. An Eligible Employee shall become a Participant in the Plan by electing to make a deferral of Base Salary or Bonus for a Plan Year in accordance with Article IV or becoming entitled to a profit sharing contribution pursuant to Section 4.4 or a discretionary employer contribution pursuant to Section 4.5. Except as otherwise determined by the Committee, an employee shall participate in the Plan with respect to a Plan Year only if the Company had determined that such employee was an Eligible Employee as of October 1</w:t>
      </w:r>
      <w:r>
        <w:rPr>
          <w:rFonts w:ascii="Arial" w:cs="Arial" w:eastAsia="Arial" w:hAnsi="Arial"/>
          <w:sz w:val="14"/>
          <w:szCs w:val="14"/>
          <w:color w:val="auto"/>
        </w:rPr>
        <w:t>st</w:t>
      </w:r>
      <w:r>
        <w:rPr>
          <w:rFonts w:ascii="Arial" w:cs="Arial" w:eastAsia="Arial" w:hAnsi="Arial"/>
          <w:sz w:val="17"/>
          <w:szCs w:val="17"/>
          <w:color w:val="auto"/>
        </w:rPr>
        <w:t xml:space="preserve"> immediately preceding the first day of such Plan Year and such Eligible Employee submitted any elections required under the Plan during the open enrollment period offered by the Company prior to the first day of such Plan Year. No amounts shall be deferred or allocated to a Participant’s Account under this Plan with respect to compensation earned or services performed prior to the date the Participant’s participation in the Plan commences.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PARTICIPANT DEFERRALS AND EMPLOYER CONTRIBUTIONS</w:t>
      </w:r>
    </w:p>
    <w:p>
      <w:pPr>
        <w:spacing w:after="0" w:line="20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Deferrals</w:t>
      </w:r>
      <w:r>
        <w:rPr>
          <w:rFonts w:ascii="Arial" w:cs="Arial" w:eastAsia="Arial" w:hAnsi="Arial"/>
          <w:sz w:val="17"/>
          <w:szCs w:val="17"/>
          <w:color w:val="auto"/>
        </w:rPr>
        <w:t>. Effective for Plan Years beginning on or after January 1, 2014, a Participant may elect to defer for each Plan Year up to 50% of the Participant’s Salary and up to 100% of the Participant’s Bonus, subject to such additional guidelines and limitations adopted by the Committee. Deferrals from Salary shall be withheld in substantially equal amounts from Salary payable for the Plan Year to which the deferral election relates. Deferrals from Bonus shall be withheld from the Bonus otherwise payable for the Plan Year to which the deferral election relates. Elections to defer Salary and Bonus are irrevocable, except as otherwise provided in the Plan and permitted under Section 409A of the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0"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8"/>
          <w:szCs w:val="18"/>
          <w:b w:val="1"/>
          <w:bCs w:val="1"/>
          <w:u w:val="single" w:color="auto"/>
          <w:color w:val="auto"/>
        </w:rPr>
        <w:t>Elections to Defer</w:t>
      </w:r>
      <w:r>
        <w:rPr>
          <w:rFonts w:ascii="Arial" w:cs="Arial" w:eastAsia="Arial" w:hAnsi="Arial"/>
          <w:sz w:val="18"/>
          <w:szCs w:val="18"/>
          <w:color w:val="auto"/>
        </w:rPr>
        <w:t>.</w:t>
      </w:r>
    </w:p>
    <w:p>
      <w:pPr>
        <w:spacing w:after="0" w:line="121" w:lineRule="exact"/>
        <w:rPr>
          <w:sz w:val="20"/>
          <w:szCs w:val="20"/>
          <w:color w:val="auto"/>
        </w:rPr>
      </w:pPr>
    </w:p>
    <w:p>
      <w:pPr>
        <w:ind w:right="20" w:firstLine="921"/>
        <w:spacing w:after="0" w:line="259" w:lineRule="auto"/>
        <w:tabs>
          <w:tab w:leader="none" w:pos="115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Except as otherwise provided under Section 4.2(c) or (d), an Eligible Employee may elect to defer his or her Base Salary prior to the first day of the calendar year for which such Base Salary would be earned. Base Salary that is payable after the last day of a Plan Year for services performed during the final payroll period that includes the last day of such Plan Year shall be treated as Base Salary that is earned in the subsequent Plan Year in which such Base Salary is payable.</w:t>
      </w:r>
    </w:p>
    <w:p>
      <w:pPr>
        <w:spacing w:after="0" w:line="78"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Except as otherwise provided under Section 4.2(c) or (d), an Eligible Employee may elect to defer his or her Bonus prior to the first day of the calendar year for which such Bonus would be earned.</w:t>
      </w:r>
    </w:p>
    <w:p>
      <w:pPr>
        <w:spacing w:after="0" w:line="62" w:lineRule="exact"/>
        <w:rPr>
          <w:rFonts w:ascii="Arial" w:cs="Arial" w:eastAsia="Arial" w:hAnsi="Arial"/>
          <w:sz w:val="18"/>
          <w:szCs w:val="18"/>
          <w:color w:val="auto"/>
        </w:rPr>
      </w:pPr>
    </w:p>
    <w:p>
      <w:pPr>
        <w:ind w:firstLine="921"/>
        <w:spacing w:after="0" w:line="273" w:lineRule="auto"/>
        <w:tabs>
          <w:tab w:leader="none" w:pos="1157"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Special Rule</w:t>
      </w:r>
      <w:r>
        <w:rPr>
          <w:rFonts w:ascii="Arial" w:cs="Arial" w:eastAsia="Arial" w:hAnsi="Arial"/>
          <w:sz w:val="17"/>
          <w:szCs w:val="17"/>
          <w:color w:val="auto"/>
        </w:rPr>
        <w:t xml:space="preserve">. Notwithstanding the foregoing, to the extent the Committee permits an Eligible Employee to commence participation in the Plan prior to the first day of a Plan Year, such Eligible Employee may make an initial deferral election under this Section 4.2 and an initial Distribution Election under Section 7.1 within 30 calendar days of first becoming eligible to participate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such event such deferral election shall apply only to Base Salary and Bonus, as applicable, that is earned after the date of such election. The deferral election with respect to the Bonus will be limited to the total amount of the Bonus earned for such Plan Year multiplied by the ratio of the number of days remaining in the performance period for which the Bonus is earned after the date of the election over the total number of days in the performance period.</w:t>
      </w:r>
    </w:p>
    <w:p>
      <w:pPr>
        <w:spacing w:after="0" w:line="70" w:lineRule="exact"/>
        <w:rPr>
          <w:rFonts w:ascii="Arial" w:cs="Arial" w:eastAsia="Arial" w:hAnsi="Arial"/>
          <w:sz w:val="17"/>
          <w:szCs w:val="17"/>
          <w:color w:val="auto"/>
        </w:rPr>
      </w:pPr>
    </w:p>
    <w:p>
      <w:pPr>
        <w:ind w:left="1180" w:hanging="259"/>
        <w:spacing w:after="0"/>
        <w:tabs>
          <w:tab w:leader="none" w:pos="118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Earlier or Later Deadlines</w:t>
      </w:r>
      <w:r>
        <w:rPr>
          <w:rFonts w:ascii="Arial" w:cs="Arial" w:eastAsia="Arial" w:hAnsi="Arial"/>
          <w:sz w:val="17"/>
          <w:szCs w:val="17"/>
          <w:color w:val="auto"/>
        </w:rPr>
        <w:t>. The Committee may, in its sole discretion, (i) establish earlier deadlines during which elections under this</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4.2 and distribution elections under Section 7.1 must be made or (ii) permit Eligible Employees to elect to defer performance-based Bonuses on or prior to June 30 preceding the end of the performance period with respect to which the Bonus for the Plan Year relates;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the relevant performance period does not end on December 31, the enrollment period shall end at least six months before the conclusion of the applicable performance period, (ii) the Eligible Employee must perform services continuously from the later of the beginning of the performance period or the date the performance criteria are established through the date an election is made when allowed under this Section 4.2(d); and (iii) in no event may an election to defer performance-based compensation be made after such a performance-based Bonus has become readily ascertainable.</w:t>
      </w:r>
    </w:p>
    <w:p>
      <w:pPr>
        <w:spacing w:after="0" w:line="71" w:lineRule="exact"/>
        <w:rPr>
          <w:sz w:val="20"/>
          <w:szCs w:val="20"/>
          <w:color w:val="auto"/>
        </w:rPr>
      </w:pPr>
    </w:p>
    <w:p>
      <w:pPr>
        <w:ind w:right="40" w:firstLine="921"/>
        <w:spacing w:after="0" w:line="255" w:lineRule="auto"/>
        <w:tabs>
          <w:tab w:leader="none" w:pos="115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Crediting of Deferrals to Deferral Accounts</w:t>
      </w:r>
      <w:r>
        <w:rPr>
          <w:rFonts w:ascii="Arial" w:cs="Arial" w:eastAsia="Arial" w:hAnsi="Arial"/>
          <w:sz w:val="18"/>
          <w:szCs w:val="18"/>
          <w:color w:val="auto"/>
        </w:rPr>
        <w:t>. The Committee shall establish and maintain a Base Salary Deferral Account for each Eligible Employee who elects to defer his or her Base Salary and a Bonus Deferral Account for each Eligible Employee who elects to defer his or her Bonus under this Section 4.2. The Participant’s Base Salary Deferral Account and Bonus Deferral Account shall be bookkeeping accounts maintained by the Company and shall reflect the amount of the Base Salary and Bonus credited hereunder on behalf of the Participant. The Company shall credit elective deferrals to a Participant’s Base Salary Deferral Account or Bonus Deferral Account as soon as administratively practicable following the date on which the Participant’s compensation is reduced by the amount of such elective deferral.</w:t>
      </w:r>
    </w:p>
    <w:p>
      <w:pPr>
        <w:spacing w:after="0" w:line="125" w:lineRule="exact"/>
        <w:rPr>
          <w:rFonts w:ascii="Arial" w:cs="Arial" w:eastAsia="Arial" w:hAnsi="Arial"/>
          <w:sz w:val="18"/>
          <w:szCs w:val="18"/>
          <w:color w:val="auto"/>
        </w:rPr>
      </w:pPr>
    </w:p>
    <w:p>
      <w:pPr>
        <w:ind w:left="5660" w:hanging="96"/>
        <w:spacing w:after="0"/>
        <w:tabs>
          <w:tab w:leader="none" w:pos="5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70" w:right="259" w:bottom="1440" w:gutter="0" w:footer="0" w:header="0"/>
        </w:sectPr>
      </w:pPr>
    </w:p>
    <w:bookmarkStart w:id="116" w:name="page117"/>
    <w:bookmarkEnd w:id="116"/>
    <w:p>
      <w:pPr>
        <w:ind w:right="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8"/>
          <w:szCs w:val="18"/>
          <w:b w:val="1"/>
          <w:bCs w:val="1"/>
          <w:u w:val="single" w:color="auto"/>
          <w:color w:val="auto"/>
        </w:rPr>
        <w:t>Matching Contributions</w:t>
      </w:r>
      <w:r>
        <w:rPr>
          <w:rFonts w:ascii="Arial" w:cs="Arial" w:eastAsia="Arial" w:hAnsi="Arial"/>
          <w:sz w:val="18"/>
          <w:szCs w:val="18"/>
          <w:color w:val="auto"/>
        </w:rPr>
        <w:t xml:space="preserve">. Effective for Plan Years beginning on or after January 1, 2014, as soon as administratively practicable following the end of each Plan Year, the Matching Account of each Participant who was employed by the Company or one of its Affiliates as of the last day of such Plan Year shall be credited with a matching contribution equal to the </w:t>
      </w:r>
      <w:r>
        <w:rPr>
          <w:rFonts w:ascii="Arial" w:cs="Arial" w:eastAsia="Arial" w:hAnsi="Arial"/>
          <w:sz w:val="18"/>
          <w:szCs w:val="18"/>
          <w:i w:val="1"/>
          <w:iCs w:val="1"/>
          <w:color w:val="auto"/>
        </w:rPr>
        <w:t>excess of</w:t>
      </w:r>
      <w:r>
        <w:rPr>
          <w:rFonts w:ascii="Arial" w:cs="Arial" w:eastAsia="Arial" w:hAnsi="Arial"/>
          <w:sz w:val="18"/>
          <w:szCs w:val="18"/>
          <w:color w:val="auto"/>
        </w:rPr>
        <w:t>:</w:t>
      </w:r>
    </w:p>
    <w:p>
      <w:pPr>
        <w:spacing w:after="0" w:line="72" w:lineRule="exact"/>
        <w:rPr>
          <w:sz w:val="20"/>
          <w:szCs w:val="20"/>
          <w:color w:val="auto"/>
        </w:rPr>
      </w:pPr>
    </w:p>
    <w:p>
      <w:pPr>
        <w:ind w:right="20" w:firstLine="921"/>
        <w:spacing w:after="0" w:line="259" w:lineRule="auto"/>
        <w:tabs>
          <w:tab w:leader="none" w:pos="11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of the sum of the elective deferrals credited to the Participant’s Deferral Account under Section 4.2 of this Plan for such Plan Year plus the maximum amount of elective deferrals, other than catch-up contributions, that could have been credited to the Participant’s account under the Savings Plan for such Plan Year, excluding in each case any such elective deferrals that exceed 6% of such Participant’s compensation for such Plan Year, as defined in the Savings Plan, but without regard to the limit imposed under 401(a)(17) of the Code, over</w:t>
      </w:r>
    </w:p>
    <w:p>
      <w:pPr>
        <w:spacing w:after="0" w:line="78"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maximum amount of matching contributions that could have been allocated to the Participant’s account under the Savings Plan for such Plan Year if the Participant had deferred the maximum amount permissible under the Savings Plan for such Plan Year.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shall establish and maintain a Matching Account for each Participant who is entitled to receive matching contributions under this Section 4.3. The Participant’s Matching Account shall be a bookkeeping account maintained by the Company and shall reflect the amount of the matching contributions credited hereunder on behalf of the Participant. The Company shall credit a matching contribution to a Participant’s Matching Account as soon as administratively practicable following the end of the Plan Year for which such contribution is made.</w:t>
      </w:r>
    </w:p>
    <w:p>
      <w:pPr>
        <w:spacing w:after="0" w:line="75" w:lineRule="exact"/>
        <w:rPr>
          <w:sz w:val="20"/>
          <w:szCs w:val="20"/>
          <w:color w:val="auto"/>
        </w:rPr>
      </w:pPr>
    </w:p>
    <w:p>
      <w:pPr>
        <w:ind w:right="220" w:firstLine="456"/>
        <w:spacing w:after="0" w:line="31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Profit Sharing Contributions</w:t>
      </w:r>
      <w:r>
        <w:rPr>
          <w:rFonts w:ascii="Arial" w:cs="Arial" w:eastAsia="Arial" w:hAnsi="Arial"/>
          <w:sz w:val="17"/>
          <w:szCs w:val="17"/>
          <w:b w:val="1"/>
          <w:bCs w:val="1"/>
          <w:color w:val="auto"/>
        </w:rPr>
        <w:t>.</w:t>
      </w:r>
      <w:r>
        <w:rPr>
          <w:rFonts w:ascii="Arial" w:cs="Arial" w:eastAsia="Arial" w:hAnsi="Arial"/>
          <w:sz w:val="17"/>
          <w:szCs w:val="17"/>
          <w:color w:val="auto"/>
        </w:rPr>
        <w:t xml:space="preserve"> In addition to the matching contributions, if any, allocated to a Participant’s Account pursuant to Section 4.3, for each Plan Year, beginning on or after January 1, 2013, the Participant’s Profit Sharing Account shall be credited with an amount equal to:</w:t>
      </w:r>
    </w:p>
    <w:p>
      <w:pPr>
        <w:spacing w:after="0" w:line="34" w:lineRule="exact"/>
        <w:rPr>
          <w:sz w:val="20"/>
          <w:szCs w:val="20"/>
          <w:color w:val="auto"/>
        </w:rPr>
      </w:pPr>
    </w:p>
    <w:p>
      <w:pPr>
        <w:jc w:val="both"/>
        <w:ind w:right="20" w:firstLine="921"/>
        <w:spacing w:after="0" w:line="264" w:lineRule="auto"/>
        <w:tabs>
          <w:tab w:leader="none" w:pos="11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Profit Sharing Contribution, if any, that would have been allocated to the Participant’s account for such Plan Year under the Savings Plan, without regard to the limitations under Sections 401(a)(17) and 415 of the Code, which Profit Sharing Contribution shall be determined in the sole discretion of the Company,</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minus the Profit Sharing Contribution actually allocated to such Participant’s account under the Savings Plan for such Plan Year.</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shall credit a profit sharing contribution to a Participant’s Profit Sharing Account as soon as administratively practicable after the related profit sharing contribution is allocated to the Participant’s account under the Savings Plan. Profit sharing contributions credited to a Participant’s Profit Sharing Account pursuant to this Section 4.4 shall vest in accordance with the terms and conditions set forth in Section 6.2.</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270" w:right="299" w:bottom="1440" w:gutter="0" w:footer="0" w:header="0"/>
        </w:sectPr>
      </w:pPr>
    </w:p>
    <w:bookmarkStart w:id="117" w:name="page118"/>
    <w:bookmarkEnd w:id="117"/>
    <w:p>
      <w:pPr>
        <w:ind w:right="10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8"/>
          <w:szCs w:val="18"/>
          <w:b w:val="1"/>
          <w:bCs w:val="1"/>
          <w:u w:val="single" w:color="auto"/>
          <w:color w:val="auto"/>
        </w:rPr>
        <w:t>Discretionary Contributions</w:t>
      </w:r>
      <w:r>
        <w:rPr>
          <w:rFonts w:ascii="Arial" w:cs="Arial" w:eastAsia="Arial" w:hAnsi="Arial"/>
          <w:sz w:val="18"/>
          <w:szCs w:val="18"/>
          <w:color w:val="auto"/>
        </w:rPr>
        <w:t>. In addition, for any one or more Plan Years beginning on or after January 1, 2013, the Company may credit a discretionary employer contribution to the Discretionary Contribution Account maintained for the benefit of any one or more Participants, in such amount, if any, as the Board or Compensation Committee shall determine in its sole discretion. Discretionary employer contributions shall be or become vested in accordance with Section 6.3. The terms of any discretionary employer contributions credited to a Participant’s Discretionary Contribution Account shall be set forth in an addendum to this Plan.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DEEMED INVESTMENT OF ACCOUNTS</w:t>
      </w:r>
    </w:p>
    <w:p>
      <w:pPr>
        <w:spacing w:after="0" w:line="207"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Participant Elections</w:t>
      </w:r>
      <w:r>
        <w:rPr>
          <w:rFonts w:ascii="Arial" w:cs="Arial" w:eastAsia="Arial" w:hAnsi="Arial"/>
          <w:sz w:val="18"/>
          <w:szCs w:val="18"/>
          <w:color w:val="auto"/>
        </w:rPr>
        <w:t>. Each Participant shall make an election, at the time and in the manner prescribed by the Committee, regarding the deemed investment of his or her Account among the Investment Funds made available by the Committee. If no such election is made, the Participant’s Account shall be deemed invested in a default Investment Fund selected by the Committee from time to time.</w:t>
      </w:r>
    </w:p>
    <w:p>
      <w:pPr>
        <w:spacing w:after="0" w:line="6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Investment Funds</w:t>
      </w:r>
      <w:r>
        <w:rPr>
          <w:rFonts w:ascii="Arial" w:cs="Arial" w:eastAsia="Arial" w:hAnsi="Arial"/>
          <w:sz w:val="16"/>
          <w:szCs w:val="16"/>
          <w:color w:val="auto"/>
        </w:rPr>
        <w:t>. The Committee shall determine the Investment Funds that are available for the deemed investment of Accounts, and communicate such available Investment Funds to Participants. The Committee may alter, modify, eliminate or replace any Investment Fund and, if it does so, it may provide affected Participants a different and/or modified Investment Fund in place of the Investment Fund being altered, modified, eliminated or replaced. Participants shall be allowed to select the Investment Funds in which their Accounts will be deemed invested, and the portion of each Account deemed invested in each selected Investment Funds, by communicating such selection to the Company in such form as shall be determined by the Committee. The Participants shall be allowed to make the selection described in the preceding sentence in accordance with the frequency specified by the Committee, which shall be at least annually. The Committee shall establish from time to time and communicate to Participants a default Investment Fund in which the Accounts of a Participant who does not select one or more Investment Funds shall be deemed invested. The Company may invest Company assets, or establish a grantor trust to invest assets, in Investment Funds to provide for the payment of benefits under the Plan, but shall not be required to do so.</w:t>
      </w:r>
    </w:p>
    <w:p>
      <w:pPr>
        <w:spacing w:after="0" w:line="5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Valuation of Accounts</w:t>
      </w:r>
      <w:r>
        <w:rPr>
          <w:rFonts w:ascii="Arial" w:cs="Arial" w:eastAsia="Arial" w:hAnsi="Arial"/>
          <w:sz w:val="18"/>
          <w:szCs w:val="18"/>
          <w:color w:val="auto"/>
        </w:rPr>
        <w:t>. Unless otherwise determined by the Committee, each Account shall be adjusted no less frequently than quarterly to reflect the increases or decreases that the Accounts would have experienced had they actually been invested in the Investment Funds chosen by the applicable Participant (or in the default Investment Fund, if and as applicable).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VESTING</w:t>
      </w:r>
    </w:p>
    <w:p>
      <w:pPr>
        <w:spacing w:after="0" w:line="20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Vesting in Base Salary Deferral Account, Bonus Deferral Account and Matching Account</w:t>
      </w:r>
      <w:r>
        <w:rPr>
          <w:rFonts w:ascii="Arial" w:cs="Arial" w:eastAsia="Arial" w:hAnsi="Arial"/>
          <w:sz w:val="18"/>
          <w:szCs w:val="18"/>
          <w:color w:val="auto"/>
        </w:rPr>
        <w:t>. Each Participant shall be 100% vested at all times in the Participant’s Base Salary Deferral Account, Bonus Deferral Account and Matching Account.</w:t>
      </w:r>
    </w:p>
    <w:p>
      <w:pPr>
        <w:spacing w:after="0" w:line="54" w:lineRule="exact"/>
        <w:rPr>
          <w:sz w:val="20"/>
          <w:szCs w:val="20"/>
          <w:color w:val="auto"/>
        </w:rPr>
      </w:pPr>
    </w:p>
    <w:p>
      <w:pPr>
        <w:jc w:val="both"/>
        <w:ind w:right="240" w:firstLine="456"/>
        <w:spacing w:after="0" w:line="28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Vesting in Profit Sharing Account</w:t>
      </w:r>
      <w:r>
        <w:rPr>
          <w:rFonts w:ascii="Arial" w:cs="Arial" w:eastAsia="Arial" w:hAnsi="Arial"/>
          <w:sz w:val="17"/>
          <w:szCs w:val="17"/>
          <w:color w:val="auto"/>
        </w:rPr>
        <w:t>. Each Participant shall be vested in such Participant’s Profit Sharing Account if (i) such Participant has been continuously employed by the Company or one of its Affiliates for a period of at least three years or (ii) such Participant’s employment with the Company and its Affiliates terminates due to death or Disability or after the Participant has attained age 65.</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0" w:right="259" w:bottom="1440" w:gutter="0" w:footer="0" w:header="0"/>
        </w:sectPr>
      </w:pPr>
    </w:p>
    <w:bookmarkStart w:id="118" w:name="page119"/>
    <w:bookmarkEnd w:id="118"/>
    <w:p>
      <w:pPr>
        <w:ind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b w:val="1"/>
          <w:bCs w:val="1"/>
          <w:u w:val="single" w:color="auto"/>
          <w:color w:val="auto"/>
        </w:rPr>
        <w:t>Vesting in Discretionary Contribution Account</w:t>
      </w:r>
      <w:r>
        <w:rPr>
          <w:rFonts w:ascii="Arial" w:cs="Arial" w:eastAsia="Arial" w:hAnsi="Arial"/>
          <w:sz w:val="18"/>
          <w:szCs w:val="18"/>
          <w:color w:val="auto"/>
        </w:rPr>
        <w:t>. As of the date the Board or Compensation Committee determines that a discretionary employer contribution shall be credited to a Participant’s Discretionary Contribution Account, the Board or Compensation Committee, as the case may be, shall determine, in its sole discretion, the terms and conditions on which such discretionary employer contribution, and any earnings thereon, shall be or become vested.</w:t>
      </w:r>
    </w:p>
    <w:p>
      <w:pPr>
        <w:spacing w:after="0" w:line="72"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Vesting Upon Change in Control or Plan Termination</w:t>
      </w:r>
      <w:r>
        <w:rPr>
          <w:rFonts w:ascii="Arial" w:cs="Arial" w:eastAsia="Arial" w:hAnsi="Arial"/>
          <w:sz w:val="18"/>
          <w:szCs w:val="18"/>
          <w:color w:val="auto"/>
        </w:rPr>
        <w:t>. Each Participant shall be 100% vested in the Participant’s entire Account, to the extent not already vested, upon (i) a Change in Control or (ii) the termination of the Plan; provided that any profit sharing contributions or discretionary employer contributions credited to a Participant’s Account after the Change in Control, and any earnings or losses with respect to such contributions, shall vest in accordance with Section 6.2 or 6.3, as the case may be.</w:t>
      </w:r>
    </w:p>
    <w:p>
      <w:pPr>
        <w:spacing w:after="0" w:line="7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u w:val="single" w:color="auto"/>
          <w:color w:val="auto"/>
        </w:rPr>
        <w:t>Effect of Violation of Certain Agreements</w:t>
      </w:r>
      <w:r>
        <w:rPr>
          <w:rFonts w:ascii="Arial" w:cs="Arial" w:eastAsia="Arial" w:hAnsi="Arial"/>
          <w:sz w:val="17"/>
          <w:szCs w:val="17"/>
          <w:color w:val="auto"/>
        </w:rPr>
        <w:t>. If a Participant violates any restrictive covenants agreement or any non-solicitation or non-compete agreement that the Participant has signed with the Company or an Affiliate, the Participant shall forfeit the Participant’s entire Account under the Plan, other than the Participant’s Base Salary Deferral Account and Bonus Deferral Account, regardless of whether the Participant was vested in the amounts being forfeited. The Committee shall determine whether a Participant has violated any such agreement in its sole discretion.</w:t>
      </w:r>
    </w:p>
    <w:p>
      <w:pPr>
        <w:spacing w:after="0" w:line="5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Effect of Separation from Service</w:t>
      </w:r>
      <w:r>
        <w:rPr>
          <w:rFonts w:ascii="Arial" w:cs="Arial" w:eastAsia="Arial" w:hAnsi="Arial"/>
          <w:sz w:val="18"/>
          <w:szCs w:val="18"/>
          <w:color w:val="auto"/>
        </w:rPr>
        <w:t>. If a Participant incurs a Separation from Service, that portion of his or her Profit Sharing Account or Discretionary Account in which the Participant does not have a Vested Interest shall thereupon be forfeited and shall not be reinstated notwithstanding any subsequent reemployment by the Company or any Affiliate.</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Timing of Commencement of Distributions</w:t>
      </w:r>
      <w:r>
        <w:rPr>
          <w:rFonts w:ascii="Arial" w:cs="Arial" w:eastAsia="Arial" w:hAnsi="Arial"/>
          <w:sz w:val="18"/>
          <w:szCs w:val="18"/>
          <w:color w:val="auto"/>
        </w:rPr>
        <w:t>. For each Plan Year, the amounts credited to each of the Participant’s Base Salary Deferral Account, Bonus Deferral Account, Matching Account, Profit Sharing Account and Discretionary Contribution Account, in each case as adjusted by any earnings or losses on such amounts, shall be paid or commence to be paid, in the manner elected by the Participant pursuant to Section 7.2 (or in a lump sum payment upon the Participant’s death), upon the earliest to occur of the following distribution dates:</w:t>
      </w:r>
    </w:p>
    <w:p>
      <w:pPr>
        <w:spacing w:after="0" w:line="76" w:lineRule="exact"/>
        <w:rPr>
          <w:sz w:val="20"/>
          <w:szCs w:val="20"/>
          <w:color w:val="auto"/>
        </w:rPr>
      </w:pPr>
    </w:p>
    <w:p>
      <w:pPr>
        <w:ind w:right="260" w:firstLine="921"/>
        <w:spacing w:after="0" w:line="277" w:lineRule="auto"/>
        <w:tabs>
          <w:tab w:leader="none" w:pos="11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six-month anniversary of the date of the Participant’s Separation from Service or, if elected by the Participant in accordance with this Section 7.1, any of the first, second, third, fourth or fifth anniversaries of such Separation from Service;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the Company determines that the Participant has become Disabled;</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of the Participant’s death or</w:t>
      </w:r>
    </w:p>
    <w:p>
      <w:pPr>
        <w:spacing w:after="0" w:line="157" w:lineRule="exact"/>
        <w:rPr>
          <w:rFonts w:ascii="Arial" w:cs="Arial" w:eastAsia="Arial" w:hAnsi="Arial"/>
          <w:sz w:val="18"/>
          <w:szCs w:val="18"/>
          <w:color w:val="auto"/>
        </w:rPr>
      </w:pPr>
    </w:p>
    <w:p>
      <w:pPr>
        <w:ind w:left="5660" w:hanging="96"/>
        <w:spacing w:after="0"/>
        <w:tabs>
          <w:tab w:leader="none" w:pos="5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280"/>
          </w:cols>
          <w:pgMar w:left="240" w:top="270" w:right="379" w:bottom="1440" w:gutter="0" w:footer="0" w:header="0"/>
        </w:sectPr>
      </w:pPr>
    </w:p>
    <w:bookmarkStart w:id="119" w:name="page120"/>
    <w:bookmarkEnd w:id="119"/>
    <w:p>
      <w:pPr>
        <w:ind w:firstLine="921"/>
        <w:spacing w:after="0" w:line="277" w:lineRule="auto"/>
        <w:tabs>
          <w:tab w:leader="none" w:pos="1168"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elected by the Participant in accordance with this Section 7.1, a specified distribution date that is at least three years after the last day of the Plan Year with respect to which such Distribution Election applies.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timing of distribution pursuant to this Section 7.1, including pursuant to any Participant election permitted hereunder, shall apply separately with respect to (i) the Base Salary deferred with respect to such Plan Year, (ii) the Bonus deferred with respect to such Plan Year, (iii) the matching contribution with respect to such Plan Year, (iv) the profit sharing contribution with respect to such Plan Year and (v) any discretionary employer contribution with respect to such Plan Year. All Distribution Elections by a Participant shall be made prior to the first day of the Plan Year to which such election applies, except to the extent that later deferral elections and Distribution Elections are permitted pursuant to Section 4.2(c) or 4.2(d) of this Plan and Section 409A of the Code. Distributions shall be paid or begin within 90 days after the scheduled distribution date; provided that to the extent an amount is credited to the Participant’s Account after such 90-day period, any distributions of such amount that are otherwise payable prior to the date credited to the Participant’s Account shall be payable within 45 days after the date credited to the Participant’s Account.</w:t>
      </w:r>
    </w:p>
    <w:p>
      <w:pPr>
        <w:spacing w:after="0" w:line="6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Form of Distribution</w:t>
      </w:r>
      <w:r>
        <w:rPr>
          <w:rFonts w:ascii="Arial" w:cs="Arial" w:eastAsia="Arial" w:hAnsi="Arial"/>
          <w:sz w:val="18"/>
          <w:szCs w:val="18"/>
          <w:color w:val="auto"/>
        </w:rPr>
        <w:t>. A Participant shall separately elect that the amounts credited to each of the Participant’s Base Salary Deferral Account, Bonus Deferral Account, Matching Account, Profit Sharing Account and, to the extent required or permitted by the Board or the Committee, Discretionary Contribution Account with respect to each Plan Year be distributed in either (i) a lump sum payment or (ii) annual installments over a period of up to 10 years. Each installment shall be determined by dividing the value of the Participant’s Account as of the applicable valuation date by the number of remaining installments. All distributions shall be paid in cash.</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Special Distribution Provisions</w:t>
      </w:r>
      <w:r>
        <w:rPr>
          <w:rFonts w:ascii="Arial" w:cs="Arial" w:eastAsia="Arial" w:hAnsi="Arial"/>
          <w:sz w:val="18"/>
          <w:szCs w:val="18"/>
          <w:color w:val="auto"/>
        </w:rPr>
        <w:t>.</w:t>
      </w:r>
    </w:p>
    <w:p>
      <w:pPr>
        <w:spacing w:after="0" w:line="121" w:lineRule="exact"/>
        <w:rPr>
          <w:sz w:val="20"/>
          <w:szCs w:val="20"/>
          <w:color w:val="auto"/>
        </w:rPr>
      </w:pPr>
    </w:p>
    <w:p>
      <w:pPr>
        <w:jc w:val="both"/>
        <w:ind w:right="40" w:firstLine="921"/>
        <w:spacing w:after="0" w:line="279" w:lineRule="auto"/>
        <w:tabs>
          <w:tab w:leader="none" w:pos="1157"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Default Distribution Election</w:t>
      </w:r>
      <w:r>
        <w:rPr>
          <w:rFonts w:ascii="Arial" w:cs="Arial" w:eastAsia="Arial" w:hAnsi="Arial"/>
          <w:sz w:val="17"/>
          <w:szCs w:val="17"/>
          <w:color w:val="auto"/>
        </w:rPr>
        <w:t>. If a Participant fails to make an election specifying the time or form in which all or any portion of the amounts credited to the Participant’s Account for a Plan Year will be paid, the Participant shall be deemed to have elected to receive (i) a lump sum distribution, if the Participant has failed to make an election specifying the form of payment, and (ii) a payment upon the six-month anniversary of the Participant’s Separation from Service, if the Participant has failed to make an election specifying the time of payment upon Separation from Service.</w:t>
      </w:r>
    </w:p>
    <w:p>
      <w:pPr>
        <w:spacing w:after="0" w:line="63" w:lineRule="exact"/>
        <w:rPr>
          <w:rFonts w:ascii="Arial" w:cs="Arial" w:eastAsia="Arial" w:hAnsi="Arial"/>
          <w:sz w:val="17"/>
          <w:szCs w:val="17"/>
          <w:color w:val="auto"/>
        </w:rPr>
      </w:pPr>
    </w:p>
    <w:p>
      <w:pPr>
        <w:ind w:firstLine="921"/>
        <w:spacing w:after="0" w:line="257" w:lineRule="auto"/>
        <w:tabs>
          <w:tab w:leader="none" w:pos="116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Small Account</w:t>
      </w:r>
      <w:r>
        <w:rPr>
          <w:rFonts w:ascii="Arial" w:cs="Arial" w:eastAsia="Arial" w:hAnsi="Arial"/>
          <w:sz w:val="18"/>
          <w:szCs w:val="18"/>
          <w:color w:val="auto"/>
        </w:rPr>
        <w:t>. Notwithstanding Sections 7.1 and 7.2, if the value of the Participant’s Account under the Plan (and all plans required to be aggregated with the Plan under Section 409A of the Code) is less than or equal to the applicable dollar amount under Section 402(g)(1)(B) of the Code at any time on or after the date of the Participant’s Separation from Service, the Committee may provide that the recipient shall receive a lump sum payment of the Participant’s Account, provided the payment results in the termination and liquidation of the entirety of the Participant’s interest in the Plan (and all plans required to be aggregated with the Plan under Section 409A of the Code).</w:t>
      </w:r>
    </w:p>
    <w:p>
      <w:pPr>
        <w:spacing w:after="0" w:line="120" w:lineRule="exact"/>
        <w:rPr>
          <w:rFonts w:ascii="Arial" w:cs="Arial" w:eastAsia="Arial" w:hAnsi="Arial"/>
          <w:sz w:val="18"/>
          <w:szCs w:val="18"/>
          <w:color w:val="auto"/>
        </w:rPr>
      </w:pPr>
    </w:p>
    <w:p>
      <w:pPr>
        <w:ind w:left="5660" w:hanging="96"/>
        <w:spacing w:after="0"/>
        <w:tabs>
          <w:tab w:leader="none" w:pos="5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60"/>
          </w:cols>
          <w:pgMar w:left="240" w:top="274" w:right="299" w:bottom="1440" w:gutter="0" w:footer="0" w:header="0"/>
        </w:sectPr>
      </w:pPr>
    </w:p>
    <w:bookmarkStart w:id="120" w:name="page121"/>
    <w:bookmarkEnd w:id="120"/>
    <w:p>
      <w:pPr>
        <w:ind w:right="20" w:firstLine="921"/>
        <w:spacing w:after="0" w:line="259" w:lineRule="auto"/>
        <w:tabs>
          <w:tab w:leader="none" w:pos="115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Discretionary Contributions</w:t>
      </w:r>
      <w:r>
        <w:rPr>
          <w:rFonts w:ascii="Arial" w:cs="Arial" w:eastAsia="Arial" w:hAnsi="Arial"/>
          <w:sz w:val="18"/>
          <w:szCs w:val="18"/>
          <w:color w:val="auto"/>
        </w:rPr>
        <w:t>. At the time the Board or Committee determines that a discretionary contribution will be credited to a Participant’s Discretionary Contribution Account, the Board or Committee shall specify the time and form of distribution of such contribution, as adjusted for any earnings or losses thereon. Alternatively, the Board or Committee may require or permit the Participant to elect the time and form of such distribution in accordance with Sections 7.1 and 7.2.</w:t>
      </w:r>
    </w:p>
    <w:p>
      <w:pPr>
        <w:spacing w:after="0" w:line="7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Changing Distribution Elections</w:t>
      </w:r>
      <w:r>
        <w:rPr>
          <w:rFonts w:ascii="Arial" w:cs="Arial" w:eastAsia="Arial" w:hAnsi="Arial"/>
          <w:sz w:val="18"/>
          <w:szCs w:val="18"/>
          <w:color w:val="auto"/>
        </w:rPr>
        <w:t>. A Participant may change his or her Distribution Election with respect to any Plan Year as to timing and/or form of payment if:</w:t>
      </w:r>
    </w:p>
    <w:p>
      <w:pPr>
        <w:spacing w:after="0" w:line="58" w:lineRule="exact"/>
        <w:rPr>
          <w:sz w:val="20"/>
          <w:szCs w:val="20"/>
          <w:color w:val="auto"/>
        </w:rPr>
      </w:pPr>
    </w:p>
    <w:p>
      <w:pPr>
        <w:ind w:left="1160" w:hanging="239"/>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change does not accelerate any payments within the meaning of Section 409A of the Code;</w:t>
      </w:r>
    </w:p>
    <w:p>
      <w:pPr>
        <w:spacing w:after="0" w:line="117"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Participant executes a new Distribution Election at least 12 months prior to the earliest date payment would have commenced under the prior Distribution Election;</w:t>
      </w:r>
    </w:p>
    <w:p>
      <w:pPr>
        <w:spacing w:after="0" w:line="62" w:lineRule="exact"/>
        <w:rPr>
          <w:rFonts w:ascii="Arial" w:cs="Arial" w:eastAsia="Arial" w:hAnsi="Arial"/>
          <w:sz w:val="18"/>
          <w:szCs w:val="18"/>
          <w:color w:val="auto"/>
        </w:rPr>
      </w:pPr>
    </w:p>
    <w:p>
      <w:pPr>
        <w:ind w:right="700" w:firstLine="921"/>
        <w:spacing w:after="0" w:line="277" w:lineRule="auto"/>
        <w:tabs>
          <w:tab w:leader="none" w:pos="11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payments under the new Distribution Election will not commence earlier than five years from the date the payments would have otherwise commenced under the prior Distribution Election;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new Distribution Election will not take effect until 12 months after the date it was executed by the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payments made in the form of installments shall be treated as a single payment.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u w:val="single" w:color="auto"/>
          <w:color w:val="auto"/>
        </w:rPr>
        <w:t>Death</w:t>
      </w:r>
      <w:r>
        <w:rPr>
          <w:rFonts w:ascii="Arial" w:cs="Arial" w:eastAsia="Arial" w:hAnsi="Arial"/>
          <w:sz w:val="18"/>
          <w:szCs w:val="18"/>
          <w:color w:val="auto"/>
        </w:rPr>
        <w:t>.</w:t>
      </w:r>
    </w:p>
    <w:p>
      <w:pPr>
        <w:spacing w:after="0" w:line="121" w:lineRule="exact"/>
        <w:rPr>
          <w:sz w:val="20"/>
          <w:szCs w:val="20"/>
          <w:color w:val="auto"/>
        </w:rPr>
      </w:pPr>
    </w:p>
    <w:p>
      <w:pPr>
        <w:ind w:right="380" w:firstLine="921"/>
        <w:spacing w:after="0" w:line="312" w:lineRule="auto"/>
        <w:tabs>
          <w:tab w:leader="none" w:pos="115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Form and Time of Payment</w:t>
      </w:r>
      <w:r>
        <w:rPr>
          <w:rFonts w:ascii="Arial" w:cs="Arial" w:eastAsia="Arial" w:hAnsi="Arial"/>
          <w:sz w:val="16"/>
          <w:szCs w:val="16"/>
          <w:color w:val="auto"/>
        </w:rPr>
        <w:t>. Notwithstanding Sections 7.1 and 7.2, in the case of the death of a Participant, either while employed by the Company or an Affiliate, or prior to distribution of the Participant’s entire Account, the Participant’s Account shall be distributed to the Participant’s Beneficiary in a lump sum as soon as administratively possible and in no event later than 90 days following the death of the Participant.</w:t>
      </w:r>
    </w:p>
    <w:p>
      <w:pPr>
        <w:spacing w:after="0" w:line="38" w:lineRule="exact"/>
        <w:rPr>
          <w:rFonts w:ascii="Arial" w:cs="Arial" w:eastAsia="Arial" w:hAnsi="Arial"/>
          <w:sz w:val="16"/>
          <w:szCs w:val="16"/>
          <w:color w:val="auto"/>
        </w:rPr>
      </w:pPr>
    </w:p>
    <w:p>
      <w:pPr>
        <w:jc w:val="both"/>
        <w:ind w:right="60" w:firstLine="921"/>
        <w:spacing w:after="0" w:line="259" w:lineRule="auto"/>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designate one or more Beneficiaries (who may be designated contingently or successively) by filing a written notice of designation with the Committee in such form as the Committee may prescribe. Each designation will automatically revoke any prior designations by the same Participant. Any Beneficiary designation will be effective as of the date on which the written designation is received by the Committee during the lifetime of the Participant.</w:t>
      </w:r>
    </w:p>
    <w:p>
      <w:pPr>
        <w:spacing w:after="0" w:line="7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u w:val="single" w:color="auto"/>
          <w:color w:val="auto"/>
        </w:rPr>
        <w:t>Payments on Account of Failure to Comply with Section 409A of the Code</w:t>
      </w:r>
      <w:r>
        <w:rPr>
          <w:rFonts w:ascii="Arial" w:cs="Arial" w:eastAsia="Arial" w:hAnsi="Arial"/>
          <w:sz w:val="17"/>
          <w:szCs w:val="17"/>
          <w:color w:val="auto"/>
        </w:rPr>
        <w:t>. If any portion of the Participant’s Account that has not yet been distributed must be included in the Participant’s taxable income for a calendar year pursuant to Section 409A of the Code, the Committee shall distribute the portion of the Account that has been included in the Participant’s taxable income as soon as administratively practicable.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74" w:right="259" w:bottom="1440" w:gutter="0" w:footer="0" w:header="0"/>
        </w:sectPr>
      </w:pPr>
    </w:p>
    <w:bookmarkStart w:id="121" w:name="page122"/>
    <w:bookmarkEnd w:id="121"/>
    <w:p>
      <w:pPr>
        <w:ind w:right="44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7.7 </w:t>
      </w:r>
      <w:r>
        <w:rPr>
          <w:rFonts w:ascii="Arial" w:cs="Arial" w:eastAsia="Arial" w:hAnsi="Arial"/>
          <w:sz w:val="18"/>
          <w:szCs w:val="18"/>
          <w:b w:val="1"/>
          <w:bCs w:val="1"/>
          <w:u w:val="single" w:color="auto"/>
          <w:color w:val="auto"/>
        </w:rPr>
        <w:t>Valuation Date</w:t>
      </w:r>
      <w:r>
        <w:rPr>
          <w:rFonts w:ascii="Arial" w:cs="Arial" w:eastAsia="Arial" w:hAnsi="Arial"/>
          <w:sz w:val="18"/>
          <w:szCs w:val="18"/>
          <w:color w:val="auto"/>
        </w:rPr>
        <w:t>. In the event that any valuation date contemplated by this Article VII is not a business day, then the valuation date shall be the immediately preceding business day.</w:t>
      </w:r>
    </w:p>
    <w:p>
      <w:pPr>
        <w:spacing w:after="0" w:line="54"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Notwithstanding anything to the contrary in this Article, in the event that a Change in Control occurs that is also a “change in control event” within the meaning of Section 409A of the Code, the Board, as constituted immediately prior to such Change in Control, may elect to terminate the Plan in accordance with Section 409A of the Code, in which case each Participant’s Account shall be distributed to the Participant as soon as administratively possible and in no event later than one year after the date on which the Plan is terminated.</w:t>
      </w:r>
    </w:p>
    <w:p>
      <w:pPr>
        <w:spacing w:after="0" w:line="57"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u w:val="single" w:color="auto"/>
          <w:color w:val="auto"/>
        </w:rPr>
        <w:t>Permitted Acceleration of Payment</w:t>
      </w:r>
      <w:r>
        <w:rPr>
          <w:rFonts w:ascii="Arial" w:cs="Arial" w:eastAsia="Arial" w:hAnsi="Arial"/>
          <w:sz w:val="18"/>
          <w:szCs w:val="18"/>
          <w:color w:val="auto"/>
        </w:rPr>
        <w:t>. The Company may permit acceleration of the time or schedule of any payment or amount scheduled to be paid pursuant to a payment under the Plan provided such acceleration would be permitted by the provisions of Treasury Reg. §1.409A-3(j)(4), including the following events:</w:t>
      </w:r>
    </w:p>
    <w:p>
      <w:pPr>
        <w:spacing w:after="0" w:line="72" w:lineRule="exact"/>
        <w:rPr>
          <w:sz w:val="20"/>
          <w:szCs w:val="20"/>
          <w:color w:val="auto"/>
        </w:rPr>
      </w:pPr>
    </w:p>
    <w:p>
      <w:pPr>
        <w:ind w:right="60" w:firstLine="921"/>
        <w:spacing w:after="0" w:line="277" w:lineRule="auto"/>
        <w:tabs>
          <w:tab w:leader="none" w:pos="115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A payment may be accelerated if such payment is made to an alternate payee pursuant to and following the receipt and qualification of a domestic relations order as defined in Section 414(p) of the Code.</w:t>
      </w:r>
    </w:p>
    <w:p>
      <w:pPr>
        <w:spacing w:after="0" w:line="62" w:lineRule="exact"/>
        <w:rPr>
          <w:rFonts w:ascii="Arial" w:cs="Arial" w:eastAsia="Arial" w:hAnsi="Arial"/>
          <w:sz w:val="18"/>
          <w:szCs w:val="18"/>
          <w:color w:val="auto"/>
        </w:rPr>
      </w:pPr>
    </w:p>
    <w:p>
      <w:pPr>
        <w:ind w:right="220" w:firstLine="921"/>
        <w:spacing w:after="0" w:line="286" w:lineRule="auto"/>
        <w:tabs>
          <w:tab w:leader="none" w:pos="116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Compliance with Ethics Agreements and Legal Requirements</w:t>
      </w:r>
      <w:r>
        <w:rPr>
          <w:rFonts w:ascii="Arial" w:cs="Arial" w:eastAsia="Arial" w:hAnsi="Arial"/>
          <w:sz w:val="17"/>
          <w:szCs w:val="17"/>
          <w:color w:val="auto"/>
        </w:rPr>
        <w:t>. A payment may be accelerated as may be necessary to comply with ethics agreements with the federal government or as may be reasonably necessary to avoid the violation of federal, state, local or foreign ethics law or conflicts of laws, in accordance with the requirements of Section 409A of the Code and the Treasury regulations thereunder.</w:t>
      </w:r>
    </w:p>
    <w:p>
      <w:pPr>
        <w:spacing w:after="0" w:line="57" w:lineRule="exact"/>
        <w:rPr>
          <w:rFonts w:ascii="Arial" w:cs="Arial" w:eastAsia="Arial" w:hAnsi="Arial"/>
          <w:sz w:val="17"/>
          <w:szCs w:val="17"/>
          <w:color w:val="auto"/>
        </w:rPr>
      </w:pPr>
    </w:p>
    <w:p>
      <w:pPr>
        <w:ind w:right="140" w:firstLine="921"/>
        <w:spacing w:after="0" w:line="277" w:lineRule="auto"/>
        <w:tabs>
          <w:tab w:leader="none" w:pos="115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A payment may be accelerated in the Committee’s discretion in connection with such other events and conditions as permitted by Section 409A of the Code and the Treasury regulations thereunder.</w:t>
      </w:r>
    </w:p>
    <w:p>
      <w:pPr>
        <w:spacing w:after="0" w:line="58" w:lineRule="exact"/>
        <w:rPr>
          <w:sz w:val="20"/>
          <w:szCs w:val="20"/>
          <w:color w:val="auto"/>
        </w:rPr>
      </w:pPr>
    </w:p>
    <w:p>
      <w:pPr>
        <w:ind w:right="200" w:firstLine="456"/>
        <w:spacing w:after="0" w:line="303"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b w:val="1"/>
          <w:bCs w:val="1"/>
          <w:u w:val="single" w:color="auto"/>
          <w:color w:val="auto"/>
        </w:rPr>
        <w:t>Facility of Payment</w:t>
      </w:r>
      <w:r>
        <w:rPr>
          <w:rFonts w:ascii="Arial" w:cs="Arial" w:eastAsia="Arial" w:hAnsi="Arial"/>
          <w:sz w:val="16"/>
          <w:szCs w:val="16"/>
          <w:color w:val="auto"/>
        </w:rPr>
        <w:t>. If the Committee determines that any Participant or Beneficiary is unable to care for his or her affairs because of illness or injury or because he or she is a minor, any amounts due to such Participant or Beneficiary under this Plan may be paid to any of the following, as the Committee may determine: (i) the spouse or parent of such Participant or Beneficiary; (ii) a legal representative or duly-appointed guardian of such Participant or Beneficiary or (iii) some other person duly designated to receive such payments on behalf of such Participant or Beneficiary.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or the Compensation Committee may, at its sole discretion, amend or terminate the Plan at any time provided that the amendment or termination shall not adversely affect the vested or accrued rights or benefits of any Participant without the Participant’s prior consent. Notwithstanding the foregoing, the Company may amend the Plan at any time, without the consent of any Participant, as necessary or desirable to comply with the requirements of Section 409A of the Code.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0"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A Committee shall be appointed by, and serve at the pleasure of, the Compensation Committee. The number of members comprising the Committee shall be determined by the Compensation Committee, which may from time to time vary the number of members. A member of the Committee may resign by delivering a written notice of resignation to the Compensation Committee. The Compensation Committee or the Board may remove any member, with or without cause, by delivering a copy of its resolution of removal to such member. If no Committee has been appointed, the Compensation Committee shall serve as the Committee.</w:t>
      </w:r>
    </w:p>
    <w:p>
      <w:pPr>
        <w:spacing w:after="0" w:line="7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Committee Action</w:t>
      </w:r>
      <w:r>
        <w:rPr>
          <w:rFonts w:ascii="Arial" w:cs="Arial" w:eastAsia="Arial" w:hAnsi="Arial"/>
          <w:sz w:val="18"/>
          <w:szCs w:val="18"/>
          <w:color w:val="auto"/>
        </w:rPr>
        <w:t>. The Committee shall act at meetings by affirmative vote of a majority of the members of the Committee. Any action permitted to be taken at a meeting may be taken without a meeting if, prior to such action, a written consent to the action is signed by a majority of members of the Committee and such written consent is filed with the minutes of the proceedings of the Committee. A member of the Committee shall not vote or act upon any matter which relates solely to himself or herself as a Participant. Any member of the Committee may execute any certificate or other written direction on behalf of the Committee.</w:t>
      </w:r>
    </w:p>
    <w:p>
      <w:pPr>
        <w:spacing w:after="0" w:line="7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Powers of the Committee</w:t>
      </w:r>
      <w:r>
        <w:rPr>
          <w:rFonts w:ascii="Arial" w:cs="Arial" w:eastAsia="Arial" w:hAnsi="Arial"/>
          <w:sz w:val="18"/>
          <w:szCs w:val="18"/>
          <w:color w:val="auto"/>
        </w:rPr>
        <w:t>. The Committee, on behalf of the Participants and their Beneficiaries, shall enforce the Plan in accordance with its terms, shall be charged with the general administration of the Plan, and shall have all powers necessary to accomplish its purposes, including, but not limited to, the following:</w:t>
      </w:r>
    </w:p>
    <w:p>
      <w:pPr>
        <w:spacing w:after="0" w:line="72" w:lineRule="exact"/>
        <w:rPr>
          <w:sz w:val="20"/>
          <w:szCs w:val="20"/>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select the Investment Funds;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117" w:lineRule="exact"/>
        <w:rPr>
          <w:rFonts w:ascii="Arial" w:cs="Arial" w:eastAsia="Arial" w:hAnsi="Arial"/>
          <w:sz w:val="18"/>
          <w:szCs w:val="18"/>
          <w:color w:val="auto"/>
        </w:rPr>
      </w:pPr>
    </w:p>
    <w:p>
      <w:pPr>
        <w:ind w:right="580" w:firstLine="921"/>
        <w:spacing w:after="0" w:line="277"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Plan and procedures for the administration of the Plan as are not inconsistent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hereof;</w:t>
      </w:r>
    </w:p>
    <w:p>
      <w:pPr>
        <w:spacing w:after="0" w:line="102" w:lineRule="exact"/>
        <w:rPr>
          <w:rFonts w:ascii="Arial" w:cs="Arial" w:eastAsia="Arial" w:hAnsi="Arial"/>
          <w:sz w:val="16"/>
          <w:szCs w:val="16"/>
          <w:color w:val="auto"/>
        </w:rPr>
      </w:pPr>
    </w:p>
    <w:p>
      <w:pPr>
        <w:ind w:right="380" w:firstLine="921"/>
        <w:spacing w:after="0" w:line="277" w:lineRule="auto"/>
        <w:tabs>
          <w:tab w:leader="none" w:pos="11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the administration of the Plan as the Committee may from time to time prescribe;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w:t>
      </w:r>
    </w:p>
    <w:p>
      <w:pPr>
        <w:spacing w:after="0" w:line="113" w:lineRule="exact"/>
        <w:rPr>
          <w:sz w:val="20"/>
          <w:szCs w:val="20"/>
          <w:color w:val="auto"/>
        </w:rPr>
      </w:pPr>
    </w:p>
    <w:p>
      <w:pPr>
        <w:ind w:right="160" w:firstLine="456"/>
        <w:spacing w:after="0" w:line="34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u w:val="single" w:color="auto"/>
          <w:color w:val="auto"/>
        </w:rPr>
        <w:t>Construction and Interpretation</w:t>
      </w:r>
      <w:r>
        <w:rPr>
          <w:rFonts w:ascii="Arial" w:cs="Arial" w:eastAsia="Arial" w:hAnsi="Arial"/>
          <w:sz w:val="16"/>
          <w:szCs w:val="16"/>
          <w:color w:val="auto"/>
        </w:rPr>
        <w:t>. The Committee shall have full discretion to construe and interpret the terms and provisions of this Plan, which interpretations or construction shall be final and binding on all parties, including but not limited to the Company and any Participant or Beneficiary.</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0" w:right="239" w:bottom="1440" w:gutter="0" w:footer="0" w:header="0"/>
        </w:sectPr>
      </w:pPr>
    </w:p>
    <w:bookmarkStart w:id="123" w:name="page124"/>
    <w:bookmarkEnd w:id="123"/>
    <w:p>
      <w:pPr>
        <w:jc w:val="both"/>
        <w:ind w:right="200"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w:t>
      </w:r>
      <w:r>
        <w:rPr>
          <w:rFonts w:ascii="Arial" w:cs="Arial" w:eastAsia="Arial" w:hAnsi="Arial"/>
          <w:sz w:val="17"/>
          <w:szCs w:val="17"/>
          <w:b w:val="1"/>
          <w:bCs w:val="1"/>
          <w:u w:val="single" w:color="auto"/>
          <w:color w:val="auto"/>
        </w:rPr>
        <w:t>Compensation and Expenses</w:t>
      </w:r>
      <w:r>
        <w:rPr>
          <w:rFonts w:ascii="Arial" w:cs="Arial" w:eastAsia="Arial" w:hAnsi="Arial"/>
          <w:sz w:val="17"/>
          <w:szCs w:val="17"/>
          <w:color w:val="auto"/>
        </w:rPr>
        <w:t>. The members of the Committee shall serve without compensation for their services hereunder. The Committee is authorized at the expense of the Company to employ such legal counsel or other advisors as it may deem advisable to assist in the performance of its duties hereunder. Expenses and fees in connection with the administration of the Plan shall be paid by the Company.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Unsecured General Creditor</w:t>
      </w:r>
      <w:r>
        <w:rPr>
          <w:rFonts w:ascii="Arial" w:cs="Arial" w:eastAsia="Arial" w:hAnsi="Arial"/>
          <w:sz w:val="16"/>
          <w:szCs w:val="16"/>
          <w:color w:val="auto"/>
        </w:rPr>
        <w:t>. Participants and their Beneficiaries, heirs, successors, and assigns shall have no legal or equitable rights, claims, or interest in any specific property or assets of the Company. No assets of the Company shall be held in any way as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be unfunded for purposes of the Code and for purposes of Title I of the Employee Retirement Income Security Act of 1974, as amended.</w:t>
      </w:r>
    </w:p>
    <w:p>
      <w:pPr>
        <w:spacing w:after="0" w:line="48"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Non-assignability</w:t>
      </w:r>
      <w:r>
        <w:rPr>
          <w:rFonts w:ascii="Arial" w:cs="Arial" w:eastAsia="Arial" w:hAnsi="Arial"/>
          <w:sz w:val="18"/>
          <w:szCs w:val="18"/>
          <w:color w:val="auto"/>
        </w:rPr>
        <w:t>. Neither a Participant nor a Beneficiary may voluntarily or involuntarily anticipate, assign, or alienate (either at law or in equity) any benefit under the Plan, and the Committee shall not recognize any such anticipation, assignment, or alienation. Furthermore, a benefit under the Plan shall not be subject to attachment, garnishment, levy, execution, or other legal or equitable process. Any attempted sale, conveyance, transfer, assignment, pledge or encumbrance of the rights, interests, or benefits provided pursuant to the terms of the Plan or the levy of any attachment or similar process thereupon, shall be null and void and without effect.</w:t>
      </w:r>
    </w:p>
    <w:p>
      <w:pPr>
        <w:spacing w:after="0" w:line="7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The Company shall deduct from all payments made under this Plan all applicable federal or state taxes required by law to be withheld. The Company also may, to the extent permitted under Section 409A of the Code, reduce a Participant’s Account balance to provide for the withholding of employment taxes pursuant to Section 3121(v) of the Code prior to the distribution of such Account.</w:t>
      </w:r>
    </w:p>
    <w:p>
      <w:pPr>
        <w:spacing w:after="0" w:line="68"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To the extent not preempted by federal law, the Plan shall be construed in accordance with, and shall be governed by, the laws of the state Illinois without regard to any conflict of laws provisions thereunder.</w:t>
      </w:r>
    </w:p>
    <w:p>
      <w:pPr>
        <w:spacing w:after="0" w:line="54"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Gender and Number</w:t>
      </w:r>
      <w:r>
        <w:rPr>
          <w:rFonts w:ascii="Arial" w:cs="Arial" w:eastAsia="Arial" w:hAnsi="Arial"/>
          <w:sz w:val="18"/>
          <w:szCs w:val="18"/>
          <w:color w:val="auto"/>
        </w:rPr>
        <w:t>. Except when otherwise indicated by the context, the masculine gender shall also include the feminine gender and vice versa, and the singular shall also include the plural and vice versa.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0" w:right="259" w:bottom="1440" w:gutter="0" w:footer="0" w:header="0"/>
        </w:sectPr>
      </w:pPr>
    </w:p>
    <w:bookmarkStart w:id="124" w:name="page125"/>
    <w:bookmarkEnd w:id="124"/>
    <w:p>
      <w:pPr>
        <w:jc w:val="both"/>
        <w:ind w:right="6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color w:val="auto"/>
        </w:rPr>
        <w:t>. Nothing contained in the Plan shall confer upon any Participant any right with respect to the continuation of the Participant’s employment by, or consulting relationship with, the Company or an Affiliate, or interfere in any way with the right of the Company or an Affiliate, subject to the terms of any separate employment agreement or other contract to the contrary, at any time to terminate such services or to increase or decrease the compensation of the Participant.</w:t>
      </w:r>
    </w:p>
    <w:p>
      <w:pPr>
        <w:spacing w:after="0" w:line="7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 The provisions of the Plan shall be construed and interpreted in a manner consistent with the requirements for avoiding taxes or penalties under Section 409A of the Code. If the Committee determines that any amounts payable hereunder may be taxable to a Participant under Section 409A of the Code, the Company may (i) adopt such amendments to the Plan and appropriate policies and procedures, including amendments and policies with retroactive effect, that the Committee determines necessary or appropriate to preserve the intended tax treatment of the benefits provided by the Plan and/or (ii) take such other actions as the Committee determines necessary or appropriate to avoid or limit the imposition of an additional tax under Section 409A; provided, that neither the Company nor any of its Affiliates nor any other person or entity shall have any liability to a Participant or Beneficiary with respect to the tax imposed by Section 409A of the Code.</w:t>
      </w:r>
    </w:p>
    <w:p>
      <w:pPr>
        <w:spacing w:after="0" w:line="6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u w:val="single" w:color="auto"/>
          <w:color w:val="auto"/>
        </w:rPr>
        <w:t>Provisions Severable</w:t>
      </w:r>
      <w:r>
        <w:rPr>
          <w:rFonts w:ascii="Arial" w:cs="Arial" w:eastAsia="Arial" w:hAnsi="Arial"/>
          <w:sz w:val="18"/>
          <w:szCs w:val="18"/>
          <w:color w:val="auto"/>
        </w:rPr>
        <w:t>. To the extent that any one or more of the provisions of the Plan shall be invalid, illegal or unenforceable in any respect, the validity, legality and enforceability of the remaining provisions shall not in any way be affected or impaired.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and section headings are for convenience only and shall not be used in interpreting or construing the Plan.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CLAIMS PROCEDURE AND LEGAL ACTIONS</w:t>
      </w:r>
    </w:p>
    <w:p>
      <w:pPr>
        <w:spacing w:after="0" w:line="207" w:lineRule="exact"/>
        <w:rPr>
          <w:sz w:val="20"/>
          <w:szCs w:val="20"/>
          <w:color w:val="auto"/>
        </w:rPr>
      </w:pPr>
    </w:p>
    <w:p>
      <w:pPr>
        <w:jc w:val="both"/>
        <w:ind w:right="300" w:firstLine="456"/>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Filing a Claim</w:t>
      </w:r>
      <w:r>
        <w:rPr>
          <w:rFonts w:ascii="Arial" w:cs="Arial" w:eastAsia="Arial" w:hAnsi="Arial"/>
          <w:sz w:val="18"/>
          <w:szCs w:val="18"/>
          <w:b w:val="1"/>
          <w:bCs w:val="1"/>
          <w:color w:val="auto"/>
        </w:rPr>
        <w:t>.</w:t>
      </w:r>
      <w:r>
        <w:rPr>
          <w:rFonts w:ascii="Arial" w:cs="Arial" w:eastAsia="Arial" w:hAnsi="Arial"/>
          <w:sz w:val="18"/>
          <w:szCs w:val="18"/>
          <w:color w:val="auto"/>
        </w:rPr>
        <w:t xml:space="preserve"> A Participant or Beneficiary who believes that he or she is being denied a benefit to which such Participant or Beneficiary is entitled under the Plan may file a written request for such benefit with the Committee, setting forth his or her claim. The request must be addressed to the Committee at the Company’s principal place of business.</w:t>
      </w:r>
    </w:p>
    <w:p>
      <w:pPr>
        <w:spacing w:after="0" w:line="6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Claim Decision</w:t>
      </w:r>
      <w:r>
        <w:rPr>
          <w:rFonts w:ascii="Arial" w:cs="Arial" w:eastAsia="Arial" w:hAnsi="Arial"/>
          <w:sz w:val="18"/>
          <w:szCs w:val="18"/>
          <w:color w:val="auto"/>
        </w:rPr>
        <w:t>. Upon receipt of a claim, the Committee shall advise the Claimant that a reply shall be forthcoming within 90 days and shall, in fact, deliver such reply within such period. The Committee may, however, extend the reply period for an additional 90 days for special circumstances. If the claim is denied in whole or in part, the Committee shall inform the Claimant in writing, using language calculated to be understood by the Claimant, setting forth: (i) the specified reason or reasons for such denial; (ii) the specific reference to pertinent provisions of this Plan on which such denial is based; (iii) a description of any additional material or information necessary for the Claimant to perfect his or her claim and an explanation of why such material or such information is necessary; (iv) appropriate information as to the steps to be taken if the Claimant wishes to submit the claim for review; and (v) the time limits for requesting a review under Section 11.3.</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60"/>
          </w:cols>
          <w:pgMar w:left="240" w:top="270" w:right="299" w:bottom="1440" w:gutter="0" w:footer="0" w:header="0"/>
        </w:sectPr>
      </w:pPr>
    </w:p>
    <w:bookmarkStart w:id="125" w:name="page126"/>
    <w:bookmarkEnd w:id="125"/>
    <w:p>
      <w:pPr>
        <w:ind w:right="200" w:firstLine="456"/>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11.3 </w:t>
      </w:r>
      <w:r>
        <w:rPr>
          <w:rFonts w:ascii="Arial" w:cs="Arial" w:eastAsia="Arial" w:hAnsi="Arial"/>
          <w:sz w:val="17"/>
          <w:szCs w:val="17"/>
          <w:b w:val="1"/>
          <w:bCs w:val="1"/>
          <w:u w:val="single" w:color="auto"/>
          <w:color w:val="auto"/>
        </w:rPr>
        <w:t>Request For Review</w:t>
      </w:r>
      <w:r>
        <w:rPr>
          <w:rFonts w:ascii="Arial" w:cs="Arial" w:eastAsia="Arial" w:hAnsi="Arial"/>
          <w:sz w:val="17"/>
          <w:szCs w:val="17"/>
          <w:color w:val="auto"/>
        </w:rPr>
        <w:t>. Within 60 days after the receipt by the Claimant of the written decision described above, the Claimant may request in writing a review of the determination of the Committee. Such review shall be completed by the Committee. Such request must be addressed to the Committee, at the Company’s then principal place of business. The Claimant or his or her duly authorized representative may, but need not, review the pertinent documents and submit issues and comments in writing for consideration by the Committee. If the Claimant does not request a review within such 60-day period, the Participant shall be barred and estopped from challenging the Committee’s determination.</w:t>
      </w:r>
    </w:p>
    <w:p>
      <w:pPr>
        <w:spacing w:after="0" w:line="6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Review of Decision</w:t>
      </w:r>
      <w:r>
        <w:rPr>
          <w:rFonts w:ascii="Arial" w:cs="Arial" w:eastAsia="Arial" w:hAnsi="Arial"/>
          <w:sz w:val="18"/>
          <w:szCs w:val="18"/>
          <w:color w:val="auto"/>
        </w:rPr>
        <w:t>. Within 60 days after the receipt of a request for review by the Committee, after considering all materials presented by the Claimant, the Committee shall inform the Claimant in writing, in a manner calculated to be understood by the Claimant, the decision setting forth the specific reasons for the decision and any specific references to the pertinent provisions of this Plan on which the decision is based. If special circumstances require that the 60 day time period be extended, the Committee shall so notify the Claimant and shall render the decision as soon as possible, but no later than 120 days after receipt of the request for review.</w:t>
      </w:r>
    </w:p>
    <w:p>
      <w:pPr>
        <w:spacing w:after="0" w:line="76" w:lineRule="exact"/>
        <w:rPr>
          <w:sz w:val="20"/>
          <w:szCs w:val="20"/>
          <w:color w:val="auto"/>
        </w:rPr>
      </w:pPr>
    </w:p>
    <w:p>
      <w:pPr>
        <w:jc w:val="both"/>
        <w:ind w:right="100" w:firstLine="456"/>
        <w:spacing w:after="0" w:line="347"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u w:val="single" w:color="auto"/>
          <w:color w:val="auto"/>
        </w:rPr>
        <w:t>Legal Actions</w:t>
      </w:r>
      <w:r>
        <w:rPr>
          <w:rFonts w:ascii="Arial" w:cs="Arial" w:eastAsia="Arial" w:hAnsi="Arial"/>
          <w:sz w:val="16"/>
          <w:szCs w:val="16"/>
          <w:color w:val="auto"/>
        </w:rPr>
        <w:t>. Any legal action involving benefits claimed or legal obligations relating to or arising under this Plan may be filed only in Federal District Court in the city of Chicago, Illinois. By participating in this Plan, each Participant shall be deemed to have elected to waive any right to a jury trial.</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EFFECTIVE DATE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Plan was initially effective as of November 15, 2013. The Plan, as amended and restated as set forth herein, is effective as of January 1, 2014.</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hereby agrees to the provisions of the Plan and in witness of its agreement, the Company by its duly authorized officer has executed the Plan on the date written below.</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GREAT LAKES DREDGE &amp; DOCK CORPORATION</w:t>
      </w:r>
    </w:p>
    <w:p>
      <w:pPr>
        <w:sectPr>
          <w:pgSz w:w="11900" w:h="16838" w:orient="portrait"/>
          <w:cols w:equalWidth="0" w:num="1">
            <w:col w:w="11360"/>
          </w:cols>
          <w:pgMar w:left="240" w:top="270" w:right="299" w:bottom="1440" w:gutter="0" w:footer="0" w:header="0"/>
        </w:sect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 William S. Steckel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pacing w:after="0" w:line="143" w:lineRule="exact"/>
        <w:rPr>
          <w:sz w:val="20"/>
          <w:szCs w:val="20"/>
          <w:color w:val="auto"/>
        </w:rPr>
      </w:pPr>
    </w:p>
    <w:p>
      <w:pPr>
        <w:sectPr>
          <w:pgSz w:w="11900" w:h="16838" w:orient="portrait"/>
          <w:cols w:equalWidth="0" w:num="2">
            <w:col w:w="6120" w:space="240"/>
            <w:col w:w="5000"/>
          </w:cols>
          <w:pgMar w:left="240" w:top="270"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- 15 -</w:t>
      </w:r>
    </w:p>
    <w:p>
      <w:pPr>
        <w:sectPr>
          <w:pgSz w:w="11900" w:h="16838" w:orient="portrait"/>
          <w:cols w:equalWidth="0" w:num="1">
            <w:col w:w="11360"/>
          </w:cols>
          <w:pgMar w:left="240" w:top="270" w:right="299" w:bottom="1440" w:gutter="0" w:footer="0" w:header="0"/>
          <w:type w:val="continuous"/>
        </w:sectPr>
      </w:pPr>
    </w:p>
    <w:bookmarkStart w:id="126" w:name="page127"/>
    <w:bookmarkEnd w:id="126"/>
    <w:p>
      <w:pPr>
        <w:ind w:left="10400"/>
        <w:spacing w:after="0"/>
        <w:rPr>
          <w:sz w:val="20"/>
          <w:szCs w:val="20"/>
          <w:color w:val="auto"/>
        </w:rPr>
      </w:pPr>
      <w:r>
        <w:rPr>
          <w:rFonts w:ascii="Arial" w:cs="Arial" w:eastAsia="Arial" w:hAnsi="Arial"/>
          <w:sz w:val="16"/>
          <w:szCs w:val="16"/>
          <w:b w:val="1"/>
          <w:bCs w:val="1"/>
          <w:color w:val="auto"/>
        </w:rPr>
        <w:t>Exhibit 10.40</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66" w:lineRule="exact"/>
        <w:rPr>
          <w:sz w:val="20"/>
          <w:szCs w:val="20"/>
          <w:color w:val="auto"/>
        </w:rPr>
      </w:pPr>
    </w:p>
    <w:p>
      <w:pPr>
        <w:ind w:left="9300"/>
        <w:spacing w:after="0"/>
        <w:rPr>
          <w:sz w:val="20"/>
          <w:szCs w:val="20"/>
          <w:color w:val="auto"/>
        </w:rPr>
      </w:pPr>
      <w:r>
        <w:rPr>
          <w:rFonts w:ascii="Arial" w:cs="Arial" w:eastAsia="Arial" w:hAnsi="Arial"/>
          <w:sz w:val="17"/>
          <w:szCs w:val="17"/>
          <w:color w:val="auto"/>
        </w:rPr>
        <w:t>FINAL EXECUTION COPY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VESSEL CONSTRUCTION AGREEMENT</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THIS VESSEL CONSTRUCTION AGREEMENT </w:t>
      </w:r>
      <w:r>
        <w:rPr>
          <w:rFonts w:ascii="Arial" w:cs="Arial" w:eastAsia="Arial" w:hAnsi="Arial"/>
          <w:sz w:val="18"/>
          <w:szCs w:val="18"/>
          <w:color w:val="auto"/>
        </w:rPr>
        <w:t>(“Agreement”) is made as of the 10 day of January, 2014 between Eastern Shipbuilding Group, Inc.</w:t>
      </w:r>
      <w:r>
        <w:rPr>
          <w:rFonts w:ascii="Arial" w:cs="Arial" w:eastAsia="Arial" w:hAnsi="Arial"/>
          <w:sz w:val="18"/>
          <w:szCs w:val="18"/>
          <w:b w:val="1"/>
          <w:bCs w:val="1"/>
          <w:color w:val="auto"/>
        </w:rPr>
        <w:t xml:space="preserve"> </w:t>
      </w:r>
      <w:r>
        <w:rPr>
          <w:rFonts w:ascii="Arial" w:cs="Arial" w:eastAsia="Arial" w:hAnsi="Arial"/>
          <w:sz w:val="18"/>
          <w:szCs w:val="18"/>
          <w:color w:val="auto"/>
        </w:rPr>
        <w:t>(“Builder”), a Florida corporation whose mailing address is 2200 Nelson Street, Panama City, Florida 32401 and Great Lakes Dredge &amp; Dock Company, LLC (“Owner”), a limited liability company organized and existing under and by virtue of the laws of the State of Delaware, whose mailing address is 2122 York Road, Oak Brook, Illinois 60523, for the construction of one (1) dual mode articulated tug/barge trailing suction hopper dredge according to the Contract Documents, for the Contract Price, and with delivery as shown in Exhibit A.</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 –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and not defined elsewhere in this Agreement shall have the respective meaning ascribed to such terms in this Article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“ABS” </w:t>
      </w:r>
      <w:r>
        <w:rPr>
          <w:rFonts w:ascii="Arial" w:cs="Arial" w:eastAsia="Arial" w:hAnsi="Arial"/>
          <w:sz w:val="18"/>
          <w:szCs w:val="18"/>
          <w:color w:val="auto"/>
        </w:rPr>
        <w:t>– shall mean the American Bureau of Shipping.</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“Affiliates” </w:t>
      </w:r>
      <w:r>
        <w:rPr>
          <w:rFonts w:ascii="Arial" w:cs="Arial" w:eastAsia="Arial" w:hAnsi="Arial"/>
          <w:sz w:val="18"/>
          <w:szCs w:val="18"/>
          <w:color w:val="auto"/>
        </w:rPr>
        <w:t>– as used herein, shall mean any entity which controls, is controlled by, or is under common control with another entity. An entity is deemed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another if it owns directly or indirectly at least fifty percent (50%) of (i) the shares entitled to vote at a general election of directors of such other entity, or (ii) the voting interest in such other entity if such other entity does not have either shares or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 as defined in the Preamble.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“ATB Unit” </w:t>
      </w:r>
      <w:r>
        <w:rPr>
          <w:rFonts w:ascii="Arial" w:cs="Arial" w:eastAsia="Arial" w:hAnsi="Arial"/>
          <w:sz w:val="18"/>
          <w:szCs w:val="18"/>
          <w:i w:val="1"/>
          <w:iCs w:val="1"/>
          <w:color w:val="auto"/>
        </w:rPr>
        <w:t>or</w:t>
      </w:r>
      <w:r>
        <w:rPr>
          <w:rFonts w:ascii="Arial" w:cs="Arial" w:eastAsia="Arial" w:hAnsi="Arial"/>
          <w:sz w:val="18"/>
          <w:szCs w:val="18"/>
          <w:b w:val="1"/>
          <w:bCs w:val="1"/>
          <w:i w:val="1"/>
          <w:iCs w:val="1"/>
          <w:color w:val="auto"/>
        </w:rPr>
        <w:t xml:space="preserve"> “Unit” </w:t>
      </w:r>
      <w:r>
        <w:rPr>
          <w:rFonts w:ascii="Arial" w:cs="Arial" w:eastAsia="Arial" w:hAnsi="Arial"/>
          <w:sz w:val="18"/>
          <w:szCs w:val="18"/>
          <w:color w:val="auto"/>
        </w:rPr>
        <w:t>– shall mean the Tug and Barge when combined as a dual mode articulated tug/barge trailing suction hopper dredge as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Documents.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“Barge” </w:t>
      </w:r>
      <w:r>
        <w:rPr>
          <w:rFonts w:ascii="Arial" w:cs="Arial" w:eastAsia="Arial" w:hAnsi="Arial"/>
          <w:sz w:val="18"/>
          <w:szCs w:val="18"/>
          <w:color w:val="auto"/>
        </w:rPr>
        <w:t>– shall mean that certain barge which forms an integral part of the articulated tug/barge, trailing suction hopper dredge and to be constructed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Builder for the Owner under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“Builder” </w:t>
      </w:r>
      <w:r>
        <w:rPr>
          <w:rFonts w:ascii="Arial" w:cs="Arial" w:eastAsia="Arial" w:hAnsi="Arial"/>
          <w:sz w:val="18"/>
          <w:szCs w:val="18"/>
          <w:color w:val="auto"/>
        </w:rPr>
        <w:t>– as defined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“Builder’s Invoice” </w:t>
      </w:r>
      <w:r>
        <w:rPr>
          <w:rFonts w:ascii="Arial" w:cs="Arial" w:eastAsia="Arial" w:hAnsi="Arial"/>
          <w:sz w:val="18"/>
          <w:szCs w:val="18"/>
          <w:color w:val="auto"/>
        </w:rPr>
        <w:t>– shall mean an invoice in the form prescribed in Exhibit F-2.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“Builder’s Personnel” </w:t>
      </w:r>
      <w:r>
        <w:rPr>
          <w:rFonts w:ascii="Arial" w:cs="Arial" w:eastAsia="Arial" w:hAnsi="Arial"/>
          <w:sz w:val="18"/>
          <w:szCs w:val="18"/>
          <w:color w:val="auto"/>
        </w:rPr>
        <w:t>– shall mean all employees of the Builder and the employees of any Subcontractor of the Builder, at any tier.</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 xml:space="preserve">“Builder’s Process” </w:t>
      </w:r>
      <w:r>
        <w:rPr>
          <w:rFonts w:ascii="Arial" w:cs="Arial" w:eastAsia="Arial" w:hAnsi="Arial"/>
          <w:sz w:val="18"/>
          <w:szCs w:val="18"/>
          <w:color w:val="auto"/>
        </w:rPr>
        <w:t>– is defined as the Detailed Construction Documentation of the Vessels, including lofting, numerical control code and/or tapes,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lists, and the manner and methods to perform the Work, all of which have been developed by the Builder for the Work contemplated by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“Certificate of Completion and Delivery” </w:t>
      </w:r>
      <w:r>
        <w:rPr>
          <w:rFonts w:ascii="Arial" w:cs="Arial" w:eastAsia="Arial" w:hAnsi="Arial"/>
          <w:sz w:val="18"/>
          <w:szCs w:val="18"/>
          <w:color w:val="auto"/>
        </w:rPr>
        <w:t>– as defined in Article 5.6.</w:t>
      </w:r>
    </w:p>
    <w:p>
      <w:pPr>
        <w:sectPr>
          <w:pgSz w:w="11900" w:h="16838" w:orient="portrait"/>
          <w:cols w:equalWidth="0" w:num="1">
            <w:col w:w="11420"/>
          </w:cols>
          <w:pgMar w:left="240" w:top="121" w:right="239" w:bottom="1440" w:gutter="0" w:footer="0" w:header="0"/>
        </w:sectPr>
      </w:pPr>
    </w:p>
    <w:bookmarkStart w:id="127" w:name="page128"/>
    <w:bookmarkEnd w:id="12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t xml:space="preserve">“Change Order” </w:t>
      </w:r>
      <w:r>
        <w:rPr>
          <w:rFonts w:ascii="Arial" w:cs="Arial" w:eastAsia="Arial" w:hAnsi="Arial"/>
          <w:sz w:val="18"/>
          <w:szCs w:val="18"/>
          <w:color w:val="auto"/>
        </w:rPr>
        <w:t>– as used herein, the term “Change Order” shall mean a written instrument prepared by the Builder and signed by the Owner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Builder, stating their agreement upon: (1) a change in the Work; (2) the amount of the adjustment in the Contract Price, if any; and (3) the extent of the adjustment in the Delivery Date, if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“Contract” </w:t>
      </w:r>
      <w:r>
        <w:rPr>
          <w:rFonts w:ascii="Arial" w:cs="Arial" w:eastAsia="Arial" w:hAnsi="Arial"/>
          <w:sz w:val="18"/>
          <w:szCs w:val="18"/>
          <w:color w:val="auto"/>
        </w:rPr>
        <w:t>– as defined in Article 16.1.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“Contract Documents” </w:t>
      </w:r>
      <w:r>
        <w:rPr>
          <w:rFonts w:ascii="Arial" w:cs="Arial" w:eastAsia="Arial" w:hAnsi="Arial"/>
          <w:sz w:val="18"/>
          <w:szCs w:val="18"/>
          <w:color w:val="auto"/>
        </w:rPr>
        <w:t>– as defined in Article 16.1.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“Contract Drawings” </w:t>
      </w:r>
      <w:r>
        <w:rPr>
          <w:rFonts w:ascii="Arial" w:cs="Arial" w:eastAsia="Arial" w:hAnsi="Arial"/>
          <w:sz w:val="18"/>
          <w:szCs w:val="18"/>
          <w:color w:val="auto"/>
        </w:rPr>
        <w:t>– shall mean those drawings provided by the Owner to the Builder as identified in Exhibit C-1.</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 xml:space="preserve">“Contract Price” </w:t>
      </w:r>
      <w:r>
        <w:rPr>
          <w:rFonts w:ascii="Arial" w:cs="Arial" w:eastAsia="Arial" w:hAnsi="Arial"/>
          <w:sz w:val="18"/>
          <w:szCs w:val="18"/>
          <w:color w:val="auto"/>
        </w:rPr>
        <w:t>– shall mean the price for the ATB Unit to be constructed pursuant to this Agreement as shown on Exhibit A as adjusted by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Modifications thereto and any price adjustments allowed by this Agreement.</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“Day(s)” </w:t>
      </w:r>
      <w:r>
        <w:rPr>
          <w:rFonts w:ascii="Arial" w:cs="Arial" w:eastAsia="Arial" w:hAnsi="Arial"/>
          <w:sz w:val="18"/>
          <w:szCs w:val="18"/>
          <w:color w:val="auto"/>
        </w:rPr>
        <w:t>– as referred to hereunder shall mean Gregorian Calendar days, unless otherwise defined. Each Day shall be a single twenty-four hour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commencing at 12:00 a.m., local time.</w:t>
      </w:r>
    </w:p>
    <w:p>
      <w:pPr>
        <w:spacing w:after="0" w:line="170"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b w:val="1"/>
          <w:bCs w:val="1"/>
          <w:i w:val="1"/>
          <w:iCs w:val="1"/>
          <w:color w:val="auto"/>
        </w:rPr>
        <w:t xml:space="preserve">“Delivery” </w:t>
      </w:r>
      <w:r>
        <w:rPr>
          <w:rFonts w:ascii="Arial" w:cs="Arial" w:eastAsia="Arial" w:hAnsi="Arial"/>
          <w:sz w:val="18"/>
          <w:szCs w:val="18"/>
          <w:color w:val="auto"/>
        </w:rPr>
        <w:t>– shall mean the Builder’s transfer of possession and the Owner’s acceptance of each Vessel completed in accordance with the 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 subject to the warranties set forth in Article 11, as evidenced by the Builder’s and the Owner’s execution of a Protocol of Delivery and Acceptance in the form of Exhibit M.</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“Delivery Date” </w:t>
      </w:r>
      <w:r>
        <w:rPr>
          <w:rFonts w:ascii="Arial" w:cs="Arial" w:eastAsia="Arial" w:hAnsi="Arial"/>
          <w:sz w:val="18"/>
          <w:szCs w:val="18"/>
          <w:color w:val="auto"/>
        </w:rPr>
        <w:t>– shall mean the date shown on Exhibit A on which the ATB Unit is required to be delivered to the Owner, as such date may be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“Delivery Payment” </w:t>
      </w:r>
      <w:r>
        <w:rPr>
          <w:rFonts w:ascii="Arial" w:cs="Arial" w:eastAsia="Arial" w:hAnsi="Arial"/>
          <w:sz w:val="18"/>
          <w:szCs w:val="18"/>
          <w:color w:val="auto"/>
        </w:rPr>
        <w:t>– as indicated in Article 5.3 and Exhibit Q.</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 shall mean the design of an ATB Unit, consisting of a Tug and Barge, as described and comprised in Exhibits B and C, and shall also include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drawings and documents embodying such design and all Intellectual Property embodied in such documents, as specified in the Contract Documents and as provided by the Owner.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“Detail Design Drawings” – </w:t>
      </w:r>
      <w:r>
        <w:rPr>
          <w:rFonts w:ascii="Arial" w:cs="Arial" w:eastAsia="Arial" w:hAnsi="Arial"/>
          <w:sz w:val="18"/>
          <w:szCs w:val="18"/>
          <w:color w:val="auto"/>
        </w:rPr>
        <w:t>shall mean those drawings developed by the Builder from the Functional Design Drawings.</w:t>
      </w:r>
    </w:p>
    <w:p>
      <w:pPr>
        <w:spacing w:after="0" w:line="221"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Detailed Construction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 shall mean all construction documentation of the Vessels and ATB Unit created by the Builder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but specifically not including Detail Design Drawings.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Disputed Liquidated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 as described in Article 8.7.</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“Dock Trials” </w:t>
      </w:r>
      <w:r>
        <w:rPr>
          <w:rFonts w:ascii="Arial" w:cs="Arial" w:eastAsia="Arial" w:hAnsi="Arial"/>
          <w:sz w:val="16"/>
          <w:szCs w:val="16"/>
          <w:color w:val="auto"/>
        </w:rPr>
        <w:t>– shall mean the testing, alongside the dock, of any portion of the Work by the Builder or Owner prior to, and as a condition to, Delivery.</w:t>
      </w:r>
    </w:p>
    <w:p>
      <w:pPr>
        <w:spacing w:after="0" w:line="24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 xml:space="preserve">“Dredging System” </w:t>
      </w:r>
      <w:r>
        <w:rPr>
          <w:rFonts w:ascii="Arial" w:cs="Arial" w:eastAsia="Arial" w:hAnsi="Arial"/>
          <w:sz w:val="18"/>
          <w:szCs w:val="18"/>
          <w:color w:val="auto"/>
        </w:rPr>
        <w:t>– shall mean those components of the ATB Unit and their supporting subsystems (including but not limited to automation) required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for the ATB Unit to perform dredging, including but not limited to dredge pumps, slurry piping and valves, jet pumps, jet piping and valves, hopper door system, overflow ducts and system, dragarms and hoisting machinery, and bow connection.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be the date upon which this Agreement has been signed by the Builder and the Owner.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128" w:name="page129"/>
    <w:bookmarkEnd w:id="12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Financial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 shall have the meaning set forth in Article 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“Force Majeure” </w:t>
      </w:r>
      <w:r>
        <w:rPr>
          <w:rFonts w:ascii="Arial" w:cs="Arial" w:eastAsia="Arial" w:hAnsi="Arial"/>
          <w:sz w:val="18"/>
          <w:szCs w:val="18"/>
          <w:color w:val="auto"/>
        </w:rPr>
        <w:t>– as described in Article 7.1.</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“Functional Design Drawings” </w:t>
      </w:r>
      <w:r>
        <w:rPr>
          <w:rFonts w:ascii="Arial" w:cs="Arial" w:eastAsia="Arial" w:hAnsi="Arial"/>
          <w:sz w:val="18"/>
          <w:szCs w:val="18"/>
          <w:color w:val="auto"/>
        </w:rPr>
        <w:t>– shall mean those drawings provided by the Owner, which are identified in Exhibit C-2, and derived from the 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Drawings and Specifications.</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 xml:space="preserve">“Good Shipbuilding Practice” </w:t>
      </w:r>
      <w:r>
        <w:rPr>
          <w:rFonts w:ascii="Arial" w:cs="Arial" w:eastAsia="Arial" w:hAnsi="Arial"/>
          <w:sz w:val="17"/>
          <w:szCs w:val="17"/>
          <w:color w:val="auto"/>
        </w:rPr>
        <w:t>– as used herein, shall mean the construction of a ship or vessel, with due consideration to good commercial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incorporating the specified components in order to meet Specifications requirements, utilizing good, first quality construction and testing methods to ensure that the completed ATB Unit will conform fully to the Contract Documents and all requirements of the Regulatory Authorities.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 shall mean all: (i) inventions (whether or not patentable), utility patents, design patents, industrial designs and utility models,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all applications for the foregoing and all international proprietary rights associated therewith; (ii) copyrights, copyright registrations and copyright applications, and all other rights associated with the foregoing and the underlying works of authorship; (iii) trademarks, service marks, business identifiers, trade dress, trade names and brand names, all registrations and applications therefor and all goodwill associated with the foregoing; (iv) mask works and mask work registrations; (v) vessel hull design registrations and applications; (vi) trade secrets; and (vii) all other statutorily recognized types of intellectual property.</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 with respect to any Person shall mean, any indebtedness of such Person, whether or not contingent, including, without limitation,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guarantee of an indebtedness and however evidenced including, without limitation, bonds, notes, debentures or similar instruments, letters of credit, bid, performance and payment bonds (or reimbursement agreements in respect thereof), banker’s acceptances, capital lease obligations or the deferred and unpaid purchase price of any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Installment Payment(s)</w:t>
      </w:r>
      <w:r>
        <w:rPr>
          <w:rFonts w:ascii="Arial" w:cs="Arial" w:eastAsia="Arial" w:hAnsi="Arial"/>
          <w:sz w:val="18"/>
          <w:szCs w:val="18"/>
          <w:color w:val="auto"/>
        </w:rPr>
        <w:t>” – shall mean the payment due upon completion of a Milestone in accordance with Article 5.2 and Exhibit Q.</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“Lien” </w:t>
      </w:r>
      <w:r>
        <w:rPr>
          <w:rFonts w:ascii="Arial" w:cs="Arial" w:eastAsia="Arial" w:hAnsi="Arial"/>
          <w:sz w:val="18"/>
          <w:szCs w:val="18"/>
          <w:color w:val="auto"/>
        </w:rPr>
        <w:t>– shall mean any lien, mortgage, pledge, assignment, security interest, charge or encumbrance of any kind (including any conditional sale or other title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agreement, any lease in the nature thereof, and any agreement to give any security interest) and any option, trust or other preferential arrangement having the practical effect of any of the foregoing.</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“Lien Release” </w:t>
      </w:r>
      <w:r>
        <w:rPr>
          <w:rFonts w:ascii="Arial" w:cs="Arial" w:eastAsia="Arial" w:hAnsi="Arial"/>
          <w:sz w:val="18"/>
          <w:szCs w:val="18"/>
          <w:color w:val="auto"/>
        </w:rPr>
        <w:t>– shall mean a lien release in favor of each Vessel and the Owner, executed by the Builder and each Material Subcontractor or Supplier,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of Exhibit G-1 and G-2.</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“Materials” </w:t>
      </w:r>
      <w:r>
        <w:rPr>
          <w:rFonts w:ascii="Arial" w:cs="Arial" w:eastAsia="Arial" w:hAnsi="Arial"/>
          <w:sz w:val="18"/>
          <w:szCs w:val="18"/>
          <w:color w:val="auto"/>
        </w:rPr>
        <w:t>– shall mean everything, other than the Owner Furnished Items, that is required for the construction and Delivery of the Vessels in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Contract Documents, including, without limitation, all materials, supplies, machinery, machinery parts, equipment, electronics, hardware, piping, timber, ferrous and non-ferrous plate, shapes and other tangible items that are incorporated or used in or that are identified to be incorporated or used in the construction of the Vessels.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 xml:space="preserve">“Material Subcontract” </w:t>
      </w:r>
      <w:r>
        <w:rPr>
          <w:rFonts w:ascii="Arial" w:cs="Arial" w:eastAsia="Arial" w:hAnsi="Arial"/>
          <w:sz w:val="18"/>
          <w:szCs w:val="18"/>
          <w:color w:val="auto"/>
        </w:rPr>
        <w:t>– shall mean any contract, series of contracts and/or series of purchase orders of the Builder with its Subcontractor, Supplier,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vendor in connection with the Work with an aggregate value in excess of $500,000.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9" w:name="page130"/>
    <w:bookmarkEnd w:id="129"/>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 xml:space="preserve">“Material Subcontractor or Supplier” </w:t>
      </w:r>
      <w:r>
        <w:rPr>
          <w:rFonts w:ascii="Arial" w:cs="Arial" w:eastAsia="Arial" w:hAnsi="Arial"/>
          <w:sz w:val="18"/>
          <w:szCs w:val="18"/>
          <w:color w:val="auto"/>
        </w:rPr>
        <w:t>– shall mean any builder, Subcontractor or Supplier of the Builder providing goods and/or services in excess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$500,000 in the aggregate in respect of the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“Milestone(s)” </w:t>
      </w:r>
      <w:r>
        <w:rPr>
          <w:rFonts w:ascii="Arial" w:cs="Arial" w:eastAsia="Arial" w:hAnsi="Arial"/>
          <w:sz w:val="18"/>
          <w:szCs w:val="18"/>
          <w:color w:val="auto"/>
        </w:rPr>
        <w:t>– shall mean the milestone events set forth in Exhibits Q, Q-1 and Q-2.</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“Milestone Certificate” </w:t>
      </w:r>
      <w:r>
        <w:rPr>
          <w:rFonts w:ascii="Arial" w:cs="Arial" w:eastAsia="Arial" w:hAnsi="Arial"/>
          <w:sz w:val="18"/>
          <w:szCs w:val="18"/>
          <w:color w:val="auto"/>
        </w:rPr>
        <w:t>– is a certificate, in the form set forth in Exhibit F, attesting to the completion of each stage of the Work referred to in Article 5.2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to the Milestone Schedule.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“Milestone Schedule” </w:t>
      </w:r>
      <w:r>
        <w:rPr>
          <w:rFonts w:ascii="Arial" w:cs="Arial" w:eastAsia="Arial" w:hAnsi="Arial"/>
          <w:sz w:val="18"/>
          <w:szCs w:val="18"/>
          <w:color w:val="auto"/>
        </w:rPr>
        <w:t>– shall mean the schedule of Milestones set forth in Exhibits Q, Q-1 and Q-2.</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“Modification” </w:t>
      </w:r>
      <w:r>
        <w:rPr>
          <w:rFonts w:ascii="Arial" w:cs="Arial" w:eastAsia="Arial" w:hAnsi="Arial"/>
          <w:sz w:val="18"/>
          <w:szCs w:val="18"/>
          <w:color w:val="auto"/>
        </w:rPr>
        <w:t>– shall mean (1) a written amendment to the Contract signed by both parties, or (2) a Change Order. All written amendments and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Orders shall be effective only if signed by a duly authorized representative of the Owner and the Builder.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“Owner” </w:t>
      </w:r>
      <w:r>
        <w:rPr>
          <w:rFonts w:ascii="Arial" w:cs="Arial" w:eastAsia="Arial" w:hAnsi="Arial"/>
          <w:sz w:val="18"/>
          <w:szCs w:val="18"/>
          <w:color w:val="auto"/>
        </w:rPr>
        <w:t>– as defined in the Preamble.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“Owner Furnished Items” </w:t>
      </w:r>
      <w:r>
        <w:rPr>
          <w:rFonts w:ascii="Arial" w:cs="Arial" w:eastAsia="Arial" w:hAnsi="Arial"/>
          <w:sz w:val="18"/>
          <w:szCs w:val="18"/>
          <w:color w:val="auto"/>
        </w:rPr>
        <w:t>– shall mean those items purchased by the Owner and to be installed in the Vessels by the Builder as part of the Work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Exhibit 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“Owner Group” </w:t>
      </w:r>
      <w:r>
        <w:rPr>
          <w:rFonts w:ascii="Arial" w:cs="Arial" w:eastAsia="Arial" w:hAnsi="Arial"/>
          <w:sz w:val="18"/>
          <w:szCs w:val="18"/>
          <w:color w:val="auto"/>
        </w:rPr>
        <w:t>– as defined in Article 23.1.</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“Owner Personnel” </w:t>
      </w:r>
      <w:r>
        <w:rPr>
          <w:rFonts w:ascii="Arial" w:cs="Arial" w:eastAsia="Arial" w:hAnsi="Arial"/>
          <w:sz w:val="18"/>
          <w:szCs w:val="18"/>
          <w:color w:val="auto"/>
        </w:rPr>
        <w:t>– shall mean all employees of the Owner, the Owner’s Representative, and the employees of any subcontractor of the Owner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Builder Personnel), at any tier.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“Owner’s Representative”— as described in Article 17.3.</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“Partial Lien Release” </w:t>
      </w:r>
      <w:r>
        <w:rPr>
          <w:rFonts w:ascii="Arial" w:cs="Arial" w:eastAsia="Arial" w:hAnsi="Arial"/>
          <w:sz w:val="18"/>
          <w:szCs w:val="18"/>
          <w:color w:val="auto"/>
        </w:rPr>
        <w:t>– shall mean a partial lien release in favor of each Vessel and the Owner, executed by the Builder and each Material Subcontractor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in the form of Exhibit L-1 and L-2.</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 shall mean an individual, or any corporation, partnership, limited liability company, joint venture, association, joint-stock company,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unincorporated organization or government or agency or political subdivision thereof (including any subdivision or ongoing business of any such entity or substantially all of the assets of any such entity, subdivision or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“Project Schedule” </w:t>
      </w:r>
      <w:r>
        <w:rPr>
          <w:rFonts w:ascii="Arial" w:cs="Arial" w:eastAsia="Arial" w:hAnsi="Arial"/>
          <w:sz w:val="18"/>
          <w:szCs w:val="18"/>
          <w:color w:val="auto"/>
        </w:rPr>
        <w:t>– as defined in Article 6.4.</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“Protocol of Delivery and Acceptance” </w:t>
      </w:r>
      <w:r>
        <w:rPr>
          <w:rFonts w:ascii="Arial" w:cs="Arial" w:eastAsia="Arial" w:hAnsi="Arial"/>
          <w:sz w:val="18"/>
          <w:szCs w:val="18"/>
          <w:color w:val="auto"/>
        </w:rPr>
        <w:t>– shall mean a document in the form of Exhibit M to be executed by the Builder and the Owner upon Delivery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ATB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“Regulatory Approved Drawings” </w:t>
      </w:r>
      <w:r>
        <w:rPr>
          <w:rFonts w:ascii="Arial" w:cs="Arial" w:eastAsia="Arial" w:hAnsi="Arial"/>
          <w:sz w:val="18"/>
          <w:szCs w:val="18"/>
          <w:color w:val="auto"/>
        </w:rPr>
        <w:t>– shall mean the final Functional Design Drawings as approved and stamped for approval by ABS.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“Regulatory Authority(ies)” </w:t>
      </w:r>
      <w:r>
        <w:rPr>
          <w:rFonts w:ascii="Arial" w:cs="Arial" w:eastAsia="Arial" w:hAnsi="Arial"/>
          <w:sz w:val="17"/>
          <w:szCs w:val="17"/>
          <w:color w:val="auto"/>
        </w:rPr>
        <w:t>– as used herein shall mean, individually, the United States Coast Guard, the American Bureau of Shipping, U.S. Public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International Maritime Organization, Customs and Border Protection, Environmental Protection Agency and any other applicable governmental body or agency responsible for ensuring compliance with requirements imposed by United States law, regulation, convention, classification society or other requirement applicable to the Vessels, any subgroup of the forgoing and, collectively, any and all such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“Retained Amount” </w:t>
      </w:r>
      <w:r>
        <w:rPr>
          <w:rFonts w:ascii="Arial" w:cs="Arial" w:eastAsia="Arial" w:hAnsi="Arial"/>
          <w:sz w:val="18"/>
          <w:szCs w:val="18"/>
          <w:color w:val="auto"/>
        </w:rPr>
        <w:t>– as defined in Article 4.4.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30" w:name="page131"/>
    <w:bookmarkEnd w:id="13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“Sea Trials” </w:t>
      </w:r>
      <w:r>
        <w:rPr>
          <w:rFonts w:ascii="Arial" w:cs="Arial" w:eastAsia="Arial" w:hAnsi="Arial"/>
          <w:sz w:val="18"/>
          <w:szCs w:val="18"/>
          <w:color w:val="auto"/>
        </w:rPr>
        <w:t>– as defined in Article 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“Specifications” </w:t>
      </w:r>
      <w:r>
        <w:rPr>
          <w:rFonts w:ascii="Arial" w:cs="Arial" w:eastAsia="Arial" w:hAnsi="Arial"/>
          <w:sz w:val="18"/>
          <w:szCs w:val="18"/>
          <w:color w:val="auto"/>
        </w:rPr>
        <w:t>– shall mean the specifications attached hereto as Exhibit B.</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“Subcontractor” </w:t>
      </w:r>
      <w:r>
        <w:rPr>
          <w:rFonts w:ascii="Arial" w:cs="Arial" w:eastAsia="Arial" w:hAnsi="Arial"/>
          <w:sz w:val="17"/>
          <w:szCs w:val="17"/>
          <w:color w:val="auto"/>
        </w:rPr>
        <w:t>– shall mean any person other than employees, engaged by the Builder to execute any part of the Work under this Agreement.</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“Supplier” </w:t>
      </w:r>
      <w:r>
        <w:rPr>
          <w:rFonts w:ascii="Arial" w:cs="Arial" w:eastAsia="Arial" w:hAnsi="Arial"/>
          <w:sz w:val="18"/>
          <w:szCs w:val="18"/>
          <w:color w:val="auto"/>
        </w:rPr>
        <w:t>– shall mean any person responsible for the supply, manufacture, construction, installation or delivery to the Builder of any of the Materials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Owner.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“System Tests” </w:t>
      </w:r>
      <w:r>
        <w:rPr>
          <w:rFonts w:ascii="Arial" w:cs="Arial" w:eastAsia="Arial" w:hAnsi="Arial"/>
          <w:sz w:val="18"/>
          <w:szCs w:val="18"/>
          <w:color w:val="auto"/>
        </w:rPr>
        <w:t>– as defined in Article 4.4.</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 xml:space="preserve">“Tug” </w:t>
      </w:r>
      <w:r>
        <w:rPr>
          <w:rFonts w:ascii="Arial" w:cs="Arial" w:eastAsia="Arial" w:hAnsi="Arial"/>
          <w:sz w:val="18"/>
          <w:szCs w:val="18"/>
          <w:color w:val="auto"/>
        </w:rPr>
        <w:t>– shall mean that certain tug which forms an integral part of the articulated tug/barge, trailing suction hopper dredge and to be constructed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Builder for the Owner under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“Vessel(s)” </w:t>
      </w:r>
      <w:r>
        <w:rPr>
          <w:rFonts w:ascii="Arial" w:cs="Arial" w:eastAsia="Arial" w:hAnsi="Arial"/>
          <w:sz w:val="18"/>
          <w:szCs w:val="18"/>
          <w:color w:val="auto"/>
        </w:rPr>
        <w:t>– shall refer, where the context so requires, to the Tug and Barge separately or the ATB Unit in combination.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“Warranty Period” </w:t>
      </w:r>
      <w:r>
        <w:rPr>
          <w:rFonts w:ascii="Arial" w:cs="Arial" w:eastAsia="Arial" w:hAnsi="Arial"/>
          <w:sz w:val="18"/>
          <w:szCs w:val="18"/>
          <w:color w:val="auto"/>
        </w:rPr>
        <w:t>– as used herein shall mean a 365 Day period following Delivery of the ATB Unit, as the same may be extended pursuant to Section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 the case of a warranty given by a third party, such period specified in such warranty.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“Warranty Notification” </w:t>
      </w:r>
      <w:r>
        <w:rPr>
          <w:rFonts w:ascii="Arial" w:cs="Arial" w:eastAsia="Arial" w:hAnsi="Arial"/>
          <w:sz w:val="18"/>
          <w:szCs w:val="18"/>
          <w:color w:val="auto"/>
        </w:rPr>
        <w:t>– as defined in Article 11.1.</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“Work” </w:t>
      </w:r>
      <w:r>
        <w:rPr>
          <w:rFonts w:ascii="Arial" w:cs="Arial" w:eastAsia="Arial" w:hAnsi="Arial"/>
          <w:sz w:val="16"/>
          <w:szCs w:val="16"/>
          <w:color w:val="auto"/>
        </w:rPr>
        <w:t>– shall mean the work required to be performed by the Builder in accordance with the Contract Documents, whether performed by the Builder 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Subcontractor of the Builder and whether completed or partially completed, and includes all labor, Materials, equipment and services provided or to be provided by or on behalf of the Builder to fulfill the Builder’s obligations hereunder. The Work shall also include the Builder’s obligation to pay in due course for all such labor, Materials, equipment and services provided or to be provided on behalf of the Builder to fulfill the Builder’s obligations hereunder.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Days” </w:t>
      </w:r>
      <w:r>
        <w:rPr>
          <w:rFonts w:ascii="Arial" w:cs="Arial" w:eastAsia="Arial" w:hAnsi="Arial"/>
          <w:sz w:val="18"/>
          <w:szCs w:val="18"/>
          <w:color w:val="auto"/>
        </w:rPr>
        <w:t>– shall mean “business days,” Monday through Friday, excluding holidays and weekends.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Terms defined in this Agreement, which are used in the other Contract Documents or Change Orders but not otherwise defined therein, shall have the meanings designated in this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 – SCOPE AND PRICE</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2.1 The object of the Contract is the construction by the Builder of one (1) dual mode articulated tug/barge trailing suction hopper dredge for the sum of the Contract Price, all in accordance with the Contract Documents, and to be delivered to the Owner by the Delivery Date shown on Exhibit A for the ATB Unit. The ATB Unit shall be constructed according to the Contract Documents.</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2.2 For the Contract Price, the Builder agrees, at its own risk and expense, to build at its shipyards located in Panama City, Florida, complete and deliver to the Owner, afloat at the Builder’s shipyard, on or before the Delivery Date, the ATB Unit, which at the time of Delivery is to be constructed, outfitted and tested in accordance with the Contract Documents. The Contract Price to be paid by the Owner for the Work for the Vessels shall be as set forth on Exhibit A and may only be adjusted in accordance with the terms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1" w:name="page132"/>
    <w:bookmarkEnd w:id="131"/>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2.3 The Builder shall use its commercially reasonable best efforts to obtain delivery terms from its Subcontractors and Suppliers so as to enable the Builder to meet the Project Schedule. Further, in the event any Change Orders are issued pursuant to Article 9 hereof, the Builder shall use its commercially reasonable best efforts to obtain the most favorable pricing and delivery terms from its Subcontractors and Suppliers in order to minimize the cost effect of such Change Order on the Contract Price and its impact, if any, on the Delivery Date.</w:t>
      </w:r>
    </w:p>
    <w:p>
      <w:pPr>
        <w:spacing w:after="0" w:line="7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2.4 The Builder agrees to furnish a suitable location at its shipyard(s) for the full and timely construction of the ATB Unit, storage of the Owner Furnished Items, together with all labor, management, tools, equipment, Materials, services and fees necessary for the construction, completion, inspection and certification of the Vessels and ATB Unit.</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2.5 Subject to Article 19, the Builder will comply with and construct the Vessels and ATB Unit to be in compliance with the requirements of governing Regulatory Authorities. All fees and charges of a Regulatory Authority shall be for the account of and paid by the Builder; except that Owner shall pay the fees for obtaining the Regulatory Approved Drawings.</w:t>
      </w:r>
    </w:p>
    <w:p>
      <w:pPr>
        <w:spacing w:after="0" w:line="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2.6 Subject to Article 19, in the construction of the Vessels and ATB Unit, the Builder will not knowingly violate the applicable requirements of the Regulatory Authorities which have jurisdiction and which are in effect or announced to come into effect on or before the date of this Agreement. In the event the Builder becomes aware that any portion of the Contract Documents do not comply with such rules, regulations and requirements of the Regulatory Authorities, the Builder shall promptly notify the Owner of said non-compliance and the Builder and the Owner shall agree on any Modification necessary to secure compliance and any alterations in the Work caused by such changes shall be the subject of a Change Order. If there are changes after the execution of this Agreement in the rules and regulations promulgated by the Regulatory Authorities applicable to each Vessel and the ATB Unit, alterations in the Work caused by such change shall be authorized and paid for by Owner as a Change Order.</w:t>
      </w:r>
    </w:p>
    <w:p>
      <w:pPr>
        <w:spacing w:after="0" w:line="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2.7 The Builder will provide and/or install and commission all Materials shown in the Specifications, including the installation of the Owner Furnished Items, except those items which the Specifications state are to be installed by the Owner or its separate contractors. With respect to such items to be installed by the Owner or its separate contractors, the Builder shall provide reasonable assistance, subject to any Modification if required, with respect to such installation in accordance with the Contract Documents and the Project Schedule (as defined in Article 6.4). The Builder shall receive and inspect for, and note on the carrier’s receipt, any shipping damage that is reasonably ascertainable upon a visual inspection, check as to agreement with bills of lading, store, protect and insure all Owner Furnished Items against physical damage or loss from all insurable risks as set forth in Article 10. Provided that the Builder has complied with the obligations of this Article, the Builder shall not be liable for any damage to the Owner Furnished Items that arises prior to delivery to the Builder’s shipyard. As soon as reasonably practical, but in no case later than the next Working Day following delivery of the Owner Furnished Items to the Builder’s shipyard, the Builder shall notify the Owner’s Representative of the delivery of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32" w:name="page133"/>
    <w:bookmarkEnd w:id="13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Owner Furnished Items, who shall, at the Owner’s expense and risk, inspect the Owner Furnished Items. The Builder does not accept responsibility for the fitness or condition of the Owner Furnished Items prior to their receipt and inspection as aforesaid. The Builder shall be liable to the Owner for any damage to or loss of the Owner Furnished Items occurring during the Builder’s custody thereof which may arise from any event. The Owner shall be responsible for providing the Builder accurate values of all Owner Furnished Items. The cost of technical support required to commission the Owner Furnished Items after installation by the Builder shall be the responsibility of the Owner. The Builder shall allow sufficient working area and time to allow the timely and safe installation and commissioning of equipment and loading of supplies prior to the Vessel’s departure voyage. Manufacturer’s and supplier’s commissioning of the Owner Furnished Items shall be scheduled by the Builder in cooperation with the Owner and with Owner being responsible for any costs and expenses charged by the suppliers of such Owner Furnished Items.</w:t>
      </w:r>
    </w:p>
    <w:p>
      <w:pPr>
        <w:spacing w:after="0" w:line="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2.8 Exhibit E attached hereto identifies all Owner Furnished Items and vendor furnished information for the Owner Furnished Items together with the Owner’s cost of said equipment and appurtenances for use in determining the policy value of the Builder’s Risk Insurance under Article 10.1(c). The cost of the Builder’s Risk Insurance for the Owner Furnished Items (for values shown in Exhibit E) shall be for the account of and paid by the Builder. If the Owner requests the Builder to place additional insurance, the cost to the Owner will be the Builder’s incremental cost for such additional insurance. The Owner Furnished Items and vendor furnished information shall be delivered free of cost to the Builder at the Builder’s shipyard by the dates set forth in Exhibit E. It shall be the Owner’s responsibility to timely provide all Owner Furnished Items to the Builder with all necessary attachments, accessories, sensors, alarms, fittings, and other items required for proper installation and further such Owner Furnished Items shall be delivered along with all necessary documentation, certifications, drawings and manuals including those required by any applicable classification societies or regulatory bodies. In the event the Builder becomes aware of any incompleteness or deficiency with respect to any Owner Furnished Items, it shall promptly notify the Owner. The Owner shall be responsible for all commissioning and start-up dock trial and sea trial costs, fees, and expenses charged by the suppliers of Owner Furnished Items, except to the extent that the Owner incurs extra charges as a result of the negligence of the Builder or Builder’s Subcontractors or Builder’s breach of this Agreement.</w:t>
      </w:r>
    </w:p>
    <w:p>
      <w:pPr>
        <w:spacing w:after="0" w:line="6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2.9 Subject to Article 4.1, the Builder will allow the Owner and/or its representatives at all reasonable times to examine the Vessel, the Work and Materials during construction.</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2.10 It is understood that the Builder is an independent contractor in the performance of the Work, maintaining complete control of its workers, the worksite and its operations. Neither the Builder nor anyone employed or engaged by it shall become an agent, representative, servant or employee of the Owner in the performance of the Work or any part of it. The Owner shall have no right or authority to supervise, direct, instruct or otherwise give orders to the Builder’s Personnel or to bind the Builder in any way to any third party. The Builder shall have no power whatsoever to bind the Owner in any way in any dealings between the Builder and third parties and shall not attempt or purport to do so. All portions of the Work that the Builder does not perform shall be performed under subcontracts or other appropriate agreement between the Builder and the Subcontractor performing the Work, and the Owner shall have no liability for such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3" w:name="page134"/>
    <w:bookmarkEnd w:id="133"/>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Subcontracts. Nothing contained in the Contract Documents shall create any contractual relationship between the Owner and any Subcontractor of the Builder. Notwithstanding the foregoing, for informational purposes only, the Builder shall furnish to the Owner at its request a copy of each Material Subcontract it enters into in connection with the Work. The Builder shall be allowed to redact certain financial information that it maintains is confidential and/or proprietary in nature, unless the Builder relies upon such financial information when presenting a Modification to the Owner.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 – DESIGN RESPONSIBILITY AND OWNERSHIP</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3.1 It shall be the Owner’s responsibility to finalize the development of the Design (but excluding Detail Design Drawings which are the Builder’s responsibility) and Functional Design Drawings and to obtain the Regulatory Approved Drawings, all of which shall be class approved stamped drawings and provided to Builder by the dates specified in Exhibits C-1 and C-2. In addition, the Owner shall timely deliver to the Builder the Barge model, which is based upon the Regulatory Approved Drawings, as set forth in Exhibit C-3. The Owner shall ensure that the Tug model, which is based upon the Regulatory Approved Drawings, as set forth in Exhibit C-3, is timely available at Ship Architects Incorporated for the Builder’s use. The Builder acknowledges that the Owner is not responsible for delivering the Tug model beyond the functional design level to the Builder, and the Builder shall obtain a license, if necessary, directly from Ship Architects Incorporated (“SAI”) for the delivery and use of the Tug model. Owner shall pay the expense for the development of the Tug model through the functional design level as well as any license fee that may be charged by SAI for a one time license for the use of the Tug model. The Builder shall be responsible for and develop, at the Builder’s expense, the Detail Design Drawings and the Detailed Construction Documentation based upon the Regulatory Approved Drawings. The Builder shall be responsible for any defects, deficiencies or errors in the Detail Design Drawings or the Detailed Construction Documentation unless caused by defects, deficiencies or errors in the Functional Design Drawings or Regulatory Approved Drawings as provided to Builder. Builder acknowledges that the ATB Barge and ATB Tug Drawing Packages identified in Exhibit C-4 have been provided by the Owner to the Builder for the Builder’s review and use in its pricing of the ATB Unit and its agreement to the Contract Price set forth herein.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 The Builder shall not be responsible with respect to the functionality of the Design of the Vessel(s) and the ATB Unit.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3.3 The Builder and the Owner agree that if, due to no fault of the Builder, the critical path of progress of the Work is delayed as a result of late receipt of or defects, deficiency or errors in the Functional Design Drawings or the Regulatory Approved Drawings from the Owner’s design agents, the Builder shall be entitled to claim a Change Order in accordance with the procedures set forth in Article 9. The Builder shall only be entitled to rely upon this Article 3.3 provided that (a) written notice explaining the circumstances of the delay and the anticipated effect on the critical path is given to the Owner within ten</w:t>
      </w:r>
    </w:p>
    <w:p>
      <w:pPr>
        <w:spacing w:after="0" w:line="2" w:lineRule="exact"/>
        <w:rPr>
          <w:sz w:val="20"/>
          <w:szCs w:val="20"/>
          <w:color w:val="auto"/>
        </w:rPr>
      </w:pPr>
    </w:p>
    <w:p>
      <w:pPr>
        <w:ind w:right="400" w:firstLine="8"/>
        <w:spacing w:after="0" w:line="261" w:lineRule="auto"/>
        <w:tabs>
          <w:tab w:leader="none" w:pos="3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Working Days of the Builder’s first knowledge of the delay; (b) the Builder has used all reasonably available means to avoid such delay; and (c) the Builder is unable to reasonably adjust its planned Project Schedule.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4" w:name="page135"/>
    <w:bookmarkEnd w:id="134"/>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3.4 The ATB Unit’s Contract Documents prepared by or for the Owner or its subcontractors in connection with the Work and any Intellectual Property they embody is and shall remain the sole and exclusive property of the Owner. Nothing contained herein shall be deemed to transfer any right of title or ownership of any Intellectual Property to the Builder and nothing herein contained shall be deemed to limit the Owner’s right to market, license, sell, use, modify or construct from such Intellectual Property for or to others.</w:t>
      </w:r>
    </w:p>
    <w:p>
      <w:pPr>
        <w:spacing w:after="0" w:line="7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3.5 The Builder shall ensure that all of its design professionals or Subcontractors agree to transfer and convey all title and ownership in the Detail Design Drawings and any Intellectual Property they embody to the Owner. Without limiting the foregoing, the Owner shall upon reasonable request be entitled to review the terms of such contracts prior to execution thereof by the Builder. The Builder shall be allowed to redact certain financial information from such contracts that is confidential and/or proprietary in nature.</w:t>
      </w:r>
    </w:p>
    <w:p>
      <w:pPr>
        <w:spacing w:after="0" w:line="7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3.6 All Intellectual Property and all works conceived, generated, created, developed and/or authored by Builder and Builder Group (individually or jointly) under this Agreement and related specifically to the Vessels shall be considered a work made for hire to the extent the law provides. Whether or not any Intellectual Property conceived, generated and/or authored by Builder and Builder Group (individually or jointly) is, or is not, considered work made for hire, Builder and Builder Group agree to convey and assign to Owner all of Builder and Builder Group’s worldwide rights, title and interest in and to in any Intellectual Property developed, conceived and/or generated under this Agreement, and Builder and Builder Group agree to fully cooperate (without further compensation) with Owner’s efforts to file, register, enforce and/or protect Owner’s rights to the Intellectual Property, and Builder and Builder Group will execute the necessary documents to ensure that all Intellectual Property conceived, generated, created, developed and/or authored under this Agreement is assigned to and/or vests in Owner. Notwithstanding any of the foregoing, any Intellectual Property developed by the Builder and which is related to general design elements, including design and techniques applied by Builder to prior vessels for other customers, and which is not unique to the Vessels, shall be retained by the Builder; provided, however, that the Owner shall have a perpetual non-exclusive license to use such Intellectual Property to the extent necessary in its operation, maintenance and repair of the Vessels.</w:t>
      </w:r>
    </w:p>
    <w:p>
      <w:pPr>
        <w:spacing w:after="0" w:line="7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3.7 The Builder covenants and agrees that its use of the Design, Functional Design Drawings, Regulatory Approved Drawings, or Detail Design Drawings shall be solely for purposes of performance of this Agreement, including, without limitation, any warranty obligations that arise hereunder. Without limiting the foregoing, the Builder shall not use a Vessel’s or the ATB Unit’s Design, Functional Design Drawings, Regulatory Approved Drawings, Detail Design Drawings, Specifications or any Intellectual Property associated with the foregoing to design, construct or have constructed on its behalf or on behalf of any Person, any other vessel or part thereof.</w:t>
      </w:r>
    </w:p>
    <w:p>
      <w:pPr>
        <w:spacing w:after="0" w:line="8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3.8 It is further understood that any Builder’s Process derived by the Builder from the Design, Specifications, Contract Documents, or the Builder furnished equipment are the property of the Builder.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35" w:name="page136"/>
    <w:bookmarkEnd w:id="135"/>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3.9 The Builder agrees that in the event any third party presents to the Builder a design substantially similar to a Vessel’s or the ATB Unit’s Design utilized under this Agreement, the Builder agrees to promptly notify the Owner and reasonably cooperate with the Owner in the Owner’s determination of whether such design infringes by a third party of any Intellectual Property rights associated with a Vessel’s or the ATB Unit’s Design.</w:t>
      </w:r>
    </w:p>
    <w:p>
      <w:pPr>
        <w:spacing w:after="0" w:line="39"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3.10 The Owner agrees that the Builder’s Process is and shall remain the property of the Builder and may not be disclosed by the Owner to any third party or used directly or indirectly by the Owner or any third party in the construction of a vessel for the Owner by any party other than the Builder.</w:t>
      </w:r>
    </w:p>
    <w:p>
      <w:pPr>
        <w:spacing w:after="0" w:line="1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3.11 The Builder agrees that the Design, Functional Design Drawings, Regulatory Approved Drawings Detail Design Drawings, Specifications and any Intellectual Property associated with the foregoing may not be disclosed by the Builder to any third party or used directly or indirectly by the Builder or any third party in the construction of a vessel by the Builder for any Person other than the Owner.</w:t>
      </w:r>
    </w:p>
    <w:p>
      <w:pPr>
        <w:spacing w:after="0" w:line="7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3.12 The Builder agrees to fully cooperate, and have its employees, subcontractors and agents fully cooperate, with the Owner in the procurement, prosecution, maintenance, protection and enforcement of all Intellectual Property rights associated with each Vessel’s and the ATB Unit’s Design. This cooperation includes, but is not limited to, the execution of any documents required by the Owner or any U.S. or foreign Intellectual Property office to establish and/or perfect the Owner’s exclusive ownership of such Intellectual Property.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4 – TRIALS AND DELIVERY</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4.1 The Owner shall, at its own expense, have the right at any time during normal business hours to inspect the Vessels, the Work and Materials and the progress being made in the Work and further shall have the right to have any qualified person of its choosing make inspection and examination of the Vessels in various stages of construction, subject to the Builder’s right to deny access to any Person who, in the Builder’s reasonable opinion, does not comply with the Builder’s health, safety, environmental, insurance or security policies, which policies shall be provided to the Owner within a reasonable time upon request.</w:t>
      </w:r>
    </w:p>
    <w:p>
      <w:pPr>
        <w:spacing w:after="0" w:line="8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4.2 Upon installation of any of the Vessels’ machinery, equipment, systems, which includes the components of the Dredging System, and Owner Furnished Items, each item will be tested to ensure its proper operation in accordance with the Schedule as called for in the Specifications. Materials and consumables necessary for operational testing, including but not limited to fresh water, fuels, oils, greases, filters, hydraulic fluids, shall be furnished by and for the account of the Builder. In accordance with Article 16.3, the Owner shall pay the Builder for materials and consumables on board the Vessels at the time of Delivery.</w:t>
      </w:r>
    </w:p>
    <w:p>
      <w:pPr>
        <w:spacing w:after="0" w:line="8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4.3 When the Builder has completed the Work on the Vessels, the ATB Unit will undergo Dock Trials to demonstrate that the Work and all of the Vessels’ machinery, equipment and systems operate in accordance with the Contract Documents. The Owner will be given a minimum seven (7) Working Days advance written notice of the scheduled dates for Dock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36" w:name="page137"/>
    <w:bookmarkEnd w:id="136"/>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Trials. Upon satisfactory completion of Dock Trials, and satisfactory correction of any of defective or non-compliant Work, the ATB Unit shall go on Sea Trials immediately prior to the intended Delivery to the Owner. The ATB Unit will undergo Sea Trials to demonstrate that the Work is completed, and including without limit, that the Vessels and their machinery, equipment and systems operate satisfactorily while the Vessels are in service and the Vessels and ATB Unit were constructed in accordance with the Contract Documents and all applicable requirements of the Regulatory Authorities. During any trials, the ATB Unit will be inspected by the Regulatory Authorities, the Builder and the Owner.</w:t>
      </w:r>
    </w:p>
    <w:p>
      <w:pPr>
        <w:spacing w:after="0" w:line="80"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4.4 The Builder and the Owner acknowledge that the ATB Unit’s Dredging System can only be effectively tested by loading and unloading a quantity of material into and out of the ATB Unit’s hopper (the “System Tests”), and that the System Tests during Sea Trials are essential to demonstrate that the Work and all the Vessels’ machinery, equipment and systems operate in accordance with the Contract Documents. The Owner shall provide at its cost the operating crew for performance of the System Tests and all necessary permits required to conduct the System Tests. In the event that the System Tests cannot be completed at the time of the Sea Trials or within seventy-two hours of the completion of Sea Trials and the cause for such lack of completion of the System Tests is not due to any breach of the Contract by the Builder or any act or omission of the Builder, the Owner shall take Delivery of the ATB Unit provided that all other requirements for Delivery are completed, and the Owner shall withhold $500,000.00 from the Delivery Payment (the “Retained Amount”) until such time as the System Tests have been satisfactorily completed. The Owner and the Builder shall perform the System Tests. The Owner shall notify the Builder in writing, and in the same form as Exhibit P, of any defects in the Dredging System within fifteen (15) Working Days of the performance of the System Tests. In the event the Owner has not notified the Builder of a defect in the Dredging System within such time, the Owner shall pay the Retained Amount to the Builder. Any defects in the Dredging System attributable to Builder discovered during the System Tests and timely notified to the Builder shall be remedied by the Builder in accordance with the provisions of this Article 4, after which the Owner shall pay the Retained Amount to the Builder less the following, as applicable:</w:t>
      </w:r>
    </w:p>
    <w:p>
      <w:pPr>
        <w:spacing w:after="0" w:line="80" w:lineRule="exact"/>
        <w:rPr>
          <w:sz w:val="20"/>
          <w:szCs w:val="20"/>
          <w:color w:val="auto"/>
        </w:rPr>
      </w:pPr>
    </w:p>
    <w:p>
      <w:pPr>
        <w:ind w:firstLine="464"/>
        <w:spacing w:after="0" w:line="277" w:lineRule="auto"/>
        <w:tabs>
          <w:tab w:leader="none" w:pos="701"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deductions from the early completion premium or additions to the late completion liquidated damages for each Day the ATB Unit is out of service to effect repairs to the Dredging System, at the applicable rate specified in Article 8;</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deductions from the early completion premium or additions to the late completion liquidated damages for each Day the System Tests exceed three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Days of testing (or a length of time as otherwise agreed by the parties), at the applicable rate specified in Article 8; and</w:t>
      </w:r>
    </w:p>
    <w:p>
      <w:pPr>
        <w:spacing w:after="0" w:line="102" w:lineRule="exact"/>
        <w:rPr>
          <w:rFonts w:ascii="Arial" w:cs="Arial" w:eastAsia="Arial" w:hAnsi="Arial"/>
          <w:sz w:val="18"/>
          <w:szCs w:val="18"/>
          <w:color w:val="auto"/>
        </w:rPr>
      </w:pPr>
    </w:p>
    <w:p>
      <w:pPr>
        <w:ind w:left="700" w:hanging="236"/>
        <w:spacing w:after="0"/>
        <w:tabs>
          <w:tab w:leader="none" w:pos="7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costs to the Owner reimbursable under Article 11.2 of this Agreement.</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4.5 The Builder acknowledges that the Vessels are being built as part of a dual mode articulated tug/barge trailing suction hopper dredge and that the construction and operation of each component part so as to operate as one fully integrated dual mode articulated tug/barge trailing suction hopper dredge is the object of the Contract. Acceptance by and Delivery to the Owner shall be subject to and conditioned upon the successful Sea Trials, Dock Trial and System Tests of the ATB Unit and not its component parts.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7" w:name="page138"/>
    <w:bookmarkEnd w:id="137"/>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the Owner is not satisfied with the Work, the Owner will promptly, and in any event within five (5) Working Days after conclusion of the Dock Trials and/or Sea Trials (as applicable), notify the Builder in writing, setting forth the nature and character of the problem in sufficient detail to fully apprise the Builder of same in the form attached as Exhibit P. The Builder shall work as expeditiously as possible to resolve the problem so that the ATB Unit conforms with the Contract Documents. When the trials and tests are complete and the problems, if any, are resolved to the Owner’s reasonable satisfaction, Delivery of the ATB Unit will be deemed achieved, subject to the Builder’s compliance with Article 5.6.</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a complaint regarding the Work under this Article 4 cannot be resolved and settled by the parties, then such complaint shall be settled in the manner provided for in Article 25 of this Agreement. During the pendency of such dispute and at the direction of Owner, Builder will proceed to resolve the Owner’s complaint on a time and material basis as defined in Article 9.7. If it is determined that the Work directed by Owner was not required by the Contract Documents, then Owner will pay Builder for such Work on a time and material basis as defined in Article 9.7 and the Delivery Date shall be adjusted by the number of Days the Work directed by Owner took to complete. The party who does not prevail in this dispute will also be required to pay any costs of additional testing and Dock Trials, Sea Trials or Systems Test. If it is determined that the Work was required by the Contract Documents, then the Work shall be deemed to have been part of the Contract Price and no additional amount shall be due to the Builder and the Builder shall be deemed to have been required to correct the Work, subject to liquidated damages for delays provided in this Agreement and, at Builder’s sole cost and expense, to such additional testing and Dock Trials, Sea Trials or System Tests as may be required in order to complete and satisfactorily test the Work in accordance with the Contract Documents.</w:t>
      </w:r>
    </w:p>
    <w:p>
      <w:pPr>
        <w:spacing w:after="0" w:line="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4.6 The Owner shall provide to the Builder a Shipyard Contract Deficiency Report in the form of Exhibit P as a means to communicate items that need to be addressed by the Builder before Delivery.</w:t>
      </w:r>
    </w:p>
    <w:p>
      <w:pPr>
        <w:spacing w:after="0" w:line="6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4.7 The Builder shall deliver the ATB Unit to the Owner in accordance with the Contract on or before the Delivery Date free and clear of liens and encumbrances and with Lien Release(s) in the forms of Exhibits G-1 and G-2, as required by Article 5.6, provided the Builder has been paid all amounts due under this Agreement.</w:t>
      </w:r>
    </w:p>
    <w:p>
      <w:pPr>
        <w:spacing w:after="0" w:line="7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4.8 Delivery shall be made safely afloat at the Builder’s shipyard in Panama City, Florida or at a location mutually agreed by the Owner and the Builder. If Delivery is made at an offshore location, the costs of such offshore delivery will be the subject of a Change Order for the account of the Owner; provided, however, that if the ATB Unit is delivered offshore immediately after the Sea Trials have been successfully completed, no Change Order or additional monies shall be due by the Owner.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38" w:name="page139"/>
    <w:bookmarkEnd w:id="13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 – PAYMENT</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5.1 The Work shall be performed by the Builder in consideration of the Owner’s payment of the Contract Price for each Vessel in the manner set forth in Exhibit A of this Agreement and Change Orders.</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5.2 The Owner agrees to pay the Contract Price of each Vessel to the Builder in Interim Installment Payments which shall correlate to the Milestone Schedule as set forth in Exhibit Q. In the event that the Owner shall fail to pay the first Interim Installment Payment as provided by Exhibit Q due to no fault of the Builder, the Builder shall have the right, at its sole discretion, to (i) cancel this Agreement, in which event the Builder shall have no further obligation to the Owner hereunder, or (ii) suspend performance of the Agreement until such first Interim Installment Payment is received. In the event of such suspension, the Project Schedule, including the Delivery Date, shall be adjusted commensurately with the period of suspension. If the Builder has not achieved the progress of Work required for an Interim Installment Payment, the Owner shall not be required to make the Interim Installment Payment until such time as the Builder certifies, to the satisfaction of the Owner, that it has achieved the Milestone necessary for the Interim Installment Payment.</w:t>
      </w:r>
    </w:p>
    <w:p>
      <w:pPr>
        <w:spacing w:after="0" w:line="5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5.3 Except for the first Interim Installment Payment, the Builder shall furnish a Milestone Certificate for each Milestone for any of the Vessels which shall state (i) the stage of Work achieved; (ii) that the Work completed complies with the Contract Documents; and (iii) that, subject to payment by the Owner therefor, there are no liens upon said Vessel for labor or Materials covered by this Interim Installment Payment for said Vessel, except those created by the Owner, its subcontractors, vendors, or employees. The Milestone Certificate shall be executed and certified by the President or Chief Financial Officer of the Builder. The Builder shall provide notice to the Owner within five (5) Working Days of receipt of any liens filed against the Work or a Vessel. If a lien claim is filed against the Vessel or the Work on the Vessel or any portion of the Work is seized in connection with any asserted lien, the Owner shall not be obligated to make payment until the lien is resolved to the reasonable satisfaction of the Owner or the lien is fully released by bonding or other appropriate means. Milestone Certificates for each Milestone shall be furnished to the Owner along with a Partial Lien Release(s) in the form of Exhibits L-1 and L-2 in favor of the Vessels and the Owner executed by the Builder and its Subcontractors, as applicable. The Builder shall submit a Builder’s Invoice in connection with each Interim Installment Payment as set forth in Exhibit Q.</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5.4 The Builder will give the Owner written and electronic notice of the intended date of issuance of a relevant Milestone Certificate, not more than ten</w:t>
      </w:r>
    </w:p>
    <w:p>
      <w:pPr>
        <w:spacing w:after="0" w:line="46"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Working Days nor less than five (5) Working Days before issuance. The form of Milestone Certificate is attached as Exhibit F-1 to this Agreement.</w:t>
      </w:r>
    </w:p>
    <w:p>
      <w:pPr>
        <w:spacing w:after="0" w:line="20" w:lineRule="exact"/>
        <w:rPr>
          <w:rFonts w:ascii="Arial" w:cs="Arial" w:eastAsia="Arial" w:hAnsi="Arial"/>
          <w:sz w:val="17"/>
          <w:szCs w:val="17"/>
          <w:color w:val="auto"/>
        </w:rPr>
      </w:pPr>
    </w:p>
    <w:p>
      <w:pPr>
        <w:ind w:right="100"/>
        <w:spacing w:after="0" w:line="273" w:lineRule="auto"/>
        <w:rPr>
          <w:rFonts w:ascii="Arial" w:cs="Arial" w:eastAsia="Arial" w:hAnsi="Arial"/>
          <w:sz w:val="17"/>
          <w:szCs w:val="17"/>
          <w:color w:val="auto"/>
        </w:rPr>
      </w:pPr>
      <w:r>
        <w:rPr>
          <w:rFonts w:ascii="Arial" w:cs="Arial" w:eastAsia="Arial" w:hAnsi="Arial"/>
          <w:sz w:val="17"/>
          <w:szCs w:val="17"/>
          <w:color w:val="auto"/>
        </w:rPr>
        <w:t>Except for the first Interim Installment Payment, and with respect to any Interim Installment Payment which is disputed and subject to resolution pursuant to Article 5.5, Interim Installment Payments will be made by the Owner within ten (10) Working Days of receipt of the relevant Milestone Certificate, or within ten (10) Working Days of resolution of such dispute under Article 5.5, accompanied by appropriate Lien Release(s) and Builder’s Invoice, in the form attached as Exhibit F-2 (except that the Delivery Payment will be made by the Owner upon Delivery of the ATB Unit).</w:t>
      </w:r>
    </w:p>
    <w:p>
      <w:pPr>
        <w:spacing w:after="0" w:line="6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5.5 Except for disputes arising with respect to the final Milestone, if the Owner objects upon receipt of the Milestone Certificate on grounds that the pertinent Milestone has not been reached, the dispute will be resolved pursuant to the provisions of Article 25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9" w:name="page140"/>
    <w:bookmarkEnd w:id="139"/>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5.6 As of the time of Delivery of each Vessel, the Builder shall have executed and delivered to the Owner (a) a Certificate of Completion and Delivery in the form of Exhibit H (including all documents listed therein) stating (i) that the Vessel has been completed, (ii) that all trials and tests have been satisfactorily completed (except, if applicable, the System Tests), and (iii) that the Vessel complies with the Contract Documents and is free from any known defects in the Builder’s Materials and workmanship; (b) final lien waivers from the Builder, in the form of Exhibits G-1 and G-2; (c) the Detail Design Drawings, including any and all modifications thereto to reflect the as-built design and construction of the Vessel which shall be delivered to Owner within five (5) Days of Delivery if available but in no event later than thirty (30) Days after Delivery with the understanding that the Builder shall always use commercially reasonable efforts to deliver the as built drawings as expeditiously as possible upon or after Delivery of each of the Vessels; (d) any other documents set forth in the Specifications; and (e) any other document reasonably required by the Owner, by applicable law or by any Regulatory Authority in order for the Owner to have the Vessel documented in the Owner’s name and to allow the ATB Unit to commence operations as a trailing suction hopper dredge inspected under 46 C.F.R. Sub-Chapter C, and meeting Sub-Part I of Part 174, with a coastwise endorsement in the United States, the foregoing being collectively referred to as the “Delivery Documents”. The Delivery Documents shall not include any certificate or approval from any Regulatory Authority required to be obtained by Owner as owner or operator of the Vessels. Upon receipt of all Delivery Documents, the Owner shall execute and deliver to the Builder a Protocol of Delivery and Acceptance in the form set forth in Exhibit M.</w:t>
      </w:r>
    </w:p>
    <w:p>
      <w:pPr>
        <w:spacing w:after="0" w:line="8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5.7 Upon Delivery as evidenced by a fully executed Protocol of Delivery and Acceptance or in the event the Owner refuses to accept a Vessel, despite the Builder’s complete satisfaction and fulfillment of Builder’s obligations hereunder, the Owner shall pay the Builder:</w:t>
      </w:r>
    </w:p>
    <w:p>
      <w:pPr>
        <w:spacing w:after="0" w:line="76" w:lineRule="exact"/>
        <w:rPr>
          <w:sz w:val="20"/>
          <w:szCs w:val="20"/>
          <w:color w:val="auto"/>
        </w:rPr>
      </w:pPr>
    </w:p>
    <w:p>
      <w:pPr>
        <w:ind w:left="1480" w:hanging="56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Delivery Payments indicated in Exhibits Q-1 and Q-2;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Plus any amounts due and payable by the Owner that have not been paid to date;</w:t>
      </w:r>
    </w:p>
    <w:p>
      <w:pPr>
        <w:spacing w:after="0" w:line="130" w:lineRule="exact"/>
        <w:rPr>
          <w:rFonts w:ascii="Arial" w:cs="Arial" w:eastAsia="Arial" w:hAnsi="Arial"/>
          <w:sz w:val="18"/>
          <w:szCs w:val="18"/>
          <w:color w:val="auto"/>
        </w:rPr>
      </w:pPr>
    </w:p>
    <w:p>
      <w:pPr>
        <w:jc w:val="both"/>
        <w:ind w:left="1480" w:right="100" w:hanging="567"/>
        <w:spacing w:after="0" w:line="264"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Plus any applicable State or Local Sales and/or Use Taxes, unless the Owner has provided to the Builder documents required by Florida law to obtain a sales or use tax exemption (the Builder agrees to provide reasonable assistance as requested by the Owner for obtaining any available exemption(s));</w:t>
      </w:r>
    </w:p>
    <w:p>
      <w:pPr>
        <w:spacing w:after="0" w:line="86"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Plus or less any changes in the Contract Price resulting from fully executed Change Orders that have not been paid or credited prior to Delivery;</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Plus the cost of any stores paid for by the Builder on board the ATB Unit at the time of Delivery;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40" w:name="page141"/>
    <w:bookmarkEnd w:id="140"/>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left="1480" w:right="60" w:hanging="567"/>
        <w:spacing w:after="0" w:line="264"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the liquidated damages for delay that may have accrued in accordance with Article 8 below. If the amount of liquidated damages payable pursuant to Article 8 shall exceed the sum of (1) through (5), above, the Builder shall pay the difference to the Owner at the time of Delivery; and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any Retained Amount.</w:t>
      </w:r>
    </w:p>
    <w:p>
      <w:pPr>
        <w:spacing w:after="0" w:line="11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5.8 In the event of any dispute between the Owner and the Builder at the time of Delivery, which the Owner reasonably determines is not material to the functionality and performance of the Vessels and their systems, the Builder and the Owner shall reserve their respective rights regarding the dispute and Delivery of the ATB Unit shall be made subject to such reservation. The Builder shall not withhold or otherwise delay or encumber the Delivery of the ATB Unit and the Owner shall not withhold acceptance of the ATB Unit or the payment of all amounts due and payable pursuant to Article 5.7. The Builder shall deliver the Builder’s Certificate to the offices of Marine Documentation in Falling Water, West Virginia to be held in escrow and released upon the Owner’s payment of eighty percent (80%) of the final payment for such Vessel to the Builder with the twenty percent (20%) balance of the final payment for such Vessel to be held in escrow by the law offices of Baker Donelson and released to the Builder upon the issuance of the Certificate of Documentation by the U.S. Coast Guard National Vessel Documentation Center.</w:t>
      </w:r>
    </w:p>
    <w:p>
      <w:pPr>
        <w:spacing w:after="0" w:line="7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5.9 All payments will be due by wire transfer or other payment in good funds unless otherwise specified herein. The Builder and the Owner shall furnish wire transfer payment instructions to the other party. Any and all late payments shall accrue interest at the thirty-day Libor rate plus two percent (2%) from the date that the payment was due until paid.</w:t>
      </w:r>
    </w:p>
    <w:p>
      <w:pPr>
        <w:spacing w:after="0" w:line="73"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5.10 Payments by the Owner shall be without prejudice to all rights, defenses and remedies of the Owner in respect of the ATB Unit and this Agreement.</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5.11 Additions, deletions or extra items requested by the Owner from the Contract Documents shall be initiated and performed by the Builder without delay. Any increase or decrease in the Contract Price from a change or adjustment agreed to in accordance with Article 9 shall be deemed a part of the Contract Price. Where the increase or decrease in the Contract Price has not been agreed upon, the Interim Installment Payment shall be estimated based on the Owner’s good faith estimate of the increase or decrease in the Contract Price due to such change or adjustment, unless the Owner and the Builder agree otherwise. At the time the increase or decrease in the Contract Price is agreed upon between the Owner and the Builder, an appropriate adjustment will be made in the subject Interim Installment Payments to reflect the variance, if any, between the Owner’s estimate and the agreed adjustment in the Contract Price.</w:t>
      </w:r>
    </w:p>
    <w:p>
      <w:pPr>
        <w:spacing w:after="0" w:line="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5.12 In the event that an increase or decrease in the Contract Price due to change or adjustment under Article 9 below is not mutually agreed to prior to Delivery of the ATB Unit to the Owner, appropriate adjustment of any overpayment or underpayment shall be made promptly upon final determination in accordance with Article 25 as to the increase or decrease and any adjustments required to the Contract Price shall be paid or refunded within ten (10) Working Days.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41" w:name="page142"/>
    <w:bookmarkEnd w:id="141"/>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5.13 If a change or adjustment shall result in an agreed increase or decrease in the Contract Price for the ATB Unit, all Interim Installment Payments thereafter relating to the ATB Unit shall take account of such increased or decreased Contract Price. The first such Interim Installment Payment that becomes due after the subject increase or decrease shall be adjusted by an amount equal to the product of (a) the amount of the increase or decrease in the Contract Price and (b) the aggregate percentage of the Contract Price required to be paid on or before the due date of such Interim Installment Payment.</w:t>
      </w:r>
    </w:p>
    <w:p>
      <w:pPr>
        <w:spacing w:after="0" w:line="46"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5.14 The Owner and the Builder agree that the sum of the Contract Price for the Vessels as set forth in Exhibit A shall be paid by the Owner by the aggregate of (i) payments by the Owner to the Builder in accordance with the Tug Milestone Schedule set forth in Exhibit Q-1; and (ii) payments by the Owner to the Builder in accordance with the Barge Milestone Schedule set forth in Exhibit Q-2.</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 – PROSECUTION OF THE WORK AND PROJECT SCHEDULE</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6.1 In consideration for the Contract Price, the Builder shall provide all things required for the complete performance of the Work, except for such items as are specifically required by the Contract Documents to be furnished by the Owner. The Builder shall at all times prosecute the Work diligently so as to ensure completion of the ATB Unit in full accordance with the Contract Documents by the Delivery Date. The Builder shall at all times furnish sufficient numbers or amounts of properly skilled and qualified workers, acceptable materials and equipment and adequate services and tools and equipment necessary for the Work and to ensure the delivery of the ATB Unit by the Delivery Date.</w:t>
      </w:r>
    </w:p>
    <w:p>
      <w:pPr>
        <w:spacing w:after="0" w:line="8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6.2 The Builder shall perform all of the Work in accordance with Good Shipbuilding Practice, all applicable laws, applicable codes and standards, and the Contract Documents. All engineering and design services provided by Builder shall be provided utilizing Good Shipbuilding Practice and the generally accepted standard of care, skill and diligence as would be provided by a national shipbuilder to the U.S. maritime industry. The ATB Unit shall be constructed in a good and workmanlike manner consistent with Good Shipbuilding Practice and in accordance with the class standards set forth in the Specifications, Contract Documents and the requirements of the governing Regulatory Authorities. All Work of the Builder requiring certification shall be certified.</w:t>
      </w:r>
    </w:p>
    <w:p>
      <w:pPr>
        <w:spacing w:after="0" w:line="5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6.3 The Builder understands that time is of the essence for the Owner and that an essential cause for the Owner’s decision to enter into this Agreement with the Builder is the representation by the Builder that, except for causes of Force Majeure or other delays excused in accordance with the terms of this Agreement, the Builder can and will perform the Work and can and will deliver the ATB Unit by the Delivery Date shown on Exhibit A. The Builder shall not take on additional work in its yard(s) which would adversely impact the delivery of the ATB Unit. In the event that the Builder is unable to complete and deliver the ATB Unit by its Delivery Date as a result of a Force Majeure event or other event causing delay, the Builder will work with full dispatch in order to complete the delayed ATB Unit in the most timely manner achievable by the Builder, including, without limitation, acceleration of the Work by all reasonable means available. In the event the delay is caused by a Force Majeure event or another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42" w:name="page143"/>
    <w:bookmarkEnd w:id="14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event which would allow Builder an extension of the Delivery Date under this Agreement, the additional cost including overtime incurred by the Builder to accelerate completion of the Work will be the subject of a Change Order; provided, however, that the Owner shall have the right to review and approve any acceleration of the Work or any recovery plan proposed by the Builder before it is implemented by the Builder. The Builder shall not, under any circumstances, make a decision that it is more economically advantageous for the Builder to pay liquidated damages than to allocate all necessary resources to the construction of the delayed ATB Unit that, if so allocated, would prevent the delay or lessen the delay and the Owner shall have the right to a mandatory injunction requiring the Builder to complete the Work with all due diligence. Notwithstanding anything to the contrary in Article 25, the Owner may seek such mandatory injunction in the exclusive venue selected by the parties in Article 25 hereof.</w:t>
      </w:r>
    </w:p>
    <w:p>
      <w:pPr>
        <w:spacing w:after="0" w:line="7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6.4 The Builder has provided to the Owner a preliminary schedule attached hereto as Exhibit K. No later than thirty (30) Days following the execution of this Agreement, the Builder shall submit to the Owner a project schedule and execution plan (the “Project Schedule”) in electronic form in its native format and a .pdf. The Owner and the Builder each acknowledge that the Project Schedule is a tool to be used to measure the Builder’s progress. Such schedule shall indicate dates for commencement, completion of the Work, and an overall project execution strategy. All points of interface between the Owner and the Builder (i.e., all instances where performance of the Builder’s Work depends upon the Owner) and appropriate constraints shall be included in the Project Schedule. In particular, the required delivery date of Owner Furnished Items shall be included in the Project Schedule so that the Owner may schedule its delivery to the Builder. In addition to any and all other parts of the Work shown, said Project Schedule shall indicate the dates of expected completion of each Milestone task set forth in Exhibit Q. The Builder shall use and be entitled to rely upon information provided by the Owner for its installation of the Owner Furnished Items and shall bear no liability for any critical path schedule impacts due to the late delivery of the Owner Furnished Items. Nonetheless, the Builder agrees to exercise due diligence to overcome the late delivery of any Owner Furnished Items that have an impact on the critical path of the Project Schedule. If the Builder shall incur any additional expense, the Builder shall notify the Owner about the details supporting such additional expense and the Builder shall be entitled to a Change Order in the agreed amount of such extra expense.</w:t>
      </w:r>
    </w:p>
    <w:p>
      <w:pPr>
        <w:spacing w:after="0" w:line="6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6.5 During the performance of the Work, the Project Schedule shall be updated to show the progress of the Work and shall be submitted to the Owner for its review every four (4) weeks, commencing after the Builder’s submittal of the original Project Schedule and shall hold project status meetings with the Owner’s Representative every week for the final eight (8) weeks. If the progress of the Work in comparison to the Project Schedule evidences that the Builder is not on schedule and the Owner so notifies the Builder, the Builder shall, within twenty (20) Working Days thereafter, provide a recovery plan to the Owner for the Owner’s review and approval, which recovery plan must set forth a revised Project Schedule with a re-sequencing and/or acceleration of elements of the Work in order to complete the ATB Unit by the Delivery Date. Except as provided to the contrary in Article 6.3, the Builder shall be responsible for all costs and expenses incurred by the Builder in the implementation of the recovery plan.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43" w:name="page144"/>
    <w:bookmarkEnd w:id="14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6.6 The Owner acknowledges that the Functional Design Drawings, the Regulatory Approved Drawings, the Barge Model (to the extent of functional design), the Tug Model (to the extent of functional design) and the Owner Furnished Items have critical importance to the maintenance and achievement of the Delivery Date. The Owner also acknowledges that the failure to timely deliver the aforementioned items may cause a delay in the completion of the Work, and may cause Builder to incur additional costs over and above those projected for this Agreement. In the event that completion of the Work is delayed as a direct result of Owner’s failure to timely provide the aforementioned items, the Delivery Date will be extended by a period equal to the period of the delay. In the event Builder incurs additional costs directly related to the Work as a direct result of Owner’s failure to timely provide the aforementioned items, Owner shall compensate Builder for reasonable costs related to the Work that Builder may demonstrate as resulting from the delay. In all instances of delay in delivery of the aforementioned items, Builder shall demonstrate that the path of the Work has been affected and that the Builder was not able to adjust the planned Project Schedule to avoid extension of the Delivery Date or the incurrence of additional costs. In the event the Builder determines that the late delivery of the aforementioned items is affecting the Project Schedule such that the Delivery Date must be extended and/or that additional costs will be incurred by the Builder as a direct result of such late delivery, the Builder shall notify the Owner in writing of such event as soon as possible but no later than fifteen (15) Working Days after knowledge thereof and provide all pertinent details and documents to support any proposed extension of the Delivery Date and/or any additional costs the Builder anticipates incurring as a result of such delay. In the event the Builder is unable to quantify the expected delay or additional cost, the Builder shall provide its best estimate and shall update and revise the estimate as additional information becomes available. The Builder shall be precluded from asserting any claim for an extension of the Delivery Date and/or for additional costs, which is not timely made in accordance with this Article 6.6. Notwithstanding anything herein to the contrary, the Builder shall continue with the performance of the Work even if there is a dispute regarding the delay and cost effect of any delay in providing the aforementioned items, which dispute shall be resolved pursuant to Article 25 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 – FORCE MAJEURE</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7.1 The Builder shall not be liable for failure to perform its obligation under this Agreement during such time period the Builder’s performance is prevented by reason of a Force Majeure event. The Delivery Date of the ATB Unit shall be subject to extension by reason of Force Majeure provided that the critical path of the Work is shown to have been affected by such Force Majeure event and the Builder is unable to reasonably adjust its planned Project Schedule. Subject to Articles 7.2 through 7.5, the parties agree that such causes shall include, but not be limited to, the following: all strikes, lockouts, or any other industrial disturbance (not within the control of the Builder and not involving its own workers); shortages, unavailability, inadequacy or delays in receiving fuel supplies or electricity, supplies, Materials and equipment (not within the control of the Builder); delivery of defective Materials and equipment (not within the control of Builder); acts of God, war, preparation for war, the intervention of the Military or other agencies of government, blockade, sabotage (not involving the Builder’s own workers or the Builder’s Subcontractors), terrorism and vandalism (not involving the Builder’s own workers or the Builder’s Subcontractors), riots, insurrection; extraordinary rain, landslides, floods, named tropical storms or hurricanes which affect the Builder’s shipyard, tornadoes, earthquakes, collisions, fire, epidemics and lightning. No such extension, however, shall suspend, alter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44" w:name="page145"/>
    <w:bookmarkEnd w:id="144"/>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affect the Builder’s right to receive or the Owner’s duty, if any, to compensate for all Work completed through the date of suspension. The Builder shall notify the Owner in writing promptly of any Force Majeure event and shall furnish an estimate of the extent of any Force Majeure delay as soon as reasonably practical but not exceeding twenty (20) Working Days after learning of a Force Majeure event. The Builder shall include with that notice (a) a description of the event, (b) its occurrence date, (c) its expected duration and (d) its expected effect on the Project Schedule and the Delivery Date of the ATB Unit. The Builder shall inform the Owner in writing of the end of a Force Majeure event as soon as reasonably practical after its cessation but not exceeding twenty</w:t>
      </w:r>
    </w:p>
    <w:p>
      <w:pPr>
        <w:spacing w:after="0" w:line="2" w:lineRule="exact"/>
        <w:rPr>
          <w:sz w:val="20"/>
          <w:szCs w:val="20"/>
          <w:color w:val="auto"/>
        </w:rPr>
      </w:pPr>
    </w:p>
    <w:p>
      <w:pPr>
        <w:ind w:right="60" w:firstLine="8"/>
        <w:spacing w:after="0" w:line="252" w:lineRule="auto"/>
        <w:tabs>
          <w:tab w:leader="none" w:pos="34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Working Days and include an estimate of the delay in any Delivery Date, if any, caused by that event. Upon receipt of the Builder’s notice of a Force Majeure event, the Owner shall, within ten (10) Working Days thereafter, either acknowledge in writing its agreement that such event is to be treated as a Force Majeure event, or state any objections, and the reasons therefor, to acceptance of this event as a Force Majeure event. If the Owner objects to the Builder’s notice or does not respond within ten (10) Working Days, the matter shall be reserved and referred to resolution under Article 25. If the Owner does not respond within ten (10) Working Days, the Force Majeure event shall be considered approved. If completion of the ATB Unit is delayed by a Force Majeure event, the Delivery Date of the ATB Unit shall be adjusted by a period equal to the period specifically and exclusively resulting from the Force Majeure event.</w:t>
      </w:r>
    </w:p>
    <w:p>
      <w:pPr>
        <w:spacing w:after="0" w:line="8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7.2 Delays caused by weather conditions shall only be Force Majeure where caused by landslide, lightning, flood, windstorm, hurricane, named tropical storm, earthquake, tornado or extraordinary rains which prevent Work occurring out of doors at the Builder’s shipyard.</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7.3 Delays caused by labor shortages and other shortages or inability to perform resulting directly from and that arise immediately following named tropical storms or hurricanes shall only be considered Force Majeure if the Builder shall have provided to the Owner within ten (10) Days following its notice of the Force Majeure event a plan by the Builder demonstrating that the Builder will take all reasonable efforts in order to mitigate the effects and delays arising from such shortages or inabilities to perform in an expedient manner.</w:t>
      </w:r>
    </w:p>
    <w:p>
      <w:pPr>
        <w:spacing w:after="0" w:line="7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7.4 Should there be local area, state or federal government interferences in the Builder’s shipyard, this interference will only be considered Force Majeure if exercised by the governmental entity pursuant to clear legal authority. If exercised without clear legal authority, it will only be considered Force Majeure if the Builder reasonably exercises its legal rights to oppose such interference, by all reasonable legal means in order that interference will not cause delays in delivery of the ATB Unit.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7.5 It is expressly understood by the Builder that delays in receiving supplies, materials and equipment shall not be considered Force Majeure unless</w:t>
      </w:r>
    </w:p>
    <w:p>
      <w:pPr>
        <w:spacing w:after="0" w:line="46" w:lineRule="exact"/>
        <w:rPr>
          <w:sz w:val="20"/>
          <w:szCs w:val="20"/>
          <w:color w:val="auto"/>
        </w:rPr>
      </w:pPr>
    </w:p>
    <w:p>
      <w:pPr>
        <w:ind w:right="140" w:firstLine="8"/>
        <w:spacing w:after="0" w:line="254" w:lineRule="auto"/>
        <w:tabs>
          <w:tab w:leader="none" w:pos="2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caused by strikes or lockouts of workmen other than those in the employ of the Builder, or (b) the Builder establishes to the reasonable satisfaction of the Owner that (i) the Builder timely ordered and paid for as required such supplies, materials and equipment; (ii) the Builder exercised due diligence to obtain delivery; (iii) no other source of supply was reasonably available; and (iv) the Builder is unable to reasonably adjust its Project Schedule to maintain scheduled critical path progress of the Work.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45" w:name="page146"/>
    <w:bookmarkEnd w:id="14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7.6 Should the Builder claim adjustments to the Delivery Date for the ATB Unit for one hundred and eighty (180) or more Days in the aggregate for reasons it claims are related to Force Majeure event(s), the Owner, at its sole option and in its discretion, shall have the right to terminate this Contract for convenience by giving seven (7) Days prior written notice to the Builder of the Owner’s intent to terminate for convenience under this Article. In such event, the Builder shall release the ATB Unit, and the Work and any Materials or equipment relating thereto to the Owner and invoice the Owner (a) for the portion of the Contract Price(s) allocable to the Work in progress performed on and Material commitments made for the ATB Unit as of the effective date of the termination, less the aggregate of previous payments relating to the ATB Unit; and (b) for all documented expenditures made and costs incurred reasonably necessary to the settling or discharging outstanding commitments relating to the ATB Unit entered into by the Builder in performing under this Contract. The Owner shall pay all undisputed amounts at the time the Builder releases the ATB Unit to the Owner with any disputed amounts being subject to the dispute resolution provisions of Article 25 of this Agreement. In the event of termination for Force Majeure pursuant to this Article by the Owner, the Owner’s right to terminate shall be its sole and exclusive remedy and the provisions of Article 14 shall not apply and the termination shall not be deemed to be on account of a Builder default. Unless specifically provided in this Agreement, the Owner shall not under any circumstances be responsible or liable to the Builder, or its Suppliers or Subcontractors of any tier, for any incidental, consequential or special damages or expenses of any type or kind, including, but not limited to, loss of time, loss of profit or earnings, or losses related to detrimental reliance upon the existence of the Agreement, whether or not such losses directly or indirectly arise out of the Agreement, or from any actions taken by the Owner at any time to terminate the Agreement. Extensions of the Delivery Date due to the delay of the Owner under Article 6.6 shall not be included in the calculation of Days in connection with the Owner’s right to cancel under this Article 7.6.</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 – LIQUIDATED DAMAGES FOR DELAY</w:t>
      </w:r>
    </w:p>
    <w:p>
      <w:pPr>
        <w:spacing w:after="0" w:line="229"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8.1 In the event the Builder shall deliver the ATB Unit later than its Delivery Date, the Builder shall pay to the Owner as liquidated damages in the form of a reduction in the Contract Price, to the extent any amounts are still owing, and any balance in cash, the amount of $15,000 per day for each and every Day for the first thirty (30) Days that the actual date of Delivery for the ATB Unit occurs after the Delivery Date for the ATB Unit.</w:t>
      </w:r>
    </w:p>
    <w:p>
      <w:pPr>
        <w:spacing w:after="0" w:line="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8.2 In the event the Builder shall deliver the ATB Unit later than thirty (30) Days after the Delivery Date, the Builder shall pay to the Owner as liquidated damages in the form of a reduction in the Contract Price, to the extent any amounts are still owing, and any balance in cash, the amount of $20,000 per Day for each and every Day that the actual date of Delivery for the ATB Unit exceeds thirty (30) Days after the Delivery Date for the ATB Unit up to sixty (60) Days of delay.</w:t>
      </w:r>
    </w:p>
    <w:p>
      <w:pPr>
        <w:spacing w:after="0" w:line="7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8.3 In the event the Builder shall deliver the ATB Unit later than sixty (60) Days after the Delivery Date but less than ninety-one (91) Days after the Delivery Date, the Builder shall pay to the Owner as liquidated damages in the form of a reduction in the Contract Price, to the extent any amounts are still owing, and any balance in cash, the amount of $25,000 per Day for each and every Day that the actual date of Delivery for the ATB Unit exceeds sixty (60) Days after the Delivery Date up to ninety (90) Days of delay.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46" w:name="page147"/>
    <w:bookmarkEnd w:id="146"/>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8.4 In the event the Builder shall deliver the ATB Unit later than ninety (90) Days after the Delivery Date but less than one hundred twenty (120) Days after the Delivery Date, the Builder shall pay to the Owner as liquidated damages in the form of a reduction in the Contract Price, to the extent any amounts are still owing, and any balance in cash, the amount of $30,000 per Day for each and every Day that the actual date of Delivery for the ATB Unit exceeds ninety (90) Days after the Delivery Date up to one hundred twenty (120) Days of delay.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8.5 In the event the Builder shall deliver the ATB Unit later than one hundred twenty (120) days after the Delivery Date but less than one hundred fifty</w:t>
      </w:r>
    </w:p>
    <w:p>
      <w:pPr>
        <w:spacing w:after="0" w:line="46" w:lineRule="exact"/>
        <w:rPr>
          <w:sz w:val="20"/>
          <w:szCs w:val="20"/>
          <w:color w:val="auto"/>
        </w:rPr>
      </w:pPr>
    </w:p>
    <w:p>
      <w:pPr>
        <w:ind w:firstLine="8"/>
        <w:spacing w:after="0" w:line="255" w:lineRule="auto"/>
        <w:tabs>
          <w:tab w:leader="none" w:pos="4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Days after the Delivery Date, the Builder shall pay to the Owner as liquidated damages in the form of a reduction in the Contract Price, to the extent any amounts are still owing, and any balance in cash, the amount of $35,000 per Day for each and every Day that the actual date of Delivery for the ATB Unit exceeds one hundred twenty (120) Days after the Delivery Date up to one hundred fifty (150) Days of delay.</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8.6 In the event the Builder shall deliver the ATB Unit later than one hundred fifty (150) Days after the Delivery Date but less than one hundred eighty</w:t>
      </w:r>
    </w:p>
    <w:p>
      <w:pPr>
        <w:spacing w:after="0" w:line="46" w:lineRule="exact"/>
        <w:rPr>
          <w:sz w:val="20"/>
          <w:szCs w:val="20"/>
          <w:color w:val="auto"/>
        </w:rPr>
      </w:pPr>
    </w:p>
    <w:p>
      <w:pPr>
        <w:ind w:firstLine="8"/>
        <w:spacing w:after="0" w:line="255" w:lineRule="auto"/>
        <w:tabs>
          <w:tab w:leader="none" w:pos="4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Days after the Delivery Date, the Builder shall pay to the Owner as liquidated damages in the form of a reduction in the Contract Price, to the extent any amounts are still owing, and any balance in cash, the amount of $40,000 per Day for each and every Day that the actual date of Delivery for the ATB Unit exceeds one hundred fifty (150) Days after the Delivery Date up to one hundred eighty (180) Days of delay.</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8.7 In no event shall the total amount of liquidated damage for delay in Delivery exceed $4,950,000.</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8.8 It is understood and agreed that in the event of late Delivery of 180 Days or less, the Owner shall suffer damages which are difficult to ascertain, and the Builder and the Owner acknowledge and agree that liquidated damages in the amounts set forth herein are a reasonable estimate of the anticipated damages that the Owner may suffer as a result of delayed delivery and are not a penalty. It is understood and agreed by and between the Builder and the Owner that such reduction in the Contract Price for the liquidated damages or payment of any balance in cash shall be in lieu of all other delay damages available to the Owner under this Agreement or at law or in equity (except for the injunctive relief set forth in Article 6.3), if any, and shall be construed as liquidated damages and as a waiver of any rights or remedies available for the failure to timely complete the ATB Unit on or before the Delivery Date. Such liquidated damages shall be the Owner’s sole and exclusive remedy for any damages due specifically to late delivery of 180 Days or less of the ATB Unit and the Owner specifically waives all other rights or remedies at law or in equity (except for injunctive relief) for any such late delivery.</w:t>
      </w:r>
    </w:p>
    <w:p>
      <w:pPr>
        <w:spacing w:after="0" w:line="5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8.9 In the event the Builder shall not have delivered the ATB Unit on or before one hundred eighty-one (181) Days after its Delivery Date, the Builder shall be in default and, in addition to the liquidated damages due up to the date of termination, and the other rights and remedies available to the Owner under this Agreement, the Owner may, at its option, immediately terminate this Contract upon written notice to the Builder.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47" w:name="page148"/>
    <w:bookmarkEnd w:id="14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8.10 Any liquidated damages claimed by the Owner but disputed by the Builder (“Disputed Liquidated Damages”) shall be deposited promptly by the Builder prior to Delivery of the ATB Unit in an escrow account at a mutually agreeable financial institution in the joint names of the Builder and the Owner pending resolution of the dispute in accordance with Article 25 of this Agreement.</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9 – CHANGES IN THE WORK</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9.1 The Owner reserves the right to make any deductions from or additions to the Work on giving due notice in writing to the Builder, the cost of any such changes to be agreed upon in advance by the Owner and the Builder, and added to, or deducted from the total Contract Price for the ATB Unit. If any such change will affect the current Delivery Date of the ATB Unit, or if any delays shall have occurred which, according to the terms of this Agreement, require an adjustment of the Delivery Date, the Delivery Date shall be adjusted accordingly. A statement of the changes in the Work, including any increased or reduced amount of the Contract Price, and/or any adjustment to the current Delivery Date, shall be submitted in a proposed Change Order to the Owner by the Builder. Said Change Order shall be agreed or disputed in writing by the Owner within ten (10) Working Days. The Change Order form to be utilized is attached hereto as Exhibit I. In the event the Owner shall dispute the Builder’s proposed Change Order, the Builder shall nonetheless proceed to make the change so required on a time and materials basis as set forth below in Article 9.7. The undisputed portion shall be reflected in an adjustment in the amount of the applicable Interim Installment Payment and the disputed amount resolved in accordance with Article 25 of this Agreement.</w:t>
      </w:r>
    </w:p>
    <w:p>
      <w:pPr>
        <w:spacing w:after="0" w:line="5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9.2 Changes in the Work or to any Contract Document may be accomplished after execution of this Agreement, and without invalidating the Contract, by Change Order, subject to the limitations herein.</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9.3 Changes in the Work shall be performed under applicable provisions of the Contract Documents, and the Builder shall proceed promptly making any such changes.</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9.4 When the Owner and the Builder agree on adjustments in the Contract Price or adjustments of the Delivery Date, or Modifications in the Specifications or any Contract Documents or otherwise reach agreement upon the adjustments, such agreement shall be effective only upon execution of an appropriate Change Order, signed only by the authorized signatories identified in Article 21.2.</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9.5 If the Builder wishes to make a claim for an increase in the Contract Price for any change in any part of the Work as a result of any change in the applicable rules of the Regulatory Agencies which require changes to the Contract Documents as contemplated in Article 2.6 or if the Builder wishes to make a claim for an increase in the Contract Price for any variation between the Contract Drawings and the Functional Design Drawings which variation causes an increase in the cost to the Builder to build the Vessel, the Builder shall give the Owner written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148" w:name="page149"/>
    <w:bookmarkEnd w:id="148"/>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notice thereof in the form of a proposed Change Order. The Builder shall provide the proposed Change Order within fifteen (15) Working Days of the Builder’s discovery of any such change in the Work. Except in an emergency endangering life or property in which case the Builder may proceed, the Builder shall not proceed with the claimed change in the Work covered by the proposed Change Order unless and until the proposed Change Order has been approved in writing and signed by one of the authorized signatories of the Owner identified in Article 21.2, in the form of an approved Change Order. If the Owner and the Builder cannot agree on the entitlement to a Change Order, the amount of the adjustment in the Contract Price or the adjustment of the Delivery Date, the Owner may direct the Builder to perform such Work and shall pay the Builder the undisputed amount of the Work (assuming the Owner concurs that there has been a change in the Work but disputes the adjustment in the Contract Price requested by the Builder) performed in furtherance of the Change Order on the basis set forth in Article 9.1, without waiver of the Owner’s right to thereafter to submit the disputed amount to resolution pursuant to Article 25 hereof.</w:t>
      </w:r>
    </w:p>
    <w:p>
      <w:pPr>
        <w:spacing w:after="0" w:line="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9.6 Cost of any change considered an addition or a deletion shall be on a fixed price basis, unless some other method of pricing is agreed by the Builder and the Owner. Cost of any change considered a substitution shall be the difference between the cost of the new substituted item and the originally specified item.</w:t>
      </w:r>
    </w:p>
    <w:p>
      <w:pPr>
        <w:spacing w:after="0" w:line="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9.7 Any Work performed on a time and material basis during the Agreement shall be based upon $60.00 per hour for labor. The Builder’s mark-up for materials purchased from a third party shall be the Builder’s cost plus ten percent (10%).</w:t>
      </w:r>
    </w:p>
    <w:p>
      <w:pPr>
        <w:spacing w:after="0" w:line="6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9.8 Any Change Order in an amount greater than $10,000 shall include an itemized breakdown of all estimated labor and materials to perform the Change Order and the Builder’s detailed computations of the projected cost of the Change Order.</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9.9 Each approved Change Order shall be deemed to include all direct and indirect costs, including delay, local disruption, cumulative disruption, cumulative impact, acceleration and like costs associated with, resulting from, or incidental to an approved Change Order including such costs that may be incurred by the Builder, its Subcontractors and its Suppliers. The Builder hereby agrees that upon its acceptance of an approved Change Order, the Builder shall be deemed to waive and release all claims against the Owner for any and all additional costs or delays in a relevant Delivery Date, including, without limitation, costs and delays based on any legal or equitable theory such as cumulative disruption or cumulative impact theories, resulting from an approved Change Order.</w:t>
      </w:r>
    </w:p>
    <w:p>
      <w:pPr>
        <w:spacing w:after="0" w:line="8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9.10 No change in the Work under this Agreement, whether by way of alteration or addition to or deletion of the Work, shall be the basis of a change to the Contract Price or a change in a relevant Delivery Date unless and until such alteration or addition or deletion has been authorized by a Change Order executed and issued in accordance with and in strict compliance with the requirements of this Article 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49" w:name="page150"/>
    <w:bookmarkEnd w:id="14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 – INSURANCE</w:t>
      </w:r>
    </w:p>
    <w:p>
      <w:pPr>
        <w:spacing w:after="0" w:line="22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10.1 At any and all times during the term of this Agreement, the Builder shall at its own expense maintain, with an insurance company or companies authorized to do business in the state in which Work is to be performed and reasonably acceptable to the Owner, insurance coverages of the kind and in the minimum amounts as follows:</w:t>
      </w:r>
    </w:p>
    <w:p>
      <w:pPr>
        <w:spacing w:after="0" w:line="73" w:lineRule="exact"/>
        <w:rPr>
          <w:sz w:val="20"/>
          <w:szCs w:val="20"/>
          <w:color w:val="auto"/>
        </w:rPr>
      </w:pPr>
    </w:p>
    <w:p>
      <w:pPr>
        <w:ind w:right="100" w:firstLine="921"/>
        <w:spacing w:after="0" w:line="259" w:lineRule="auto"/>
        <w:tabs>
          <w:tab w:leader="none" w:pos="115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Worker’s Compensation Insurance</w:t>
      </w:r>
      <w:r>
        <w:rPr>
          <w:rFonts w:ascii="Arial" w:cs="Arial" w:eastAsia="Arial" w:hAnsi="Arial"/>
          <w:sz w:val="18"/>
          <w:szCs w:val="18"/>
          <w:color w:val="auto"/>
        </w:rPr>
        <w:t xml:space="preserve"> including occupational disease and coverage under the United States Longshore and Harbor Worker’s Compensation Act, such insurance to cover all benefits provided by the applicable Act, also Employer’s Liability Insurance extended to include coverage for Maritime Employer’s Liability (i.e., Jones Act, Death on the High Seas Act and transportation, wages, maintenance and cure) with minimum limits of $1,000,000 in any one occurrence.</w:t>
      </w:r>
    </w:p>
    <w:p>
      <w:pPr>
        <w:spacing w:after="0" w:line="78" w:lineRule="exact"/>
        <w:rPr>
          <w:rFonts w:ascii="Arial" w:cs="Arial" w:eastAsia="Arial" w:hAnsi="Arial"/>
          <w:sz w:val="18"/>
          <w:szCs w:val="18"/>
          <w:color w:val="auto"/>
        </w:rPr>
      </w:pPr>
    </w:p>
    <w:p>
      <w:pPr>
        <w:ind w:right="180" w:firstLine="921"/>
        <w:spacing w:after="0" w:line="259" w:lineRule="auto"/>
        <w:tabs>
          <w:tab w:leader="none" w:pos="116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Commercial General Liability Insurance</w:t>
      </w:r>
      <w:r>
        <w:rPr>
          <w:rFonts w:ascii="Arial" w:cs="Arial" w:eastAsia="Arial" w:hAnsi="Arial"/>
          <w:sz w:val="18"/>
          <w:szCs w:val="18"/>
          <w:color w:val="auto"/>
        </w:rPr>
        <w:t xml:space="preserve"> with an endorsement specifically covering the liabilities assumed by the Builder under this Agreement or evidence of blanket contractual liability that specifically addresses the exposures of this Agreement, sudden and accidental seepage and pollution coverage, watercraft exclusion deleted or modified to address the exposures of this Agreement, and “in rem” endorsement with minimum limits of $1,000,000 per occurrence.</w:t>
      </w:r>
    </w:p>
    <w:p>
      <w:pPr>
        <w:spacing w:after="0" w:line="78" w:lineRule="exact"/>
        <w:rPr>
          <w:rFonts w:ascii="Arial" w:cs="Arial" w:eastAsia="Arial" w:hAnsi="Arial"/>
          <w:sz w:val="18"/>
          <w:szCs w:val="18"/>
          <w:color w:val="auto"/>
        </w:rPr>
      </w:pPr>
    </w:p>
    <w:p>
      <w:pPr>
        <w:ind w:firstLine="921"/>
        <w:spacing w:after="0" w:line="289" w:lineRule="auto"/>
        <w:tabs>
          <w:tab w:leader="none" w:pos="115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Builder’s Risk Insurance</w:t>
      </w:r>
      <w:r>
        <w:rPr>
          <w:rFonts w:ascii="Arial" w:cs="Arial" w:eastAsia="Arial" w:hAnsi="Arial"/>
          <w:sz w:val="16"/>
          <w:szCs w:val="16"/>
          <w:color w:val="auto"/>
        </w:rPr>
        <w:t xml:space="preserve"> naming the Owner as a named insured and loss payee, as its interests may appear, covering the Vessels, the Work, Materials and Owner Furnished Items once they arrive at Builder’s yard(s) for their full insurable value against all risks as per builder’s risk insurance policy terms, including but not limited to fire, while under construction and/or fitting out and/or on Dock Trials, Sea Trials or System Tests, including Materials in buildings, workshops, yards and docks of the Builder, or on quays, pontoons, craft, etc., and against all risks as per builder’s risk policy terms while in transit between Builder’s facilities (but only after the delivery of Owner Furnished Items to Builder’s yard) and/or the Vessel, wherever she may be lying, also all risks of loss or damage through collapse of supports or ways from any cause whatever, and all liability risks of the Builder and the Owner with respect to construction and delivery of the Vessel. Any provisions of the Builder’s Risk Insurance liability coverages that would limit liability coverage for any assured to liabilities “as owner,” or words of similar effect, or that would exclude liabilities for injury or death of “employees” of an assured, while part of the Vessel’s crew for purposes of Dock Trials or Sea Trials, must be deleted or appropriately modified by endorsement to the policy.</w:t>
      </w:r>
    </w:p>
    <w:p>
      <w:pPr>
        <w:spacing w:after="0" w:line="58" w:lineRule="exact"/>
        <w:rPr>
          <w:rFonts w:ascii="Arial" w:cs="Arial" w:eastAsia="Arial" w:hAnsi="Arial"/>
          <w:sz w:val="16"/>
          <w:szCs w:val="16"/>
          <w:color w:val="auto"/>
        </w:rPr>
      </w:pPr>
    </w:p>
    <w:p>
      <w:pPr>
        <w:ind w:right="760" w:firstLine="921"/>
        <w:spacing w:after="0" w:line="277" w:lineRule="auto"/>
        <w:tabs>
          <w:tab w:leader="none" w:pos="116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Hull &amp; Machinery, Protection &amp; Indemnity (P&amp;I) and Pollution</w:t>
      </w:r>
      <w:r>
        <w:rPr>
          <w:rFonts w:ascii="Arial" w:cs="Arial" w:eastAsia="Arial" w:hAnsi="Arial"/>
          <w:sz w:val="18"/>
          <w:szCs w:val="18"/>
          <w:color w:val="auto"/>
        </w:rPr>
        <w:t xml:space="preserve"> for any owned and/or bareboat chartered vessels used by Builder in conjunction with the construction of the Vessels:</w:t>
      </w:r>
    </w:p>
    <w:p>
      <w:pPr>
        <w:spacing w:after="0" w:line="75"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Hull &amp; Machinery</w:t>
      </w:r>
      <w:r>
        <w:rPr>
          <w:rFonts w:ascii="Arial" w:cs="Arial" w:eastAsia="Arial" w:hAnsi="Arial"/>
          <w:sz w:val="18"/>
          <w:szCs w:val="18"/>
          <w:color w:val="auto"/>
        </w:rPr>
        <w:t xml:space="preserve"> per American Institute Hull Clauses (amended for the vessel operations at the shipyard) or equivalent to the fair market value of the vessel. Any references to “other than owner” or other owner limitations will be deleted by endorsement to the policy as respects the naming of the Owner as an additional assured;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50" w:name="page151"/>
    <w:bookmarkEnd w:id="150"/>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left="1920" w:right="20" w:hanging="440"/>
        <w:spacing w:after="0" w:line="264" w:lineRule="auto"/>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P&amp;I</w:t>
      </w:r>
      <w:r>
        <w:rPr>
          <w:rFonts w:ascii="Arial" w:cs="Arial" w:eastAsia="Arial" w:hAnsi="Arial"/>
          <w:sz w:val="18"/>
          <w:szCs w:val="18"/>
          <w:color w:val="auto"/>
        </w:rPr>
        <w:t xml:space="preserve"> per P&amp;I form SP 23 or equivalent (amended for the vessel operations at the shipyard) with a minimum limit of $1,000,000 per occurrence. Any references to “other than owner” or other owner limitations will be deleted by endorsement to the policy as respects the naming of the Owner as an additional assured;</w:t>
      </w:r>
    </w:p>
    <w:p>
      <w:pPr>
        <w:spacing w:after="0" w:line="73" w:lineRule="exact"/>
        <w:rPr>
          <w:rFonts w:ascii="Arial" w:cs="Arial" w:eastAsia="Arial" w:hAnsi="Arial"/>
          <w:sz w:val="18"/>
          <w:szCs w:val="18"/>
          <w:color w:val="auto"/>
        </w:rPr>
      </w:pPr>
    </w:p>
    <w:p>
      <w:pPr>
        <w:ind w:firstLine="921"/>
        <w:spacing w:after="0" w:line="277" w:lineRule="auto"/>
        <w:tabs>
          <w:tab w:leader="none" w:pos="115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Pollution Coverage for Vessels under Repair, Construction or Modification</w:t>
      </w:r>
      <w:r>
        <w:rPr>
          <w:rFonts w:ascii="Arial" w:cs="Arial" w:eastAsia="Arial" w:hAnsi="Arial"/>
          <w:sz w:val="18"/>
          <w:szCs w:val="18"/>
          <w:color w:val="auto"/>
        </w:rPr>
        <w:t xml:space="preserve"> per WQIS policy wording or equivalent, inclusive of the Builder’s responsibility for pollution liability and/or Certificate of Financial Responsibility (COFR) with a minimum limit of $5,000,000.</w:t>
      </w:r>
    </w:p>
    <w:p>
      <w:pPr>
        <w:spacing w:after="0" w:line="62" w:lineRule="exact"/>
        <w:rPr>
          <w:rFonts w:ascii="Arial" w:cs="Arial" w:eastAsia="Arial" w:hAnsi="Arial"/>
          <w:sz w:val="18"/>
          <w:szCs w:val="18"/>
          <w:color w:val="auto"/>
        </w:rPr>
      </w:pPr>
    </w:p>
    <w:p>
      <w:pPr>
        <w:ind w:right="60" w:firstLine="921"/>
        <w:spacing w:after="0" w:line="286" w:lineRule="auto"/>
        <w:tabs>
          <w:tab w:leader="none" w:pos="113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Bumbershoot or Excess Liabilities</w:t>
      </w:r>
      <w:r>
        <w:rPr>
          <w:rFonts w:ascii="Arial" w:cs="Arial" w:eastAsia="Arial" w:hAnsi="Arial"/>
          <w:sz w:val="17"/>
          <w:szCs w:val="17"/>
          <w:color w:val="auto"/>
        </w:rPr>
        <w:t xml:space="preserve"> providing excess liability coverage above the primary liability coverages in subparts (a) through (e) above with a minimum limit of $25,000,000. To the extent limits above this $25,000,000 minimum limit are purchased by the Builder, such additional limits shall also cover the Owner as an additional insured with the same provisions as noted for the $25,000,000 minimum limit.</w:t>
      </w:r>
    </w:p>
    <w:p>
      <w:pPr>
        <w:spacing w:after="0" w:line="5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10.2 Prior to Work, the Builder shall procure, from each of its insurers, in respect of risks assumed by the Builder under this Agreement, a written and enforceable specific endorsement of the Builder’s policies (excluding worker’s compensation, which is noted below) to provide a blanket and unrestricted waiver of the underwriter’s or insurers’ rights of subrogation in favor of the Owner and shall be endorsed to name the Owner Group, as defined in Article 23, and their successors and assigns as additional insured. The Builder agrees that its policies shall be primary in all cases. Any insurance that may be carried by the Owner shall be excess over and above the amount recoverable under the policies of the Builder. The policies of insurance procured by the Builder shall acknowledge that said policies are primary, and that no pro-rata contributions are required by the Owner and/or any member of Owner Group and/or the Owner’s insurers and/or Owner Group’s insurers. The Builder further agrees that its worker’s compensation insurance policies shall be endorsed to designate the Owner Group, as defined in Article 23, and their successors and assigns, as an alternate and statutory employer and shall be endorsed to provide a blanket and unrestricted waiver of its underwriters’ or insurers’ rights of subrogation. All deductibles will be for the account of the Builder.</w:t>
      </w:r>
    </w:p>
    <w:p>
      <w:pPr>
        <w:spacing w:after="0" w:line="5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Certificates of Insurance</w:t>
      </w:r>
      <w:r>
        <w:rPr>
          <w:rFonts w:ascii="Arial" w:cs="Arial" w:eastAsia="Arial" w:hAnsi="Arial"/>
          <w:sz w:val="18"/>
          <w:szCs w:val="18"/>
          <w:color w:val="auto"/>
        </w:rPr>
        <w:t>. Before commencing Work, the Builder shall furnish the Owner with Certificates of Insurance indicating (1) the insurance coverages and amounts of insurance as required; (2) the names of the insurance company or companies providing the aforesaid coverages; (3) the effective and expiration dates of policies; (4) that the Owner will be given thirty (30) Days written advance notice of any cancellation, non-renewal or material change in any policy, or in the event of non-payment of premiums, ten (10) Working Days written advance notice; (5) waiver of subrogation endorsement has been attached to all policies; (6) that all members of the Owner Group have been named as additional insureds by endorsements attached to all policies (except for worker’s compensation), provided that the Owner shall be named as a named insured and loss payee under the Builder’s Risk insurance policy; and (7) the territorial limits of all policies.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151" w:name="page152"/>
    <w:bookmarkEnd w:id="151"/>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10.4 The Owner’s Representative and the Owner’s separate vendor representatives or contractors performing work on or in connection with the ATB Unit shall, at all times including Sea Trials and the Systems Test, be deemed to be agents or contractors of the Owner. The Owner and separate contractors shall provide the Builder with evidence of insurance (including Longshore and Harbor Worker’s Compensation coverage) naming the Builder as an alternate and statutory employer and shall be endorsed to provide a blanket and unrestricted waiver of its underwriters’ or insurers’ rights of subrogation, which covers them under commercial terms and limits consistent with Builder’s Insurance Requirements for Companies with Employees Working at Builder’s Facilities dated July 1, 2010, at no cost or expense to the Builder.</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Partial Loss</w:t>
      </w:r>
      <w:r>
        <w:rPr>
          <w:rFonts w:ascii="Arial" w:cs="Arial" w:eastAsia="Arial" w:hAnsi="Arial"/>
          <w:sz w:val="16"/>
          <w:szCs w:val="16"/>
          <w:color w:val="auto"/>
        </w:rPr>
        <w:t>: If any Vessel, and/or Materials, Work, and/or Owner Furnished Items relating to that Vessel is damaged by any cause whatsoever prior to the Delivery Date of the Vessel, and such damage does not constitute a total loss, the proceeds of insurance up to an amount of $1,000,000 in respect of such damage payable under the Builder’s Risks Insurance policy required in accordance with Article 10.1(c) shall be payable to Builder, who shall use the monies exclusively for the repair of such damage, as soon as reasonably practicable, all in accordance with the requirements of this Agreement and the Specifications and to the satisfaction of the classification society, any applicable Regulatory Authorities, and the Owner’s Representative. The Builder will provide the Owner with documentation to verify the proper use of the insurance proceeds to fully repair the damage or loss to the Vessels(s). Any insured loss in excess of $1,000,000 resulting from such damage or loss shall be payable jointly to Owner and Builder, and deposited in an escrow account established by the Owner and the Builder and paid to the Builder in accordance with a new milestone payment schedule for the repairs, to be agreed between the Owner and the Builder, which schedule shall provide for timely payment to Builder of sums required for deposits on necessary Materials, and timely payment for repair work performed. If repairing the damage will unavoidably have the effect of delaying the Delivery Date of the Vessel, then the damage may be deemed a Force Majeure event and the provisions of Article 7.1 shall apply; provided, however, if the loss or damage is caused by the negligence of the Builder or any of its Subcontractors or the Builder’s breach of this Agreement, liquidated damages shall be owed to the Owner for any extension of the Delivery Date due to such loss or damage subject to the limitations of Article 8 hereof.</w:t>
      </w:r>
    </w:p>
    <w:p>
      <w:pPr>
        <w:spacing w:after="0" w:line="6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Total Loss</w:t>
      </w:r>
      <w:r>
        <w:rPr>
          <w:rFonts w:ascii="Arial" w:cs="Arial" w:eastAsia="Arial" w:hAnsi="Arial"/>
          <w:sz w:val="18"/>
          <w:szCs w:val="18"/>
          <w:color w:val="auto"/>
        </w:rPr>
        <w:t>: In the event that any Vessel becomes an actual or agreed or constructive total loss within the terms of the Builder’s Risks Insurance required in accordance with Article 10.1(c), Owner, in its sole discretion, may elect within thirty (30) Working Days after the Vessel is determined to be an actual or agreed or constructive total loss, either:</w:t>
      </w:r>
    </w:p>
    <w:p>
      <w:pPr>
        <w:spacing w:after="0" w:line="87" w:lineRule="exact"/>
        <w:rPr>
          <w:sz w:val="20"/>
          <w:szCs w:val="20"/>
          <w:color w:val="auto"/>
        </w:rPr>
      </w:pPr>
    </w:p>
    <w:p>
      <w:pPr>
        <w:ind w:left="1480" w:hanging="567"/>
        <w:spacing w:after="0" w:line="264"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have Builder commence construction of a new Vessel for Owner pursuant to the terms and conditions of this Agreement, at a new mutually agreed Delivery Date, Contract Price and Interim Installment Payment Schedule, in which event the insurance proceeds shall be paid to Owner,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152" w:name="page153"/>
    <w:bookmarkEnd w:id="152"/>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left="1480" w:hanging="567"/>
        <w:spacing w:after="0" w:line="259" w:lineRule="auto"/>
        <w:tabs>
          <w:tab w:leader="none" w:pos="14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terminate this Agreement, as to the total loss Vessel, upon the happening of which Owner shall be relieved of any further obligation to Builder under this Agreement relating to that Vessel (except that the Owner shall pay to the Builder for any Work performed and Materials supplied by the Builder up to the date of such Total Loss), and Owner shall be entitled to receive and shall be paid directly from the builder’s risk insurer an amount equal to the total of:</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payments relating to the Vessel previously made to Builder by or on behalf of Owner, plus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total costs of any Owner Furnished Items relating to that Vessel, including installation.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Collectively, A and B above, the “Total Loss Amount.”</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10.7 In the event the Owner elects to exercise its option under Article 10.6(i), the Contract Price for the rebuilt Vessel(s) shall only be adjusted by the Builder’s demonstrated increase in its cost to rebuild the Vessel over its original Contract Price, including the Builder’s profit and overhead.</w:t>
      </w:r>
    </w:p>
    <w:p>
      <w:pPr>
        <w:spacing w:after="0" w:line="38"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10.8 Upon Owner’s election under Article 10.6(ii) for payment in full of the Total Loss Amount to the Owner, Owner shall have the first option ahead of the Builder to purchase the Vessel(s) in its current state from the Builder’s risk insurer. If Owner does not elect to purchase the Vessel(s), the Builder may purchase the remains of the Vessel(s) and the Work, Materials and Owner Furnished Items relating to the subject Vessel(s) from the Builder’s risk insurer. In such event, the Builder shall ensure that the Intellectual Property of the Owner is fully protected.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11 – WARRANTY</w:t>
      </w:r>
    </w:p>
    <w:p>
      <w:pPr>
        <w:spacing w:after="0" w:line="22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11.1 The Builder shall designate at least sixty (60) Days prior to Delivery, a Warranty Manager for the ATB Unit. The Warranty Manager shall be familiar with the Work and all of the Builder’s Suppliers, vendors and/or Subcontractors. The Warranty Manager shall work with the Owner’s Representative in (i) understanding the nature of any warranty claim; (ii) coordinating with the Builder or the Builder’s Suppliers, vendors or Subcontractors a remedy; and (iii) assisting in coordinating payments on any third-party vendor or Subcontractor work. Within a reasonable time but in any event no later than twenty</w:t>
      </w:r>
    </w:p>
    <w:p>
      <w:pPr>
        <w:spacing w:after="0" w:line="2" w:lineRule="exact"/>
        <w:rPr>
          <w:sz w:val="20"/>
          <w:szCs w:val="20"/>
          <w:color w:val="auto"/>
        </w:rPr>
      </w:pPr>
    </w:p>
    <w:p>
      <w:pPr>
        <w:ind w:right="20" w:firstLine="8"/>
        <w:spacing w:after="0" w:line="323" w:lineRule="auto"/>
        <w:tabs>
          <w:tab w:leader="none" w:pos="342" w:val="left"/>
        </w:tabs>
        <w:numPr>
          <w:ilvl w:val="0"/>
          <w:numId w:val="80"/>
        </w:numPr>
        <w:rPr>
          <w:rFonts w:ascii="Arial" w:cs="Arial" w:eastAsia="Arial" w:hAnsi="Arial"/>
          <w:sz w:val="16"/>
          <w:szCs w:val="16"/>
          <w:color w:val="auto"/>
        </w:rPr>
      </w:pPr>
      <w:r>
        <w:rPr>
          <w:rFonts w:ascii="Arial" w:cs="Arial" w:eastAsia="Arial" w:hAnsi="Arial"/>
          <w:sz w:val="16"/>
          <w:szCs w:val="16"/>
          <w:color w:val="auto"/>
        </w:rPr>
        <w:t>Working Days after becoming aware of a warranty claim, the Owner shall issue a warranty notification to the Builder in the form of Exhibit J (“Warranty Notification”). Upon receipt of a Warranty Notification, the Warranty Manager will take all reasonable steps, as outlined above, to resolve the claim.</w:t>
      </w:r>
    </w:p>
    <w:p>
      <w:pPr>
        <w:spacing w:after="0" w:line="3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11.2 The Builder warrants that the Work and the ATB Unit are constructed in accordance with the Contract Documents and shall be free from defects in workmanship and materials for a period of three hundred sixty-five (365) Days after the Delivery of the ATB Unit. The Builder will replace or repair any defects in its Work that are discovered within such three hundred sixty-five (365) Day period. The Owner shall notify the Builder of any defects it may discover in a prompt manner but in no event later than thirty (30) Days after the expiration of the Warranty Period. Subject to Article 11.4, this warranty shall extend to likewise warrant such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53" w:name="page154"/>
    <w:bookmarkEnd w:id="153"/>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replaced or repaired Work for an additional (i.e. after the three hundred sixty-five (365) Day period has expired) ninety (90) Day period after satisfactory completion of the repair Work. Under no circumstances shall the warranty on any Work exceed four hundred fifty-five (455) Days from Delivery of the ATB Unit. Where, because of the geographical distances involved, it would be impractical to return the ATB Unit to the Builder for repairs or replacements under this warranty, the Owner, after giving reasonable notice to the Builder in order to allow the Builder, at its option, to inspect such alleged defect(s) and make the necessary repairs or replacement, and if the Builder elects not to make such repairs at the location of the ATB Unit in an expedient manner or at another reputable shipyard selected by the Builder and reasonably acceptable to the Owner, the Owner may effect the necessary repairs at other available facilities, and the Builder will reimburse the Owner for those costs, including mobilization and demobilization of the Vessel(s); provided, however, in no circumstances, shall the amount of reimbursement of costs of making the repairs (including mobilization and demobilization) exceed the costs calculated on the time and material rates as set forth Article 9.7. Nothing contained herein shall obligate the Builder at any time to repair or replace the ATB Unit, or any Work or component part thereof, where and to the extent such repair and/or replacement is caused by ordinary wear and tear or the negligent operation or maintenance of the ATB Unit, or its equipment, by the Owner or third parties.</w:t>
      </w:r>
    </w:p>
    <w:p>
      <w:pPr>
        <w:spacing w:after="0" w:line="7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11.3 The Builder shall use its commercially reasonable efforts to effect warranty repairs without necessitating that the ATB Unit be removed or prevented from commercial service to the benefit of the Owner.</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11.4 The Builder shall advise the Owner of, and deliver the original documentation for, any manufacturer’s warranties applicable to equipment or Materials furnished by the Builder or its Subcontractors or Suppliers and the Builder shall make reasonable efforts with the manufacturer to arrange for warranties to commence in favor of the Owner on the date of Delivery of the ATB Unit. The Builder shall assign, convey and transfer over to the Owner any warranty issued by any third party for any Materials purchased by the Builder and installed on the Vessels. In the event that any such third party warranty cannot be enforced directly by the Owner, the Builder shall provide reasonable assistance to the Owner for enforcement of such warranties. The Builder shall provide the Owner with any standard commercially available operating and maintenance manuals with respect to all equipment installed in the Vessels in accordance with the quantities set forth in the Specifications. The Builder’s warranty expressly excludes defects in equipment, Design (but excluding Detail Design Drawings which are the responsibility of the Builder), or Materials manufactured by others or provided by the Owner, but shall include any defects related to installation of Materials.</w:t>
      </w:r>
    </w:p>
    <w:p>
      <w:pPr>
        <w:spacing w:after="0" w:line="7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11.5 Without limiting the warranty of Article 11.2, if within three hundred sixty five (365) Days after Delivery of the ATB Unit, any of the Work performed by the Builder or its Subcontractors and warranted hereunder is found to be not in accordance with the requirements of the Contract Documents, the Builder shall correct it promptly after receipt of written notice from the Owner to do so in accordance with Article 11.1. It shall be the duty and obligation of the Owner to within thirty (30) Days of becoming aware give the Builder written notice after discovery thereof of the failure of any part of the Work as a result of defective workmanship or defective materials, giving full information as supported by photographs, where possible.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54" w:name="page155"/>
    <w:bookmarkEnd w:id="154"/>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11.6 The Builder warrants that it will purchase paint as specified in the Specifications and that it will prepare the surface and apply the paint in accordance with the manufacturer’s specifications and recommendations, and the Builder makes no warranty, express or implied, with respect to the fitness of the specified paint or the manufacturer’s specifications and recommendations. The Builder will require the paint and/or coatings manufacturer’s field representative to be present at the time the Builder is applying paint and/or coatings and shall obtain the representative’s approval for the paint and/or coating systems to be applied and the preparation and procedures being followed by the Builder. The Owner shall be provided with a copy of all inspection reports provided to the Builder by the representative. The Builder shall provide reasonable assistance to the Owner to obtain paint warranties from the paint manufacturers, and any warranty defects with respect to the paint or coatings systems shall be asserted by the Owner only against such manufacturer.</w:t>
      </w:r>
    </w:p>
    <w:p>
      <w:pPr>
        <w:spacing w:after="0" w:line="5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11.7 Except for the expressed limited Warranty set forth in this Article 11, the Owner hereby waives and releases the Builder and its employees from and against damage to and/or loss of the ATB Unit, delay, demurrage, loss of profits, loss of use, or any other consequential or punitive damages of any kind, whether such claim is based in contract, redhibition, negligence, strict liability, or otherwise, arising out of any defect and/or negligent design, the selection or choice of specifications and/or materials and/or component parts, manufacture, construction, fabrication, workmanship, labor and/or installation of equipment, materials and/or components or from any unseaworthy condition or any other defective condition of the ATB Unit, it being specifically understood and agreed that any such defects reported and/or occurring after the Warranty Period (and the extension of any Warranty Period) and all damages to the ATB Unit, loss of profits, demurrages, delay, losses of use or other consequential or punitive damage of any kind whatsoever resulting therefrom, shall not be the responsibility of the Builder.</w:t>
      </w:r>
    </w:p>
    <w:p>
      <w:pPr>
        <w:spacing w:after="0" w:line="8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THE WARRANTY EXPRESSLY PROVIDED IN ARTICLE 11 IS EXPRESSLY IN LIEU OF ALL OTHER WARRANTIES, EXPRESS</w:t>
      </w:r>
      <w:r>
        <w:rPr>
          <w:rFonts w:ascii="Arial" w:cs="Arial" w:eastAsia="Arial" w:hAnsi="Arial"/>
          <w:sz w:val="18"/>
          <w:szCs w:val="18"/>
          <w:color w:val="auto"/>
        </w:rPr>
        <w:t xml:space="preserve"> </w:t>
      </w:r>
      <w:r>
        <w:rPr>
          <w:rFonts w:ascii="Arial" w:cs="Arial" w:eastAsia="Arial" w:hAnsi="Arial"/>
          <w:sz w:val="18"/>
          <w:szCs w:val="18"/>
          <w:b w:val="1"/>
          <w:bCs w:val="1"/>
          <w:color w:val="auto"/>
        </w:rPr>
        <w:t>OR IMPLIED BY LAW OR OTHERWISE, INCLUDING ANY WARRANTY OF MERCHANTABILITY OR THAT THE ATB UNIT’S MATERIALS OR SERVICES ARE FIT FOR ANY PARTICULAR PURPOSE OR USE, AND THE REMEDIES PROVIDED HEREUNDER ARE THE OWNER’S SOLE AND EXCLUSIVE REMEDY FOR BREACH OF WARRANTY AND ARE SPECIFICALLY IN LIEU OF ALL OTHER REMEDIES OR DAMAGES, WHETHER DIRECT, INDIRECT, SPECIAL, PUNITIVE OR CONSEQUENTIAL.</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12 – PAYMENT AND PERFORMANCE BONDS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12.1 The Builder shall obtain payment and performance bonds in form and substance reasonably acceptable to Owner issued by a financially sound surety naming Owner as Obligee guaranteeing the payment and performance obligations of Builder in the maximum amount of $30,000,000.00 at a cost to be paid 50/50 by the Owner and Builder (the “Financial Security”). The aforesaid bonds must be furnished to the Owner within thirty (30) Days after the Effective Date of this Agreement or prior to commencement of Work, whichever occurs sooner.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155" w:name="page156"/>
    <w:bookmarkEnd w:id="155"/>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12.2 If any Financial Security required under this Article 12 has not been issued and delivered to the Owner when due by the Builder, the Owner shall have the option, in its sole and absolute discretion, to terminate this Agreement by giving seven (7) Days prior written notice to the Builder of termination under this Article unless the Builder shall have delivered the required Financial Security to the Owner prior to the end of such seven (7) Day period.</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13 – ELIMINATION OF INCIDENTAL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CONSEQUENTIAL DAMAGES</w:t>
      </w:r>
    </w:p>
    <w:p>
      <w:pPr>
        <w:spacing w:after="0" w:line="211"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13.1 EXCEPT AS SPECIFICALLY PROVIDED FOR HEREIN TO THE CONTRARY, IT IS UNDERSTOOD AND AGREED BY THE PARTIES HERETO THAT NEITHER PARTY SHALL IN ANY WAY BE LIABLE OR RESPONSIBLE TO THE OTHER FOR ANY INCIDENTAL OR CONSEQUENTIAL DAMAGES OF ANY KIND OR NATURE, INCLUDING BUT NOT LIMITED TO LOSS OF PROFITS AND LOSS OF USE OF THE ATB UNIT OR THE SHIPYARD FROM ANY CAUSE OF ACTION OF ANY KIND OR NATURE (COLLECTIVELY “CONSEQUENTIAL DAMAGES”), AND IRRESPECTIVE AND WITHOUT REGARD TO THE CAUSE THEREOF INCLUDING BUT NOT LIMITED TO NEGLIGENCE WHETHER IN WHOLE OR IN PART, STRICT LIABILITY, FAULT, CONTRACT, WARRANTY OR ANY OTHER CAUSES ATTRIBUTABLE TO EITHER PARTY, ARISING OUT OF OR IN CONNECTION WITH OR PERTAINING TO THIS AGREEMENT OR THE VESSEL CONSTRUCTED HEREUNDER. THE ELIMINATION OF INCIDENTAL AND CONSEQUENTIAL DAMAGES AS PROVIDED HEREIN IS AN ESSENTIAL CONDITION OF THIS AGREEMENT AND EACH PARTY ACKNOWLEDGES THAT THE OTHER WOULD NOT HAVE ENTERED INTO THIS AGREEMENT WITHOUT SAID ELIMINATION OF INCIDENTAL OR CONSEQUENTIAL DAMAGES FOR THE CONSIDERATION SET FORTH HEREIN FOR THE CONSTRUCTION OF THE VESSEL. THIS WAIVER OF INCIDENTAL OR CONSEQUENTIAL DAMAGES SHALL NOT APPLY OR EXTEND TO A CLAIM ASSERTED BY A THIRD PARTY FOR WHICH A PARTY IS ENTITLED TO INDEMNIFICATION PURSUANT TO THE TERMS OF THIS AGREEMENT.</w:t>
      </w: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auto"/>
        </w:rPr>
        <w:t>ARTICLE 14 – DEFAULT AND TERMINATION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14.1 The following events shall constitute events of default by the Builder:</w:t>
      </w:r>
    </w:p>
    <w:p>
      <w:pPr>
        <w:spacing w:after="0" w:line="117"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14.1.1 There is filed by or against the Builder in any court a petition in bankruptcy or insolvency or for reorganization or for the appointment of a receiver or trustee of all or a portion of the Builder’s property, or an order of discharge of the Builder is ordered by any court; or</w:t>
      </w:r>
    </w:p>
    <w:p>
      <w:pPr>
        <w:spacing w:after="0" w:line="38"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14.1.2 The Owner’s materials, supplies, and equipment identified with the ATB Unit are removed from the Builder’s shipyard without the Owner’s consent or applied to a vessel not owned by the Owner; or</w:t>
      </w:r>
    </w:p>
    <w:p>
      <w:pPr>
        <w:spacing w:after="0" w:line="62"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14.1.3 The Builder makes an assignment for the benefit of creditors or petitions for or enters into an agreement or agreements with its creditors, and by reason of any of these events the Builder’s obligations under this Agreement are assigned to or are to be or are performed by a person other than the Builder;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56" w:name="page157"/>
    <w:bookmarkEnd w:id="156"/>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14.1.4 The Builder materially fails to execute or perform the Work in accordance with this Agreement; or</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14.1.5 The Builder materially fails to cause the removal or bonding of any liens or privileges, except in the case of the Owner not making timely payment to the Builder in accordance with this Agreement or those liens or privileges created by the Owner or the Owner’s subcontractors or vendors, filed or otherwise existing against the Work or the ATB Unit; or</w:t>
      </w:r>
    </w:p>
    <w:p>
      <w:pPr>
        <w:spacing w:after="0" w:line="73"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14.1.6 The Builder materially disregards laws, ordinances, rules, regulations or orders of any public authority having jurisdiction over the Work on the ATB Unit and which has a material adverse effect on the performance of the Work; or</w:t>
      </w:r>
    </w:p>
    <w:p>
      <w:pPr>
        <w:spacing w:after="0" w:line="62"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14.1.7 Delay in the construction or Delivery of the ATB Unit that would permit the Owner to terminate the Agreement as to the ATB Unit under Article 8.9; or</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14.1.8 The Builder fails to deliver any of the Financial Security to the Owner within the time required under Article 12.</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14.2 The Owner shall provide the Builder with written notice of any event of default under Article 14.1 (except Article 14.1.1 in which case the Builder shall provide immediate notice to the Owner upon Builder’s knowledge of such filing), and (except where termination occurs pursuant to Articles 8.9 or 12.2 hereof in which case there shall be no curative period), the Builder shall be entitled to cure the noticed event of default within thirty (30) Days (or sixty</w:t>
      </w:r>
    </w:p>
    <w:p>
      <w:pPr>
        <w:ind w:firstLine="8"/>
        <w:spacing w:after="0" w:line="253" w:lineRule="auto"/>
        <w:tabs>
          <w:tab w:leader="none" w:pos="3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Days in the event of a default under Article 14.1.4) after receipt of the Owner’s written notice. If the Builder does not cure the noticed event of default, in addition to and without prejudice to any other remedies it may have under this Agreement, the Owner may terminate the Agreement in writing, transport, at the Builder’s expense, the Work in progress and the Owner Furnished Items pertaining to the Vessels from the Builder’s shipyard to another location, and complete such Work by such means as the Owner deems fit, subject to the Owner’s duties to use commercially reasonable efforts to mitigate costs of such completion.</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14.3 Upon the Owner’s termination of the Agreement becoming effective pursuant to this Article 14, and upon the Owner’s election to remove the Work from the Builder’s shipyard, the Builder will promptly undertake, at its sole cost, to place all Work and Owner Furnished Items pertaining to the Vessels in a suitable condition for transportation to another location. The Builder will provide the Owner access to such Work and Owner Furnished Items and provide reasonable assistance to the Owner in the removal from Builder’s shipyard of any Work completed to the date when the Work was discontinued, and shall allow the Owner and the Owner’s Representative continuing access to the Builder’s shipyard and storage areas for a period of one hundred twenty</w:t>
      </w:r>
    </w:p>
    <w:p>
      <w:pPr>
        <w:spacing w:after="0" w:line="2" w:lineRule="exact"/>
        <w:rPr>
          <w:sz w:val="20"/>
          <w:szCs w:val="20"/>
          <w:color w:val="auto"/>
        </w:rPr>
      </w:pPr>
    </w:p>
    <w:p>
      <w:pPr>
        <w:ind w:right="100" w:firstLine="8"/>
        <w:spacing w:after="0" w:line="254" w:lineRule="auto"/>
        <w:tabs>
          <w:tab w:leader="none" w:pos="4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Days following the effective date of the termination of the Contract in order to remove the Work and any related Materials that have been paid for by the Owner and the Owner Furnished Items to another location. The Owner shall be liable to pay to the Builder for only those parts of the Work incorporated into, supplied or delivered to the Vessels by the Builder less the amount of the Contract Price previously paid by the Owner and subject further to any offsets or deductions the Owner may have against the Builder pursuant to this Agreement.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57" w:name="page158"/>
    <w:bookmarkEnd w:id="157"/>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14.4 If the Owner terminates the Agreement, in whole or in part, for the Builder’s default in accordance with terms of this Agreement, the Owner may thereafter call upon any applicable Financial Security and invoke all rights and remedies available to it pursuant to the applicable Financial Security that is to be provided by the Builder pursuant to Article 12 of this Agreement.</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14.5 In the event of any termination by the Owner, the Owner may require the Builder promptly to assign and/or deliver to the Owner all or any (a) bids or proposals; (b) subcontracts; (c) construction plans; (d) Materials, tools and equipment (to the extent paid for by the Owner); (e) rental agreements;</w:t>
      </w:r>
    </w:p>
    <w:p>
      <w:pPr>
        <w:ind w:right="120" w:firstLine="8"/>
        <w:spacing w:after="0" w:line="255" w:lineRule="auto"/>
        <w:tabs>
          <w:tab w:leader="none" w:pos="2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Work, including the Vessels (to the extent the Owner has title to same in accordance with Article 22.1); and (g) any other commitments directly related to the Vessels which the Owner, in its sole discretion, chooses to take by assignment, and in the case of assignments hereunder, the Builder shall promptly execute and deliver to the Owner written assignments of same.</w:t>
      </w:r>
    </w:p>
    <w:p>
      <w:pPr>
        <w:spacing w:after="0" w:line="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14.6 In the event of a termination for default under Article 14.1.1 or 14.1.3 which is not cured in accordance with Article 14.2, at the Owner’s option, the Owner shall have access and use of the Builder’s shipyard and all equipment of the Builder in the Builder’s shipyard, as may be required by the Owner to perform the completion of the Vessels provided for in this Agreement. Such access and use by the Owner shall continue until such time as the ATB Unit is completed and issued vessel documentation as contemplated in this Agreement. The use of the property and equipment will be free of rent and any other charges for such use. The Owner agrees to maintain and preserve, or cause to be maintained and preserved, all property and equipment of the Builder used by the Owner in good order and repair.</w:t>
      </w:r>
    </w:p>
    <w:p>
      <w:pPr>
        <w:spacing w:after="0" w:line="8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14.7 In the event of a termination for default under Article 14.1 which is not cured in accordance with Article 14.2, the Builder shall be liable for and shall reimburse the Owner for the aggregate of all reasonable and documented costs or expenses actually incurred and paid by the Owner for completion of the ATB Unit in accordance with the Contract Documents that are in excess of the remaining balance of the Contract Price not previously paid to the Builder.</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14.8 The following events shall constitute events of default by the Owner:</w:t>
      </w:r>
    </w:p>
    <w:p>
      <w:pPr>
        <w:spacing w:after="0" w:line="11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14.8.1 The Owner shall fail to make any payment when required under this Agreement, and such payment is not made within five (5) Working Days after the Owner’s receipt of written notice of the failure of payment from the Builder to the Owner (but always subject to rights of the Owner to dispute that the payment is due, in whole or in part, and/or to withhold such payment in whole or in part, in accordance with the provisions of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58" w:name="page159"/>
    <w:bookmarkEnd w:id="158"/>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14.8.2 There is filed by or against the Owner in any court a petition in bankruptcy or insolvency or for reorganization or for the appointment of a receiver or trustee of all or a portion of the Owner’s property, or an order of discharge of the Owner is ordered by said Court;</w:t>
      </w:r>
    </w:p>
    <w:p>
      <w:pPr>
        <w:spacing w:after="0" w:line="62"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14.8.3 The Owner makes an assignment for the benefit of creditors or petitions for or enters into an agreement or agreements with its creditors, and by reason of any of these events the Owner’s obligations under this Agreement are assigned to or are to be or are performed by a person other than the Owner; or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14.8.4 The Owner, without limitation, fails to perform any other material obligation of the Owner under this Agreement.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14.9 If the Owner fails to timely cure a default in accordance with Article 14.8.1, then the Builder may, in its sole discretion, suspend or reschedule progress of the Work (such right being in addition to any other right granted hereunder or by operation of law) until such time as it receives the overdue payment from the Owner. In the event the Owner has disputed that the amount claimed by the Builder is due, in whole or in part, and so long as the Owner has paid any undisputed portion of the claimed amount due, the Builder shall continue with the Work with all due diligence and in accordance with this Agreement. Furthermore, whether or not the Builder has suspended or rescheduled progress of the Work as aforesaid, if an event of default set forth in Article 14.8 occurs, the Builder may elect to terminate this Agreement after giving thirty (30) Days written notice to the Owner of its intent to terminate. However, during the thirty (30) Day period referred to above, the Owner shall have the absolute right to cure any such default. If such default is not timely cured, the Builder may, at its option, terminate the Agreement in whole or in part, and either (i) demand performance from the Owner or seek resolution of the default through the procedure set forth in Article 25, (ii) sell the ATB Unit or each Vessel in its then present condition and location at a public auction announced at least twenty (20) Days in advance in the </w:t>
      </w:r>
      <w:r>
        <w:rPr>
          <w:rFonts w:ascii="Arial" w:cs="Arial" w:eastAsia="Arial" w:hAnsi="Arial"/>
          <w:sz w:val="16"/>
          <w:szCs w:val="16"/>
          <w:i w:val="1"/>
          <w:iCs w:val="1"/>
          <w:color w:val="auto"/>
        </w:rPr>
        <w:t>Houston Chronicle</w:t>
      </w:r>
      <w:r>
        <w:rPr>
          <w:rFonts w:ascii="Arial" w:cs="Arial" w:eastAsia="Arial" w:hAnsi="Arial"/>
          <w:sz w:val="16"/>
          <w:szCs w:val="16"/>
          <w:color w:val="auto"/>
        </w:rPr>
        <w:t xml:space="preserve"> and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provided at least twenty (20) Days advance written notice of the auction has been provided to the Owner, or (iii) complete the Vessels for sale to a third party and apply the proceeds of sale, net of all expenses, to any unpaid balance due and owing to the Builder. The excess proceeds from any such auction or sale shall be paid to the Owner. Nothing in this Article 14.9 shall preclude additional notice by the Builder or the Owner of any such auction or sale on any industry trade internet sites.</w:t>
      </w:r>
    </w:p>
    <w:p>
      <w:pPr>
        <w:spacing w:after="0" w:line="6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14.10 Delay by the Owner or its representatives in providing to the Builder or its agents any Owner-supplied information, documents and/or goods or materials for the construction of the ATB Unit shall be covered by the appropriate provisions of Article 9 relating to Changes in the Work.</w:t>
      </w:r>
    </w:p>
    <w:p>
      <w:pPr>
        <w:spacing w:after="0" w:line="38"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14.11 The failure of either party to exercise any rights conferred upon it under any provision of this Agreement or applicable law with respect to any breach or default by the other party shall constitute neither a waiver of its rights under any other provision of this Agreement with respect to such breach or default, nor a waiver of its rights under the same or any other provision of this Agreement with respect to any other breach or default.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59" w:name="page160"/>
    <w:bookmarkEnd w:id="159"/>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15 – APPLICABLE LAW</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This Agreement and any disputes arising in connection herewith shall be governed, without consideration of conflicts of law, by and construed in accordance with the laws of the State of Florida.</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16 – CONTRACT</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16.1 The Contract Documents consist of this Agreement and all Exhibits, including the Specifications listed in Exhibit B, the Contract Drawings listed in Exhibit C-1, the Functional Design Drawings listed in Exhibit C-2 and all written Modifications issued after execution of this Agreement, including, without limitation, any Modification to any of the foregoing reflected in the Regulatory Approved Drawings and Modification approved by Change Orders, and represent the entire agreement between the Owner and the Builder. These form the Contract, and all are as fully a part of the Contract as if attached to this Agreement or repeated herein. The invalidity or unenforceability of any phrase, sentence, clause or section in the Contract shall not affect the validity or enforceability of the remaining portions of the Contract, or any part thereof. The Contract may be amended or modified only by a written Modification.</w:t>
      </w:r>
    </w:p>
    <w:p>
      <w:pPr>
        <w:spacing w:after="0" w:line="5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16.2 The intent of the parties as enumerated in the Contract Documents is for the Builder to build the ATB Unit in accordance with the Contract Documents for the Contract Price by the Delivery Date. If there are any conflicts or inconsistencies between the terms of this Agreement and the Specifications, then to the extent of such conflicts or inconsistencies, this Agreement shall prevail, but in all other respects, the Specifications shall be in full force and effect. If there are any conflicts or inconsistencies among the terms of the Specifications, the Functional Design Drawings and the Contract Drawings, the terms of the Specifications shall take precedence.</w:t>
      </w:r>
    </w:p>
    <w:p>
      <w:pPr>
        <w:spacing w:after="0" w:line="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16.3 Unless expressly stipulated to the contrary, the Builder shall provide and pay for all services, labor, overtime labor, standby labor, methods, Materials (including fuel, lubricating oils, hydraulic oils, greases, fresh water), equipment, transportation, taxes, permits and fees and all other facilities and services necessary to complete the ATB Unit for the Contract Price within the Delivery Date. Notwithstanding the foregoing, to the extent applicable and not exempted, the Owner will pay sales and use taxes due on materials, labor and equipment incorporated into the Work or incurred in connection with the sale or delivery of the ATB Unit. The Owner shall take over and pay for, at the Builder’s documented cost plus seven and a half percent (7.5%), reasonable amounts of all stores remaining aboard the ATB Unit at the time of Delivery, excluding fresh water, but including fuel oil, diesel oil, lubricating oil, hydraulic oil, and greases.</w:t>
      </w:r>
    </w:p>
    <w:p>
      <w:pPr>
        <w:spacing w:after="0" w:line="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16.4 Inconsistencies between other Contract Documents and this Agreement shall be governed by this Agreement. All general language or requirements contained in the Specifications and all other requirements inconsistent or in conflict with the provisions of this Agreement are superseded by this Agreement, it being the intent of the parties that the provisions of this Agreement shall prevail.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60" w:name="page161"/>
    <w:bookmarkEnd w:id="16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17 – INSPECTION, ACCESS, TESTS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AND OFFICIAL CERTIFICATES</w:t>
      </w:r>
    </w:p>
    <w:p>
      <w:pPr>
        <w:spacing w:after="0" w:line="21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17.1 During construction, the Builder shall provide the Owner facilities and access to inspect the Vessels, Materials, workmanship, plans, tests and movements. The Builder shall provide a suitable office for up to four (4) of the Owner’s personnel and the Builder shall provide access to suitable facilities for same and conditions such as a meeting table, drawing table and chairs, desks, locking file cabinets, private telephone with voice messaging, private fax/scanner, printer, computer modem, extra phone line, copy machine, secure LAN or WiFi internet connection, heat and air conditioning. The Builder may deny access to the Owner and any representative, agent, employee of the Owner or its other contractors if in the Builder’s sole discretion such persons do not comply with the Builder’s health, safety, environmental and insurance policies or special security requirements, which shall be provided to Owner upon request. In such an event, the Builder shall promptly advise the Owner, stating the specific cause(s), the denial.</w:t>
      </w:r>
    </w:p>
    <w:p>
      <w:pPr>
        <w:spacing w:after="0" w:line="59"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17.2 All of the workmanship and Materials required under this Agreement, while the same is in the process of fabrication, erection, construction, installation and performance, shall be inspected promptly by the Owner and shall be accepted promptly in accordance with the Contract Documents or rejected promptly in accordance therewith. Failure to object will not prevent or preclude the Owner from later identifying defects or rejecting workmanship which defective Materials and workmanship shall be replaced or repaired by the Builder in accordance with the terms of Article 11.</w:t>
      </w:r>
    </w:p>
    <w:p>
      <w:pPr>
        <w:spacing w:after="0" w:line="4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17.3 The Owner shall appoint one or more “Owner’s Representative(s)” and the Owner shall inform the Builder in writing as to the extent of authority the Owner has granted to each Owner’s Representative. The Owner may appoint additional Owner Representatives and/or change previously appointed Owner Representatives.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17.4 Tests and Inspections:</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17.4.1 Tests, inspections and approvals of portions of the Work required by the Contract Documents or by applicable laws, ordinances, rules, regulations or orders of Regulatory Authorities shall be made at an appropriate time. Unless otherwise provided, the Builder shall make arrangements for such tests, inspections and approvals and shall bear all related costs of tests, inspections and approvals, including the consumable fluids used in the cleaning and testing of the Work. Unless otherwise reasonably requested by the Owner, the Builder shall give the Owner at least twenty-four (24) hours advance notice of when and where tests and inspections are to be made so the Owner may observe such procedures.</w:t>
      </w:r>
    </w:p>
    <w:p>
      <w:pPr>
        <w:spacing w:after="0" w:line="64" w:lineRule="exact"/>
        <w:rPr>
          <w:sz w:val="20"/>
          <w:szCs w:val="20"/>
          <w:color w:val="auto"/>
        </w:rPr>
      </w:pPr>
    </w:p>
    <w:p>
      <w:pPr>
        <w:jc w:val="both"/>
        <w:ind w:right="80" w:firstLine="913"/>
        <w:spacing w:after="0" w:line="312" w:lineRule="auto"/>
        <w:rPr>
          <w:sz w:val="20"/>
          <w:szCs w:val="20"/>
          <w:color w:val="auto"/>
        </w:rPr>
      </w:pPr>
      <w:r>
        <w:rPr>
          <w:rFonts w:ascii="Arial" w:cs="Arial" w:eastAsia="Arial" w:hAnsi="Arial"/>
          <w:sz w:val="16"/>
          <w:szCs w:val="16"/>
          <w:color w:val="auto"/>
        </w:rPr>
        <w:t>17.4.2 If the Owner reasonably determines that portions of the Work require additional testing, inspection or approval not included under Article 17.4.1, the Owner will instruct the Builder to make arrangements for such additional testing, inspection or approval by an entity acceptable to the Owner, and the Builder shall give at least three (3) Working Days notice to the Owner of when and where tests and inspections are to be made so the Owner may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61" w:name="page162"/>
    <w:bookmarkEnd w:id="161"/>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observe such procedures. The Builder shall bear the cost of such tests. If any re-testing or re-inspection conducted by the Builder as provided in this Article 17.4.2 affirms that the Builder’s original Materials and workmanship was in accordance with the Contract Documents, the Builder shall be reimbursed by the Owner for the out of pocket costs for such additional testing and inspection and the Builder shall receive an adjustment of the Delivery Date for the time it took to conduct such tests and inspections if such additional testing and inspection affected the critical path progress of the Work.</w:t>
      </w:r>
    </w:p>
    <w:p>
      <w:pPr>
        <w:spacing w:after="0" w:line="4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17.4.3 If any testing or inspection conducted by the Builder as provided in Article 17.4.2 discloses that any methods or means of construction or material or workmanship are not acceptable under the Contract Documents, the Builder shall promptly remedy the Work so as to comply with the Contract Documents.</w:t>
      </w:r>
    </w:p>
    <w:p>
      <w:pPr>
        <w:spacing w:after="0" w:line="73"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17.4.4 Required certificates of testing, inspection or approval shall, unless otherwise required by the Contract Documents, be obtained by the Builder and promptly delivered to the Owner.</w:t>
      </w:r>
    </w:p>
    <w:p>
      <w:pPr>
        <w:spacing w:after="0" w:line="62"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17.4.5 If the Owner is to observe tests, inspections or approvals required by the Contract Documents, the Owner will do so promptly and at the normal place of testing.</w:t>
      </w:r>
    </w:p>
    <w:p>
      <w:pPr>
        <w:spacing w:after="0" w:line="62"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17.4.6 Neither the observations of the Owner nor inspections, tests, or approvals by persons other than the Builder shall relieve the Builder from its obligations to perform the Work in accordance with the Contract Documents.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17.5 If requested by the Owner, the Builder promptly, but no later than ten (10) Working Days following such request, and no earlier than forty-five</w:t>
      </w:r>
    </w:p>
    <w:p>
      <w:pPr>
        <w:spacing w:after="0" w:line="46" w:lineRule="exact"/>
        <w:rPr>
          <w:sz w:val="20"/>
          <w:szCs w:val="20"/>
          <w:color w:val="auto"/>
        </w:rPr>
      </w:pPr>
    </w:p>
    <w:p>
      <w:pPr>
        <w:ind w:firstLine="8"/>
        <w:spacing w:after="0" w:line="255" w:lineRule="auto"/>
        <w:tabs>
          <w:tab w:leader="none" w:pos="3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Days following the end of Builder’s latest fiscal quarter, shall provide to the Owner true and correct copies of quarterly unaudited financial statements of the Builder and annual audited financial statements of the Builder consisting of a balance sheet and an income statement (including any notes or comments thereto).</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18 – ASSIGNMENT OF THE AGREEMENT</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Agreement shall inure to the benefit of the Builder and the Owner and their successors and assigns and shall be binding upon the Builder and the Owner and their successors and assigns; provided that the Builder shall not assign this Agreement or any interest hereunder without the prior written consent of the Owner. If the Builder assigns its rights under this Agreement after obtaining the Owner’s prior written consent thereto, the Builder shall nonetheless and at all times remain jointly and severally liable with any such assignee under this Agreement. The Owner may at any time, without the consent of the Builder, sell the ATB Unit and/or assign this Agreement, or assign any or all of the Owner’s rights and interests under this Agreement, but the Owner shall nonetheless and at all times remain jointly and severally liable under the Agreement. The Builder agrees that such a sale and/or assignment shall not be grounds for termination of this Agreement. The Builder agrees to cooperate with the Owner and execute any additional documents and instruments, and take such additional actions, as the Owner may reasonably request to facilitate any such sale or assignment, including, without limitation, any assignment in connection with any construction and/or charter financing provided to the Owner for the construction or charter of the Vessel(s) and/or the ATB Unit.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74" w:right="299" w:bottom="1440" w:gutter="0" w:footer="0" w:header="0"/>
        </w:sectPr>
      </w:pPr>
    </w:p>
    <w:bookmarkStart w:id="162" w:name="page163"/>
    <w:bookmarkEnd w:id="162"/>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19 – COMPLIANCE WITH REGULATIONS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Builder shall comply with laws, rules, regulations and requirements of any Regulatory Authorities that are applicable and existing at the time of the execution of this Agreement that are in effect or which shall become effective as to the Vessels and which affect the construction of works, plants and vessels, in or on navigable waters and the shores thereof, and all other waters subject to the control of the United States as set forth in the Contract Documents and shall procure at its own expense such permits from the United States and from state and local authorities in the jurisdiction in which the Builder is constructing the ATB Unit as may be necessary in connection with beginning or carrying on the completion of the Work, and shall at times comply with all United States, state and local laws in the jurisdiction in which the Builder is constructing the ATB Unit in any way affecting the Work and affecting any documentation of such work with the U.S. Coast Guard. Any changes in laws or regulations or any different interpretation of such existing laws and regulations of any of the applicable Regulatory Authorities that come into effect after the execution of this Agreement and that affect either the Work or Delivery Date(s) or Contract Price (s) will be subject of a Change Order to the Contract.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20 – INTELLECTUAL PROPERTY INDEMNIFICATION</w:t>
      </w:r>
    </w:p>
    <w:p>
      <w:pPr>
        <w:spacing w:after="0" w:line="22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20.1 The Builder agrees to defend, at its own expense, and indemnify and hold harmless the Owner and/or any of the Owner Group, as defined in Article 23.1, for any claim or action brought by any third party against the Owner and/or any of the Owner Group, as defined in Article 23.1, for actual or alleged infringement (including contributory or vicarious infringement) of any Intellectual Property right (including, but not limited to, misappropriation of trade secrets) based upon the Materials, processes, machinery and equipment supplied by the Builder and embodied in the Detail Design Drawings and the Work. The Owner agrees to defend, at its own expense, and indemnify and hold harmless the Builder and/or any of the Builder Group, as defined in Article 23.2, for any claim or action brought by any third party against the Builder and/or any of the Builder Group, as defined in Article 23.2, for actual or alleged infringement (including contributory or vicarious infringement) of any Intellectual Property right (including, but not limited to, misappropriation of trade secrets) based upon the materials, processes, machinery and equipment supplied by the Owner or embodied in the Contract Drawings, the Functional Design Drawings, the Barge model (to the extent of functional design), the Tug model (to the extent of functional design) or the ATB Barge and ATB Tug Drawing Packages referenced in Exhibit C-4 and provided by the Owner to the Builder pursuant to Article 3.1 hereof.</w:t>
      </w:r>
    </w:p>
    <w:p>
      <w:pPr>
        <w:spacing w:after="0" w:line="16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parties further agree to defend, indemnify and hold harmless the other party and its respective Group from and against any and all liabilities, losses, costs, damages, and expenses (including reasonable attorneys’ fees) associated with any such claim or action incurred by the other party and/or its respective Group arising under this Article 20.1. The Builder shall have the sole right, but not the obligation, to conduct and control the defense of any such claim or action under this Section arising out of the materials, processes, machinery and equipment used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163" w:name="page164"/>
    <w:bookmarkEnd w:id="163"/>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supplied by the Builder and embodied in the Work, as well as all negotiations for its settlement or compromise, unless otherwise mutually agreed to in writing between the parties hereto. The Builder agrees to give the Owner, and the Owner agrees to give the Builder, as appropriate, prompt written notice of any written threat, warning or notice of any such claim or action. If in any such suit so defended, all or any part of the Builder’s Work (or any component, equipment or material thereof that is supplied by the Builder) is held to constitute an infringement or violation of any third party’s intellectual property rights and is enjoined, or if in respect of any claim of infringement the Builder deems it advisable to do so, the Builder shall at its sole option and absolute discretion take one or more of the following actions at no additional cost to the Owner: (a) procure the right to continue the use of the same without material interruption for the Owner or (b) take back the infringing component, equipment or material and restore it with non-infringing component, equipment or material acceptable to the Owner at no additional cost to the Owner.</w:t>
      </w:r>
    </w:p>
    <w:p>
      <w:pPr>
        <w:spacing w:after="0" w:line="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20.2 The Builder represents and warrants that it possesses all Intellectual Property rights to the Builder’s Process necessary to perform the Work. The Owner represents and warrants to the Builder that it owns or has the legal right to use all Intellectual Property rights embodied in the Contract Drawings, the Functional Design Drawings, the Barge model (to the extent of functional design), the Tug model (to the extent of functional design) and/or the ATB Barge and ATB Tug Drawing Packages referenced in Exhibit C-4.</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21 – NOTICES AND COMMUNICATIONS</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21.1 Notices required hereunder shall be sent in accordance with the following and at the addresses hereinafter set forth. Any notice or communication required or permitted to be given hereunder shall be given in writing, shall be effective only if given in one of the following manners, and shall be deemed given and deemed received: (a) if mailed by United States Registered or Certified Mail, postage prepaid, return receipt requested, on the fifth Working Day after the notice is deposited in an official United States mail receptacle with postage prepaid; (b) if given by facsimile transmission or electronic mail, on the date transmitted provided that receipt is confirmed; (c) if given by nationally utilized overnight courier, on the first Working Day after it is sent prepaid; (d) if hand delivered, on the date a receipt is obtained from the person to whom same is delivered. Notices hereunder shall be addressed as follows: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Owner: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GREAT LAKES DREDGE &amp; DOCK COMPANY, LLC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Oak Brook, Illinois 60523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Steven W. Becker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Vice President – Chief Mechanical Engineer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630-574-2909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Voice: 630-574-3000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swbecker@gldd.com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64" w:name="page165"/>
    <w:bookmarkEnd w:id="16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Kathleen Mackie LaVoy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Vice President – General Counsel, Dredging Operations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Great Lakes Dredge &amp; Dock Co.,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630-574-2909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Voice: 630-574-3468</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KMLaVoy@gldd.com</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and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Maryann Waryjas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Senior Vice President – Chief Legal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630-574-2909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Voice: 630-574-2900</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mwaryjas@gldd.com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Builder: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EASTERN SHIPBUILDING GROUP,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2200 Nelson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Panama City, Florida 32401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(850) 763-7904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Voice: (850) 763-1900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Brian R. D’Isernia, President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BRD@easternshipbuilding.com</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Dan Lozier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Eastern Shipbuilding Group,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2200 Nelson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Panama City, Florida 32401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(850) 763-7904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Voice: (850) 763-1900</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dlozier@easternshipbuilding.com</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21.2 Notwithstanding any other provision of this Agreement, all final authorizations and agreements concerning deductions from, additions to, or modifications of the Design or Specifications or any agreements that concern changes in the stipulated Delivery Date of the ATB Unit and/or Contract Price of the ATB Unit shall not be valid or binding on either party unless signed by one of the below designated representatives for each party or their respective successors in office: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274" w:right="399" w:bottom="1440" w:gutter="0" w:footer="0" w:header="0"/>
        </w:sectPr>
      </w:pPr>
    </w:p>
    <w:bookmarkStart w:id="165" w:name="page166"/>
    <w:bookmarkEnd w:id="16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ectPr>
          <w:pgSz w:w="11900" w:h="16838" w:orient="portrait"/>
          <w:cols w:equalWidth="0" w:num="1">
            <w:col w:w="11420"/>
          </w:cols>
          <w:pgMar w:left="240" w:top="274" w:right="23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OWNER: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 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Simonelli,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Steven W. Becker, Vice President &amp; Chief Mechanical Engineer</w:t>
      </w:r>
    </w:p>
    <w:p>
      <w:pPr>
        <w:spacing w:after="0" w:line="126" w:lineRule="exact"/>
        <w:rPr>
          <w:sz w:val="20"/>
          <w:szCs w:val="20"/>
          <w:color w:val="auto"/>
        </w:rPr>
      </w:pPr>
    </w:p>
    <w:p>
      <w:pPr>
        <w:sectPr>
          <w:pgSz w:w="11900" w:h="16838" w:orient="portrait"/>
          <w:cols w:equalWidth="0" w:num="2">
            <w:col w:w="720" w:space="440"/>
            <w:col w:w="102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BUILDER: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Brian R. D’Isernia, President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Kenneth R. Munroe, Executive Vice-President</w:t>
      </w:r>
    </w:p>
    <w:p>
      <w:pPr>
        <w:spacing w:after="0" w:line="200" w:lineRule="exact"/>
        <w:rPr>
          <w:sz w:val="20"/>
          <w:szCs w:val="20"/>
          <w:color w:val="auto"/>
        </w:rPr>
      </w:pPr>
    </w:p>
    <w:p>
      <w:pPr>
        <w:sectPr>
          <w:pgSz w:w="11900" w:h="16838" w:orient="portrait"/>
          <w:cols w:equalWidth="0" w:num="2">
            <w:col w:w="840" w:space="320"/>
            <w:col w:w="10260"/>
          </w:cols>
          <w:pgMar w:left="240" w:top="274" w:right="239" w:bottom="1440" w:gutter="0" w:footer="0" w:header="0"/>
          <w:type w:val="continuous"/>
        </w:sectPr>
      </w:pPr>
    </w:p>
    <w:p>
      <w:pPr>
        <w:spacing w:after="0" w:line="4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Each party agrees that at least one of its designated representatives will be available for consultation during normal working hours. It is further agreed that each party may change one or more of the above-designated representatives upon three (3) Working Days prior written notice in accordance herewith.</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22 – TITLE AND SECURITY</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22.1 Title in and to the Vessels as they are constructed shall progressively vest, and once vested shall in all events remain, in the Owner, not the Builder, as the Vessels are constructed to the extent the Interim Installment Payment pertaining to that portion of the Work has been paid by the Owner. Title to all Materials and equipment or other items furnished by the Builder shall vest in the Owner when the same has been paid by the Owner. Without regard to the provisions of this Article 22.1, the Builder shall be subject to the risk of loss of the Vessels and their Materials and the Work until completed and the ATB Unit is delivered to and accepted by the Owner and an executed Protocol of Delivery and Acceptance is delivered as provided in this Agreement. The Owner’s title to the Vessels, the Materials and the Work is subject to a possessory lien and any applicable security interest in favor of the Builder to the extent, if any, that the Builder has not been paid.</w:t>
      </w:r>
    </w:p>
    <w:p>
      <w:pPr>
        <w:spacing w:after="0" w:line="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22.2 If, notwithstanding the express provision of Article 22.1 or otherwise of this Agreement, the Vessels or any of the property to which the Owner holds title as described in this Article, is for any reason deemed by any court of competent jurisdiction not to be the property of, and owned by, the Owner, the Builder, to the extent it has any interest therein, alternatively hereby grants a first priority security interest in the Vessels and all of such property in favor of the Owner. The security interest granted hereby in the alternative shall secure all of the Builder’s obligations to the Owner under this Article. The Owner shall have the right to file without any further consent or signature of the Builder one or more UCC 1 Financing Statements at Owner’s expense against the Builder covering the Vessels and any or all of such property. In such Financing Statement(s) the Owner shall be entitled to give notice of its ownership of the Vessels and other property, and in the alternative, its security interest therein.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type w:val="continuous"/>
        </w:sectPr>
      </w:pPr>
    </w:p>
    <w:bookmarkStart w:id="166" w:name="page167"/>
    <w:bookmarkEnd w:id="166"/>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22.3 Immediately upon any property described in this Article becoming or being deemed the property of the Owner under the provisions of this Article, the Builder shall conspicuously mark or cause to be marked on the bow of the Vessel, and also on all such other property or its packaging, the Builder’s Hull Number for the Vessel, and without prejudice to the Owner’s rights hereunder, the Builder shall take all necessary steps to cause all such property to be numbered and marked as aforesaid by itself or by its Suppliers and Subcontractors with all reasonable expedition.</w:t>
      </w:r>
    </w:p>
    <w:p>
      <w:pPr>
        <w:spacing w:after="0" w:line="63"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22.4 The Builder shall use it best efforts to arrange its contractual arrangements with all of its Subcontractors and Suppliers such that full effect will be given to the title provisions of this Article and without limiting the foregoing, shall ensure that all property shall be supplied on the following conditions:</w:t>
      </w:r>
    </w:p>
    <w:p>
      <w:pPr>
        <w:spacing w:after="0" w:line="16" w:lineRule="exact"/>
        <w:rPr>
          <w:sz w:val="20"/>
          <w:szCs w:val="20"/>
          <w:color w:val="auto"/>
        </w:rPr>
      </w:pPr>
    </w:p>
    <w:p>
      <w:pPr>
        <w:ind w:right="20" w:firstLine="921"/>
        <w:spacing w:after="0" w:line="286" w:lineRule="auto"/>
        <w:tabs>
          <w:tab w:leader="none" w:pos="115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that the title to such property supplied by a Subcontractor or Supplier (whether in the course of construction or completed and whether before or after delivery to the Builder) shall vest immediately in the Builder (and thence, pursuant to Article 22.1, immediately in the Owner), subject only to the Subcontractor’s or Supplier’s possessory lien, if any, for any unpaid balance of the purchase price of such property: and</w:t>
      </w:r>
    </w:p>
    <w:p>
      <w:pPr>
        <w:spacing w:after="0" w:line="57" w:lineRule="exact"/>
        <w:rPr>
          <w:rFonts w:ascii="Arial" w:cs="Arial" w:eastAsia="Arial" w:hAnsi="Arial"/>
          <w:sz w:val="17"/>
          <w:szCs w:val="17"/>
          <w:color w:val="auto"/>
        </w:rPr>
      </w:pPr>
    </w:p>
    <w:p>
      <w:pPr>
        <w:ind w:right="140" w:firstLine="921"/>
        <w:spacing w:after="0" w:line="264" w:lineRule="auto"/>
        <w:tabs>
          <w:tab w:leader="none" w:pos="11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the Subcontractor or Supplier shall not, upon receipt by it of the purchase price for such property, be entitled, as against the Owner, to claim any title or lien therein by reason of obligations or liabilities of the Builder to the Subcontractor of Supplier in respect of any other deliveries made by the Subcontractor or Supplier to the Builder, or for any other reason.</w:t>
      </w:r>
    </w:p>
    <w:p>
      <w:pPr>
        <w:spacing w:after="0" w:line="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22.5 In addition to any other rights that may exist at common law or by statute or under this Agreement, the Builder shall be entitled to a possessory lien on the undelivered Vessels and on any Materials furnished by the Builder relating to the Vessels for any unpaid portion of the Contract Price for the ATB Unit that is then actually due and payable.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23 – INDEMNIFICATION</w:t>
      </w:r>
    </w:p>
    <w:p>
      <w:pPr>
        <w:spacing w:after="0" w:line="22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THE BUILDER SHALL RELEASE, INDEMNIFY, DEFEND AND HOLD HARMLESS THE OWNER, ITS PARENT, OFFICERS,</w:t>
      </w:r>
      <w:r>
        <w:rPr>
          <w:rFonts w:ascii="Arial" w:cs="Arial" w:eastAsia="Arial" w:hAnsi="Arial"/>
          <w:sz w:val="18"/>
          <w:szCs w:val="18"/>
          <w:color w:val="auto"/>
        </w:rPr>
        <w:t xml:space="preserve"> </w:t>
      </w:r>
      <w:r>
        <w:rPr>
          <w:rFonts w:ascii="Arial" w:cs="Arial" w:eastAsia="Arial" w:hAnsi="Arial"/>
          <w:sz w:val="18"/>
          <w:szCs w:val="18"/>
          <w:b w:val="1"/>
          <w:bCs w:val="1"/>
          <w:color w:val="auto"/>
        </w:rPr>
        <w:t>AGENTS, EMPLOYEES, SUBSIDIARIES, AFFILIATES, SUCCESSORS, ASSIGNS AND VESSELS (HEREINAFTER COLLECTIVELY REFERRED TO AS “OWNER GROUP”) AGAINST ANY AND ALL LIABILITY, CLAIMS, DEMANDS, LOSSES, SUITS, LIENS, CAUSES OF ACTION OF EVERY KIND AND CHARACTER AND THE COSTS THEREOF INCLUDING, WITHOUT LIMITATION, COURT COSTS, ANY OTHER LITIGATION EXPENSES, ATTORNEYS FEES, SETTLEMENTS AND JUDGMENTS, FOR PERSONAL INJURY (INCLUDING, BUT NOT LIMITED TO, CLAIMS, DEMANDS, OR SUITS FOR BODILY INJURIES, EMOTIONAL AND PSYCHOLOGICAL INJURIES, ILLNESSES, DISEASES, DEATH, LOSS OF SERVICES, LOSS OF SOCIETY, DIMINISHED EARNINGS CAPACITY, MAINTENANCE AND CURE, WAGES, WORKER’S COMPENSATION) OR PROPERTY LOSS OR DAMAGE WHICH IS BROUGHT AGAINST ANY MEMBER OF THE OWNER GROUP BY ANY MEMBER OF THE BUILDER GROUP AND WHICH ARE ALLEGED TO ARISE OUT OF, BE INCIDENT TO, ARISE IN CONNECTION WITH, OR RESULT FROM OCCURRENCES THAT ARISE BEFORE DELIVERY. THE BUILDER AGREES TO DEFEND AND INDEMNIFY THE OWNER GROUP WHETHER THE SUIT OR CLAIMS ARE OCCASIONED, BROUGHT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167" w:name="page168"/>
    <w:bookmarkEnd w:id="167"/>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b w:val="1"/>
          <w:bCs w:val="1"/>
          <w:color w:val="auto"/>
        </w:rPr>
        <w:t>ABOUT, OR CAUSED IN WHOLE OR IN PART BY THE NEGLIGENCE, FAULT OR STRICT LIABILITY (INCLUDING UNSEAWORTHINESS) OF THE OWNER GROUP. THE BUILDER ALSO AGREES TO INDEMNIFY THE OWNER GROUP FOR ALL COSTS, EXPENSES, AND ATTORNEYS FEES EXPENDED BY THE OWNER GROUP IN THE ENFORCEMENT OF THIS ARTICLE 23.1.</w:t>
      </w:r>
    </w:p>
    <w:p>
      <w:pPr>
        <w:spacing w:after="0" w:line="15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b w:val="1"/>
          <w:bCs w:val="1"/>
          <w:color w:val="auto"/>
        </w:rPr>
        <w:t>THE BUILDER FURTHER REPRESENTS TO THE OWNER THAT THE BUILDER’S FACILITIES DO NOT HAVE ANY CONDITION OF POLLUTION OR CONTAMINATION THAT COULD GIVE RISE TO LIABILITY OF THE OWNER GROUP FOR REMEDIATION, CLEANUP, DAMAGES, PENALTIES, OR COSTS OF ANY KIND. THE BUILDER AGREES TO RELEASE, DEFEND, INDEMNIFY AND HOLD THE OWNER GROUP HARMLESS AGAINST AND IN RESPECT OF ALL CLAIMS, LOSSES, LIABILITIES, REMEDIATION OR CLEAN-UP COSTS, OR ANY FINES, PENALTIES, ASSESSMENTS, OR EXPENSES WHICH MAY BE IMPOSED UPON, INCURRED BY, OR ASSESSED AGAINST ANY MEMBER OF THE OWNER GROUP BY ANY OTHER PARTY OR PARTIES (INCLUDING, WITHOUT LIMITATION, A GOVERNMENTAL ENTITY), ARISING OUT OF, IN CONNECTION WITH, OR RELATING TO THE SUBJECT MATTER OF THE AGREEMENT INCLUDING: (A) THE BUILDER’S BREACH OF ANY OF THE REPRESENTATIONS SET FORTH ABOVE IN THIS SECTION; OR (B) ANY ENVIRONMENTAL POLLUTION OR CONDITION OF CONTAMINATION ON THE BUILDER’S FACILITIES THAT MAY GIVE RISE TO LIABILITY, EVEN IF NOT DISCOVERED UNTIL A LATER DATE. BUILDER SHALL INSURE THE DEFENSE, INDEMNITY AND HOLD HARMLESS OBLIGATIONS SET FORTH IN THIS AGREEMENT.</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THE OWNER SHALL RELEASE, INDEMNIFY, DEFEND AND HOLD HARMLESS THE BUILDER, ITS PARENT, OFFICERS,</w:t>
      </w:r>
      <w:r>
        <w:rPr>
          <w:rFonts w:ascii="Arial" w:cs="Arial" w:eastAsia="Arial" w:hAnsi="Arial"/>
          <w:sz w:val="18"/>
          <w:szCs w:val="18"/>
          <w:color w:val="auto"/>
        </w:rPr>
        <w:t xml:space="preserve"> </w:t>
      </w:r>
      <w:r>
        <w:rPr>
          <w:rFonts w:ascii="Arial" w:cs="Arial" w:eastAsia="Arial" w:hAnsi="Arial"/>
          <w:sz w:val="18"/>
          <w:szCs w:val="18"/>
          <w:b w:val="1"/>
          <w:bCs w:val="1"/>
          <w:color w:val="auto"/>
        </w:rPr>
        <w:t>AGENTS, EMPLOYEES, SUBSIDIARIES, SUBCONTRACTORS, AFFILIATES, SUCCESSORS, ASSIGNS AND VESSELS (HEREINAFTER AND BEFORE COLLECTIVELY REFERRED TO AS “BUILDER GROUP”) AGAINST ANY AND ALL LIABILITY, CLAIMS, DEMANDS, LOSSES, SUITS, LIENS, CAUSES OF ACTION OF EVERY KIND AND CHARACTER AND THE COSTS THEREOF INCLUDING, WITHOUT LIMITATION, COURT COSTS, ANY OTHER LITIGATION EXPENSES, ATTORNEYS FEES, SETTLEMENTS AND JUDGMENTS, FOR PERSONAL INJURY (INCLUDING, BUT NOT LIMITED TO, CLAIMS, DEMANDS, OR SUITS FOR BODILY INJURIES, EMOTIONAL AND PSYCHOLOGICAL INJURIES, ILLNESSES, DISEASES, DEATH, LOSS OF SERVICES, LOSS OF SOCIETY, DIMINISHED EARNINGS CAPACITY, MAINTENANCE AND CURE, WAGES, WORKER’S COMPENSATION) OR PROPERTY LOSS OR PROPERTY DAMAGE (EXCEPT FOR THE VESSELS, THE MATERIALS, OWNER FURNISHED ITEMS OR THE WORK WHICH ARE SPECIFICALLY EXCLUDED HEREFROM) WHICH IS BROUGHT AGAINST ANY OF THE BUILDER GROUP BY ANY MEMBER OF THE OWNER GROUP AND WHICH ARE ALLEGED TO ARISE OUT OF, BE INCIDENT TO, ARISE IN CONNECTION WITH, OR RESULT FROM OCCURRENCES THAT ARISE BEFORE DELIVERY. THE OWNER AGREES TO DEFEND AND INDEMNIFY THE BUILDER GROUP WHETHER THE SUIT OR CLAIMS ARE OCCASIONED, BROUGHT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168" w:name="page169"/>
    <w:bookmarkEnd w:id="168"/>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ABOUT, OR CAUSED IN WHOLE OR IN PART BY THE NEGLIGENCE, FAULT OR STRICT LIABILITY (INCLUDING UNSEAWORTHINESS) OF THE BUILDER GROUP. THE OWNER ALSO AGREES TO INDEMNIFY THE BUILDER GROUP FOR ALL COSTS, EXPENSES, AND ATTORNEYS FEES EXPENDED BY THE BUILDER GROUP IN THE ENFORCEMENT OF THIS ARTICLE 23.2. OWNER SHALL INSURE THE DEFENSE, INDEMNITY AND HOLD HARMLESS OBLIGATIONS SET FORTH IN THIS AGREEMENT. OWNER SHALL FURTHER DEFEND, INDEMNIFY AND HOLD THE BUILDER GROUP HARMLESS FROM AND AGAINST ANY AND ALL LOSS, LIABILITY, DAMAGES OR EXPENSE (INCLUDING ATTORNEYS’ FEES) INCURRED BY THE BUILDER GROUP AND ARISING OUT OF ANY CLAIM MADE BY SIGNAL INTERNATIONAL, LLC AGAINST THE BUILDER GROUP AS A RESULT OF THE NEGLIGENCE OR OTHER LEGAL FAULT OF THE OWNER.</w:t>
      </w:r>
    </w:p>
    <w:p>
      <w:pPr>
        <w:spacing w:after="0" w:line="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23.3 The foregoing indemnity obligations shall also include reasonable attorneys’ fees, investigation costs and other costs and expenses incurred by the other party and/or its indemnitees with respect to the matters described in this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The indemnification provisions set forth in this Article shall survive the termination of this Agreement.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24 – Reserved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25 – DISPUTE RESOLUTION</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25.1 Whenever disputes, disagreements, or misunderstandings arise, the Builder and the Owner will attempt to resolve the issue(s) involved by good faith discussion and mutual agreement as soon as practicable.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25.2 Failing resolution by mutual agreement, the aggrieved party shall document the dispute, disagreement, or misunderstanding by notifying the other party in writing detailing the relevant facts, identifying unresolved issues, specifying the clarification or remedy sought, and detailing the rationale as to why the clarification/remedy is appropriate. The other party shall submit a written position on the matter(s) in dispute within ten (10) Working Days after being notified. The parties will then meet within five (5) Working Days thereafter to further discuss the issue(s) in dispute and such meeting will include a duly authorized officer of the Owner and a duly authorized officer of the Builder. If this process does not resolve the dispute, the aggrieved party may then pursue resolution under the remaining provisions of this Article 25.</w:t>
      </w:r>
    </w:p>
    <w:p>
      <w:pPr>
        <w:spacing w:after="0" w:line="8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25.3 Articles 25.3 through 25.5 shall only apply to disputes that have a monetary value, excluding costs and attorneys’ fees of less than $500,000. For the purposes hereof, those types of disputes shall be described as a “Work Dispute.” Work Disputes shall be subject to Articles 25.4 through 25.5 and decided by an independent marine surveyor selected by the parties (“Surveyor”), which shall be binding upon the parties and non-appealable.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4" w:right="299" w:bottom="1440" w:gutter="0" w:footer="0" w:header="0"/>
        </w:sectPr>
      </w:pPr>
    </w:p>
    <w:bookmarkStart w:id="169" w:name="page170"/>
    <w:bookmarkEnd w:id="16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25.4 Work Disputes shall be submitted to the Surveyor who shall be experienced in shipbuilding matters. The parties agree to utilize an experienced and independent marine surveyor from Dufour, Laskay &amp; Strouse, Inc. (“DLS”) to serve as the Surveyor. In the event DLS has a conflict of interest, refuses, or is otherwise unable for any reason to timely decide the Work Dispute, the Work Dispute shall be submitted to a qualified marine surveyor selected by the ABS.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25.5 To invoke the process under Article 25.3, either party shall provide written notice to the other party pursuant to Article 21, with a copy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Surveyor setting forth:</w:t>
      </w:r>
    </w:p>
    <w:p>
      <w:pPr>
        <w:spacing w:after="0" w:line="116" w:lineRule="exact"/>
        <w:rPr>
          <w:sz w:val="20"/>
          <w:szCs w:val="20"/>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issue(s) to be decided by the Surveyor;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resolution under Article 25.3 is requested.</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25.6 Articles 25.6 through 25.20 shall only apply to disputes that have a monetary value, excluding costs and attorneys’ fees of more than $500,000 but less than $3,000,000. For the purposes hereof, this type of dispute shall be described as an “Arbitration Dispute.” Any dispute other than an Arbitration Dispute arising between the Owner and the Builder, relating to the interpretation or performance of this Agreement, shall not be subject to this arbitration provision, and there shall be no compulsory arbitration except in the case of an Arbitration Dispute. Arbitration Disputes shall be subject to the arbitration provisions herein provided.</w:t>
      </w:r>
    </w:p>
    <w:p>
      <w:pPr>
        <w:spacing w:after="0" w:line="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25.7 Arbitration Disputes shall be submitted to arbitration. No more than ten (10) Working Days after a party has invoked arbitration as set forth in Article 25.8 below, each party shall select an arbitrator and notify the other party of the arbitrator selected. All arbitrators shall be selected from the list of approved arbitrators of the Society of Maritime Arbitrators and shall be knowledgeable with commercial shipbuilding practices. The two (2) arbitrators so selected shall then select a third arbitrator from the list of approved arbitrators of the Society of Maritime Arbitrators within ten (10) Working Days of the date of the selection of the last party appointed arbitrator. If any party or the two (2) arbitrators fail to timely appoint the third arbitrator, the arbitrator shall be selected from the approved list of arbitrators of the Society of Maritime Arbitrators. The arbitrators shall decide on each issue or dispute presented to them by a majority vote. In all circumstances, the arbitration shall be conducted in New Orleans, Louisiana.</w:t>
      </w:r>
    </w:p>
    <w:p>
      <w:pPr>
        <w:spacing w:after="0" w:line="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25.8 To invoke arbitration under this Article 25.7, a party shall provide the other party written notice of its decision to invoke arbitration, which written notice shall also set forth the following:</w:t>
      </w:r>
    </w:p>
    <w:p>
      <w:pPr>
        <w:spacing w:after="0" w:line="76" w:lineRule="exact"/>
        <w:rPr>
          <w:sz w:val="20"/>
          <w:szCs w:val="20"/>
          <w:color w:val="auto"/>
        </w:rPr>
      </w:pPr>
    </w:p>
    <w:p>
      <w:pPr>
        <w:ind w:left="1480" w:right="780" w:hanging="567"/>
        <w:spacing w:after="0" w:line="277"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disputes or issues to be arbitrated, including a concise statement of the factual basis therefor and a reference to the relevant provisions of the Contract Documents related to such disputes or issues to be arbitrated;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arbitration is demanded.</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25.9 The arbitrators shall not be bound by the rules of evidence or civil procedure, but rather may consider such writings and oral presentations as reasonable shipbuilders and businessmen would use in the conduct of their day-to-day affairs, and may require the parties to submit some or all of their presentation orally or in written form as the arbitrators may deem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170" w:name="page171"/>
    <w:bookmarkEnd w:id="170"/>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appropriate. The parties acknowledge that arbitrations should be conducted in a more cost efficient and timely basis than court litigation. Nonetheless, the parties agree that some limited discovery is appropriate to ensure a full and fair hearing. Accordingly, the parties agree to the following limited discovery in the event of an Arbitration Dispute: (i) the exchange of all documents and things which are relevant to the disputes or issues submitted to the arbitration panel (“Initial Exchange”) which Initial Exchange shall include documents and things that are both supportive and not supportive of a party’s position;</w:t>
      </w:r>
    </w:p>
    <w:p>
      <w:pPr>
        <w:spacing w:after="0" w:line="2" w:lineRule="exact"/>
        <w:rPr>
          <w:sz w:val="20"/>
          <w:szCs w:val="20"/>
          <w:color w:val="auto"/>
        </w:rPr>
      </w:pPr>
    </w:p>
    <w:p>
      <w:pPr>
        <w:ind w:firstLine="8"/>
        <w:spacing w:after="0" w:line="252"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interrogatories and requests for production of documents and things, each of which shall not exceed twenty (20) in number, including subparts (“Written Discovery”); (iii) documents only subpoenas on third parties; and (iv) five (5) depositions per party. The parties shall conduct the Initial Exchange no later than thirty (30) Days after the third arbitrator is selected. All Written Discovery shall be exchanged within fifteen (15) Days of the Initial Exchange. The parties shall respond to the Written Discovery within twenty (20) Days from receipt thereof. All depositions shall be scheduled within forty (40) Working Days after receiving responses to Written Discovery. In the event either party believes additional discovery is needed for a full and fair hearing of the disputes or issues, a party may submit a request to the arbitration panel for such additional discovery, which shall be permitted by the arbitration panel for good cause shown.</w:t>
      </w:r>
    </w:p>
    <w:p>
      <w:pPr>
        <w:spacing w:after="0" w:line="8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25.10 The parties may follow such rules and procedures as are agreed to between the parties. If the parties cannot agree to such rules and procedures within ten (10) Working Days of an election to submit the dispute to arbitration, then the Commercial Arbitration Rules of the American Arbitration Association shall apply.</w:t>
      </w:r>
    </w:p>
    <w:p>
      <w:pPr>
        <w:spacing w:after="0" w:line="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25.11 Any arbitration may include any other person substantially involved in a common question of fact or law whose presence is required if complete relief is to be accorded in arbitration, provided that such other person has agreed to be bound by such arbitration.</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25.12 The arbitration panel shall have the authority to retain such impartial expert assistance as they deem necessary to assist them in making a full and fair evaluation of the claims of the parties and to include the cost of arbitration reasonable compensation and reimbursement of expenses for any expert so retained.</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25.13 Either party may apply to the arbitration panel seeking injunctive relief until the arbitration award is rendered or the controversy is otherwise resolved. Either party also may, without waiving any remedy under this Agreement, seek from any court having jurisdiction any interim or provisional relief that is necessary to protect the rights or property of that party, pending the establishment of the arbitration panel (or pending the arbitration panel’s determination of the merits of the controversy).</w:t>
      </w:r>
    </w:p>
    <w:p>
      <w:pPr>
        <w:spacing w:after="0" w:line="79"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25.14 The arbitral award shall be made and payable in United States dollars, free of any tax, deduction or off-set and in accordance with the arbitral award. The arbitration panel shall use all reasonable efforts to render a decision within 210 Days following the appointment of the third arbitrator.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71" w:name="page172"/>
    <w:bookmarkEnd w:id="171"/>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25.15 The arbitration panel shall render a written explanation of the reasons for its award, which explanation shall contain a full statement of the facts as found and the rules of law applied in reaching same. All costs of the arbitration proceedings, except attorneys’ fees and expenses, shall be divided equally between the parties. Each party shall bear all attorneys’ fees and expenses that it incurs in connection with arbitration.</w:t>
      </w:r>
    </w:p>
    <w:p>
      <w:pPr>
        <w:spacing w:after="0" w:line="5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25.16 Any decision(s) and/or award made by the arbitration panel must be by a majority of the arbitrators and shall be final, incontestable, and binding on the parties hereto. Such decision(s) and/or award shall be fully enforceable, and judgment thereon may be entered by, or application may be made for judicial acceptance to, any court having jurisdiction thereof.</w:t>
      </w:r>
    </w:p>
    <w:p>
      <w:pPr>
        <w:spacing w:after="0" w:line="7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25.17 The parties hereto agree that any decision(s) and/or award of the arbitration panel shall be binding on the parties and not be subject to any appeal to any court or any other authority or panel except as permitted by applicable law.</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25.18 The parties hereto agree that the decision(s) and/or award of the arbitration panel shall be the sole and exclusive remedy between them regarding any claims, counterclaims, issues, or accountings presented or pled to the arbitration panel. Neither party shall have the right to commence or prosecute any action before any court on any dispute, conflict, or controversy arising out of or in relation to this Agreement, except for an action to compel arbitration in accordance with this Article or for provisional relief in accordance with Article 25.13, or for enforcement of the decision(s) and/or award of the arbitration panel.</w:t>
      </w:r>
    </w:p>
    <w:p>
      <w:pPr>
        <w:spacing w:after="0" w:line="8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25.19 Neither a party nor an arbitrator may disclose the existence, content, or results of any arbitration hereunder without the prior written consent of both parties.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25.20 The provisions contained in this Article 25 shall survive the termination and/or expiration of this Agreement.</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25.21 Any other disputes arising under or related to this Agreement which fall outside Articles 25.1 through 25.20 shall be litigated by the parties in federal district court in the Eastern District of Louisiana, which the parties have mutually selected as the exclusive venue for any such litigation. The parties agree and waive any objection to the inconvenience of the venue and further waives the right they may have to a trial by jury.</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26 – TAXES, DUTIES, AND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CONTRACT EXPENSES</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26.1 The Builder shall pay all local, state, and federal taxes, federal import duties, workers’ compensation, social security or old age benefits of any nature, unemployment tax, and any other similar taxes, charges, assessments and contributions of any kind now or hereafter payable in connection with the construction of the Vessels imposed upon, or with respect to, or measured by, Materials and labor utilized in the construction of the Vessels, or the wages, salaries or other remunerations paid to persons employed in connection with the performance of this Agreement, and the Builder shall indemnify and hold the Owner harmless from any and all liability and expense by reason of the Builder’s failure to pay such taxes, charges, assessments and contributions.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172" w:name="page173"/>
    <w:bookmarkEnd w:id="172"/>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26.2 The Owner agrees to pay such state or local sales or use or other taxes, if any, as may be mandatorily imposed by law in connection with the sale and Delivery of the Vessels. It is the intention of the Owner, however, to avoid or minimize, to the greatest extent lawfully possible, the imposition of any state sales or use or other taxes with respect to the Vessels. This may involve claiming any lawfully available exemption(s), such as the “removal” exemption, the “interstate or foreign commerce” exemption, the “resale” exemption, or taking delivery of the ATB Unit in a location outside the boundaries of the State of Florida. The Builder shall use reasonable efforts to cooperate with the Owner to achieve exemption from such sales or use or other taxes, but only to the extent permitted by applicable laws and regulations, and shall provide the Owner with all such documentation as may be needed from the Builder to assist the Owner in establishing exemption from such sales or use or other taxes.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27 – LIENS AND ENCUMBRANCES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27.1 Following payment of the sums due to the Builder by the Owner hereunder, the Builder agrees to deliver the ATB Unit to the Owner free and clear of any and all liens, claims, encumbrances and rights in rem in favor of the Builder or any workmen, material men, Suppliers, Subcontractors, or others to whom the Builder is responsible, excluding liens, mortgages or encumbrances created by the Owner.</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27.2 Provided that the Owner has complied with its payment obligations, in the event of the filing or attaching of any lien or encumbrances created or suffered by or through the Builder or any of its Subcontractors or Suppliers against the Vessels before final payment, the Owner may, but shall not be required to, satisfy the same out of any amount remaining to be paid to the Builder hereunder, except where the Builder notifies the Owner of a bona fide dispute between the Builder and such lienor. When final payment is to be made under this Agreement, as condition precedent thereto, the Owner may, in its discretion, require that the Builder provide to the Owner a statement certifying and indemnifying the Owner against any liens or rights in rem of any kind against the ATB Unit or its respective machinery, fittings, or equipment which relate to actions of the Builder and excluding any liens or encumbrances created by the Owner.</w:t>
      </w:r>
    </w:p>
    <w:p>
      <w:pPr>
        <w:spacing w:after="0" w:line="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27.3 In addition to and notwithstanding the foregoing, and provided that the Owner has complied with its payment obligations, the Builder agrees to be fully responsible for and to defend, indemnify the Owner and hold it harmless from and against all liens and claims for labor, material, taxes, privileges and licenses arising out of, in connection with, or resulting from the operations or activities of the Builder, its employees or agents or Subcontractors and the employees or agents of their Subcontractors, and agrees to defend any such claim asserted or suit brought against the Owner and/or the Vessels and to pay any judgment rendered in any such action and reimburse the Owner for any attorneys’ fees and costs it may have incurred in the enforcement of this indemnity, provided, however, that the Owner shall have the right, if it so elects, to participate at its own expense in the defense of any such claims or suits, but such participation shall not operate to affect the Builder’s liability and obligation hereunder.</w:t>
      </w:r>
    </w:p>
    <w:p>
      <w:pPr>
        <w:spacing w:after="0" w:line="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27.4 The Owner agrees to be fully responsible for and to defend, indemnify the Builder and hold it harmless from and against all liens and claims for labor, materials, taxes, privileges and licenses arising out of, in connection with, or resulting from the operations or activities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173" w:name="page174"/>
    <w:bookmarkEnd w:id="17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Owner, its employees or agents or subcontractors and the employees or agents of their subcontractors, and agrees to defend any such claim asserted or suit brought against the Builder and to pay any judgment rendered in any such action and reimburse the Builder for any attorneys’ fees and costs it may have incurred in the enforcement of this indemnity, provided, however, that the Builder shall have the right, if it so elects, to participate at its own expense in the defense of any such claims or suits, but such participation shall not operate to affect the Owner’s liability and obligation hereunder.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28 – 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29 – GENERAL</w:t>
      </w:r>
    </w:p>
    <w:p>
      <w:pPr>
        <w:spacing w:after="0" w:line="22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29.1 This Agreement may be executed in several counterparts, all of which may be taken to be one and the same agreement. The parties may manually execute this Agreement, but each party agrees that a facsimile, PDF, or other electronic transmission of such signature shall be deemed binding on each party, and the parties agree not to contest the validity of this Agreement by reason of the fact that a manually executed copy has not been delivered.</w:t>
      </w:r>
    </w:p>
    <w:p>
      <w:pPr>
        <w:spacing w:after="0" w:line="3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29.2 The Builder acknowledges and agrees that certain information relating to the Owner that may be disclosed to or otherwise acquired by the Builder in connection with this Agreement and the negotiations leading up to its execution by one or both parties, may constitute material, confidential and non-public information, which shall be governed by the mutual Non-Disclosure Agreement existing between the parties. The Builder will not make any announcement or disclosure of the fact that such discussions have occurred, or of the terms of this Agreement without the Owner’s written consent, which shall not unreasonably withheld, except to the extent required by law. In addition, the Builder and the Owner mutually agree not to make any public statements or provide information to any third party which disparages the other party, provided, however, that each party shall be permitted to make press releases or other disclosure as required by law in the reasonable opinion of each party’s securities counsel.</w:t>
      </w:r>
    </w:p>
    <w:p>
      <w:pPr>
        <w:spacing w:after="0" w:line="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29.3 THIS AGREEMENT SUPERSEDES ALL PRIOR AGREEMENTS, PROMISES, CORRESPONDENCE, DISCUSSIONS, REPRESENTATIONS AND UNDERSTANDINGS, EXCEPT THOSE EXPRESSLY SET FORTH HEREIN. NO OTHER AGREEMENTS, PROMISES, CORRESPONDENCE, DISCUSSIONS, REPRESENTATIONS OR UNDERSTANDINGS, EITHER EXPRESS OR IMPLIED, UNLESS EXPRESSLY SET FORTH HEREIN, ARE BINDING BETWEEN THE PARTIES.</w:t>
      </w:r>
    </w:p>
    <w:p>
      <w:pPr>
        <w:spacing w:after="0" w:line="7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29.4 In no event shall this Agreement be subject to or interpreted in accordance with the United Nations Convention on Contracts for the International Sale of Goods.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29.5 The headings in this Agreement are for convenience only and are not to be used in the interpretation of the associated language.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29.6 This Agreement may only be modified or amended in writing, signed by both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74" w:name="page175"/>
    <w:bookmarkEnd w:id="17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by their proper authorized representatives,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WITNESSES:</w:t>
            </w:r>
          </w:p>
        </w:tc>
        <w:tc>
          <w:tcPr>
            <w:tcW w:w="5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BUILDER:</w:t>
            </w:r>
          </w:p>
        </w:tc>
      </w:tr>
      <w:tr>
        <w:trPr>
          <w:trHeight w:val="432"/>
        </w:trPr>
        <w:tc>
          <w:tcPr>
            <w:tcW w:w="3700" w:type="dxa"/>
            <w:vAlign w:val="bottom"/>
          </w:tcPr>
          <w:p>
            <w:pPr>
              <w:spacing w:after="0"/>
              <w:rPr>
                <w:sz w:val="24"/>
                <w:szCs w:val="24"/>
                <w:color w:val="auto"/>
              </w:rPr>
            </w:pPr>
          </w:p>
        </w:tc>
        <w:tc>
          <w:tcPr>
            <w:tcW w:w="5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EASTERN SHIPBUILDING GROUP, INC.</w:t>
            </w:r>
          </w:p>
        </w:tc>
      </w:tr>
      <w:tr>
        <w:trPr>
          <w:trHeight w:val="432"/>
        </w:trPr>
        <w:tc>
          <w:tcPr>
            <w:tcW w:w="3700" w:type="dxa"/>
            <w:vAlign w:val="bottom"/>
          </w:tcPr>
          <w:p>
            <w:pPr>
              <w:spacing w:after="0"/>
              <w:rPr>
                <w:sz w:val="24"/>
                <w:szCs w:val="24"/>
                <w:color w:val="auto"/>
              </w:rPr>
            </w:pPr>
          </w:p>
        </w:tc>
        <w:tc>
          <w:tcPr>
            <w:tcW w:w="5740" w:type="dxa"/>
            <w:vAlign w:val="bottom"/>
            <w:gridSpan w:val="2"/>
          </w:tcPr>
          <w:p>
            <w:pPr>
              <w:ind w:left="2040"/>
              <w:spacing w:after="0"/>
              <w:rPr>
                <w:sz w:val="20"/>
                <w:szCs w:val="20"/>
                <w:color w:val="auto"/>
              </w:rPr>
            </w:pPr>
            <w:r>
              <w:rPr>
                <w:rFonts w:ascii="Arial" w:cs="Arial" w:eastAsia="Arial" w:hAnsi="Arial"/>
                <w:sz w:val="18"/>
                <w:szCs w:val="18"/>
                <w:color w:val="auto"/>
              </w:rPr>
              <w:t>/s/ Brian R. D’Isernia</w:t>
            </w:r>
          </w:p>
        </w:tc>
      </w:tr>
      <w:tr>
        <w:trPr>
          <w:trHeight w:val="324"/>
        </w:trPr>
        <w:tc>
          <w:tcPr>
            <w:tcW w:w="3700" w:type="dxa"/>
            <w:vAlign w:val="bottom"/>
          </w:tcPr>
          <w:p>
            <w:pPr>
              <w:spacing w:after="0"/>
              <w:rPr>
                <w:sz w:val="20"/>
                <w:szCs w:val="20"/>
                <w:color w:val="auto"/>
              </w:rPr>
            </w:pPr>
            <w:r>
              <w:rPr>
                <w:rFonts w:ascii="Arial" w:cs="Arial" w:eastAsia="Arial" w:hAnsi="Arial"/>
                <w:sz w:val="18"/>
                <w:szCs w:val="18"/>
                <w:b w:val="1"/>
                <w:bCs w:val="1"/>
                <w:color w:val="auto"/>
              </w:rPr>
              <w:t>/s/ David E. Simonelli</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3120" w:type="dxa"/>
            <w:vAlign w:val="bottom"/>
          </w:tcPr>
          <w:p>
            <w:pPr>
              <w:ind w:left="80"/>
              <w:spacing w:after="0"/>
              <w:rPr>
                <w:sz w:val="20"/>
                <w:szCs w:val="20"/>
                <w:color w:val="auto"/>
              </w:rPr>
            </w:pPr>
            <w:r>
              <w:rPr>
                <w:rFonts w:ascii="Arial" w:cs="Arial" w:eastAsia="Arial" w:hAnsi="Arial"/>
                <w:sz w:val="18"/>
                <w:szCs w:val="18"/>
                <w:b w:val="1"/>
                <w:bCs w:val="1"/>
                <w:color w:val="auto"/>
              </w:rPr>
              <w:t>Brian R. D’Isernia</w:t>
            </w:r>
          </w:p>
        </w:tc>
      </w:tr>
      <w:tr>
        <w:trPr>
          <w:trHeight w:val="324"/>
        </w:trPr>
        <w:tc>
          <w:tcPr>
            <w:tcW w:w="3700" w:type="dxa"/>
            <w:vAlign w:val="bottom"/>
          </w:tcPr>
          <w:p>
            <w:pPr>
              <w:spacing w:after="0"/>
              <w:rPr>
                <w:sz w:val="20"/>
                <w:szCs w:val="20"/>
                <w:color w:val="auto"/>
              </w:rPr>
            </w:pPr>
            <w:r>
              <w:rPr>
                <w:rFonts w:ascii="Arial" w:cs="Arial" w:eastAsia="Arial" w:hAnsi="Arial"/>
                <w:sz w:val="18"/>
                <w:szCs w:val="18"/>
                <w:b w:val="1"/>
                <w:bCs w:val="1"/>
                <w:color w:val="auto"/>
              </w:rPr>
              <w:t>/s/ Kenneth R. Munroe</w:t>
            </w:r>
          </w:p>
        </w:tc>
        <w:tc>
          <w:tcPr>
            <w:tcW w:w="2620" w:type="dxa"/>
            <w:vAlign w:val="bottom"/>
          </w:tcPr>
          <w:p>
            <w:pPr>
              <w:ind w:left="2040"/>
              <w:spacing w:after="0"/>
              <w:rPr>
                <w:sz w:val="20"/>
                <w:szCs w:val="20"/>
                <w:color w:val="auto"/>
              </w:rPr>
            </w:pPr>
            <w:r>
              <w:rPr>
                <w:rFonts w:ascii="Arial" w:cs="Arial" w:eastAsia="Arial" w:hAnsi="Arial"/>
                <w:sz w:val="18"/>
                <w:szCs w:val="18"/>
                <w:color w:val="auto"/>
              </w:rPr>
              <w:t>Its:</w:t>
            </w:r>
          </w:p>
        </w:tc>
        <w:tc>
          <w:tcPr>
            <w:tcW w:w="3120" w:type="dxa"/>
            <w:vAlign w:val="bottom"/>
          </w:tcPr>
          <w:p>
            <w:pPr>
              <w:ind w:left="80"/>
              <w:spacing w:after="0"/>
              <w:rPr>
                <w:sz w:val="20"/>
                <w:szCs w:val="20"/>
                <w:color w:val="auto"/>
              </w:rPr>
            </w:pPr>
            <w:r>
              <w:rPr>
                <w:rFonts w:ascii="Arial" w:cs="Arial" w:eastAsia="Arial" w:hAnsi="Arial"/>
                <w:sz w:val="18"/>
                <w:szCs w:val="18"/>
                <w:b w:val="1"/>
                <w:bCs w:val="1"/>
                <w:color w:val="auto"/>
              </w:rPr>
              <w:t>President</w:t>
            </w:r>
          </w:p>
        </w:tc>
      </w:tr>
      <w:tr>
        <w:trPr>
          <w:trHeight w:val="324"/>
        </w:trPr>
        <w:tc>
          <w:tcPr>
            <w:tcW w:w="370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DATE:</w:t>
            </w:r>
          </w:p>
        </w:tc>
        <w:tc>
          <w:tcPr>
            <w:tcW w:w="3120" w:type="dxa"/>
            <w:vAlign w:val="bottom"/>
          </w:tcPr>
          <w:p>
            <w:pPr>
              <w:ind w:left="80"/>
              <w:spacing w:after="0"/>
              <w:rPr>
                <w:sz w:val="20"/>
                <w:szCs w:val="20"/>
                <w:color w:val="auto"/>
              </w:rPr>
            </w:pPr>
            <w:r>
              <w:rPr>
                <w:rFonts w:ascii="Arial" w:cs="Arial" w:eastAsia="Arial" w:hAnsi="Arial"/>
                <w:sz w:val="18"/>
                <w:szCs w:val="18"/>
                <w:b w:val="1"/>
                <w:bCs w:val="1"/>
                <w:color w:val="auto"/>
              </w:rPr>
              <w:t>January 10, 2014</w:t>
            </w:r>
          </w:p>
        </w:tc>
      </w:tr>
      <w:tr>
        <w:trPr>
          <w:trHeight w:val="432"/>
        </w:trPr>
        <w:tc>
          <w:tcPr>
            <w:tcW w:w="3700" w:type="dxa"/>
            <w:vAlign w:val="bottom"/>
          </w:tcPr>
          <w:p>
            <w:pPr>
              <w:spacing w:after="0"/>
              <w:rPr>
                <w:sz w:val="20"/>
                <w:szCs w:val="20"/>
                <w:color w:val="auto"/>
              </w:rPr>
            </w:pPr>
            <w:r>
              <w:rPr>
                <w:rFonts w:ascii="Arial" w:cs="Arial" w:eastAsia="Arial" w:hAnsi="Arial"/>
                <w:sz w:val="18"/>
                <w:szCs w:val="18"/>
                <w:b w:val="1"/>
                <w:bCs w:val="1"/>
                <w:color w:val="auto"/>
              </w:rPr>
              <w:t>WITNESSES:</w:t>
            </w:r>
          </w:p>
        </w:tc>
        <w:tc>
          <w:tcPr>
            <w:tcW w:w="5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OWNER:</w:t>
            </w:r>
          </w:p>
        </w:tc>
      </w:tr>
      <w:tr>
        <w:trPr>
          <w:trHeight w:val="432"/>
        </w:trPr>
        <w:tc>
          <w:tcPr>
            <w:tcW w:w="3700" w:type="dxa"/>
            <w:vAlign w:val="bottom"/>
          </w:tcPr>
          <w:p>
            <w:pPr>
              <w:spacing w:after="0"/>
              <w:rPr>
                <w:sz w:val="24"/>
                <w:szCs w:val="24"/>
                <w:color w:val="auto"/>
              </w:rPr>
            </w:pPr>
          </w:p>
        </w:tc>
        <w:tc>
          <w:tcPr>
            <w:tcW w:w="5740" w:type="dxa"/>
            <w:vAlign w:val="bottom"/>
            <w:gridSpan w:val="2"/>
          </w:tcPr>
          <w:p>
            <w:pPr>
              <w:ind w:left="2040"/>
              <w:spacing w:after="0"/>
              <w:rPr>
                <w:sz w:val="20"/>
                <w:szCs w:val="20"/>
                <w:color w:val="auto"/>
              </w:rPr>
            </w:pPr>
            <w:r>
              <w:rPr>
                <w:rFonts w:ascii="Arial" w:cs="Arial" w:eastAsia="Arial" w:hAnsi="Arial"/>
                <w:sz w:val="18"/>
                <w:szCs w:val="18"/>
                <w:b w:val="1"/>
                <w:bCs w:val="1"/>
                <w:color w:val="auto"/>
                <w:w w:val="99"/>
              </w:rPr>
              <w:t>GREAT LAKES DREDGE &amp; DOCK CO., LLC</w:t>
            </w:r>
          </w:p>
        </w:tc>
      </w:tr>
      <w:tr>
        <w:trPr>
          <w:trHeight w:val="432"/>
        </w:trPr>
        <w:tc>
          <w:tcPr>
            <w:tcW w:w="3700" w:type="dxa"/>
            <w:vAlign w:val="bottom"/>
          </w:tcPr>
          <w:p>
            <w:pPr>
              <w:spacing w:after="0"/>
              <w:rPr>
                <w:sz w:val="24"/>
                <w:szCs w:val="24"/>
                <w:color w:val="auto"/>
              </w:rPr>
            </w:pPr>
          </w:p>
        </w:tc>
        <w:tc>
          <w:tcPr>
            <w:tcW w:w="5740" w:type="dxa"/>
            <w:vAlign w:val="bottom"/>
            <w:gridSpan w:val="2"/>
          </w:tcPr>
          <w:p>
            <w:pPr>
              <w:ind w:left="2040"/>
              <w:spacing w:after="0"/>
              <w:rPr>
                <w:sz w:val="20"/>
                <w:szCs w:val="20"/>
                <w:color w:val="auto"/>
              </w:rPr>
            </w:pPr>
            <w:r>
              <w:rPr>
                <w:rFonts w:ascii="Arial" w:cs="Arial" w:eastAsia="Arial" w:hAnsi="Arial"/>
                <w:sz w:val="18"/>
                <w:szCs w:val="18"/>
                <w:color w:val="auto"/>
              </w:rPr>
              <w:t>/s/ Jonathan W. Berger</w:t>
            </w:r>
          </w:p>
        </w:tc>
      </w:tr>
      <w:tr>
        <w:trPr>
          <w:trHeight w:val="324"/>
        </w:trPr>
        <w:tc>
          <w:tcPr>
            <w:tcW w:w="3700" w:type="dxa"/>
            <w:vAlign w:val="bottom"/>
          </w:tcPr>
          <w:p>
            <w:pPr>
              <w:spacing w:after="0"/>
              <w:rPr>
                <w:sz w:val="20"/>
                <w:szCs w:val="20"/>
                <w:color w:val="auto"/>
              </w:rPr>
            </w:pPr>
            <w:r>
              <w:rPr>
                <w:rFonts w:ascii="Arial" w:cs="Arial" w:eastAsia="Arial" w:hAnsi="Arial"/>
                <w:sz w:val="18"/>
                <w:szCs w:val="18"/>
                <w:b w:val="1"/>
                <w:bCs w:val="1"/>
                <w:color w:val="auto"/>
              </w:rPr>
              <w:t>/s/ David E. Simonelli</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3120" w:type="dxa"/>
            <w:vAlign w:val="bottom"/>
          </w:tcPr>
          <w:p>
            <w:pPr>
              <w:ind w:left="80"/>
              <w:spacing w:after="0"/>
              <w:rPr>
                <w:sz w:val="20"/>
                <w:szCs w:val="20"/>
                <w:color w:val="auto"/>
              </w:rPr>
            </w:pPr>
            <w:r>
              <w:rPr>
                <w:rFonts w:ascii="Arial" w:cs="Arial" w:eastAsia="Arial" w:hAnsi="Arial"/>
                <w:sz w:val="18"/>
                <w:szCs w:val="18"/>
                <w:b w:val="1"/>
                <w:bCs w:val="1"/>
                <w:color w:val="auto"/>
              </w:rPr>
              <w:t>Jonathan W. Berger</w:t>
            </w:r>
          </w:p>
        </w:tc>
      </w:tr>
      <w:tr>
        <w:trPr>
          <w:trHeight w:val="324"/>
        </w:trPr>
        <w:tc>
          <w:tcPr>
            <w:tcW w:w="3700" w:type="dxa"/>
            <w:vAlign w:val="bottom"/>
          </w:tcPr>
          <w:p>
            <w:pPr>
              <w:spacing w:after="0"/>
              <w:rPr>
                <w:sz w:val="20"/>
                <w:szCs w:val="20"/>
                <w:color w:val="auto"/>
              </w:rPr>
            </w:pPr>
            <w:r>
              <w:rPr>
                <w:rFonts w:ascii="Arial" w:cs="Arial" w:eastAsia="Arial" w:hAnsi="Arial"/>
                <w:sz w:val="18"/>
                <w:szCs w:val="18"/>
                <w:b w:val="1"/>
                <w:bCs w:val="1"/>
                <w:color w:val="auto"/>
              </w:rPr>
              <w:t>/s/ Steven W. Becker</w:t>
            </w:r>
          </w:p>
        </w:tc>
        <w:tc>
          <w:tcPr>
            <w:tcW w:w="2620" w:type="dxa"/>
            <w:vAlign w:val="bottom"/>
          </w:tcPr>
          <w:p>
            <w:pPr>
              <w:ind w:left="2040"/>
              <w:spacing w:after="0"/>
              <w:rPr>
                <w:sz w:val="20"/>
                <w:szCs w:val="20"/>
                <w:color w:val="auto"/>
              </w:rPr>
            </w:pPr>
            <w:r>
              <w:rPr>
                <w:rFonts w:ascii="Arial" w:cs="Arial" w:eastAsia="Arial" w:hAnsi="Arial"/>
                <w:sz w:val="18"/>
                <w:szCs w:val="18"/>
                <w:color w:val="auto"/>
              </w:rPr>
              <w:t>Its:</w:t>
            </w:r>
          </w:p>
        </w:tc>
        <w:tc>
          <w:tcPr>
            <w:tcW w:w="3120" w:type="dxa"/>
            <w:vAlign w:val="bottom"/>
          </w:tcPr>
          <w:p>
            <w:pPr>
              <w:ind w:left="80"/>
              <w:spacing w:after="0"/>
              <w:rPr>
                <w:sz w:val="20"/>
                <w:szCs w:val="20"/>
                <w:color w:val="auto"/>
              </w:rPr>
            </w:pPr>
            <w:r>
              <w:rPr>
                <w:rFonts w:ascii="Arial" w:cs="Arial" w:eastAsia="Arial" w:hAnsi="Arial"/>
                <w:sz w:val="18"/>
                <w:szCs w:val="18"/>
                <w:b w:val="1"/>
                <w:bCs w:val="1"/>
                <w:color w:val="auto"/>
              </w:rPr>
              <w:t>CEO</w:t>
            </w:r>
          </w:p>
        </w:tc>
      </w:tr>
      <w:tr>
        <w:trPr>
          <w:trHeight w:val="324"/>
        </w:trPr>
        <w:tc>
          <w:tcPr>
            <w:tcW w:w="370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DATE:</w:t>
            </w:r>
          </w:p>
        </w:tc>
        <w:tc>
          <w:tcPr>
            <w:tcW w:w="3120" w:type="dxa"/>
            <w:vAlign w:val="bottom"/>
          </w:tcPr>
          <w:p>
            <w:pPr>
              <w:ind w:left="80"/>
              <w:spacing w:after="0"/>
              <w:rPr>
                <w:sz w:val="20"/>
                <w:szCs w:val="20"/>
                <w:color w:val="auto"/>
              </w:rPr>
            </w:pPr>
            <w:r>
              <w:rPr>
                <w:rFonts w:ascii="Arial" w:cs="Arial" w:eastAsia="Arial" w:hAnsi="Arial"/>
                <w:sz w:val="18"/>
                <w:szCs w:val="18"/>
                <w:b w:val="1"/>
                <w:bCs w:val="1"/>
                <w:color w:val="auto"/>
              </w:rPr>
              <w:t>January 9, 2014</w:t>
            </w:r>
          </w:p>
        </w:tc>
      </w:tr>
      <w:tr>
        <w:trPr>
          <w:trHeight w:val="365"/>
        </w:trPr>
        <w:tc>
          <w:tcPr>
            <w:tcW w:w="3700" w:type="dxa"/>
            <w:vAlign w:val="bottom"/>
          </w:tcPr>
          <w:p>
            <w:pPr>
              <w:spacing w:after="0"/>
              <w:rPr>
                <w:sz w:val="24"/>
                <w:szCs w:val="24"/>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49</w:t>
            </w:r>
          </w:p>
        </w:tc>
        <w:tc>
          <w:tcPr>
            <w:tcW w:w="3120" w:type="dxa"/>
            <w:vAlign w:val="bottom"/>
          </w:tcPr>
          <w:p>
            <w:pPr>
              <w:spacing w:after="0"/>
              <w:rPr>
                <w:sz w:val="24"/>
                <w:szCs w:val="24"/>
                <w:color w:val="auto"/>
              </w:rPr>
            </w:pPr>
          </w:p>
        </w:tc>
      </w:tr>
    </w:tbl>
    <w:p>
      <w:pPr>
        <w:sectPr>
          <w:pgSz w:w="11900" w:h="16838" w:orient="portrait"/>
          <w:cols w:equalWidth="0" w:num="1">
            <w:col w:w="11260"/>
          </w:cols>
          <w:pgMar w:left="240" w:top="274" w:right="399" w:bottom="1440" w:gutter="0" w:footer="0" w:header="0"/>
        </w:sectPr>
      </w:pPr>
    </w:p>
    <w:bookmarkStart w:id="175" w:name="page176"/>
    <w:bookmarkEnd w:id="17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VESSEL CONTRACT PRICE AND DELIVERY DATE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construction of the ATB Unit and Delivery Date is contingent on the Owner furnishing Owner-furnished materials as shown on and by the deadlines set forth in Exhibit 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of Vessel(s)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ATB Unit shall be a dual mode articulated tug/barge trailing suction hopper dredge as follows:</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Vessel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ESG Hull No. 252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GLDD 14,000 BHP Class Design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150’ x 52’ x 33’ ATB Hopper Dredge Tug</w:t>
      </w:r>
    </w:p>
    <w:p>
      <w:pPr>
        <w:spacing w:after="0" w:line="200"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Vessel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ESG Hull No. 253</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GLDD 15,000 cy Class Design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433’ x 92’ x 36’ ATB Hopper Dredge Barge</w:t>
      </w:r>
    </w:p>
    <w:p>
      <w:pPr>
        <w:spacing w:after="0" w:line="200"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ATB Unit shall be constructed in accordance with the Contract Documents for the following Contract Price and Delivery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Price and Delivery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Delivery Date and Contract Price for the ATB Unit shall be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Vessel</w:t>
            </w:r>
          </w:p>
        </w:tc>
        <w:tc>
          <w:tcPr>
            <w:tcW w:w="2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20" w:type="dxa"/>
            <w:vAlign w:val="bottom"/>
          </w:tcPr>
          <w:p>
            <w:pPr>
              <w:ind w:left="1100"/>
              <w:spacing w:after="0"/>
              <w:rPr>
                <w:sz w:val="20"/>
                <w:szCs w:val="20"/>
                <w:color w:val="auto"/>
              </w:rPr>
            </w:pPr>
            <w:r>
              <w:rPr>
                <w:rFonts w:ascii="Arial" w:cs="Arial" w:eastAsia="Arial" w:hAnsi="Arial"/>
                <w:sz w:val="14"/>
                <w:szCs w:val="14"/>
                <w:b w:val="1"/>
                <w:bCs w:val="1"/>
                <w:color w:val="auto"/>
              </w:rPr>
              <w:t>Design</w:t>
            </w:r>
          </w:p>
        </w:tc>
        <w:tc>
          <w:tcPr>
            <w:tcW w:w="5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Contract Price *</w:t>
            </w:r>
          </w:p>
        </w:tc>
        <w:tc>
          <w:tcPr>
            <w:tcW w:w="680" w:type="dxa"/>
            <w:vAlign w:val="bottom"/>
          </w:tcPr>
          <w:p>
            <w:pPr>
              <w:spacing w:after="0"/>
              <w:rPr>
                <w:sz w:val="16"/>
                <w:szCs w:val="16"/>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Delivery Dates</w:t>
            </w:r>
          </w:p>
        </w:tc>
      </w:tr>
      <w:tr>
        <w:trPr>
          <w:trHeight w:val="190"/>
        </w:trPr>
        <w:tc>
          <w:tcPr>
            <w:tcW w:w="3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ATB Unit</w:t>
            </w:r>
          </w:p>
        </w:tc>
        <w:tc>
          <w:tcPr>
            <w:tcW w:w="124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Vessel No. 1</w:t>
            </w:r>
          </w:p>
        </w:tc>
        <w:tc>
          <w:tcPr>
            <w:tcW w:w="124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GLDD 14,000 BHP</w:t>
            </w:r>
          </w:p>
        </w:tc>
        <w:tc>
          <w:tcPr>
            <w:tcW w:w="2020" w:type="dxa"/>
            <w:vAlign w:val="bottom"/>
            <w:gridSpan w:val="2"/>
          </w:tcPr>
          <w:p>
            <w:pPr>
              <w:jc w:val="right"/>
              <w:ind w:right="488"/>
              <w:spacing w:after="0" w:line="201" w:lineRule="exact"/>
              <w:rPr>
                <w:sz w:val="20"/>
                <w:szCs w:val="20"/>
                <w:color w:val="auto"/>
              </w:rPr>
            </w:pPr>
            <w:r>
              <w:rPr>
                <w:rFonts w:ascii="Arial" w:cs="Arial" w:eastAsia="Arial" w:hAnsi="Arial"/>
                <w:sz w:val="18"/>
                <w:szCs w:val="18"/>
                <w:color w:val="auto"/>
              </w:rPr>
              <w:t>$38,454,018</w:t>
            </w:r>
          </w:p>
        </w:tc>
        <w:tc>
          <w:tcPr>
            <w:tcW w:w="234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32 Months after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ESG Hull No. 252</w:t>
            </w:r>
          </w:p>
        </w:tc>
        <w:tc>
          <w:tcPr>
            <w:tcW w:w="1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ATB Hopper Dredge</w:t>
            </w: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40" w:type="dxa"/>
            <w:vAlign w:val="bottom"/>
            <w:gridSpan w:val="2"/>
          </w:tcPr>
          <w:p>
            <w:pPr>
              <w:ind w:left="680"/>
              <w:spacing w:after="0"/>
              <w:rPr>
                <w:sz w:val="20"/>
                <w:szCs w:val="20"/>
                <w:color w:val="auto"/>
              </w:rPr>
            </w:pPr>
            <w:r>
              <w:rPr>
                <w:rFonts w:ascii="Arial" w:cs="Arial" w:eastAsia="Arial" w:hAnsi="Arial"/>
                <w:sz w:val="18"/>
                <w:szCs w:val="18"/>
                <w:color w:val="auto"/>
              </w:rPr>
              <w:t>Effective Date</w:t>
            </w:r>
          </w:p>
        </w:tc>
      </w:tr>
      <w:tr>
        <w:trPr>
          <w:trHeight w:val="230"/>
        </w:trPr>
        <w:tc>
          <w:tcPr>
            <w:tcW w:w="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Tug</w:t>
            </w: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No. 2</w:t>
            </w:r>
          </w:p>
        </w:tc>
        <w:tc>
          <w:tcPr>
            <w:tcW w:w="1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GLDD 15,000 cu.</w:t>
            </w:r>
          </w:p>
        </w:tc>
        <w:tc>
          <w:tcPr>
            <w:tcW w:w="20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$58,174,692</w:t>
            </w:r>
          </w:p>
        </w:tc>
        <w:tc>
          <w:tcPr>
            <w:tcW w:w="2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32 Months after</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ESG Hull No. 253</w:t>
            </w:r>
          </w:p>
        </w:tc>
        <w:tc>
          <w:tcPr>
            <w:tcW w:w="1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yard ATB Hopper</w:t>
            </w: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Effective Date</w:t>
            </w:r>
          </w:p>
        </w:tc>
      </w:tr>
      <w:tr>
        <w:trPr>
          <w:trHeight w:val="216"/>
        </w:trPr>
        <w:tc>
          <w:tcPr>
            <w:tcW w:w="3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Dredge</w:t>
            </w: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Barge</w:t>
            </w: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Contract Price Adjusted to Account for Changes Reflected in Exhibit A-1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ATB Unit Steelweight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an effort to reduce the likelihood of unanticipated weight changes, Builder shall:</w:t>
      </w:r>
    </w:p>
    <w:p>
      <w:pPr>
        <w:spacing w:after="0" w:line="117" w:lineRule="exact"/>
        <w:rPr>
          <w:sz w:val="20"/>
          <w:szCs w:val="20"/>
          <w:color w:val="auto"/>
        </w:rPr>
      </w:pPr>
    </w:p>
    <w:p>
      <w:pPr>
        <w:ind w:left="120" w:hanging="112"/>
        <w:spacing w:after="0"/>
        <w:tabs>
          <w:tab w:leader="none" w:pos="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Notify the Owner at any time changes are made to scantling level drawings</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detailed weight estimates on a monthly basis during all phases of the project</w:t>
      </w:r>
    </w:p>
    <w:p>
      <w:pPr>
        <w:sectPr>
          <w:pgSz w:w="11900" w:h="16838" w:orient="portrait"/>
          <w:cols w:equalWidth="0" w:num="1">
            <w:col w:w="11420"/>
          </w:cols>
          <w:pgMar w:left="240" w:top="274" w:right="239" w:bottom="1440" w:gutter="0" w:footer="0" w:header="0"/>
          <w:type w:val="continuous"/>
        </w:sectPr>
      </w:pPr>
    </w:p>
    <w:bookmarkStart w:id="176" w:name="page177"/>
    <w:bookmarkEnd w:id="176"/>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Contract Price shall be adjusted either up or down at the value specified below for each short ton difference between the applicable Vessel’s actual neat steel weight and the neat weight allowance noted below. For purposes of adjusting the Contract Price, the actual neat steel weight shall be that weight of the applicable Vessel’s hull structural steel assembly as derived from the Vessel’s modeled configuration using the fabricated scantlings and the engineering software “Ship Constructor.”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Barge – [*] per short 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Tug – [*] per short ton*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Barge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It is emphasized that every effort shall be made to minimize unnecessary Barge weight, particularly structural weight. To that end, where applicable, Builder shall work with the Owner to identify areas where “or equal” substitutions (including high strength steel) have the potential to result in significant weight savings, subject to Builder’s right to a Change Order in accordance with Article 9.</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Contract price for the Barge hull noted above includes a neat steel weight allowance of [*] Short Tons less Owner furnished steel consisting of [*] A36 and [*] EH36. For purposes of this Agreement, neat steel weight is defined as the Barge’s hull structural steel assembly as noted in the Construction Specification for the Barge (Exhibit B), Sections 2.100, 2.200, 2.300, 2.400, 2.450, 2.500 (excluding fluidizing piping and bottom doors), 2.570, 2.600, 2.650, 2.670, 3.100 and 3.200, trimmed and fitted for weldout and is exclusive of any drop-offs, paint and pre-construction primer, welding or welding electrodes, construction or erection padeyes/brackets, or other construction weldments or appurtenances.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Tug</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It is possible that in the course of Tug design development, it becomes necessary to increase hull scantling sizes in order for the Tug to achieve the design draft. The Contract Price for the Tug hull noted above includes a neat steel weight allowance of [*] Short Tons. For purposes of this Agreement, neat steel weight is defined as the Tug’s hull structural steel assembly as noted in the Construction Specification for the Tug (Exhibit B), Sections 2.6, 2.7, 2.8, 2.9, 2.10, 2.11, 2.12 and 2.13.5, trimmed and fitted for weldout and is exclusive of any drop-offs, paint and pre-construction primer, welding or welding electrodes, construction or erection padeyes/brackets, or other construction weldments or appurtenances.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Rate Unit Qualifications:</w:t>
      </w:r>
    </w:p>
    <w:p>
      <w:pPr>
        <w:spacing w:after="0" w:line="131"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Rate is applicable only to Grade A “mild-steel” structural components.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Replacement of “mild steel” with high strength steel is not applicable to this unit rate.</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Contract Price includes an allowance of [*] for the medium voltage electrical umbilical and disconnect system between the Barge and the Tug. The Contract Price shall be increased by the amount of any and all costs for such system in excess of such allowance.</w:t>
      </w:r>
    </w:p>
    <w:p>
      <w:pPr>
        <w:sectPr>
          <w:pgSz w:w="11900" w:h="16838" w:orient="portrait"/>
          <w:cols w:equalWidth="0" w:num="1">
            <w:col w:w="11400"/>
          </w:cols>
          <w:pgMar w:left="240" w:top="274" w:right="259" w:bottom="1440" w:gutter="0" w:footer="0" w:header="0"/>
        </w:sectPr>
      </w:pPr>
    </w:p>
    <w:bookmarkStart w:id="177" w:name="page178"/>
    <w:bookmarkEnd w:id="17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RECENT CHANGES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60"/>
          </w:cols>
          <w:pgMar w:left="240" w:top="274" w:right="399" w:bottom="1440" w:gutter="0" w:footer="0" w:header="0"/>
        </w:sectPr>
      </w:pPr>
    </w:p>
    <w:bookmarkStart w:id="178" w:name="page179"/>
    <w:bookmarkEnd w:id="17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Tug</w:t>
      </w:r>
    </w:p>
    <w:p>
      <w:pPr>
        <w:sectPr>
          <w:pgSz w:w="11900" w:h="16838" w:orient="portrait"/>
          <w:cols w:equalWidth="0" w:num="1">
            <w:col w:w="11260"/>
          </w:cols>
          <w:pgMar w:left="240" w:top="274" w:right="3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Specifications for the Construction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Rev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November 29, 2013</w:t>
      </w:r>
    </w:p>
    <w:p>
      <w:pPr>
        <w:spacing w:after="0" w:line="46" w:lineRule="exact"/>
        <w:rPr>
          <w:sz w:val="20"/>
          <w:szCs w:val="20"/>
          <w:color w:val="auto"/>
        </w:rPr>
      </w:pPr>
    </w:p>
    <w:p>
      <w:pPr>
        <w:sectPr>
          <w:pgSz w:w="11900" w:h="16838" w:orient="portrait"/>
          <w:cols w:equalWidth="0" w:num="3">
            <w:col w:w="2680" w:space="720"/>
            <w:col w:w="1740" w:space="720"/>
            <w:col w:w="5400"/>
          </w:cols>
          <w:pgMar w:left="240" w:top="274" w:right="399" w:bottom="1440" w:gutter="0" w:footer="0" w:header="0"/>
          <w:type w:val="continuous"/>
        </w:sectPr>
      </w:pPr>
    </w:p>
    <w:p>
      <w:pPr>
        <w:spacing w:after="0"/>
        <w:rPr>
          <w:sz w:val="20"/>
          <w:szCs w:val="20"/>
          <w:color w:val="auto"/>
        </w:rPr>
      </w:pPr>
      <w:r>
        <w:rPr>
          <w:rFonts w:ascii="Arial" w:cs="Arial" w:eastAsia="Arial" w:hAnsi="Arial"/>
          <w:sz w:val="16"/>
          <w:szCs w:val="16"/>
          <w:color w:val="auto"/>
        </w:rPr>
        <w:t>of a 15,000 BHP Class Tug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Barge</w:t>
      </w:r>
    </w:p>
    <w:p>
      <w:pPr>
        <w:sectPr>
          <w:pgSz w:w="11900" w:h="16838" w:orient="portrait"/>
          <w:cols w:equalWidth="0" w:num="1">
            <w:col w:w="11260"/>
          </w:cols>
          <w:pgMar w:left="240" w:top="274" w:right="39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Specifications for the Construction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Rev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November 29, 2013</w:t>
      </w:r>
    </w:p>
    <w:p>
      <w:pPr>
        <w:spacing w:after="0" w:line="46" w:lineRule="exact"/>
        <w:rPr>
          <w:sz w:val="20"/>
          <w:szCs w:val="20"/>
          <w:color w:val="auto"/>
        </w:rPr>
      </w:pPr>
    </w:p>
    <w:p>
      <w:pPr>
        <w:sectPr>
          <w:pgSz w:w="11900" w:h="16838" w:orient="portrait"/>
          <w:cols w:equalWidth="0" w:num="3">
            <w:col w:w="2680" w:space="720"/>
            <w:col w:w="1740" w:space="720"/>
            <w:col w:w="5400"/>
          </w:cols>
          <w:pgMar w:left="240" w:top="274" w:right="399" w:bottom="1440" w:gutter="0" w:footer="0" w:header="0"/>
          <w:type w:val="continuous"/>
        </w:sectPr>
      </w:pPr>
    </w:p>
    <w:p>
      <w:pPr>
        <w:spacing w:after="0"/>
        <w:rPr>
          <w:sz w:val="20"/>
          <w:szCs w:val="20"/>
          <w:color w:val="auto"/>
        </w:rPr>
      </w:pPr>
      <w:r>
        <w:rPr>
          <w:rFonts w:ascii="Arial" w:cs="Arial" w:eastAsia="Arial" w:hAnsi="Arial"/>
          <w:sz w:val="17"/>
          <w:szCs w:val="17"/>
          <w:color w:val="auto"/>
        </w:rPr>
        <w:t>of a 433’ x 92’ x 36’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ATB Dredge Barge</w:t>
      </w:r>
    </w:p>
    <w:p>
      <w:pPr>
        <w:sectPr>
          <w:pgSz w:w="11900" w:h="16838" w:orient="portrait"/>
          <w:cols w:equalWidth="0" w:num="1">
            <w:col w:w="11260"/>
          </w:cols>
          <w:pgMar w:left="240" w:top="274" w:right="39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Specifications will be initialed by a duly-authorized representative of the Owner and the Builder.</w:t>
      </w:r>
    </w:p>
    <w:p>
      <w:pPr>
        <w:sectPr>
          <w:pgSz w:w="11900" w:h="16838" w:orient="portrait"/>
          <w:cols w:equalWidth="0" w:num="1">
            <w:col w:w="11260"/>
          </w:cols>
          <w:pgMar w:left="240" w:top="274" w:right="399" w:bottom="1440" w:gutter="0" w:footer="0" w:header="0"/>
          <w:type w:val="continuous"/>
        </w:sectPr>
      </w:pPr>
    </w:p>
    <w:bookmarkStart w:id="179" w:name="page180"/>
    <w:bookmarkEnd w:id="17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CONTACT DRAWINGS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ATB BARGE CONTRACT DRAWINGS PACKAGE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Dwg #</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40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Revision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Delivery Date</w:t>
            </w:r>
          </w:p>
        </w:tc>
      </w:tr>
      <w:tr>
        <w:trPr>
          <w:trHeight w:val="203"/>
        </w:trPr>
        <w:tc>
          <w:tcPr>
            <w:tcW w:w="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111-01</w:t>
            </w:r>
          </w:p>
        </w:tc>
        <w:tc>
          <w:tcPr>
            <w:tcW w:w="14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Shell Arrangement</w:t>
            </w:r>
          </w:p>
        </w:tc>
        <w:tc>
          <w:tcPr>
            <w:tcW w:w="5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D</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117-01</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Midship Section</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117-02</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Notch Structure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4260" w:type="dxa"/>
            <w:vAlign w:val="bottom"/>
            <w:gridSpan w:val="4"/>
          </w:tcPr>
          <w:p>
            <w:pPr>
              <w:spacing w:after="0"/>
              <w:rPr>
                <w:sz w:val="20"/>
                <w:szCs w:val="20"/>
                <w:color w:val="auto"/>
              </w:rPr>
            </w:pPr>
            <w:r>
              <w:rPr>
                <w:rFonts w:ascii="Arial" w:cs="Arial" w:eastAsia="Arial" w:hAnsi="Arial"/>
                <w:sz w:val="18"/>
                <w:szCs w:val="18"/>
                <w:color w:val="auto"/>
              </w:rPr>
              <w:t>117-04   Transverse Web Frames, Bow and Stern</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117-05</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Bulbous Bow Structure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117-06</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Longitudinal Bulkheads</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117-07</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Transverse Bulkheads</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117-08</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Forecastle Structure</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117-09</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Hogback Structure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117-10</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Connector Structure</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130-01</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Main Deck</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D</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130-02</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Tween Deck</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130-03</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Forecastle Deck</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500-02</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Auxiliary Machinery Arrangement</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573-03</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Hopper Coaming</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573-07</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Hopper Slopes &amp; Keelson</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581-02</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Chain Locker and Hawse Pipes</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801-01</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General Arrangement</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801-02</w:t>
            </w: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Outboard Profile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839-01</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Lines Plan</w:t>
            </w:r>
          </w:p>
        </w:tc>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RFP</w:t>
            </w:r>
          </w:p>
        </w:tc>
      </w:tr>
    </w:tbl>
    <w:p>
      <w:pPr>
        <w:sectPr>
          <w:pgSz w:w="11900" w:h="16838" w:orient="portrait"/>
          <w:cols w:equalWidth="0" w:num="1">
            <w:col w:w="11420"/>
          </w:cols>
          <w:pgMar w:left="240" w:top="274" w:right="239" w:bottom="1440" w:gutter="0" w:footer="0" w:header="0"/>
        </w:sectPr>
      </w:pPr>
    </w:p>
    <w:bookmarkStart w:id="180" w:name="page181"/>
    <w:bookmarkEnd w:id="18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ATB TUG CONTRACT DRAWINGS PACKAGE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Dwg #</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7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Description</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Revision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Delivery Date</w:t>
            </w:r>
          </w:p>
        </w:tc>
      </w:tr>
      <w:tr>
        <w:trPr>
          <w:trHeight w:val="203"/>
        </w:trPr>
        <w:tc>
          <w:tcPr>
            <w:tcW w:w="1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101-002</w:t>
            </w:r>
          </w:p>
        </w:tc>
        <w:tc>
          <w:tcPr>
            <w:tcW w:w="30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General Arrangement</w:t>
            </w:r>
          </w:p>
        </w:tc>
        <w:tc>
          <w:tcPr>
            <w:tcW w:w="4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151"/>
              <w:spacing w:after="0" w:line="203" w:lineRule="exact"/>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117-002</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Midship Section</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802-001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Outboard Profile</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802-002</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Inboard Profile</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FRC80-000</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Specifications</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FRC80-010</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Strength Calculations</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FRC80E100-1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GROUP MOTOR STARTER PANEL</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FRC80E110-1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GROUP STARTER DIAGRAM</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FRC80E300-1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PORT LOCAL CONTROL PANEL</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FRC80E310-1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PORT LOCAL CONTROL DIAGRAM-1</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FRC80E320-1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PORT LOCAL CONTROL DIAGRAM-2</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FRC80E400-1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STBD LOCAL CONTROL PANEL</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FRC80E410-1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STBD LOCAL CONTROL DIAGRAM</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FRC80E500-1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REMOTE CONTROL PANEL</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FRC80E510-1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REMOTE CONTROL DIAGRAM-POD</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FRC80E600-1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PORTABLE CONTROLLER</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FRC80E610-1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PORTABLE CONTROLLER CONNECTER</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FRC80E700-1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LUB ELECT SYSTEM</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FRC80E900-1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 TERMINAL WIRING</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FRC80H102-1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HYDRAULIC DIAGRAM</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FRC80H210-1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HYDRAULIC PORT UNIT</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FRC80H220-1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HYD STBD UNIT</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FRC80H300-1</w:t>
            </w:r>
          </w:p>
        </w:tc>
        <w:tc>
          <w:tcPr>
            <w:tcW w:w="3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HYDRAULIC ACC UNIT</w:t>
            </w: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RFP</w:t>
            </w: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RC80H400-1</w:t>
            </w:r>
          </w:p>
        </w:tc>
        <w:tc>
          <w:tcPr>
            <w:tcW w:w="3740" w:type="dxa"/>
            <w:vAlign w:val="bottom"/>
            <w:gridSpan w:val="2"/>
          </w:tcPr>
          <w:p>
            <w:pPr>
              <w:ind w:left="300"/>
              <w:spacing w:after="0"/>
              <w:rPr>
                <w:sz w:val="20"/>
                <w:szCs w:val="20"/>
                <w:color w:val="auto"/>
              </w:rPr>
            </w:pPr>
            <w:r>
              <w:rPr>
                <w:rFonts w:ascii="Arial" w:cs="Arial" w:eastAsia="Arial" w:hAnsi="Arial"/>
                <w:sz w:val="18"/>
                <w:szCs w:val="18"/>
                <w:color w:val="auto"/>
              </w:rPr>
              <w:t>TERMINAL BLOCK ASSY</w:t>
            </w: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RFP</w:t>
            </w:r>
          </w:p>
        </w:tc>
      </w:tr>
    </w:tbl>
    <w:p>
      <w:pPr>
        <w:sectPr>
          <w:pgSz w:w="11900" w:h="16838" w:orient="portrait"/>
          <w:cols w:equalWidth="0" w:num="1">
            <w:col w:w="11420"/>
          </w:cols>
          <w:pgMar w:left="240" w:top="274" w:right="239" w:bottom="1440" w:gutter="0" w:footer="0" w:header="0"/>
        </w:sectPr>
      </w:pPr>
    </w:p>
    <w:bookmarkStart w:id="181" w:name="page182"/>
    <w:bookmarkEnd w:id="181"/>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FRC80H500-1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R-CYLINDER BLOCLK ASSY</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FRC80H600-1</w:t>
            </w:r>
          </w:p>
        </w:tc>
        <w:tc>
          <w:tcPr>
            <w:tcW w:w="5980" w:type="dxa"/>
            <w:vAlign w:val="bottom"/>
          </w:tcPr>
          <w:p>
            <w:pPr>
              <w:ind w:left="200"/>
              <w:spacing w:after="0"/>
              <w:rPr>
                <w:sz w:val="20"/>
                <w:szCs w:val="20"/>
                <w:color w:val="auto"/>
              </w:rPr>
            </w:pPr>
            <w:r>
              <w:rPr>
                <w:rFonts w:ascii="Arial" w:cs="Arial" w:eastAsia="Arial" w:hAnsi="Arial"/>
                <w:sz w:val="18"/>
                <w:szCs w:val="18"/>
                <w:color w:val="auto"/>
              </w:rPr>
              <w:t>F-CYLINDER BLOCK ASSY</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FRC80H700-1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COUPLER HOSE ARRANGEMENT</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FRC80H800-1</w:t>
            </w:r>
          </w:p>
        </w:tc>
        <w:tc>
          <w:tcPr>
            <w:tcW w:w="5980" w:type="dxa"/>
            <w:vAlign w:val="bottom"/>
          </w:tcPr>
          <w:p>
            <w:pPr>
              <w:ind w:left="200"/>
              <w:spacing w:after="0"/>
              <w:rPr>
                <w:sz w:val="20"/>
                <w:szCs w:val="20"/>
                <w:color w:val="auto"/>
              </w:rPr>
            </w:pPr>
            <w:r>
              <w:rPr>
                <w:rFonts w:ascii="Arial" w:cs="Arial" w:eastAsia="Arial" w:hAnsi="Arial"/>
                <w:sz w:val="18"/>
                <w:szCs w:val="18"/>
                <w:color w:val="auto"/>
              </w:rPr>
              <w:t>COUPLER PIPING PLAN</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FRC80H810-1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HYDRAULIC PARTS ARRAGEMENT</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FRC80M-022</w:t>
            </w:r>
          </w:p>
        </w:tc>
        <w:tc>
          <w:tcPr>
            <w:tcW w:w="5980" w:type="dxa"/>
            <w:vAlign w:val="bottom"/>
          </w:tcPr>
          <w:p>
            <w:pPr>
              <w:ind w:left="200"/>
              <w:spacing w:after="0"/>
              <w:rPr>
                <w:sz w:val="20"/>
                <w:szCs w:val="20"/>
                <w:color w:val="auto"/>
              </w:rPr>
            </w:pPr>
            <w:r>
              <w:rPr>
                <w:rFonts w:ascii="Arial" w:cs="Arial" w:eastAsia="Arial" w:hAnsi="Arial"/>
                <w:sz w:val="18"/>
                <w:szCs w:val="18"/>
                <w:color w:val="auto"/>
              </w:rPr>
              <w:t>Properties of Materials of Important Parts</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FRC80M100-2</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ARRANGEMENT</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FRC80M200-2</w:t>
            </w:r>
          </w:p>
        </w:tc>
        <w:tc>
          <w:tcPr>
            <w:tcW w:w="5980" w:type="dxa"/>
            <w:vAlign w:val="bottom"/>
          </w:tcPr>
          <w:p>
            <w:pPr>
              <w:ind w:left="200"/>
              <w:spacing w:after="0"/>
              <w:rPr>
                <w:sz w:val="20"/>
                <w:szCs w:val="20"/>
                <w:color w:val="auto"/>
              </w:rPr>
            </w:pPr>
            <w:r>
              <w:rPr>
                <w:rFonts w:ascii="Arial" w:cs="Arial" w:eastAsia="Arial" w:hAnsi="Arial"/>
                <w:sz w:val="18"/>
                <w:szCs w:val="18"/>
                <w:color w:val="auto"/>
              </w:rPr>
              <w:t>ONBOARD PLAN</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FRC80M230-1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COUPLER OUTLINE</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FRC80M300-1</w:t>
            </w:r>
          </w:p>
        </w:tc>
        <w:tc>
          <w:tcPr>
            <w:tcW w:w="5980" w:type="dxa"/>
            <w:vAlign w:val="bottom"/>
          </w:tcPr>
          <w:p>
            <w:pPr>
              <w:ind w:left="200"/>
              <w:spacing w:after="0"/>
              <w:rPr>
                <w:sz w:val="20"/>
                <w:szCs w:val="20"/>
                <w:color w:val="auto"/>
              </w:rPr>
            </w:pPr>
            <w:r>
              <w:rPr>
                <w:rFonts w:ascii="Arial" w:cs="Arial" w:eastAsia="Arial" w:hAnsi="Arial"/>
                <w:sz w:val="18"/>
                <w:szCs w:val="18"/>
                <w:color w:val="auto"/>
              </w:rPr>
              <w:t>PRESSING SHOE ASSY</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FRC80M400-2</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 BEARING ASSY</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FRC80M500-1</w:t>
            </w:r>
          </w:p>
        </w:tc>
        <w:tc>
          <w:tcPr>
            <w:tcW w:w="5980" w:type="dxa"/>
            <w:vAlign w:val="bottom"/>
          </w:tcPr>
          <w:p>
            <w:pPr>
              <w:ind w:left="200"/>
              <w:spacing w:after="0"/>
              <w:rPr>
                <w:sz w:val="20"/>
                <w:szCs w:val="20"/>
                <w:color w:val="auto"/>
              </w:rPr>
            </w:pPr>
            <w:r>
              <w:rPr>
                <w:rFonts w:ascii="Arial" w:cs="Arial" w:eastAsia="Arial" w:hAnsi="Arial"/>
                <w:sz w:val="18"/>
                <w:szCs w:val="18"/>
                <w:color w:val="auto"/>
              </w:rPr>
              <w:t>CONNECTING PIN ASSY</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FRC80M600-1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THRUST BLOCK ASSY</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FRC80M700-1</w:t>
            </w:r>
          </w:p>
        </w:tc>
        <w:tc>
          <w:tcPr>
            <w:tcW w:w="5980" w:type="dxa"/>
            <w:vAlign w:val="bottom"/>
          </w:tcPr>
          <w:p>
            <w:pPr>
              <w:ind w:left="200"/>
              <w:spacing w:after="0"/>
              <w:rPr>
                <w:sz w:val="20"/>
                <w:szCs w:val="20"/>
                <w:color w:val="auto"/>
              </w:rPr>
            </w:pPr>
            <w:r>
              <w:rPr>
                <w:rFonts w:ascii="Arial" w:cs="Arial" w:eastAsia="Arial" w:hAnsi="Arial"/>
                <w:sz w:val="18"/>
                <w:szCs w:val="18"/>
                <w:color w:val="auto"/>
              </w:rPr>
              <w:t>F-CYLINDER ASSY</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FRC80M800-1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RACK CYLINDER ASSY</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FRC80M900-1</w:t>
            </w:r>
          </w:p>
        </w:tc>
        <w:tc>
          <w:tcPr>
            <w:tcW w:w="5980" w:type="dxa"/>
            <w:vAlign w:val="bottom"/>
          </w:tcPr>
          <w:p>
            <w:pPr>
              <w:ind w:left="200"/>
              <w:spacing w:after="0"/>
              <w:rPr>
                <w:sz w:val="20"/>
                <w:szCs w:val="20"/>
                <w:color w:val="auto"/>
              </w:rPr>
            </w:pPr>
            <w:r>
              <w:rPr>
                <w:rFonts w:ascii="Arial" w:cs="Arial" w:eastAsia="Arial" w:hAnsi="Arial"/>
                <w:sz w:val="18"/>
                <w:szCs w:val="18"/>
                <w:color w:val="auto"/>
              </w:rPr>
              <w:t>RACK PIESES</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FRC80G100-1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LUB PIPING</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FRC80G200-1</w:t>
            </w:r>
          </w:p>
        </w:tc>
        <w:tc>
          <w:tcPr>
            <w:tcW w:w="5980" w:type="dxa"/>
            <w:vAlign w:val="bottom"/>
          </w:tcPr>
          <w:p>
            <w:pPr>
              <w:ind w:left="200"/>
              <w:spacing w:after="0"/>
              <w:rPr>
                <w:sz w:val="20"/>
                <w:szCs w:val="20"/>
                <w:color w:val="auto"/>
              </w:rPr>
            </w:pPr>
            <w:r>
              <w:rPr>
                <w:rFonts w:ascii="Arial" w:cs="Arial" w:eastAsia="Arial" w:hAnsi="Arial"/>
                <w:sz w:val="18"/>
                <w:szCs w:val="18"/>
                <w:color w:val="auto"/>
              </w:rPr>
              <w:t>LUB SYSTEM PUMP UNIT</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FRC80G300-1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LUB MAIN FEEDER</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FRC80G310-1</w:t>
            </w:r>
          </w:p>
        </w:tc>
        <w:tc>
          <w:tcPr>
            <w:tcW w:w="5980" w:type="dxa"/>
            <w:vAlign w:val="bottom"/>
          </w:tcPr>
          <w:p>
            <w:pPr>
              <w:ind w:left="200"/>
              <w:spacing w:after="0"/>
              <w:rPr>
                <w:sz w:val="20"/>
                <w:szCs w:val="20"/>
                <w:color w:val="auto"/>
              </w:rPr>
            </w:pPr>
            <w:r>
              <w:rPr>
                <w:rFonts w:ascii="Arial" w:cs="Arial" w:eastAsia="Arial" w:hAnsi="Arial"/>
                <w:sz w:val="18"/>
                <w:szCs w:val="18"/>
                <w:color w:val="auto"/>
              </w:rPr>
              <w:t>LUB SUB-FEEDER-1</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FRC80G320-1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LUB SUB FEEDER-2</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FRC80-011-1</w:t>
            </w:r>
          </w:p>
        </w:tc>
        <w:tc>
          <w:tcPr>
            <w:tcW w:w="5980" w:type="dxa"/>
            <w:vAlign w:val="bottom"/>
          </w:tcPr>
          <w:p>
            <w:pPr>
              <w:ind w:left="200"/>
              <w:spacing w:after="0"/>
              <w:rPr>
                <w:sz w:val="20"/>
                <w:szCs w:val="20"/>
                <w:color w:val="auto"/>
              </w:rPr>
            </w:pPr>
            <w:r>
              <w:rPr>
                <w:rFonts w:ascii="Arial" w:cs="Arial" w:eastAsia="Arial" w:hAnsi="Arial"/>
                <w:sz w:val="18"/>
                <w:szCs w:val="18"/>
                <w:color w:val="auto"/>
              </w:rPr>
              <w:t>Supplier Information VFI</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FRC80M290-2</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DELIVERY STYLE-1</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FRC80M292-1</w:t>
            </w:r>
          </w:p>
        </w:tc>
        <w:tc>
          <w:tcPr>
            <w:tcW w:w="5980" w:type="dxa"/>
            <w:vAlign w:val="bottom"/>
          </w:tcPr>
          <w:p>
            <w:pPr>
              <w:ind w:left="200"/>
              <w:spacing w:after="0"/>
              <w:rPr>
                <w:sz w:val="20"/>
                <w:szCs w:val="20"/>
                <w:color w:val="auto"/>
              </w:rPr>
            </w:pPr>
            <w:r>
              <w:rPr>
                <w:rFonts w:ascii="Arial" w:cs="Arial" w:eastAsia="Arial" w:hAnsi="Arial"/>
                <w:sz w:val="18"/>
                <w:szCs w:val="18"/>
                <w:color w:val="auto"/>
              </w:rPr>
              <w:t>DELIVERY STYLE-2</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FRC-80-050</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Installation manual</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FRC-80-060</w:t>
            </w:r>
          </w:p>
        </w:tc>
        <w:tc>
          <w:tcPr>
            <w:tcW w:w="5980" w:type="dxa"/>
            <w:vAlign w:val="bottom"/>
          </w:tcPr>
          <w:p>
            <w:pPr>
              <w:ind w:left="200"/>
              <w:spacing w:after="0"/>
              <w:rPr>
                <w:sz w:val="20"/>
                <w:szCs w:val="20"/>
                <w:color w:val="auto"/>
              </w:rPr>
            </w:pPr>
            <w:r>
              <w:rPr>
                <w:rFonts w:ascii="Arial" w:cs="Arial" w:eastAsia="Arial" w:hAnsi="Arial"/>
                <w:sz w:val="18"/>
                <w:szCs w:val="18"/>
                <w:color w:val="auto"/>
              </w:rPr>
              <w:t>Instruction for Installation to Shipyard</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70"/>
              <w:spacing w:after="0"/>
              <w:rPr>
                <w:sz w:val="20"/>
                <w:szCs w:val="20"/>
                <w:color w:val="auto"/>
              </w:rPr>
            </w:pPr>
            <w:r>
              <w:rPr>
                <w:rFonts w:ascii="Arial" w:cs="Arial" w:eastAsia="Arial" w:hAnsi="Arial"/>
                <w:sz w:val="18"/>
                <w:szCs w:val="18"/>
                <w:color w:val="auto"/>
                <w:w w:val="88"/>
              </w:rPr>
              <w:t>RFP</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101-021</w:t>
            </w: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Lines Plan</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3/17/2014</w:t>
            </w:r>
          </w:p>
        </w:tc>
      </w:tr>
    </w:tbl>
    <w:p>
      <w:pPr>
        <w:sectPr>
          <w:pgSz w:w="11900" w:h="16838" w:orient="portrait"/>
          <w:cols w:equalWidth="0" w:num="1">
            <w:col w:w="11420"/>
          </w:cols>
          <w:pgMar w:left="240" w:top="274" w:right="239" w:bottom="1440" w:gutter="0" w:footer="0" w:header="0"/>
        </w:sectPr>
      </w:pPr>
    </w:p>
    <w:bookmarkStart w:id="182" w:name="page183"/>
    <w:bookmarkEnd w:id="18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FUNCTIONAL DESIGN DRAWINGS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ATB BARGE FUNCTIONAL PACKAGE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Dwg #</w:t>
            </w:r>
          </w:p>
        </w:tc>
        <w:tc>
          <w:tcPr>
            <w:tcW w:w="2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Revision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Delivery Date</w:t>
            </w:r>
          </w:p>
        </w:tc>
      </w:tr>
      <w:tr>
        <w:trPr>
          <w:trHeight w:val="203"/>
        </w:trPr>
        <w:tc>
          <w:tcPr>
            <w:tcW w:w="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100-01</w:t>
            </w:r>
          </w:p>
        </w:tc>
        <w:tc>
          <w:tcPr>
            <w:tcW w:w="3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Welding Standards</w:t>
            </w:r>
          </w:p>
        </w:tc>
        <w:tc>
          <w:tcPr>
            <w:tcW w:w="5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B</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100-03</w:t>
            </w:r>
          </w:p>
        </w:tc>
        <w:tc>
          <w:tcPr>
            <w:tcW w:w="3840" w:type="dxa"/>
            <w:vAlign w:val="bottom"/>
          </w:tcPr>
          <w:p>
            <w:pPr>
              <w:spacing w:after="0"/>
              <w:rPr>
                <w:sz w:val="20"/>
                <w:szCs w:val="20"/>
                <w:color w:val="auto"/>
              </w:rPr>
            </w:pPr>
            <w:r>
              <w:rPr>
                <w:rFonts w:ascii="Arial" w:cs="Arial" w:eastAsia="Arial" w:hAnsi="Arial"/>
                <w:sz w:val="18"/>
                <w:szCs w:val="18"/>
                <w:color w:val="auto"/>
              </w:rPr>
              <w:t>Structural Standard Methods</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111-01</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Shell Arrangement</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113-01  Inner Bottom (Tank Top)</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114-02</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Hull Fittings</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117-01</w:t>
            </w:r>
          </w:p>
        </w:tc>
        <w:tc>
          <w:tcPr>
            <w:tcW w:w="3840" w:type="dxa"/>
            <w:vAlign w:val="bottom"/>
          </w:tcPr>
          <w:p>
            <w:pPr>
              <w:spacing w:after="0"/>
              <w:rPr>
                <w:sz w:val="20"/>
                <w:szCs w:val="20"/>
                <w:color w:val="auto"/>
              </w:rPr>
            </w:pPr>
            <w:r>
              <w:rPr>
                <w:rFonts w:ascii="Arial" w:cs="Arial" w:eastAsia="Arial" w:hAnsi="Arial"/>
                <w:sz w:val="18"/>
                <w:szCs w:val="18"/>
                <w:color w:val="auto"/>
              </w:rPr>
              <w:t>Midship Section</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117-02</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Notch Structure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117-04  Transverse Web Frames, Bow and Stern</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117-05</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Bulbous Bow Structure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117-06</w:t>
            </w:r>
          </w:p>
        </w:tc>
        <w:tc>
          <w:tcPr>
            <w:tcW w:w="3840" w:type="dxa"/>
            <w:vAlign w:val="bottom"/>
          </w:tcPr>
          <w:p>
            <w:pPr>
              <w:spacing w:after="0"/>
              <w:rPr>
                <w:sz w:val="20"/>
                <w:szCs w:val="20"/>
                <w:color w:val="auto"/>
              </w:rPr>
            </w:pPr>
            <w:r>
              <w:rPr>
                <w:rFonts w:ascii="Arial" w:cs="Arial" w:eastAsia="Arial" w:hAnsi="Arial"/>
                <w:sz w:val="18"/>
                <w:szCs w:val="18"/>
                <w:color w:val="auto"/>
              </w:rPr>
              <w:t>Longitudinal Bulkheads</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117-07</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Transverse Bulkheads</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117-08</w:t>
            </w:r>
          </w:p>
        </w:tc>
        <w:tc>
          <w:tcPr>
            <w:tcW w:w="3840" w:type="dxa"/>
            <w:vAlign w:val="bottom"/>
          </w:tcPr>
          <w:p>
            <w:pPr>
              <w:spacing w:after="0"/>
              <w:rPr>
                <w:sz w:val="20"/>
                <w:szCs w:val="20"/>
                <w:color w:val="auto"/>
              </w:rPr>
            </w:pPr>
            <w:r>
              <w:rPr>
                <w:rFonts w:ascii="Arial" w:cs="Arial" w:eastAsia="Arial" w:hAnsi="Arial"/>
                <w:sz w:val="18"/>
                <w:szCs w:val="18"/>
                <w:color w:val="auto"/>
              </w:rPr>
              <w:t>Forecastle Structure</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117-09</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Hogback Structure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117-10</w:t>
            </w:r>
          </w:p>
        </w:tc>
        <w:tc>
          <w:tcPr>
            <w:tcW w:w="3840" w:type="dxa"/>
            <w:vAlign w:val="bottom"/>
          </w:tcPr>
          <w:p>
            <w:pPr>
              <w:spacing w:after="0"/>
              <w:rPr>
                <w:sz w:val="20"/>
                <w:szCs w:val="20"/>
                <w:color w:val="auto"/>
              </w:rPr>
            </w:pPr>
            <w:r>
              <w:rPr>
                <w:rFonts w:ascii="Arial" w:cs="Arial" w:eastAsia="Arial" w:hAnsi="Arial"/>
                <w:sz w:val="18"/>
                <w:szCs w:val="18"/>
                <w:color w:val="auto"/>
              </w:rPr>
              <w:t>Connector Structure</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117-11</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Overflow Structure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117-12  Bottom Dump Door Cylinder Support Structure</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117-13</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Poop Structure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130-01</w:t>
            </w:r>
          </w:p>
        </w:tc>
        <w:tc>
          <w:tcPr>
            <w:tcW w:w="3840" w:type="dxa"/>
            <w:vAlign w:val="bottom"/>
          </w:tcPr>
          <w:p>
            <w:pPr>
              <w:spacing w:after="0"/>
              <w:rPr>
                <w:sz w:val="20"/>
                <w:szCs w:val="20"/>
                <w:color w:val="auto"/>
              </w:rPr>
            </w:pPr>
            <w:r>
              <w:rPr>
                <w:rFonts w:ascii="Arial" w:cs="Arial" w:eastAsia="Arial" w:hAnsi="Arial"/>
                <w:sz w:val="18"/>
                <w:szCs w:val="18"/>
                <w:color w:val="auto"/>
              </w:rPr>
              <w:t>Main Deck</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130-02</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Tween Deck</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130-03</w:t>
            </w:r>
          </w:p>
        </w:tc>
        <w:tc>
          <w:tcPr>
            <w:tcW w:w="3840" w:type="dxa"/>
            <w:vAlign w:val="bottom"/>
          </w:tcPr>
          <w:p>
            <w:pPr>
              <w:spacing w:after="0"/>
              <w:rPr>
                <w:sz w:val="20"/>
                <w:szCs w:val="20"/>
                <w:color w:val="auto"/>
              </w:rPr>
            </w:pPr>
            <w:r>
              <w:rPr>
                <w:rFonts w:ascii="Arial" w:cs="Arial" w:eastAsia="Arial" w:hAnsi="Arial"/>
                <w:sz w:val="18"/>
                <w:szCs w:val="18"/>
                <w:color w:val="auto"/>
              </w:rPr>
              <w:t>Forecastle Deck</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130-04</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Poop Deck</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163-01</w:t>
            </w:r>
          </w:p>
        </w:tc>
        <w:tc>
          <w:tcPr>
            <w:tcW w:w="3840" w:type="dxa"/>
            <w:vAlign w:val="bottom"/>
          </w:tcPr>
          <w:p>
            <w:pPr>
              <w:spacing w:after="0"/>
              <w:rPr>
                <w:sz w:val="20"/>
                <w:szCs w:val="20"/>
                <w:color w:val="auto"/>
              </w:rPr>
            </w:pPr>
            <w:r>
              <w:rPr>
                <w:rFonts w:ascii="Arial" w:cs="Arial" w:eastAsia="Arial" w:hAnsi="Arial"/>
                <w:sz w:val="18"/>
                <w:szCs w:val="18"/>
                <w:color w:val="auto"/>
              </w:rPr>
              <w:t>Sea Chest Arrangement &amp; Details</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3/2/2014</w:t>
            </w:r>
          </w:p>
        </w:tc>
      </w:tr>
      <w:tr>
        <w:trPr>
          <w:trHeight w:val="216"/>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169-01</w:t>
            </w: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Hull Structural Closures Schedule</w:t>
            </w: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3/2/2014</w:t>
            </w:r>
          </w:p>
        </w:tc>
      </w:tr>
    </w:tbl>
    <w:p>
      <w:pPr>
        <w:sectPr>
          <w:pgSz w:w="11900" w:h="16838" w:orient="portrait"/>
          <w:cols w:equalWidth="0" w:num="1">
            <w:col w:w="11420"/>
          </w:cols>
          <w:pgMar w:left="240" w:top="274" w:right="239" w:bottom="1440" w:gutter="0" w:footer="0" w:header="0"/>
        </w:sectPr>
      </w:pPr>
    </w:p>
    <w:bookmarkStart w:id="183" w:name="page184"/>
    <w:bookmarkEnd w:id="18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169-04</w:t>
            </w: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Stack Structure</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169-05  Removal Access &amp; Handling, Machinery Room</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171-01</w:t>
            </w: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Masts</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182-01  Foundations, Aux Engine &amp; Reduction Gears</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182-02</w:t>
            </w: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Bow Thruster Structure</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185-01</w:t>
            </w:r>
          </w:p>
        </w:tc>
        <w:tc>
          <w:tcPr>
            <w:tcW w:w="6540" w:type="dxa"/>
            <w:vAlign w:val="bottom"/>
          </w:tcPr>
          <w:p>
            <w:pPr>
              <w:ind w:left="100"/>
              <w:spacing w:after="0"/>
              <w:rPr>
                <w:sz w:val="20"/>
                <w:szCs w:val="20"/>
                <w:color w:val="auto"/>
              </w:rPr>
            </w:pPr>
            <w:r>
              <w:rPr>
                <w:rFonts w:ascii="Arial" w:cs="Arial" w:eastAsia="Arial" w:hAnsi="Arial"/>
                <w:sz w:val="18"/>
                <w:szCs w:val="18"/>
                <w:color w:val="auto"/>
              </w:rPr>
              <w:t>Foundations, Gensets</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185-03</w:t>
            </w: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Air Compressors</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185-04</w:t>
            </w:r>
          </w:p>
        </w:tc>
        <w:tc>
          <w:tcPr>
            <w:tcW w:w="6540" w:type="dxa"/>
            <w:vAlign w:val="bottom"/>
          </w:tcPr>
          <w:p>
            <w:pPr>
              <w:ind w:left="100"/>
              <w:spacing w:after="0"/>
              <w:rPr>
                <w:sz w:val="20"/>
                <w:szCs w:val="20"/>
                <w:color w:val="auto"/>
              </w:rPr>
            </w:pPr>
            <w:r>
              <w:rPr>
                <w:rFonts w:ascii="Arial" w:cs="Arial" w:eastAsia="Arial" w:hAnsi="Arial"/>
                <w:sz w:val="18"/>
                <w:szCs w:val="18"/>
                <w:color w:val="auto"/>
              </w:rPr>
              <w:t>Foundations, Misc Machinery</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185-06  Foundations, Dredge Piping &amp; Fittings</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185-08  Foundations, Hydraulic System Equipment</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185-10</w:t>
            </w: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Draghead Gantries</w:t>
            </w:r>
          </w:p>
        </w:tc>
        <w:tc>
          <w:tcPr>
            <w:tcW w:w="332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185-11</w:t>
            </w:r>
          </w:p>
        </w:tc>
        <w:tc>
          <w:tcPr>
            <w:tcW w:w="6540" w:type="dxa"/>
            <w:vAlign w:val="bottom"/>
          </w:tcPr>
          <w:p>
            <w:pPr>
              <w:ind w:left="100"/>
              <w:spacing w:after="0"/>
              <w:rPr>
                <w:sz w:val="20"/>
                <w:szCs w:val="20"/>
                <w:color w:val="auto"/>
              </w:rPr>
            </w:pPr>
            <w:r>
              <w:rPr>
                <w:rFonts w:ascii="Arial" w:cs="Arial" w:eastAsia="Arial" w:hAnsi="Arial"/>
                <w:sz w:val="18"/>
                <w:szCs w:val="18"/>
                <w:color w:val="auto"/>
              </w:rPr>
              <w:t>Foundations, Intermediate Gantries</w:t>
            </w:r>
          </w:p>
        </w:tc>
        <w:tc>
          <w:tcPr>
            <w:tcW w:w="3320" w:type="dxa"/>
            <w:vAlign w:val="bottom"/>
          </w:tcPr>
          <w:p>
            <w:pPr>
              <w:ind w:left="302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185-14  Foundations, Anchor System Equipment</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185-15  Foundations, Mooring &amp; Towing System</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185-16</w:t>
            </w: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 Crane</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185-17</w:t>
            </w:r>
          </w:p>
        </w:tc>
        <w:tc>
          <w:tcPr>
            <w:tcW w:w="6540" w:type="dxa"/>
            <w:vAlign w:val="bottom"/>
          </w:tcPr>
          <w:p>
            <w:pPr>
              <w:ind w:left="100"/>
              <w:spacing w:after="0"/>
              <w:rPr>
                <w:sz w:val="20"/>
                <w:szCs w:val="20"/>
                <w:color w:val="auto"/>
              </w:rPr>
            </w:pPr>
            <w:r>
              <w:rPr>
                <w:rFonts w:ascii="Arial" w:cs="Arial" w:eastAsia="Arial" w:hAnsi="Arial"/>
                <w:sz w:val="18"/>
                <w:szCs w:val="18"/>
                <w:color w:val="auto"/>
              </w:rPr>
              <w:t>Foundations, Draghead Winches</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256-01  SW Engine Cooling System Diagram</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256-10  Generator Cooling System Diagram</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259-01  Diesel Engine Exhaust System Diagram</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259-02  Diesel Engine Combustion Air Diagram</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261-01  Fuel Oil Service System Diagram</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262-01  Lube Oil System Diagram</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300-01</w:t>
            </w: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Cableway Routing Arrangement</w:t>
            </w:r>
          </w:p>
        </w:tc>
        <w:tc>
          <w:tcPr>
            <w:tcW w:w="332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300-02</w:t>
            </w:r>
          </w:p>
        </w:tc>
        <w:tc>
          <w:tcPr>
            <w:tcW w:w="6540" w:type="dxa"/>
            <w:vAlign w:val="bottom"/>
          </w:tcPr>
          <w:p>
            <w:pPr>
              <w:ind w:left="100"/>
              <w:spacing w:after="0"/>
              <w:rPr>
                <w:sz w:val="20"/>
                <w:szCs w:val="20"/>
                <w:color w:val="auto"/>
              </w:rPr>
            </w:pPr>
            <w:r>
              <w:rPr>
                <w:rFonts w:ascii="Arial" w:cs="Arial" w:eastAsia="Arial" w:hAnsi="Arial"/>
                <w:sz w:val="18"/>
                <w:szCs w:val="18"/>
                <w:color w:val="auto"/>
              </w:rPr>
              <w:t>Cable List B/M</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301-01</w:t>
            </w: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Electrical Standards</w:t>
            </w:r>
          </w:p>
        </w:tc>
        <w:tc>
          <w:tcPr>
            <w:tcW w:w="332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313-01  Electrical One Line Diagram DC</w:t>
            </w:r>
          </w:p>
        </w:tc>
        <w:tc>
          <w:tcPr>
            <w:tcW w:w="3320" w:type="dxa"/>
            <w:vAlign w:val="bottom"/>
          </w:tcPr>
          <w:p>
            <w:pPr>
              <w:ind w:left="300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321-01  Electrical One Line Diagram AC</w:t>
            </w:r>
          </w:p>
        </w:tc>
        <w:tc>
          <w:tcPr>
            <w:tcW w:w="3320" w:type="dxa"/>
            <w:vAlign w:val="bottom"/>
            <w:shd w:val="clear" w:color="auto" w:fill="CCEEFF"/>
          </w:tcPr>
          <w:p>
            <w:pPr>
              <w:ind w:left="302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3/30/2014</w:t>
            </w:r>
          </w:p>
        </w:tc>
      </w:tr>
    </w:tbl>
    <w:p>
      <w:pPr>
        <w:sectPr>
          <w:pgSz w:w="11900" w:h="16838" w:orient="portrait"/>
          <w:cols w:equalWidth="0" w:num="1">
            <w:col w:w="11420"/>
          </w:cols>
          <w:pgMar w:left="240" w:top="274" w:right="239" w:bottom="1440" w:gutter="0" w:footer="0" w:header="0"/>
        </w:sectPr>
      </w:pPr>
    </w:p>
    <w:bookmarkStart w:id="184" w:name="page185"/>
    <w:bookmarkEnd w:id="184"/>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321-02  Power System Plan, Main Deck &amp; Above</w:t>
            </w:r>
          </w:p>
        </w:tc>
        <w:tc>
          <w:tcPr>
            <w:tcW w:w="350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D</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321-03  Power System Plan, Machinery Spaces</w:t>
            </w:r>
          </w:p>
        </w:tc>
        <w:tc>
          <w:tcPr>
            <w:tcW w:w="3500" w:type="dxa"/>
            <w:vAlign w:val="bottom"/>
          </w:tcPr>
          <w:p>
            <w:pPr>
              <w:ind w:left="320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332-01</w:t>
            </w:r>
          </w:p>
        </w:tc>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Exterior Lighting Arrangement,</w:t>
            </w:r>
          </w:p>
        </w:tc>
        <w:tc>
          <w:tcPr>
            <w:tcW w:w="35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332-02</w:t>
            </w:r>
          </w:p>
        </w:tc>
        <w:tc>
          <w:tcPr>
            <w:tcW w:w="6360" w:type="dxa"/>
            <w:vAlign w:val="bottom"/>
          </w:tcPr>
          <w:p>
            <w:pPr>
              <w:ind w:left="100"/>
              <w:spacing w:after="0"/>
              <w:rPr>
                <w:sz w:val="20"/>
                <w:szCs w:val="20"/>
                <w:color w:val="auto"/>
              </w:rPr>
            </w:pPr>
            <w:r>
              <w:rPr>
                <w:rFonts w:ascii="Arial" w:cs="Arial" w:eastAsia="Arial" w:hAnsi="Arial"/>
                <w:sz w:val="18"/>
                <w:szCs w:val="18"/>
                <w:color w:val="auto"/>
              </w:rPr>
              <w:t>Interior Lighting Arrangement</w:t>
            </w:r>
          </w:p>
        </w:tc>
        <w:tc>
          <w:tcPr>
            <w:tcW w:w="3500" w:type="dxa"/>
            <w:vAlign w:val="bottom"/>
          </w:tcPr>
          <w:p>
            <w:pPr>
              <w:ind w:left="3200"/>
              <w:spacing w:after="0"/>
              <w:rPr>
                <w:sz w:val="20"/>
                <w:szCs w:val="20"/>
                <w:color w:val="auto"/>
              </w:rPr>
            </w:pPr>
            <w:r>
              <w:rPr>
                <w:rFonts w:ascii="Arial" w:cs="Arial" w:eastAsia="Arial" w:hAnsi="Arial"/>
                <w:sz w:val="18"/>
                <w:szCs w:val="18"/>
                <w:color w:val="auto"/>
              </w:rPr>
              <w:t>E</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332-03</w:t>
            </w:r>
          </w:p>
        </w:tc>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Lighting Arrangement</w:t>
            </w:r>
          </w:p>
        </w:tc>
        <w:tc>
          <w:tcPr>
            <w:tcW w:w="35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422-01  Navigation and Signal Light Arrangement</w:t>
            </w:r>
          </w:p>
        </w:tc>
        <w:tc>
          <w:tcPr>
            <w:tcW w:w="3500" w:type="dxa"/>
            <w:vAlign w:val="bottom"/>
          </w:tcPr>
          <w:p>
            <w:pPr>
              <w:ind w:left="320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436-02  Emergency Shutdown &amp; Alarm EWD</w:t>
            </w:r>
          </w:p>
        </w:tc>
        <w:tc>
          <w:tcPr>
            <w:tcW w:w="350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500-01</w:t>
            </w:r>
          </w:p>
        </w:tc>
        <w:tc>
          <w:tcPr>
            <w:tcW w:w="6360" w:type="dxa"/>
            <w:vAlign w:val="bottom"/>
          </w:tcPr>
          <w:p>
            <w:pPr>
              <w:ind w:left="100"/>
              <w:spacing w:after="0"/>
              <w:rPr>
                <w:sz w:val="20"/>
                <w:szCs w:val="20"/>
                <w:color w:val="auto"/>
              </w:rPr>
            </w:pPr>
            <w:r>
              <w:rPr>
                <w:rFonts w:ascii="Arial" w:cs="Arial" w:eastAsia="Arial" w:hAnsi="Arial"/>
                <w:sz w:val="18"/>
                <w:szCs w:val="18"/>
                <w:color w:val="auto"/>
              </w:rPr>
              <w:t>Major Equipment List</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500-02</w:t>
            </w:r>
          </w:p>
        </w:tc>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Auxiliary Machinery Arrangement</w:t>
            </w:r>
          </w:p>
        </w:tc>
        <w:tc>
          <w:tcPr>
            <w:tcW w:w="35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505-01</w:t>
            </w:r>
          </w:p>
        </w:tc>
        <w:tc>
          <w:tcPr>
            <w:tcW w:w="6360" w:type="dxa"/>
            <w:vAlign w:val="bottom"/>
          </w:tcPr>
          <w:p>
            <w:pPr>
              <w:ind w:left="100"/>
              <w:spacing w:after="0"/>
              <w:rPr>
                <w:sz w:val="20"/>
                <w:szCs w:val="20"/>
                <w:color w:val="auto"/>
              </w:rPr>
            </w:pPr>
            <w:r>
              <w:rPr>
                <w:rFonts w:ascii="Arial" w:cs="Arial" w:eastAsia="Arial" w:hAnsi="Arial"/>
                <w:sz w:val="18"/>
                <w:szCs w:val="18"/>
                <w:color w:val="auto"/>
              </w:rPr>
              <w:t>Piping Standards</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506-10  Vents and Soundings System Diagram</w:t>
            </w:r>
          </w:p>
        </w:tc>
        <w:tc>
          <w:tcPr>
            <w:tcW w:w="35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512-11</w:t>
            </w:r>
          </w:p>
        </w:tc>
        <w:tc>
          <w:tcPr>
            <w:tcW w:w="6360" w:type="dxa"/>
            <w:vAlign w:val="bottom"/>
          </w:tcPr>
          <w:p>
            <w:pPr>
              <w:ind w:left="100"/>
              <w:spacing w:after="0"/>
              <w:rPr>
                <w:sz w:val="20"/>
                <w:szCs w:val="20"/>
                <w:color w:val="auto"/>
              </w:rPr>
            </w:pPr>
            <w:r>
              <w:rPr>
                <w:rFonts w:ascii="Arial" w:cs="Arial" w:eastAsia="Arial" w:hAnsi="Arial"/>
                <w:sz w:val="18"/>
                <w:szCs w:val="18"/>
                <w:color w:val="auto"/>
              </w:rPr>
              <w:t>Machinery Ventilation Diagram</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514-10</w:t>
            </w:r>
          </w:p>
        </w:tc>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HVAC System Diagram</w:t>
            </w:r>
          </w:p>
        </w:tc>
        <w:tc>
          <w:tcPr>
            <w:tcW w:w="350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521-11  Fire and Washdown System Diagram</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524-13  Jet Water System Diagram</w:t>
            </w:r>
          </w:p>
        </w:tc>
        <w:tc>
          <w:tcPr>
            <w:tcW w:w="35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524-14</w:t>
            </w:r>
          </w:p>
        </w:tc>
        <w:tc>
          <w:tcPr>
            <w:tcW w:w="6360" w:type="dxa"/>
            <w:vAlign w:val="bottom"/>
          </w:tcPr>
          <w:p>
            <w:pPr>
              <w:ind w:left="100"/>
              <w:spacing w:after="0"/>
              <w:rPr>
                <w:sz w:val="20"/>
                <w:szCs w:val="20"/>
                <w:color w:val="auto"/>
              </w:rPr>
            </w:pPr>
            <w:r>
              <w:rPr>
                <w:rFonts w:ascii="Arial" w:cs="Arial" w:eastAsia="Arial" w:hAnsi="Arial"/>
                <w:sz w:val="18"/>
                <w:szCs w:val="18"/>
                <w:color w:val="auto"/>
              </w:rPr>
              <w:t>Gland Seal Diagram</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526-10  Deck Drains &amp; Scuppers System Diagram</w:t>
            </w:r>
          </w:p>
        </w:tc>
        <w:tc>
          <w:tcPr>
            <w:tcW w:w="350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528-10  Plumbing Drainage System Diagram</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529-10</w:t>
            </w:r>
          </w:p>
        </w:tc>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Ballast System Diagram</w:t>
            </w:r>
          </w:p>
        </w:tc>
        <w:tc>
          <w:tcPr>
            <w:tcW w:w="350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529-11</w:t>
            </w:r>
          </w:p>
        </w:tc>
        <w:tc>
          <w:tcPr>
            <w:tcW w:w="6360" w:type="dxa"/>
            <w:vAlign w:val="bottom"/>
          </w:tcPr>
          <w:p>
            <w:pPr>
              <w:ind w:left="100"/>
              <w:spacing w:after="0"/>
              <w:rPr>
                <w:sz w:val="20"/>
                <w:szCs w:val="20"/>
                <w:color w:val="auto"/>
              </w:rPr>
            </w:pPr>
            <w:r>
              <w:rPr>
                <w:rFonts w:ascii="Arial" w:cs="Arial" w:eastAsia="Arial" w:hAnsi="Arial"/>
                <w:sz w:val="18"/>
                <w:szCs w:val="18"/>
                <w:color w:val="auto"/>
              </w:rPr>
              <w:t>Bilge System Diagram</w:t>
            </w:r>
          </w:p>
        </w:tc>
        <w:tc>
          <w:tcPr>
            <w:tcW w:w="3500" w:type="dxa"/>
            <w:vAlign w:val="bottom"/>
          </w:tcPr>
          <w:p>
            <w:pPr>
              <w:ind w:left="320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533-10  Potable Water System Diagram</w:t>
            </w:r>
          </w:p>
        </w:tc>
        <w:tc>
          <w:tcPr>
            <w:tcW w:w="350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541-01</w:t>
            </w:r>
          </w:p>
        </w:tc>
        <w:tc>
          <w:tcPr>
            <w:tcW w:w="6360" w:type="dxa"/>
            <w:vAlign w:val="bottom"/>
          </w:tcPr>
          <w:p>
            <w:pPr>
              <w:ind w:left="100"/>
              <w:spacing w:after="0"/>
              <w:rPr>
                <w:sz w:val="20"/>
                <w:szCs w:val="20"/>
                <w:color w:val="auto"/>
              </w:rPr>
            </w:pPr>
            <w:r>
              <w:rPr>
                <w:rFonts w:ascii="Arial" w:cs="Arial" w:eastAsia="Arial" w:hAnsi="Arial"/>
                <w:sz w:val="18"/>
                <w:szCs w:val="18"/>
                <w:color w:val="auto"/>
              </w:rPr>
              <w:t>Independent Tanks</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541-11  Fuel Oil Transfer System Diagram</w:t>
            </w:r>
          </w:p>
        </w:tc>
        <w:tc>
          <w:tcPr>
            <w:tcW w:w="35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551-10  Compressed Air System Diagram</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556-01  Swell Compensator Cylinder Arrangement</w:t>
            </w:r>
          </w:p>
        </w:tc>
        <w:tc>
          <w:tcPr>
            <w:tcW w:w="35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568-01</w:t>
            </w:r>
          </w:p>
        </w:tc>
        <w:tc>
          <w:tcPr>
            <w:tcW w:w="6360" w:type="dxa"/>
            <w:vAlign w:val="bottom"/>
          </w:tcPr>
          <w:p>
            <w:pPr>
              <w:ind w:left="100"/>
              <w:spacing w:after="0"/>
              <w:rPr>
                <w:sz w:val="20"/>
                <w:szCs w:val="20"/>
                <w:color w:val="auto"/>
              </w:rPr>
            </w:pPr>
            <w:r>
              <w:rPr>
                <w:rFonts w:ascii="Arial" w:cs="Arial" w:eastAsia="Arial" w:hAnsi="Arial"/>
                <w:sz w:val="18"/>
                <w:szCs w:val="18"/>
                <w:color w:val="auto"/>
              </w:rPr>
              <w:t>Bow Thruster Arrangement</w:t>
            </w:r>
          </w:p>
        </w:tc>
        <w:tc>
          <w:tcPr>
            <w:tcW w:w="3500" w:type="dxa"/>
            <w:vAlign w:val="bottom"/>
          </w:tcPr>
          <w:p>
            <w:pPr>
              <w:ind w:left="31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573-01</w:t>
            </w:r>
          </w:p>
        </w:tc>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Deck Crane Arrangement</w:t>
            </w:r>
          </w:p>
        </w:tc>
        <w:tc>
          <w:tcPr>
            <w:tcW w:w="35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bl>
    <w:p>
      <w:pPr>
        <w:sectPr>
          <w:pgSz w:w="11900" w:h="16838" w:orient="portrait"/>
          <w:cols w:equalWidth="0" w:num="1">
            <w:col w:w="11420"/>
          </w:cols>
          <w:pgMar w:left="240" w:top="274" w:right="239" w:bottom="1440" w:gutter="0" w:footer="0" w:header="0"/>
        </w:sectPr>
      </w:pPr>
    </w:p>
    <w:bookmarkStart w:id="185" w:name="page186"/>
    <w:bookmarkEnd w:id="18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573-03</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Hopper Coaming</w:t>
            </w:r>
          </w:p>
        </w:tc>
        <w:tc>
          <w:tcPr>
            <w:tcW w:w="35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E</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573-05</w:t>
            </w:r>
          </w:p>
        </w:tc>
        <w:tc>
          <w:tcPr>
            <w:tcW w:w="6320" w:type="dxa"/>
            <w:vAlign w:val="bottom"/>
          </w:tcPr>
          <w:p>
            <w:pPr>
              <w:ind w:left="100"/>
              <w:spacing w:after="0"/>
              <w:rPr>
                <w:sz w:val="20"/>
                <w:szCs w:val="20"/>
                <w:color w:val="auto"/>
              </w:rPr>
            </w:pPr>
            <w:r>
              <w:rPr>
                <w:rFonts w:ascii="Arial" w:cs="Arial" w:eastAsia="Arial" w:hAnsi="Arial"/>
                <w:sz w:val="18"/>
                <w:szCs w:val="18"/>
                <w:color w:val="auto"/>
              </w:rPr>
              <w:t>Lifting Gear Arrangement</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573-06</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Bottom Door Arrangement</w:t>
            </w:r>
          </w:p>
        </w:tc>
        <w:tc>
          <w:tcPr>
            <w:tcW w:w="35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573-07</w:t>
            </w:r>
          </w:p>
        </w:tc>
        <w:tc>
          <w:tcPr>
            <w:tcW w:w="6320" w:type="dxa"/>
            <w:vAlign w:val="bottom"/>
          </w:tcPr>
          <w:p>
            <w:pPr>
              <w:ind w:left="100"/>
              <w:spacing w:after="0"/>
              <w:rPr>
                <w:sz w:val="20"/>
                <w:szCs w:val="20"/>
                <w:color w:val="auto"/>
              </w:rPr>
            </w:pPr>
            <w:r>
              <w:rPr>
                <w:rFonts w:ascii="Arial" w:cs="Arial" w:eastAsia="Arial" w:hAnsi="Arial"/>
                <w:sz w:val="18"/>
                <w:szCs w:val="18"/>
                <w:color w:val="auto"/>
              </w:rPr>
              <w:t>Hopper Slopes</w:t>
            </w:r>
          </w:p>
        </w:tc>
        <w:tc>
          <w:tcPr>
            <w:tcW w:w="3540" w:type="dxa"/>
            <w:vAlign w:val="bottom"/>
          </w:tcPr>
          <w:p>
            <w:pPr>
              <w:ind w:left="3220"/>
              <w:spacing w:after="0"/>
              <w:rPr>
                <w:sz w:val="20"/>
                <w:szCs w:val="20"/>
                <w:color w:val="auto"/>
              </w:rPr>
            </w:pPr>
            <w:r>
              <w:rPr>
                <w:rFonts w:ascii="Arial" w:cs="Arial" w:eastAsia="Arial" w:hAnsi="Arial"/>
                <w:sz w:val="18"/>
                <w:szCs w:val="18"/>
                <w:color w:val="auto"/>
              </w:rPr>
              <w:t>D</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573-20</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Dredge System Diagram</w:t>
            </w:r>
          </w:p>
        </w:tc>
        <w:tc>
          <w:tcPr>
            <w:tcW w:w="35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573-23  Slurry Valve Flushing Diagram</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573-25</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Overflow Arrangement</w:t>
            </w:r>
          </w:p>
        </w:tc>
        <w:tc>
          <w:tcPr>
            <w:tcW w:w="35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573-38</w:t>
            </w:r>
          </w:p>
        </w:tc>
        <w:tc>
          <w:tcPr>
            <w:tcW w:w="6320" w:type="dxa"/>
            <w:vAlign w:val="bottom"/>
          </w:tcPr>
          <w:p>
            <w:pPr>
              <w:ind w:left="100"/>
              <w:spacing w:after="0"/>
              <w:rPr>
                <w:sz w:val="20"/>
                <w:szCs w:val="20"/>
                <w:color w:val="auto"/>
              </w:rPr>
            </w:pPr>
            <w:r>
              <w:rPr>
                <w:rFonts w:ascii="Arial" w:cs="Arial" w:eastAsia="Arial" w:hAnsi="Arial"/>
                <w:sz w:val="18"/>
                <w:szCs w:val="18"/>
                <w:color w:val="auto"/>
              </w:rPr>
              <w:t>Loading Manual</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573-39</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Trunion Slide Structure</w:t>
            </w:r>
          </w:p>
        </w:tc>
        <w:tc>
          <w:tcPr>
            <w:tcW w:w="35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581-01</w:t>
            </w:r>
          </w:p>
        </w:tc>
        <w:tc>
          <w:tcPr>
            <w:tcW w:w="6320" w:type="dxa"/>
            <w:vAlign w:val="bottom"/>
          </w:tcPr>
          <w:p>
            <w:pPr>
              <w:ind w:left="100"/>
              <w:spacing w:after="0"/>
              <w:rPr>
                <w:sz w:val="20"/>
                <w:szCs w:val="20"/>
                <w:color w:val="auto"/>
              </w:rPr>
            </w:pPr>
            <w:r>
              <w:rPr>
                <w:rFonts w:ascii="Arial" w:cs="Arial" w:eastAsia="Arial" w:hAnsi="Arial"/>
                <w:sz w:val="18"/>
                <w:szCs w:val="18"/>
                <w:color w:val="auto"/>
              </w:rPr>
              <w:t>Anchor Arrangement</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581-02  Chain Locker and Howse Pipes</w:t>
            </w:r>
          </w:p>
        </w:tc>
        <w:tc>
          <w:tcPr>
            <w:tcW w:w="35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582-01  Mooring &amp; Towing Arrangement</w:t>
            </w:r>
          </w:p>
        </w:tc>
        <w:tc>
          <w:tcPr>
            <w:tcW w:w="3540" w:type="dxa"/>
            <w:vAlign w:val="bottom"/>
          </w:tcPr>
          <w:p>
            <w:pPr>
              <w:ind w:left="32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583-01  Life Saving &amp; Safety Plan</w:t>
            </w:r>
          </w:p>
        </w:tc>
        <w:tc>
          <w:tcPr>
            <w:tcW w:w="35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583-04</w:t>
            </w:r>
          </w:p>
        </w:tc>
        <w:tc>
          <w:tcPr>
            <w:tcW w:w="6320" w:type="dxa"/>
            <w:vAlign w:val="bottom"/>
          </w:tcPr>
          <w:p>
            <w:pPr>
              <w:ind w:left="100"/>
              <w:spacing w:after="0"/>
              <w:rPr>
                <w:sz w:val="20"/>
                <w:szCs w:val="20"/>
                <w:color w:val="auto"/>
              </w:rPr>
            </w:pPr>
            <w:r>
              <w:rPr>
                <w:rFonts w:ascii="Arial" w:cs="Arial" w:eastAsia="Arial" w:hAnsi="Arial"/>
                <w:sz w:val="18"/>
                <w:szCs w:val="18"/>
                <w:color w:val="auto"/>
              </w:rPr>
              <w:t>Fire Extinguisher List</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583-05</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 Control Plan</w:t>
            </w:r>
          </w:p>
        </w:tc>
        <w:tc>
          <w:tcPr>
            <w:tcW w:w="35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583-06</w:t>
            </w:r>
          </w:p>
        </w:tc>
        <w:tc>
          <w:tcPr>
            <w:tcW w:w="6320" w:type="dxa"/>
            <w:vAlign w:val="bottom"/>
          </w:tcPr>
          <w:p>
            <w:pPr>
              <w:ind w:left="100"/>
              <w:spacing w:after="0"/>
              <w:rPr>
                <w:sz w:val="20"/>
                <w:szCs w:val="20"/>
                <w:color w:val="auto"/>
              </w:rPr>
            </w:pPr>
            <w:r>
              <w:rPr>
                <w:rFonts w:ascii="Arial" w:cs="Arial" w:eastAsia="Arial" w:hAnsi="Arial"/>
                <w:sz w:val="18"/>
                <w:szCs w:val="18"/>
                <w:color w:val="auto"/>
              </w:rPr>
              <w:t>Equipment Numerical Calc</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583-10  Lifesaving Equipment Installation Details</w:t>
            </w:r>
          </w:p>
        </w:tc>
        <w:tc>
          <w:tcPr>
            <w:tcW w:w="35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583-26</w:t>
            </w:r>
          </w:p>
        </w:tc>
        <w:tc>
          <w:tcPr>
            <w:tcW w:w="6320" w:type="dxa"/>
            <w:vAlign w:val="bottom"/>
          </w:tcPr>
          <w:p>
            <w:pPr>
              <w:ind w:left="100"/>
              <w:spacing w:after="0"/>
              <w:rPr>
                <w:sz w:val="20"/>
                <w:szCs w:val="20"/>
                <w:color w:val="auto"/>
              </w:rPr>
            </w:pPr>
            <w:r>
              <w:rPr>
                <w:rFonts w:ascii="Arial" w:cs="Arial" w:eastAsia="Arial" w:hAnsi="Arial"/>
                <w:sz w:val="18"/>
                <w:szCs w:val="18"/>
                <w:color w:val="auto"/>
              </w:rPr>
              <w:t>Dragarm Davit Arrangement</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593-10  Waste Oil System Diagram</w:t>
            </w:r>
          </w:p>
        </w:tc>
        <w:tc>
          <w:tcPr>
            <w:tcW w:w="35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600-03</w:t>
            </w:r>
          </w:p>
        </w:tc>
        <w:tc>
          <w:tcPr>
            <w:tcW w:w="6320" w:type="dxa"/>
            <w:vAlign w:val="bottom"/>
          </w:tcPr>
          <w:p>
            <w:pPr>
              <w:ind w:left="100"/>
              <w:spacing w:after="0"/>
              <w:rPr>
                <w:sz w:val="20"/>
                <w:szCs w:val="20"/>
                <w:color w:val="auto"/>
              </w:rPr>
            </w:pPr>
            <w:r>
              <w:rPr>
                <w:rFonts w:ascii="Arial" w:cs="Arial" w:eastAsia="Arial" w:hAnsi="Arial"/>
                <w:sz w:val="18"/>
                <w:szCs w:val="18"/>
                <w:color w:val="auto"/>
              </w:rPr>
              <w:t>Outfitting Standards</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602-01</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Hull Markings</w:t>
            </w:r>
          </w:p>
        </w:tc>
        <w:tc>
          <w:tcPr>
            <w:tcW w:w="35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612-01</w:t>
            </w:r>
          </w:p>
        </w:tc>
        <w:tc>
          <w:tcPr>
            <w:tcW w:w="6320" w:type="dxa"/>
            <w:vAlign w:val="bottom"/>
          </w:tcPr>
          <w:p>
            <w:pPr>
              <w:ind w:left="100"/>
              <w:spacing w:after="0"/>
              <w:rPr>
                <w:sz w:val="20"/>
                <w:szCs w:val="20"/>
                <w:color w:val="auto"/>
              </w:rPr>
            </w:pPr>
            <w:r>
              <w:rPr>
                <w:rFonts w:ascii="Arial" w:cs="Arial" w:eastAsia="Arial" w:hAnsi="Arial"/>
                <w:sz w:val="18"/>
                <w:szCs w:val="18"/>
                <w:color w:val="auto"/>
              </w:rPr>
              <w:t>Hand Rails, Exterior</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612-02</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Hand Rails, Interior</w:t>
            </w:r>
          </w:p>
        </w:tc>
        <w:tc>
          <w:tcPr>
            <w:tcW w:w="35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E</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612-03</w:t>
            </w:r>
          </w:p>
        </w:tc>
        <w:tc>
          <w:tcPr>
            <w:tcW w:w="6320" w:type="dxa"/>
            <w:vAlign w:val="bottom"/>
          </w:tcPr>
          <w:p>
            <w:pPr>
              <w:ind w:left="100"/>
              <w:spacing w:after="0"/>
              <w:rPr>
                <w:sz w:val="20"/>
                <w:szCs w:val="20"/>
                <w:color w:val="auto"/>
              </w:rPr>
            </w:pPr>
            <w:r>
              <w:rPr>
                <w:rFonts w:ascii="Arial" w:cs="Arial" w:eastAsia="Arial" w:hAnsi="Arial"/>
                <w:sz w:val="18"/>
                <w:szCs w:val="18"/>
                <w:color w:val="auto"/>
              </w:rPr>
              <w:t>Bulwarks</w:t>
            </w:r>
          </w:p>
        </w:tc>
        <w:tc>
          <w:tcPr>
            <w:tcW w:w="3540" w:type="dxa"/>
            <w:vAlign w:val="bottom"/>
          </w:tcPr>
          <w:p>
            <w:pPr>
              <w:ind w:left="3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612-13</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Guards</w:t>
            </w:r>
          </w:p>
        </w:tc>
        <w:tc>
          <w:tcPr>
            <w:tcW w:w="35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622-01</w:t>
            </w:r>
          </w:p>
        </w:tc>
        <w:tc>
          <w:tcPr>
            <w:tcW w:w="6320" w:type="dxa"/>
            <w:vAlign w:val="bottom"/>
          </w:tcPr>
          <w:p>
            <w:pPr>
              <w:ind w:left="100"/>
              <w:spacing w:after="0"/>
              <w:rPr>
                <w:sz w:val="20"/>
                <w:szCs w:val="20"/>
                <w:color w:val="auto"/>
              </w:rPr>
            </w:pPr>
            <w:r>
              <w:rPr>
                <w:rFonts w:ascii="Arial" w:cs="Arial" w:eastAsia="Arial" w:hAnsi="Arial"/>
                <w:sz w:val="18"/>
                <w:szCs w:val="18"/>
                <w:color w:val="auto"/>
              </w:rPr>
              <w:t>Gratings, Machinery Space</w:t>
            </w:r>
          </w:p>
        </w:tc>
        <w:tc>
          <w:tcPr>
            <w:tcW w:w="3540" w:type="dxa"/>
            <w:vAlign w:val="bottom"/>
          </w:tcPr>
          <w:p>
            <w:pPr>
              <w:ind w:left="32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622-02</w:t>
            </w: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Internal Tank Gratings</w:t>
            </w:r>
          </w:p>
        </w:tc>
        <w:tc>
          <w:tcPr>
            <w:tcW w:w="35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bl>
    <w:p>
      <w:pPr>
        <w:sectPr>
          <w:pgSz w:w="11900" w:h="16838" w:orient="portrait"/>
          <w:cols w:equalWidth="0" w:num="1">
            <w:col w:w="11420"/>
          </w:cols>
          <w:pgMar w:left="240" w:top="274" w:right="239" w:bottom="1440" w:gutter="0" w:footer="0" w:header="0"/>
        </w:sectPr>
      </w:pPr>
    </w:p>
    <w:bookmarkStart w:id="186" w:name="page187"/>
    <w:bookmarkEnd w:id="186"/>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622-03  External Gratings &amp; Access</w:t>
            </w:r>
          </w:p>
        </w:tc>
        <w:tc>
          <w:tcPr>
            <w:tcW w:w="36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623-01</w:t>
            </w:r>
          </w:p>
        </w:tc>
        <w:tc>
          <w:tcPr>
            <w:tcW w:w="6220" w:type="dxa"/>
            <w:vAlign w:val="bottom"/>
          </w:tcPr>
          <w:p>
            <w:pPr>
              <w:ind w:left="100"/>
              <w:spacing w:after="0"/>
              <w:rPr>
                <w:sz w:val="20"/>
                <w:szCs w:val="20"/>
                <w:color w:val="auto"/>
              </w:rPr>
            </w:pPr>
            <w:r>
              <w:rPr>
                <w:rFonts w:ascii="Arial" w:cs="Arial" w:eastAsia="Arial" w:hAnsi="Arial"/>
                <w:sz w:val="18"/>
                <w:szCs w:val="18"/>
                <w:color w:val="auto"/>
              </w:rPr>
              <w:t>Ladders, Vertical</w:t>
            </w:r>
          </w:p>
        </w:tc>
        <w:tc>
          <w:tcPr>
            <w:tcW w:w="3640" w:type="dxa"/>
            <w:vAlign w:val="bottom"/>
          </w:tcPr>
          <w:p>
            <w:pPr>
              <w:ind w:left="33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623-02</w:t>
            </w: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Ladders, Inclined</w:t>
            </w:r>
          </w:p>
        </w:tc>
        <w:tc>
          <w:tcPr>
            <w:tcW w:w="364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D</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633-01  Anodes &amp; Cathodic Protection System</w:t>
            </w:r>
          </w:p>
        </w:tc>
        <w:tc>
          <w:tcPr>
            <w:tcW w:w="3640" w:type="dxa"/>
            <w:vAlign w:val="bottom"/>
          </w:tcPr>
          <w:p>
            <w:pPr>
              <w:ind w:left="33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721-02  Aux Cooling System Diagram</w:t>
            </w:r>
          </w:p>
        </w:tc>
        <w:tc>
          <w:tcPr>
            <w:tcW w:w="364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801-01</w:t>
            </w:r>
          </w:p>
        </w:tc>
        <w:tc>
          <w:tcPr>
            <w:tcW w:w="6220" w:type="dxa"/>
            <w:vAlign w:val="bottom"/>
          </w:tcPr>
          <w:p>
            <w:pPr>
              <w:ind w:left="100"/>
              <w:spacing w:after="0"/>
              <w:rPr>
                <w:sz w:val="20"/>
                <w:szCs w:val="20"/>
                <w:color w:val="auto"/>
              </w:rPr>
            </w:pPr>
            <w:r>
              <w:rPr>
                <w:rFonts w:ascii="Arial" w:cs="Arial" w:eastAsia="Arial" w:hAnsi="Arial"/>
                <w:sz w:val="18"/>
                <w:szCs w:val="18"/>
                <w:color w:val="auto"/>
              </w:rPr>
              <w:t>General Arrangement</w:t>
            </w:r>
          </w:p>
        </w:tc>
        <w:tc>
          <w:tcPr>
            <w:tcW w:w="3640" w:type="dxa"/>
            <w:vAlign w:val="bottom"/>
          </w:tcPr>
          <w:p>
            <w:pPr>
              <w:ind w:left="3340"/>
              <w:spacing w:after="0"/>
              <w:rPr>
                <w:sz w:val="20"/>
                <w:szCs w:val="20"/>
                <w:color w:val="auto"/>
              </w:rPr>
            </w:pPr>
            <w:r>
              <w:rPr>
                <w:rFonts w:ascii="Arial" w:cs="Arial" w:eastAsia="Arial" w:hAnsi="Arial"/>
                <w:sz w:val="18"/>
                <w:szCs w:val="18"/>
                <w:color w:val="auto"/>
              </w:rPr>
              <w:t>C</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801-02</w:t>
            </w: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Outboard Profile</w:t>
            </w:r>
          </w:p>
        </w:tc>
        <w:tc>
          <w:tcPr>
            <w:tcW w:w="36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801-03</w:t>
            </w:r>
          </w:p>
        </w:tc>
        <w:tc>
          <w:tcPr>
            <w:tcW w:w="6220" w:type="dxa"/>
            <w:vAlign w:val="bottom"/>
          </w:tcPr>
          <w:p>
            <w:pPr>
              <w:ind w:left="100"/>
              <w:spacing w:after="0"/>
              <w:rPr>
                <w:sz w:val="20"/>
                <w:szCs w:val="20"/>
                <w:color w:val="auto"/>
              </w:rPr>
            </w:pPr>
            <w:r>
              <w:rPr>
                <w:rFonts w:ascii="Arial" w:cs="Arial" w:eastAsia="Arial" w:hAnsi="Arial"/>
                <w:sz w:val="18"/>
                <w:szCs w:val="18"/>
                <w:color w:val="auto"/>
              </w:rPr>
              <w:t>Inboard Profile</w:t>
            </w:r>
          </w:p>
        </w:tc>
        <w:tc>
          <w:tcPr>
            <w:tcW w:w="3640" w:type="dxa"/>
            <w:vAlign w:val="bottom"/>
          </w:tcPr>
          <w:p>
            <w:pPr>
              <w:ind w:left="33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801-04</w:t>
            </w: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Crew Lounge Arrangement</w:t>
            </w:r>
          </w:p>
        </w:tc>
        <w:tc>
          <w:tcPr>
            <w:tcW w:w="364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835-01</w:t>
            </w:r>
          </w:p>
        </w:tc>
        <w:tc>
          <w:tcPr>
            <w:tcW w:w="6220" w:type="dxa"/>
            <w:vAlign w:val="bottom"/>
          </w:tcPr>
          <w:p>
            <w:pPr>
              <w:ind w:left="100"/>
              <w:spacing w:after="0"/>
              <w:rPr>
                <w:sz w:val="20"/>
                <w:szCs w:val="20"/>
                <w:color w:val="auto"/>
              </w:rPr>
            </w:pPr>
            <w:r>
              <w:rPr>
                <w:rFonts w:ascii="Arial" w:cs="Arial" w:eastAsia="Arial" w:hAnsi="Arial"/>
                <w:sz w:val="18"/>
                <w:szCs w:val="18"/>
                <w:color w:val="auto"/>
              </w:rPr>
              <w:t>Longitudinal Strength Calculations</w:t>
            </w:r>
          </w:p>
        </w:tc>
        <w:tc>
          <w:tcPr>
            <w:tcW w:w="3640" w:type="dxa"/>
            <w:vAlign w:val="bottom"/>
          </w:tcPr>
          <w:p>
            <w:pPr>
              <w:ind w:left="33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835-02</w:t>
            </w: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Hydrostatic Tables</w:t>
            </w:r>
          </w:p>
        </w:tc>
        <w:tc>
          <w:tcPr>
            <w:tcW w:w="36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835-03</w:t>
            </w:r>
          </w:p>
        </w:tc>
        <w:tc>
          <w:tcPr>
            <w:tcW w:w="6220" w:type="dxa"/>
            <w:vAlign w:val="bottom"/>
          </w:tcPr>
          <w:p>
            <w:pPr>
              <w:ind w:left="100"/>
              <w:spacing w:after="0"/>
              <w:rPr>
                <w:sz w:val="20"/>
                <w:szCs w:val="20"/>
                <w:color w:val="auto"/>
              </w:rPr>
            </w:pPr>
            <w:r>
              <w:rPr>
                <w:rFonts w:ascii="Arial" w:cs="Arial" w:eastAsia="Arial" w:hAnsi="Arial"/>
                <w:sz w:val="18"/>
                <w:szCs w:val="18"/>
                <w:color w:val="auto"/>
              </w:rPr>
              <w:t>Tank Capacity Tables</w:t>
            </w:r>
          </w:p>
        </w:tc>
        <w:tc>
          <w:tcPr>
            <w:tcW w:w="3640" w:type="dxa"/>
            <w:vAlign w:val="bottom"/>
          </w:tcPr>
          <w:p>
            <w:pPr>
              <w:ind w:left="33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835-04</w:t>
            </w: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Hopper Capacity Tables</w:t>
            </w:r>
          </w:p>
        </w:tc>
        <w:tc>
          <w:tcPr>
            <w:tcW w:w="364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835-06</w:t>
            </w:r>
          </w:p>
        </w:tc>
        <w:tc>
          <w:tcPr>
            <w:tcW w:w="6220" w:type="dxa"/>
            <w:vAlign w:val="bottom"/>
          </w:tcPr>
          <w:p>
            <w:pPr>
              <w:ind w:left="100"/>
              <w:spacing w:after="0"/>
              <w:rPr>
                <w:sz w:val="20"/>
                <w:szCs w:val="20"/>
                <w:color w:val="auto"/>
              </w:rPr>
            </w:pPr>
            <w:r>
              <w:rPr>
                <w:rFonts w:ascii="Arial" w:cs="Arial" w:eastAsia="Arial" w:hAnsi="Arial"/>
                <w:sz w:val="18"/>
                <w:szCs w:val="18"/>
                <w:color w:val="auto"/>
              </w:rPr>
              <w:t>Capacity Plan</w:t>
            </w:r>
          </w:p>
        </w:tc>
        <w:tc>
          <w:tcPr>
            <w:tcW w:w="3640" w:type="dxa"/>
            <w:vAlign w:val="bottom"/>
          </w:tcPr>
          <w:p>
            <w:pPr>
              <w:ind w:left="33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835-07</w:t>
            </w: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 Estimate</w:t>
            </w:r>
          </w:p>
        </w:tc>
        <w:tc>
          <w:tcPr>
            <w:tcW w:w="364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835-09</w:t>
            </w:r>
          </w:p>
        </w:tc>
        <w:tc>
          <w:tcPr>
            <w:tcW w:w="6220" w:type="dxa"/>
            <w:vAlign w:val="bottom"/>
          </w:tcPr>
          <w:p>
            <w:pPr>
              <w:ind w:left="100"/>
              <w:spacing w:after="0"/>
              <w:rPr>
                <w:sz w:val="20"/>
                <w:szCs w:val="20"/>
                <w:color w:val="auto"/>
              </w:rPr>
            </w:pPr>
            <w:r>
              <w:rPr>
                <w:rFonts w:ascii="Arial" w:cs="Arial" w:eastAsia="Arial" w:hAnsi="Arial"/>
                <w:sz w:val="18"/>
                <w:szCs w:val="18"/>
                <w:color w:val="auto"/>
              </w:rPr>
              <w:t>Loading Conditions</w:t>
            </w:r>
          </w:p>
        </w:tc>
        <w:tc>
          <w:tcPr>
            <w:tcW w:w="3640" w:type="dxa"/>
            <w:vAlign w:val="bottom"/>
          </w:tcPr>
          <w:p>
            <w:pPr>
              <w:ind w:left="33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835-10</w:t>
            </w: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Intact Stability Calcs</w:t>
            </w:r>
          </w:p>
        </w:tc>
        <w:tc>
          <w:tcPr>
            <w:tcW w:w="364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835-11  Longitudinal Bending Moment Calcs</w:t>
            </w:r>
          </w:p>
        </w:tc>
        <w:tc>
          <w:tcPr>
            <w:tcW w:w="3640" w:type="dxa"/>
            <w:vAlign w:val="bottom"/>
          </w:tcPr>
          <w:p>
            <w:pPr>
              <w:ind w:left="33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3/23/2014</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835-13  Electrical Load Analysis AC</w:t>
            </w:r>
          </w:p>
        </w:tc>
        <w:tc>
          <w:tcPr>
            <w:tcW w:w="364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835-14  Electrical Load Analysis DC</w:t>
            </w:r>
          </w:p>
        </w:tc>
        <w:tc>
          <w:tcPr>
            <w:tcW w:w="3640" w:type="dxa"/>
            <w:vAlign w:val="bottom"/>
          </w:tcPr>
          <w:p>
            <w:pPr>
              <w:ind w:left="33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3/30/2014</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997-01</w:t>
            </w:r>
          </w:p>
        </w:tc>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Docking Plan</w:t>
            </w:r>
          </w:p>
        </w:tc>
        <w:tc>
          <w:tcPr>
            <w:tcW w:w="364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3/2/2014</w:t>
            </w:r>
          </w:p>
        </w:tc>
      </w:tr>
    </w:tbl>
    <w:p>
      <w:pPr>
        <w:sectPr>
          <w:pgSz w:w="11900" w:h="16838" w:orient="portrait"/>
          <w:cols w:equalWidth="0" w:num="1">
            <w:col w:w="11420"/>
          </w:cols>
          <w:pgMar w:left="240" w:top="274" w:right="239" w:bottom="1440" w:gutter="0" w:footer="0" w:header="0"/>
        </w:sectPr>
      </w:pPr>
    </w:p>
    <w:bookmarkStart w:id="187" w:name="page188"/>
    <w:bookmarkEnd w:id="187"/>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ATB TUG FUNCTIONAL PACKAGE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Dwg #</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420" w:type="dxa"/>
            <w:vAlign w:val="bottom"/>
            <w:gridSpan w:val="2"/>
          </w:tcPr>
          <w:p>
            <w:pPr>
              <w:ind w:left="440"/>
              <w:spacing w:after="0"/>
              <w:rPr>
                <w:sz w:val="20"/>
                <w:szCs w:val="20"/>
                <w:color w:val="auto"/>
              </w:rPr>
            </w:pPr>
            <w:r>
              <w:rPr>
                <w:rFonts w:ascii="Arial" w:cs="Arial" w:eastAsia="Arial" w:hAnsi="Arial"/>
                <w:sz w:val="14"/>
                <w:szCs w:val="14"/>
                <w:b w:val="1"/>
                <w:bCs w:val="1"/>
                <w:color w:val="auto"/>
              </w:rPr>
              <w:t>Description</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Revision</w:t>
            </w: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92"/>
              </w:rPr>
              <w:t>Delivery Date</w:t>
            </w:r>
          </w:p>
        </w:tc>
      </w:tr>
      <w:tr>
        <w:trPr>
          <w:trHeight w:val="203"/>
        </w:trPr>
        <w:tc>
          <w:tcPr>
            <w:tcW w:w="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096-001</w:t>
            </w:r>
          </w:p>
        </w:tc>
        <w:tc>
          <w:tcPr>
            <w:tcW w:w="8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Weights and CG Estimate</w:t>
            </w:r>
          </w:p>
        </w:tc>
        <w:tc>
          <w:tcPr>
            <w:tcW w:w="5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4/24/2014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100-001</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Welding Schedule</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101-002</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General Arrangement</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111-001</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Shell Plating Key Plan</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114-001</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Rudder Arrangement</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117-002</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Midship Section</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117-101  Scantlings Bow Thru Frame 16</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4480" w:type="dxa"/>
            <w:vAlign w:val="bottom"/>
            <w:gridSpan w:val="4"/>
          </w:tcPr>
          <w:p>
            <w:pPr>
              <w:spacing w:after="0"/>
              <w:rPr>
                <w:sz w:val="20"/>
                <w:szCs w:val="20"/>
                <w:color w:val="auto"/>
              </w:rPr>
            </w:pPr>
            <w:r>
              <w:rPr>
                <w:rFonts w:ascii="Arial" w:cs="Arial" w:eastAsia="Arial" w:hAnsi="Arial"/>
                <w:sz w:val="18"/>
                <w:szCs w:val="18"/>
                <w:color w:val="auto"/>
              </w:rPr>
              <w:t>117-102  Scantlings Fr 17 Thru 46</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117-103  Scantlings Fr 47 Thru Transom</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117-104</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Scantlings Superstructure</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163-001</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Sea Chest</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167-001</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Manholes &amp; Hatches A&amp;D</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167-002</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&amp; Weathertight Doors A&amp;D</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167-003</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Hatch Details</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170-001</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Mast Arrangement</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233-001</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Propulsion Drive Train Arrangement</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233-002</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Propulsion Engines Foundation</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256-001</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Main and Aux RW Cooling System B.O.D.</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256-002</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Main and Aux RW Cooling System Diagram</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259-001</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Exhaust Piping Arrgt. B.O.D.</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B</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259-002</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Exhaust Piping Arrgt. Diagram</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261-001</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Quick Closing Valve Diagram</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264-001</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 Fill and Transfer System Diagram</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264-002</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LO Fill and Transfer System B.O.D.</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264-003</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Dirty Oil System B.O.D.</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264-004</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Dirty Oil System Diagram</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4/7/2014</w:t>
            </w:r>
          </w:p>
        </w:tc>
      </w:tr>
      <w:tr>
        <w:trPr>
          <w:trHeight w:val="216"/>
        </w:trPr>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313-001</w:t>
            </w: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Electronics Room Arrangement</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4/14/2013</w:t>
            </w:r>
          </w:p>
        </w:tc>
      </w:t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401-001</w:t>
            </w: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Navigational Lights Arrangement</w:t>
            </w: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4/14/2013</w:t>
            </w:r>
          </w:p>
        </w:tc>
      </w:tr>
    </w:tbl>
    <w:p>
      <w:pPr>
        <w:sectPr>
          <w:pgSz w:w="11900" w:h="16838" w:orient="portrait"/>
          <w:cols w:equalWidth="0" w:num="1">
            <w:col w:w="11420"/>
          </w:cols>
          <w:pgMar w:left="240" w:top="274" w:right="239" w:bottom="1440" w:gutter="0" w:footer="0" w:header="0"/>
        </w:sectPr>
      </w:pPr>
    </w:p>
    <w:bookmarkStart w:id="188" w:name="page189"/>
    <w:bookmarkEnd w:id="18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427-001</w:t>
            </w: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Navigational Lighting</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4/14/2013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500-001</w:t>
            </w:r>
          </w:p>
        </w:tc>
        <w:tc>
          <w:tcPr>
            <w:tcW w:w="6620" w:type="dxa"/>
            <w:vAlign w:val="bottom"/>
          </w:tcPr>
          <w:p>
            <w:pPr>
              <w:ind w:left="100"/>
              <w:spacing w:after="0"/>
              <w:rPr>
                <w:sz w:val="20"/>
                <w:szCs w:val="20"/>
                <w:color w:val="auto"/>
              </w:rPr>
            </w:pPr>
            <w:r>
              <w:rPr>
                <w:rFonts w:ascii="Arial" w:cs="Arial" w:eastAsia="Arial" w:hAnsi="Arial"/>
                <w:sz w:val="18"/>
                <w:szCs w:val="18"/>
                <w:color w:val="auto"/>
              </w:rPr>
              <w:t>Machinery Arrangement</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506-001   Tank Vents &amp; Sounds B.O.D.</w:t>
            </w:r>
          </w:p>
        </w:tc>
        <w:tc>
          <w:tcPr>
            <w:tcW w:w="314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506-002   Tank Vents &amp; Sounds Diagram</w:t>
            </w:r>
          </w:p>
        </w:tc>
        <w:tc>
          <w:tcPr>
            <w:tcW w:w="3140" w:type="dxa"/>
            <w:vAlign w:val="bottom"/>
          </w:tcPr>
          <w:p>
            <w:pPr>
              <w:ind w:left="28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513-001</w:t>
            </w: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Ventilation Diagram</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513-002</w:t>
            </w:r>
          </w:p>
        </w:tc>
        <w:tc>
          <w:tcPr>
            <w:tcW w:w="6620" w:type="dxa"/>
            <w:vAlign w:val="bottom"/>
          </w:tcPr>
          <w:p>
            <w:pPr>
              <w:ind w:left="100"/>
              <w:spacing w:after="0"/>
              <w:rPr>
                <w:sz w:val="20"/>
                <w:szCs w:val="20"/>
                <w:color w:val="auto"/>
              </w:rPr>
            </w:pPr>
            <w:r>
              <w:rPr>
                <w:rFonts w:ascii="Arial" w:cs="Arial" w:eastAsia="Arial" w:hAnsi="Arial"/>
                <w:sz w:val="18"/>
                <w:szCs w:val="18"/>
                <w:color w:val="auto"/>
              </w:rPr>
              <w:t>Machinery Ventilation B.O.D.</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521-001   Fire Main System B.O.D.</w:t>
            </w:r>
          </w:p>
        </w:tc>
        <w:tc>
          <w:tcPr>
            <w:tcW w:w="314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521-002   Fire Main System Diagram</w:t>
            </w:r>
          </w:p>
        </w:tc>
        <w:tc>
          <w:tcPr>
            <w:tcW w:w="3140" w:type="dxa"/>
            <w:vAlign w:val="bottom"/>
          </w:tcPr>
          <w:p>
            <w:pPr>
              <w:ind w:left="28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526-001   Weather Deck Drains Piping System B.O.D</w:t>
            </w:r>
          </w:p>
        </w:tc>
        <w:tc>
          <w:tcPr>
            <w:tcW w:w="314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526-002   Weather Deck Drains Piping System Diagram</w:t>
            </w:r>
          </w:p>
        </w:tc>
        <w:tc>
          <w:tcPr>
            <w:tcW w:w="3140" w:type="dxa"/>
            <w:vAlign w:val="bottom"/>
          </w:tcPr>
          <w:p>
            <w:pPr>
              <w:ind w:left="28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528-001   Sanitary Drains and Sewage System B.O.D.</w:t>
            </w:r>
          </w:p>
        </w:tc>
        <w:tc>
          <w:tcPr>
            <w:tcW w:w="314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528-002   Sanitary Drains and Sewage System Diagram</w:t>
            </w:r>
          </w:p>
        </w:tc>
        <w:tc>
          <w:tcPr>
            <w:tcW w:w="3140" w:type="dxa"/>
            <w:vAlign w:val="bottom"/>
          </w:tcPr>
          <w:p>
            <w:pPr>
              <w:ind w:left="28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529-001   Bilge &amp; Ballast System B.O.D.</w:t>
            </w:r>
          </w:p>
        </w:tc>
        <w:tc>
          <w:tcPr>
            <w:tcW w:w="314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529-002   Bilge &amp; Ballast System Diagram</w:t>
            </w:r>
          </w:p>
        </w:tc>
        <w:tc>
          <w:tcPr>
            <w:tcW w:w="3140" w:type="dxa"/>
            <w:vAlign w:val="bottom"/>
          </w:tcPr>
          <w:p>
            <w:pPr>
              <w:ind w:left="28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532-001   Main and Aux Engine FW Cooling System B.O.D.</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532-002   Main and Aux Engine FW Cooling System Diagram</w:t>
            </w:r>
          </w:p>
        </w:tc>
        <w:tc>
          <w:tcPr>
            <w:tcW w:w="3140" w:type="dxa"/>
            <w:vAlign w:val="bottom"/>
          </w:tcPr>
          <w:p>
            <w:pPr>
              <w:ind w:left="28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532-003   Main Engine Expansion Tanks</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532-004   Stand-By Generator Expansion Tank</w:t>
            </w:r>
          </w:p>
        </w:tc>
        <w:tc>
          <w:tcPr>
            <w:tcW w:w="3140" w:type="dxa"/>
            <w:vAlign w:val="bottom"/>
          </w:tcPr>
          <w:p>
            <w:pPr>
              <w:ind w:left="27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533-001   Potable Water System B.O.D.</w:t>
            </w:r>
          </w:p>
        </w:tc>
        <w:tc>
          <w:tcPr>
            <w:tcW w:w="314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533-002   Potable Water System Diagram</w:t>
            </w:r>
          </w:p>
        </w:tc>
        <w:tc>
          <w:tcPr>
            <w:tcW w:w="3140" w:type="dxa"/>
            <w:vAlign w:val="bottom"/>
          </w:tcPr>
          <w:p>
            <w:pPr>
              <w:ind w:left="28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541-001   Fuel Oil Service System B.O.D.</w:t>
            </w:r>
          </w:p>
        </w:tc>
        <w:tc>
          <w:tcPr>
            <w:tcW w:w="314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541-002   Fuel Oil Service System Diagram</w:t>
            </w:r>
          </w:p>
        </w:tc>
        <w:tc>
          <w:tcPr>
            <w:tcW w:w="3140" w:type="dxa"/>
            <w:vAlign w:val="bottom"/>
          </w:tcPr>
          <w:p>
            <w:pPr>
              <w:ind w:left="28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541-003   Fuel Oil Fill and Transfer System Diagram</w:t>
            </w:r>
          </w:p>
        </w:tc>
        <w:tc>
          <w:tcPr>
            <w:tcW w:w="314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541-004   Fuel Oil Fill and Transfer System B.O.D.</w:t>
            </w:r>
          </w:p>
        </w:tc>
        <w:tc>
          <w:tcPr>
            <w:tcW w:w="3140" w:type="dxa"/>
            <w:vAlign w:val="bottom"/>
          </w:tcPr>
          <w:p>
            <w:pPr>
              <w:ind w:left="2840"/>
              <w:spacing w:after="0"/>
              <w:rPr>
                <w:sz w:val="20"/>
                <w:szCs w:val="20"/>
                <w:color w:val="auto"/>
              </w:rPr>
            </w:pPr>
            <w:r>
              <w:rPr>
                <w:rFonts w:ascii="Arial" w:cs="Arial" w:eastAsia="Arial" w:hAnsi="Arial"/>
                <w:sz w:val="18"/>
                <w:szCs w:val="18"/>
                <w:color w:val="auto"/>
              </w:rPr>
              <w:t>C</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551-001   Compressed Air System B.O.D.</w:t>
            </w:r>
          </w:p>
        </w:tc>
        <w:tc>
          <w:tcPr>
            <w:tcW w:w="314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551-002   Compressed Air System Diagram</w:t>
            </w:r>
          </w:p>
        </w:tc>
        <w:tc>
          <w:tcPr>
            <w:tcW w:w="3140" w:type="dxa"/>
            <w:vAlign w:val="bottom"/>
          </w:tcPr>
          <w:p>
            <w:pPr>
              <w:ind w:left="2840"/>
              <w:spacing w:after="0"/>
              <w:rPr>
                <w:sz w:val="20"/>
                <w:szCs w:val="20"/>
                <w:color w:val="auto"/>
              </w:rPr>
            </w:pPr>
            <w:r>
              <w:rPr>
                <w:rFonts w:ascii="Arial" w:cs="Arial" w:eastAsia="Arial" w:hAnsi="Arial"/>
                <w:sz w:val="18"/>
                <w:szCs w:val="18"/>
                <w:color w:val="auto"/>
              </w:rPr>
              <w:t>C</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555-001</w:t>
            </w: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Vessel Safety Plan</w:t>
            </w:r>
          </w:p>
        </w:tc>
        <w:tc>
          <w:tcPr>
            <w:tcW w:w="31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4/14/2014</w:t>
            </w:r>
          </w:p>
        </w:tc>
      </w:tr>
    </w:tbl>
    <w:p>
      <w:pPr>
        <w:sectPr>
          <w:pgSz w:w="11900" w:h="16838" w:orient="portrait"/>
          <w:cols w:equalWidth="0" w:num="1">
            <w:col w:w="11420"/>
          </w:cols>
          <w:pgMar w:left="240" w:top="274" w:right="239" w:bottom="1440" w:gutter="0" w:footer="0" w:header="0"/>
        </w:sectPr>
      </w:pPr>
    </w:p>
    <w:bookmarkStart w:id="189" w:name="page190"/>
    <w:bookmarkEnd w:id="18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555-002   Structural Fire Protection Plan</w:t>
            </w:r>
          </w:p>
        </w:tc>
        <w:tc>
          <w:tcPr>
            <w:tcW w:w="320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573-001   Machinery Trolley Arrangement and Details</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581-001</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Anchor Handling A&amp;D</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582-001   Bulwark &amp; Mooring Fittings</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585-001   Rescue Boat and Liferaft Arrangement and Details</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585-001   Rescue Boat and Liferaft Arrangement and Details</w:t>
            </w:r>
          </w:p>
        </w:tc>
        <w:tc>
          <w:tcPr>
            <w:tcW w:w="3200" w:type="dxa"/>
            <w:vAlign w:val="bottom"/>
          </w:tcPr>
          <w:p>
            <w:pPr>
              <w:ind w:left="28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602-001</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Hull Marking Diagram</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603-002   Underwater Inspection in Lieu of Drydocking</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611-001</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Fender Installation Diagram</w:t>
            </w:r>
          </w:p>
        </w:tc>
        <w:tc>
          <w:tcPr>
            <w:tcW w:w="320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612-001</w:t>
            </w:r>
          </w:p>
        </w:tc>
        <w:tc>
          <w:tcPr>
            <w:tcW w:w="6560" w:type="dxa"/>
            <w:vAlign w:val="bottom"/>
          </w:tcPr>
          <w:p>
            <w:pPr>
              <w:ind w:left="100"/>
              <w:spacing w:after="0"/>
              <w:rPr>
                <w:sz w:val="20"/>
                <w:szCs w:val="20"/>
                <w:color w:val="auto"/>
              </w:rPr>
            </w:pPr>
            <w:r>
              <w:rPr>
                <w:rFonts w:ascii="Arial" w:cs="Arial" w:eastAsia="Arial" w:hAnsi="Arial"/>
                <w:sz w:val="18"/>
                <w:szCs w:val="18"/>
                <w:color w:val="auto"/>
              </w:rPr>
              <w:t>Ladders A&amp;D</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612-002</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Handrails and Stanchions</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622-001   Grating Arrangement &amp; Details</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623-001</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Tug-Barge Access</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625-001</w:t>
            </w:r>
          </w:p>
        </w:tc>
        <w:tc>
          <w:tcPr>
            <w:tcW w:w="6560" w:type="dxa"/>
            <w:vAlign w:val="bottom"/>
          </w:tcPr>
          <w:p>
            <w:pPr>
              <w:ind w:left="100"/>
              <w:spacing w:after="0"/>
              <w:rPr>
                <w:sz w:val="20"/>
                <w:szCs w:val="20"/>
                <w:color w:val="auto"/>
              </w:rPr>
            </w:pPr>
            <w:r>
              <w:rPr>
                <w:rFonts w:ascii="Arial" w:cs="Arial" w:eastAsia="Arial" w:hAnsi="Arial"/>
                <w:sz w:val="18"/>
                <w:szCs w:val="18"/>
                <w:color w:val="auto"/>
              </w:rPr>
              <w:t>Windows A+D</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633-001</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Cathodic Protection Plan</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662-001</w:t>
            </w:r>
          </w:p>
        </w:tc>
        <w:tc>
          <w:tcPr>
            <w:tcW w:w="6560" w:type="dxa"/>
            <w:vAlign w:val="bottom"/>
          </w:tcPr>
          <w:p>
            <w:pPr>
              <w:ind w:left="100"/>
              <w:spacing w:after="0"/>
              <w:rPr>
                <w:sz w:val="20"/>
                <w:szCs w:val="20"/>
                <w:color w:val="auto"/>
              </w:rPr>
            </w:pPr>
            <w:r>
              <w:rPr>
                <w:rFonts w:ascii="Arial" w:cs="Arial" w:eastAsia="Arial" w:hAnsi="Arial"/>
                <w:sz w:val="18"/>
                <w:szCs w:val="18"/>
                <w:color w:val="auto"/>
              </w:rPr>
              <w:t>Bridge Arrangement</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662-002</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EOS Arrangement</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801-001</w:t>
            </w:r>
          </w:p>
        </w:tc>
        <w:tc>
          <w:tcPr>
            <w:tcW w:w="6560" w:type="dxa"/>
            <w:vAlign w:val="bottom"/>
          </w:tcPr>
          <w:p>
            <w:pPr>
              <w:ind w:left="100"/>
              <w:spacing w:after="0"/>
              <w:rPr>
                <w:sz w:val="20"/>
                <w:szCs w:val="20"/>
                <w:color w:val="auto"/>
              </w:rPr>
            </w:pPr>
            <w:r>
              <w:rPr>
                <w:rFonts w:ascii="Arial" w:cs="Arial" w:eastAsia="Arial" w:hAnsi="Arial"/>
                <w:sz w:val="18"/>
                <w:szCs w:val="18"/>
                <w:color w:val="auto"/>
              </w:rPr>
              <w:t>Navigational Bridge Visibility</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802-001</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Outboard Profile</w:t>
            </w:r>
          </w:p>
        </w:tc>
        <w:tc>
          <w:tcPr>
            <w:tcW w:w="320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802-002</w:t>
            </w:r>
          </w:p>
        </w:tc>
        <w:tc>
          <w:tcPr>
            <w:tcW w:w="6560" w:type="dxa"/>
            <w:vAlign w:val="bottom"/>
          </w:tcPr>
          <w:p>
            <w:pPr>
              <w:ind w:left="100"/>
              <w:spacing w:after="0"/>
              <w:rPr>
                <w:sz w:val="20"/>
                <w:szCs w:val="20"/>
                <w:color w:val="auto"/>
              </w:rPr>
            </w:pPr>
            <w:r>
              <w:rPr>
                <w:rFonts w:ascii="Arial" w:cs="Arial" w:eastAsia="Arial" w:hAnsi="Arial"/>
                <w:sz w:val="18"/>
                <w:szCs w:val="18"/>
                <w:color w:val="auto"/>
              </w:rPr>
              <w:t>Inboard Profile</w:t>
            </w:r>
          </w:p>
        </w:tc>
        <w:tc>
          <w:tcPr>
            <w:tcW w:w="3200" w:type="dxa"/>
            <w:vAlign w:val="bottom"/>
          </w:tcPr>
          <w:p>
            <w:pPr>
              <w:ind w:left="288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831-002</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Moulded Line Convention</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4/14/2014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835-001</w:t>
            </w:r>
          </w:p>
        </w:tc>
        <w:tc>
          <w:tcPr>
            <w:tcW w:w="6560" w:type="dxa"/>
            <w:vAlign w:val="bottom"/>
          </w:tcPr>
          <w:p>
            <w:pPr>
              <w:ind w:left="100"/>
              <w:spacing w:after="0"/>
              <w:rPr>
                <w:sz w:val="20"/>
                <w:szCs w:val="20"/>
                <w:color w:val="auto"/>
              </w:rPr>
            </w:pPr>
            <w:r>
              <w:rPr>
                <w:rFonts w:ascii="Arial" w:cs="Arial" w:eastAsia="Arial" w:hAnsi="Arial"/>
                <w:sz w:val="18"/>
                <w:szCs w:val="18"/>
                <w:color w:val="auto"/>
              </w:rPr>
              <w:t>Midship Section Calculations</w:t>
            </w:r>
          </w:p>
        </w:tc>
        <w:tc>
          <w:tcPr>
            <w:tcW w:w="3200" w:type="dxa"/>
            <w:vAlign w:val="bottom"/>
          </w:tcPr>
          <w:p>
            <w:pPr>
              <w:ind w:left="282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835-004   Main and Aux RW Cooling System Calculations</w:t>
            </w:r>
          </w:p>
        </w:tc>
        <w:tc>
          <w:tcPr>
            <w:tcW w:w="320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835-006   Fuel Oil Service System Calculations</w:t>
            </w:r>
          </w:p>
        </w:tc>
        <w:tc>
          <w:tcPr>
            <w:tcW w:w="3200" w:type="dxa"/>
            <w:vAlign w:val="bottom"/>
          </w:tcPr>
          <w:p>
            <w:pPr>
              <w:ind w:left="290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835-007   Bilge &amp; Ballast System Calcs</w:t>
            </w:r>
          </w:p>
        </w:tc>
        <w:tc>
          <w:tcPr>
            <w:tcW w:w="32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835-008   Compressed Air System Calculations</w:t>
            </w:r>
          </w:p>
        </w:tc>
        <w:tc>
          <w:tcPr>
            <w:tcW w:w="3200" w:type="dxa"/>
            <w:vAlign w:val="bottom"/>
          </w:tcPr>
          <w:p>
            <w:pPr>
              <w:ind w:left="2900"/>
              <w:spacing w:after="0"/>
              <w:rPr>
                <w:sz w:val="20"/>
                <w:szCs w:val="20"/>
                <w:color w:val="auto"/>
              </w:rPr>
            </w:pPr>
            <w:r>
              <w:rPr>
                <w:rFonts w:ascii="Arial" w:cs="Arial" w:eastAsia="Arial" w:hAnsi="Arial"/>
                <w:sz w:val="18"/>
                <w:szCs w:val="18"/>
                <w:color w:val="auto"/>
              </w:rPr>
              <w:t>C</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835-009   Fuel Oil Fill and Transfer System Calculations</w:t>
            </w:r>
          </w:p>
        </w:tc>
        <w:tc>
          <w:tcPr>
            <w:tcW w:w="320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bl>
    <w:p>
      <w:pPr>
        <w:sectPr>
          <w:pgSz w:w="11900" w:h="16838" w:orient="portrait"/>
          <w:cols w:equalWidth="0" w:num="1">
            <w:col w:w="11420"/>
          </w:cols>
          <w:pgMar w:left="240" w:top="274" w:right="239" w:bottom="1440" w:gutter="0" w:footer="0" w:header="0"/>
        </w:sectPr>
      </w:pPr>
    </w:p>
    <w:bookmarkStart w:id="190" w:name="page191"/>
    <w:bookmarkEnd w:id="19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835-010   Potable Water System Calcs</w:t>
            </w:r>
          </w:p>
        </w:tc>
        <w:tc>
          <w:tcPr>
            <w:tcW w:w="254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835-011   Dirty Oil System Calculations</w:t>
            </w:r>
          </w:p>
        </w:tc>
        <w:tc>
          <w:tcPr>
            <w:tcW w:w="2540" w:type="dxa"/>
            <w:vAlign w:val="bottom"/>
          </w:tcPr>
          <w:p>
            <w:pPr>
              <w:ind w:left="2220"/>
              <w:spacing w:after="0"/>
              <w:rPr>
                <w:sz w:val="20"/>
                <w:szCs w:val="20"/>
                <w:color w:val="auto"/>
              </w:rPr>
            </w:pPr>
            <w:r>
              <w:rPr>
                <w:rFonts w:ascii="Arial" w:cs="Arial" w:eastAsia="Arial" w:hAnsi="Arial"/>
                <w:sz w:val="18"/>
                <w:szCs w:val="18"/>
                <w:color w:val="auto"/>
              </w:rPr>
              <w:t>A</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835-012   LO Fill and Transfer System Calculations</w:t>
            </w:r>
          </w:p>
        </w:tc>
        <w:tc>
          <w:tcPr>
            <w:tcW w:w="254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835-014</w:t>
            </w:r>
          </w:p>
        </w:tc>
        <w:tc>
          <w:tcPr>
            <w:tcW w:w="7220" w:type="dxa"/>
            <w:vAlign w:val="bottom"/>
          </w:tcPr>
          <w:p>
            <w:pPr>
              <w:ind w:left="100"/>
              <w:spacing w:after="0"/>
              <w:rPr>
                <w:sz w:val="20"/>
                <w:szCs w:val="20"/>
                <w:color w:val="auto"/>
              </w:rPr>
            </w:pPr>
            <w:r>
              <w:rPr>
                <w:rFonts w:ascii="Arial" w:cs="Arial" w:eastAsia="Arial" w:hAnsi="Arial"/>
                <w:sz w:val="18"/>
                <w:szCs w:val="18"/>
                <w:color w:val="auto"/>
              </w:rPr>
              <w:t>Hull Structural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835-015</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Superstructure Calculations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835-016   Steering System Foundation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835-017   Main Engine, Reduction Gear &amp; Shaft Gen. Foundation Calculations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835-018</w:t>
            </w:r>
          </w:p>
        </w:tc>
        <w:tc>
          <w:tcPr>
            <w:tcW w:w="7220" w:type="dxa"/>
            <w:vAlign w:val="bottom"/>
          </w:tcPr>
          <w:p>
            <w:pPr>
              <w:ind w:left="100"/>
              <w:spacing w:after="0"/>
              <w:rPr>
                <w:sz w:val="20"/>
                <w:szCs w:val="20"/>
                <w:color w:val="auto"/>
              </w:rPr>
            </w:pPr>
            <w:r>
              <w:rPr>
                <w:rFonts w:ascii="Arial" w:cs="Arial" w:eastAsia="Arial" w:hAnsi="Arial"/>
                <w:sz w:val="18"/>
                <w:szCs w:val="18"/>
                <w:color w:val="auto"/>
              </w:rPr>
              <w:t>Generator Foundation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835-019   Stores Crane Foundation Calculations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835-020   Boat Davit and Boat Cradle Foundation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835-021   Forward Capstan Foundation Calculations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835-023   Exhaust Piping Arrgt. Calculations</w:t>
            </w:r>
          </w:p>
        </w:tc>
        <w:tc>
          <w:tcPr>
            <w:tcW w:w="2540" w:type="dxa"/>
            <w:vAlign w:val="bottom"/>
          </w:tcPr>
          <w:p>
            <w:pPr>
              <w:ind w:left="22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835-024   Sanitary Drains and Sewage System Calculations</w:t>
            </w:r>
          </w:p>
        </w:tc>
        <w:tc>
          <w:tcPr>
            <w:tcW w:w="254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835-028   Fire Main System Calculations</w:t>
            </w:r>
          </w:p>
        </w:tc>
        <w:tc>
          <w:tcPr>
            <w:tcW w:w="2540" w:type="dxa"/>
            <w:vAlign w:val="bottom"/>
          </w:tcPr>
          <w:p>
            <w:pPr>
              <w:ind w:left="2240"/>
              <w:spacing w:after="0"/>
              <w:rPr>
                <w:sz w:val="20"/>
                <w:szCs w:val="20"/>
                <w:color w:val="auto"/>
              </w:rPr>
            </w:pPr>
            <w:r>
              <w:rPr>
                <w:rFonts w:ascii="Arial" w:cs="Arial" w:eastAsia="Arial" w:hAnsi="Arial"/>
                <w:sz w:val="18"/>
                <w:szCs w:val="18"/>
                <w:color w:val="auto"/>
              </w:rPr>
              <w:t>B</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835-029</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Mast Foundation Calculations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835-030</w:t>
            </w:r>
          </w:p>
        </w:tc>
        <w:tc>
          <w:tcPr>
            <w:tcW w:w="7220" w:type="dxa"/>
            <w:vAlign w:val="bottom"/>
          </w:tcPr>
          <w:p>
            <w:pPr>
              <w:ind w:left="100"/>
              <w:spacing w:after="0"/>
              <w:rPr>
                <w:sz w:val="20"/>
                <w:szCs w:val="20"/>
                <w:color w:val="auto"/>
              </w:rPr>
            </w:pPr>
            <w:r>
              <w:rPr>
                <w:rFonts w:ascii="Arial" w:cs="Arial" w:eastAsia="Arial" w:hAnsi="Arial"/>
                <w:sz w:val="18"/>
                <w:szCs w:val="18"/>
                <w:color w:val="auto"/>
              </w:rPr>
              <w:t>Machinery Ventilation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835-030</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Ventilation Calculations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4/7/2014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835-031   Forward Bitts Foundation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835-032   FEA Coupler Meshed Model</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835-033   Midship Bitts Foundation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835-034   Aft Bitts Foundation Calculations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835-035   Forward Towing Bitt Foundation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835-036   Aft Towing Bitt Foundation Calculations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835-037   Forward Staple Foundation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835-038   ABS Equipment Number Calculation</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835-039   Aft Capstan Foundation Calculations</w:t>
            </w:r>
          </w:p>
        </w:tc>
        <w:tc>
          <w:tcPr>
            <w:tcW w:w="2540" w:type="dxa"/>
            <w:vAlign w:val="bottom"/>
          </w:tcPr>
          <w:p>
            <w:pPr>
              <w:ind w:left="216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89"/>
              </w:rPr>
              <w:t>3/17/2014</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835-040</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Sea Chest Calcs</w:t>
            </w:r>
          </w:p>
        </w:tc>
        <w:tc>
          <w:tcPr>
            <w:tcW w:w="25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3/17/2014</w:t>
            </w:r>
          </w:p>
        </w:tc>
      </w:tr>
    </w:tbl>
    <w:p>
      <w:pPr>
        <w:sectPr>
          <w:pgSz w:w="11900" w:h="16838" w:orient="portrait"/>
          <w:cols w:equalWidth="0" w:num="1">
            <w:col w:w="11420"/>
          </w:cols>
          <w:pgMar w:left="240" w:top="274" w:right="239" w:bottom="1440" w:gutter="0" w:footer="0" w:header="0"/>
        </w:sectPr>
      </w:pPr>
    </w:p>
    <w:bookmarkStart w:id="191" w:name="page192"/>
    <w:bookmarkEnd w:id="191"/>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870-000</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Low Voltage Electrical System B.O.D.</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870-001</w:t>
            </w:r>
          </w:p>
        </w:tc>
        <w:tc>
          <w:tcPr>
            <w:tcW w:w="8820" w:type="dxa"/>
            <w:vAlign w:val="bottom"/>
            <w:gridSpan w:val="3"/>
          </w:tcPr>
          <w:p>
            <w:pPr>
              <w:ind w:left="60"/>
              <w:spacing w:after="0"/>
              <w:rPr>
                <w:sz w:val="20"/>
                <w:szCs w:val="20"/>
                <w:color w:val="auto"/>
              </w:rPr>
            </w:pPr>
            <w:r>
              <w:rPr>
                <w:rFonts w:ascii="Arial" w:cs="Arial" w:eastAsia="Arial" w:hAnsi="Arial"/>
                <w:sz w:val="18"/>
                <w:szCs w:val="18"/>
                <w:color w:val="auto"/>
              </w:rPr>
              <w:t>Electrical Load Analysis</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870-002</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480V Distribution</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870-003</w:t>
            </w:r>
          </w:p>
        </w:tc>
        <w:tc>
          <w:tcPr>
            <w:tcW w:w="8820" w:type="dxa"/>
            <w:vAlign w:val="bottom"/>
            <w:gridSpan w:val="3"/>
          </w:tcPr>
          <w:p>
            <w:pPr>
              <w:ind w:left="60"/>
              <w:spacing w:after="0"/>
              <w:rPr>
                <w:sz w:val="20"/>
                <w:szCs w:val="20"/>
                <w:color w:val="auto"/>
              </w:rPr>
            </w:pPr>
            <w:r>
              <w:rPr>
                <w:rFonts w:ascii="Arial" w:cs="Arial" w:eastAsia="Arial" w:hAnsi="Arial"/>
                <w:sz w:val="18"/>
                <w:szCs w:val="18"/>
                <w:color w:val="auto"/>
              </w:rPr>
              <w:t>480V Distribution Panels</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870-004</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208Y/120V Power Distribution</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870-006</w:t>
            </w:r>
          </w:p>
        </w:tc>
        <w:tc>
          <w:tcPr>
            <w:tcW w:w="8820" w:type="dxa"/>
            <w:vAlign w:val="bottom"/>
            <w:gridSpan w:val="3"/>
          </w:tcPr>
          <w:p>
            <w:pPr>
              <w:ind w:left="60"/>
              <w:spacing w:after="0"/>
              <w:rPr>
                <w:sz w:val="20"/>
                <w:szCs w:val="20"/>
                <w:color w:val="auto"/>
              </w:rPr>
            </w:pPr>
            <w:r>
              <w:rPr>
                <w:rFonts w:ascii="Arial" w:cs="Arial" w:eastAsia="Arial" w:hAnsi="Arial"/>
                <w:sz w:val="18"/>
                <w:szCs w:val="18"/>
                <w:color w:val="auto"/>
              </w:rPr>
              <w:t>DC Power Distribution</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892-000</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Lighting System B.O.D.</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892-001</w:t>
            </w:r>
          </w:p>
        </w:tc>
        <w:tc>
          <w:tcPr>
            <w:tcW w:w="8820" w:type="dxa"/>
            <w:vAlign w:val="bottom"/>
            <w:gridSpan w:val="3"/>
          </w:tcPr>
          <w:p>
            <w:pPr>
              <w:ind w:left="60"/>
              <w:spacing w:after="0"/>
              <w:rPr>
                <w:sz w:val="20"/>
                <w:szCs w:val="20"/>
                <w:color w:val="auto"/>
              </w:rPr>
            </w:pPr>
            <w:r>
              <w:rPr>
                <w:rFonts w:ascii="Arial" w:cs="Arial" w:eastAsia="Arial" w:hAnsi="Arial"/>
                <w:sz w:val="18"/>
                <w:szCs w:val="18"/>
                <w:color w:val="auto"/>
              </w:rPr>
              <w:t>Lighting System</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892-002</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120VAC Receptacle System</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4/14/2014</w:t>
            </w: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997-001</w:t>
            </w:r>
          </w:p>
        </w:tc>
        <w:tc>
          <w:tcPr>
            <w:tcW w:w="8820" w:type="dxa"/>
            <w:vAlign w:val="bottom"/>
            <w:gridSpan w:val="3"/>
          </w:tcPr>
          <w:p>
            <w:pPr>
              <w:ind w:left="60"/>
              <w:spacing w:after="0"/>
              <w:rPr>
                <w:sz w:val="20"/>
                <w:szCs w:val="20"/>
                <w:color w:val="auto"/>
              </w:rPr>
            </w:pPr>
            <w:r>
              <w:rPr>
                <w:rFonts w:ascii="Arial" w:cs="Arial" w:eastAsia="Arial" w:hAnsi="Arial"/>
                <w:sz w:val="18"/>
                <w:szCs w:val="18"/>
                <w:color w:val="auto"/>
              </w:rPr>
              <w:t>Blocking Plan</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3/17/2014</w:t>
            </w: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XXX-XXX</w:t>
            </w:r>
          </w:p>
        </w:tc>
        <w:tc>
          <w:tcPr>
            <w:tcW w:w="8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Emergency Shutdown</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4/14/2014</w:t>
            </w:r>
          </w:p>
        </w:tc>
      </w:tr>
      <w:tr>
        <w:trPr>
          <w:trHeight w:val="540"/>
        </w:trPr>
        <w:tc>
          <w:tcPr>
            <w:tcW w:w="9720" w:type="dxa"/>
            <w:vAlign w:val="bottom"/>
            <w:gridSpan w:val="5"/>
          </w:tcPr>
          <w:p>
            <w:pPr>
              <w:spacing w:after="0"/>
              <w:rPr>
                <w:sz w:val="20"/>
                <w:szCs w:val="20"/>
                <w:color w:val="auto"/>
              </w:rPr>
            </w:pPr>
            <w:r>
              <w:rPr>
                <w:rFonts w:ascii="Arial" w:cs="Arial" w:eastAsia="Arial" w:hAnsi="Arial"/>
                <w:sz w:val="18"/>
                <w:szCs w:val="18"/>
                <w:b w:val="1"/>
                <w:bCs w:val="1"/>
                <w:color w:val="auto"/>
              </w:rPr>
              <w:t>GLDD DREDGE EQUIPMENT FUNCTIONAL PACKAGE</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Dwg #</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2"/>
          </w:tcPr>
          <w:p>
            <w:pPr>
              <w:ind w:left="380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Revision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Delivery Date</w:t>
            </w:r>
          </w:p>
        </w:tc>
      </w:tr>
      <w:tr>
        <w:trPr>
          <w:trHeight w:val="203"/>
        </w:trPr>
        <w:tc>
          <w:tcPr>
            <w:tcW w:w="1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151-10-25356</w:t>
            </w:r>
          </w:p>
        </w:tc>
        <w:tc>
          <w:tcPr>
            <w:tcW w:w="8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ATB Sliding Trunnion Hull Connection Arrgmt 36 In Dragarm</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51"/>
              <w:spacing w:after="0" w:line="203" w:lineRule="exact"/>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tcPr>
          <w:p>
            <w:pPr>
              <w:spacing w:after="0"/>
              <w:rPr>
                <w:sz w:val="20"/>
                <w:szCs w:val="20"/>
                <w:color w:val="auto"/>
              </w:rPr>
            </w:pPr>
            <w:r>
              <w:rPr>
                <w:rFonts w:ascii="Arial" w:cs="Arial" w:eastAsia="Arial" w:hAnsi="Arial"/>
                <w:sz w:val="18"/>
                <w:szCs w:val="18"/>
                <w:color w:val="auto"/>
              </w:rPr>
              <w:t>151-38-23519   ATB 50 In P.D. Sheave Box No. 1 Assy</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151-38-23524   ATB 36 In P.D. Sheave Box Assembly</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tcPr>
          <w:p>
            <w:pPr>
              <w:spacing w:after="0"/>
              <w:rPr>
                <w:sz w:val="20"/>
                <w:szCs w:val="20"/>
                <w:color w:val="auto"/>
              </w:rPr>
            </w:pPr>
            <w:r>
              <w:rPr>
                <w:rFonts w:ascii="Arial" w:cs="Arial" w:eastAsia="Arial" w:hAnsi="Arial"/>
                <w:sz w:val="18"/>
                <w:szCs w:val="18"/>
                <w:color w:val="auto"/>
              </w:rPr>
              <w:t>151-38-23535   ATB Swell Compensator Sheave Box Assembly</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151-38-23541   ATB Gimble Davit Suspension Block Assembly</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tcPr>
          <w:p>
            <w:pPr>
              <w:spacing w:after="0"/>
              <w:rPr>
                <w:sz w:val="20"/>
                <w:szCs w:val="20"/>
                <w:color w:val="auto"/>
              </w:rPr>
            </w:pPr>
            <w:r>
              <w:rPr>
                <w:rFonts w:ascii="Arial" w:cs="Arial" w:eastAsia="Arial" w:hAnsi="Arial"/>
                <w:sz w:val="18"/>
                <w:szCs w:val="18"/>
                <w:color w:val="auto"/>
              </w:rPr>
              <w:t>151-38-25286   ATB Draghead Davit Arrgmt 36 In Dragarm</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151-38-25287   ATB Gimbal Davit Arrgmt 36 In Dragarm</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tcPr>
          <w:p>
            <w:pPr>
              <w:spacing w:after="0"/>
              <w:rPr>
                <w:sz w:val="20"/>
                <w:szCs w:val="20"/>
                <w:color w:val="auto"/>
              </w:rPr>
            </w:pPr>
            <w:r>
              <w:rPr>
                <w:rFonts w:ascii="Arial" w:cs="Arial" w:eastAsia="Arial" w:hAnsi="Arial"/>
                <w:sz w:val="18"/>
                <w:szCs w:val="18"/>
                <w:color w:val="auto"/>
              </w:rPr>
              <w:t>151-38-25288   ATB Trunnion Davit Arrgmt 36 In Dragarm Brusselle Hoist</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151-38-25323   ATB Trunnion Davit Service Frame Assembly 36 In Dragarm</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tcPr>
          <w:p>
            <w:pPr>
              <w:spacing w:after="0"/>
              <w:rPr>
                <w:sz w:val="20"/>
                <w:szCs w:val="20"/>
                <w:color w:val="auto"/>
              </w:rPr>
            </w:pPr>
            <w:r>
              <w:rPr>
                <w:rFonts w:ascii="Arial" w:cs="Arial" w:eastAsia="Arial" w:hAnsi="Arial"/>
                <w:sz w:val="18"/>
                <w:szCs w:val="18"/>
                <w:color w:val="auto"/>
              </w:rPr>
              <w:t>151-38-25332   ATB Trunnion Davit Service Frame Details 36 In Dragarm</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2/15/2014</w:t>
            </w:r>
          </w:p>
        </w:tc>
      </w:tr>
      <w:tr>
        <w:trPr>
          <w:trHeight w:val="216"/>
        </w:trPr>
        <w:tc>
          <w:tcPr>
            <w:tcW w:w="9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151-38-25390   ATB Draghead Davit Frame Details 36 In Dragarm</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2/15/2014</w:t>
            </w:r>
          </w:p>
        </w:tc>
      </w:tr>
      <w:tr>
        <w:trPr>
          <w:trHeight w:val="230"/>
        </w:trPr>
        <w:tc>
          <w:tcPr>
            <w:tcW w:w="9720" w:type="dxa"/>
            <w:vAlign w:val="bottom"/>
            <w:gridSpan w:val="5"/>
          </w:tcPr>
          <w:p>
            <w:pPr>
              <w:spacing w:after="0"/>
              <w:rPr>
                <w:sz w:val="20"/>
                <w:szCs w:val="20"/>
                <w:color w:val="auto"/>
              </w:rPr>
            </w:pPr>
            <w:r>
              <w:rPr>
                <w:rFonts w:ascii="Arial" w:cs="Arial" w:eastAsia="Arial" w:hAnsi="Arial"/>
                <w:sz w:val="18"/>
                <w:szCs w:val="18"/>
                <w:color w:val="auto"/>
              </w:rPr>
              <w:t>151-38-25391   ATB 50 In P.D. Sheave Assy &amp; Details Draghead Davit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2/15/2014</w:t>
            </w:r>
          </w:p>
        </w:tc>
      </w:tr>
    </w:tbl>
    <w:p>
      <w:pPr>
        <w:sectPr>
          <w:pgSz w:w="11900" w:h="16838" w:orient="portrait"/>
          <w:cols w:equalWidth="0" w:num="1">
            <w:col w:w="11420"/>
          </w:cols>
          <w:pgMar w:left="240" w:top="274" w:right="239" w:bottom="1440" w:gutter="0" w:footer="0" w:header="0"/>
        </w:sectPr>
      </w:pPr>
    </w:p>
    <w:bookmarkStart w:id="192" w:name="page193"/>
    <w:bookmarkEnd w:id="19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151-38-25392</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Swivel Sheave Housing Details Draghead Davit</w:t>
            </w: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151-38-25393</w:t>
            </w:r>
          </w:p>
        </w:tc>
        <w:tc>
          <w:tcPr>
            <w:tcW w:w="6880" w:type="dxa"/>
            <w:vAlign w:val="bottom"/>
          </w:tcPr>
          <w:p>
            <w:pPr>
              <w:ind w:left="260"/>
              <w:spacing w:after="0"/>
              <w:rPr>
                <w:sz w:val="20"/>
                <w:szCs w:val="20"/>
                <w:color w:val="auto"/>
              </w:rPr>
            </w:pPr>
            <w:r>
              <w:rPr>
                <w:rFonts w:ascii="Arial" w:cs="Arial" w:eastAsia="Arial" w:hAnsi="Arial"/>
                <w:sz w:val="18"/>
                <w:szCs w:val="18"/>
                <w:color w:val="auto"/>
              </w:rPr>
              <w:t>ATB Swivel Sheave Misc Details Draghead Davit</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151-38-25394</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Pivot Bracket Details Draghead &amp; Gimbal Davits</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151-38-25440</w:t>
            </w:r>
          </w:p>
        </w:tc>
        <w:tc>
          <w:tcPr>
            <w:tcW w:w="6880" w:type="dxa"/>
            <w:vAlign w:val="bottom"/>
          </w:tcPr>
          <w:p>
            <w:pPr>
              <w:ind w:left="260"/>
              <w:spacing w:after="0"/>
              <w:rPr>
                <w:sz w:val="20"/>
                <w:szCs w:val="20"/>
                <w:color w:val="auto"/>
              </w:rPr>
            </w:pPr>
            <w:r>
              <w:rPr>
                <w:rFonts w:ascii="Arial" w:cs="Arial" w:eastAsia="Arial" w:hAnsi="Arial"/>
                <w:sz w:val="18"/>
                <w:szCs w:val="18"/>
                <w:color w:val="auto"/>
              </w:rPr>
              <w:t>ATB Draghead Davit Lube Lines Arrgmt &amp; Details</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151-38-25441</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50 In P.D. Sheave Box No. 1 Details</w:t>
            </w: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151-38-25487</w:t>
            </w:r>
          </w:p>
        </w:tc>
        <w:tc>
          <w:tcPr>
            <w:tcW w:w="6880" w:type="dxa"/>
            <w:vAlign w:val="bottom"/>
          </w:tcPr>
          <w:p>
            <w:pPr>
              <w:ind w:left="260"/>
              <w:spacing w:after="0"/>
              <w:rPr>
                <w:sz w:val="20"/>
                <w:szCs w:val="20"/>
                <w:color w:val="auto"/>
              </w:rPr>
            </w:pPr>
            <w:r>
              <w:rPr>
                <w:rFonts w:ascii="Arial" w:cs="Arial" w:eastAsia="Arial" w:hAnsi="Arial"/>
                <w:sz w:val="18"/>
                <w:szCs w:val="18"/>
                <w:color w:val="auto"/>
              </w:rPr>
              <w:t>ATB Draghead Davit Cylinder Anchor Bracket Detail</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151-38-25487</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Draghead Davit Cylinder Anchor Bracket Detail</w:t>
            </w: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151-38-25488</w:t>
            </w:r>
          </w:p>
        </w:tc>
        <w:tc>
          <w:tcPr>
            <w:tcW w:w="6880" w:type="dxa"/>
            <w:vAlign w:val="bottom"/>
          </w:tcPr>
          <w:p>
            <w:pPr>
              <w:ind w:left="260"/>
              <w:spacing w:after="0"/>
              <w:rPr>
                <w:sz w:val="20"/>
                <w:szCs w:val="20"/>
                <w:color w:val="auto"/>
              </w:rPr>
            </w:pPr>
            <w:r>
              <w:rPr>
                <w:rFonts w:ascii="Arial" w:cs="Arial" w:eastAsia="Arial" w:hAnsi="Arial"/>
                <w:sz w:val="18"/>
                <w:szCs w:val="18"/>
                <w:color w:val="auto"/>
              </w:rPr>
              <w:t>ATB Gimbal Davit Frame Details 36 In Dragarm</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151-38-25489</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36 In P.D. Sheave Assy &amp; Details Gimbal Davit</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151-38-25490</w:t>
            </w:r>
          </w:p>
        </w:tc>
        <w:tc>
          <w:tcPr>
            <w:tcW w:w="6880" w:type="dxa"/>
            <w:vAlign w:val="bottom"/>
          </w:tcPr>
          <w:p>
            <w:pPr>
              <w:ind w:left="260"/>
              <w:spacing w:after="0"/>
              <w:rPr>
                <w:sz w:val="20"/>
                <w:szCs w:val="20"/>
                <w:color w:val="auto"/>
              </w:rPr>
            </w:pPr>
            <w:r>
              <w:rPr>
                <w:rFonts w:ascii="Arial" w:cs="Arial" w:eastAsia="Arial" w:hAnsi="Arial"/>
                <w:sz w:val="18"/>
                <w:szCs w:val="18"/>
                <w:color w:val="auto"/>
              </w:rPr>
              <w:t>ATB Swivel Sheave Housing Details Gimbal Davit</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151-38-25491</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Swivel Sheave Misc Details Gimbal Davit</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151-38-25492</w:t>
            </w:r>
          </w:p>
        </w:tc>
        <w:tc>
          <w:tcPr>
            <w:tcW w:w="6880" w:type="dxa"/>
            <w:vAlign w:val="bottom"/>
          </w:tcPr>
          <w:p>
            <w:pPr>
              <w:ind w:left="260"/>
              <w:spacing w:after="0"/>
              <w:rPr>
                <w:sz w:val="20"/>
                <w:szCs w:val="20"/>
                <w:color w:val="auto"/>
              </w:rPr>
            </w:pPr>
            <w:r>
              <w:rPr>
                <w:rFonts w:ascii="Arial" w:cs="Arial" w:eastAsia="Arial" w:hAnsi="Arial"/>
                <w:sz w:val="18"/>
                <w:szCs w:val="18"/>
                <w:color w:val="auto"/>
              </w:rPr>
              <w:t>ATB Gimbal Davit Lube Lines Arrgmt &amp; Details</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151-38-25494</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Gimbal Davit Cylinder Anchor Bracket Detail</w:t>
            </w: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151-38-25496</w:t>
            </w:r>
          </w:p>
        </w:tc>
        <w:tc>
          <w:tcPr>
            <w:tcW w:w="6880" w:type="dxa"/>
            <w:vAlign w:val="bottom"/>
          </w:tcPr>
          <w:p>
            <w:pPr>
              <w:ind w:left="260"/>
              <w:spacing w:after="0"/>
              <w:rPr>
                <w:sz w:val="20"/>
                <w:szCs w:val="20"/>
                <w:color w:val="auto"/>
              </w:rPr>
            </w:pPr>
            <w:r>
              <w:rPr>
                <w:rFonts w:ascii="Arial" w:cs="Arial" w:eastAsia="Arial" w:hAnsi="Arial"/>
                <w:sz w:val="18"/>
                <w:szCs w:val="18"/>
                <w:color w:val="auto"/>
              </w:rPr>
              <w:t>ATB Sheave Lip Seal (Garlock Part No. 21267-4190-Rev1)</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151-38-25519</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Gimbal Davit Suspension Block Housing Detail</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151-38-25520</w:t>
            </w:r>
          </w:p>
        </w:tc>
        <w:tc>
          <w:tcPr>
            <w:tcW w:w="6880" w:type="dxa"/>
            <w:vAlign w:val="bottom"/>
          </w:tcPr>
          <w:p>
            <w:pPr>
              <w:ind w:left="260"/>
              <w:spacing w:after="0"/>
              <w:rPr>
                <w:sz w:val="20"/>
                <w:szCs w:val="20"/>
                <w:color w:val="auto"/>
              </w:rPr>
            </w:pPr>
            <w:r>
              <w:rPr>
                <w:rFonts w:ascii="Arial" w:cs="Arial" w:eastAsia="Arial" w:hAnsi="Arial"/>
                <w:sz w:val="18"/>
                <w:szCs w:val="18"/>
                <w:color w:val="auto"/>
              </w:rPr>
              <w:t>ATB Gimbal Davit Suspension Block Cover Detail</w:t>
            </w: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151-38-25521</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Gimbal Davit Suspension Block Misc Details</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151-38-25935</w:t>
            </w:r>
          </w:p>
        </w:tc>
        <w:tc>
          <w:tcPr>
            <w:tcW w:w="6880" w:type="dxa"/>
            <w:vAlign w:val="bottom"/>
          </w:tcPr>
          <w:p>
            <w:pPr>
              <w:ind w:left="260"/>
              <w:spacing w:after="0"/>
              <w:rPr>
                <w:sz w:val="20"/>
                <w:szCs w:val="20"/>
                <w:color w:val="auto"/>
              </w:rPr>
            </w:pPr>
            <w:r>
              <w:rPr>
                <w:rFonts w:ascii="Arial" w:cs="Arial" w:eastAsia="Arial" w:hAnsi="Arial"/>
                <w:sz w:val="18"/>
                <w:szCs w:val="18"/>
                <w:color w:val="auto"/>
              </w:rPr>
              <w:t>ATB Trunnion Davit Foundation Details</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151-38-25936</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Trunnion Davit Guide Rails Details</w:t>
            </w: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151-38-25937</w:t>
            </w:r>
          </w:p>
        </w:tc>
        <w:tc>
          <w:tcPr>
            <w:tcW w:w="6880" w:type="dxa"/>
            <w:vAlign w:val="bottom"/>
          </w:tcPr>
          <w:p>
            <w:pPr>
              <w:ind w:left="260"/>
              <w:spacing w:after="0"/>
              <w:rPr>
                <w:sz w:val="20"/>
                <w:szCs w:val="20"/>
                <w:color w:val="auto"/>
              </w:rPr>
            </w:pPr>
            <w:r>
              <w:rPr>
                <w:rFonts w:ascii="Arial" w:cs="Arial" w:eastAsia="Arial" w:hAnsi="Arial"/>
                <w:sz w:val="18"/>
                <w:szCs w:val="18"/>
                <w:color w:val="auto"/>
              </w:rPr>
              <w:t>ATB Trunnion Davit Assembly 36 In Dragarm</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151-38-25938</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Trunnion Davit Frame Details 36 In Dragarm</w:t>
            </w: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151-38-25939</w:t>
            </w:r>
          </w:p>
        </w:tc>
        <w:tc>
          <w:tcPr>
            <w:tcW w:w="6880" w:type="dxa"/>
            <w:vAlign w:val="bottom"/>
          </w:tcPr>
          <w:p>
            <w:pPr>
              <w:ind w:left="260"/>
              <w:spacing w:after="0"/>
              <w:rPr>
                <w:sz w:val="20"/>
                <w:szCs w:val="20"/>
                <w:color w:val="auto"/>
              </w:rPr>
            </w:pPr>
            <w:r>
              <w:rPr>
                <w:rFonts w:ascii="Arial" w:cs="Arial" w:eastAsia="Arial" w:hAnsi="Arial"/>
                <w:sz w:val="18"/>
                <w:szCs w:val="18"/>
                <w:color w:val="auto"/>
              </w:rPr>
              <w:t>ATB Trunnion Davit Service Platform and Ladder Details</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151-38-25940</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Trunnion Davit Misc. Details 36 In Dragarm</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151-38-25941</w:t>
            </w:r>
          </w:p>
        </w:tc>
        <w:tc>
          <w:tcPr>
            <w:tcW w:w="6880" w:type="dxa"/>
            <w:vAlign w:val="bottom"/>
          </w:tcPr>
          <w:p>
            <w:pPr>
              <w:ind w:left="260"/>
              <w:spacing w:after="0"/>
              <w:rPr>
                <w:sz w:val="20"/>
                <w:szCs w:val="20"/>
                <w:color w:val="auto"/>
              </w:rPr>
            </w:pPr>
            <w:r>
              <w:rPr>
                <w:rFonts w:ascii="Arial" w:cs="Arial" w:eastAsia="Arial" w:hAnsi="Arial"/>
                <w:sz w:val="18"/>
                <w:szCs w:val="18"/>
                <w:color w:val="auto"/>
              </w:rPr>
              <w:t>ATB Trunnion Davit Hoist Slack Wire Sensor Arrgmt and Details</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151-38-26046</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Trunnion Davit Cylinder Arrgmt &amp; Details</w:t>
            </w: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tcPr>
          <w:p>
            <w:pPr>
              <w:jc w:val="right"/>
              <w:ind w:right="190"/>
              <w:spacing w:after="0"/>
              <w:rPr>
                <w:sz w:val="20"/>
                <w:szCs w:val="20"/>
                <w:color w:val="auto"/>
              </w:rPr>
            </w:pPr>
            <w:r>
              <w:rPr>
                <w:rFonts w:ascii="Arial" w:cs="Arial" w:eastAsia="Arial" w:hAnsi="Arial"/>
                <w:sz w:val="18"/>
                <w:szCs w:val="18"/>
                <w:color w:val="auto"/>
                <w:w w:val="89"/>
              </w:rPr>
              <w:t>151-38-26065</w:t>
            </w:r>
          </w:p>
        </w:tc>
        <w:tc>
          <w:tcPr>
            <w:tcW w:w="6880" w:type="dxa"/>
            <w:vAlign w:val="bottom"/>
          </w:tcPr>
          <w:p>
            <w:pPr>
              <w:ind w:left="260"/>
              <w:spacing w:after="0"/>
              <w:rPr>
                <w:sz w:val="20"/>
                <w:szCs w:val="20"/>
                <w:color w:val="auto"/>
              </w:rPr>
            </w:pPr>
            <w:r>
              <w:rPr>
                <w:rFonts w:ascii="Arial" w:cs="Arial" w:eastAsia="Arial" w:hAnsi="Arial"/>
                <w:sz w:val="18"/>
                <w:szCs w:val="18"/>
                <w:color w:val="auto"/>
              </w:rPr>
              <w:t>ATB Trunnion Davit Foundation Walkway Details</w:t>
            </w:r>
          </w:p>
        </w:tc>
        <w:tc>
          <w:tcPr>
            <w:tcW w:w="2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2/15/2014</w:t>
            </w:r>
          </w:p>
        </w:tc>
      </w:tr>
      <w:tr>
        <w:trPr>
          <w:trHeight w:val="216"/>
        </w:trPr>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151-38-26135</w:t>
            </w:r>
          </w:p>
        </w:tc>
        <w:tc>
          <w:tcPr>
            <w:tcW w:w="6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ATB 36 In P.D. Sheave Box Details</w:t>
            </w:r>
          </w:p>
        </w:tc>
        <w:tc>
          <w:tcPr>
            <w:tcW w:w="2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2/15/2014</w:t>
            </w:r>
          </w:p>
        </w:tc>
      </w:tr>
    </w:tbl>
    <w:p>
      <w:pPr>
        <w:sectPr>
          <w:pgSz w:w="11900" w:h="16838" w:orient="portrait"/>
          <w:cols w:equalWidth="0" w:num="1">
            <w:col w:w="11420"/>
          </w:cols>
          <w:pgMar w:left="240" w:top="274" w:right="239" w:bottom="1440" w:gutter="0" w:footer="0" w:header="0"/>
        </w:sectPr>
      </w:pPr>
    </w:p>
    <w:bookmarkStart w:id="193" w:name="page194"/>
    <w:bookmarkEnd w:id="19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151-38-26136</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120 Ft Dragarm, Davits &amp; Hoists Arrgmt</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151-38-26149</w:t>
            </w:r>
          </w:p>
        </w:tc>
        <w:tc>
          <w:tcPr>
            <w:tcW w:w="7060" w:type="dxa"/>
            <w:vAlign w:val="bottom"/>
          </w:tcPr>
          <w:p>
            <w:pPr>
              <w:ind w:left="180"/>
              <w:spacing w:after="0"/>
              <w:rPr>
                <w:sz w:val="20"/>
                <w:szCs w:val="20"/>
                <w:color w:val="auto"/>
              </w:rPr>
            </w:pPr>
            <w:r>
              <w:rPr>
                <w:rFonts w:ascii="Arial" w:cs="Arial" w:eastAsia="Arial" w:hAnsi="Arial"/>
                <w:sz w:val="18"/>
                <w:szCs w:val="18"/>
                <w:color w:val="auto"/>
              </w:rPr>
              <w:t>ATB Swell Compensator Sheave Box Details</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151-38-26154</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50 In P.D. Sheave Box No. 2 Assy</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151-38-26155</w:t>
            </w:r>
          </w:p>
        </w:tc>
        <w:tc>
          <w:tcPr>
            <w:tcW w:w="7060" w:type="dxa"/>
            <w:vAlign w:val="bottom"/>
          </w:tcPr>
          <w:p>
            <w:pPr>
              <w:ind w:left="180"/>
              <w:spacing w:after="0"/>
              <w:rPr>
                <w:sz w:val="20"/>
                <w:szCs w:val="20"/>
                <w:color w:val="auto"/>
              </w:rPr>
            </w:pPr>
            <w:r>
              <w:rPr>
                <w:rFonts w:ascii="Arial" w:cs="Arial" w:eastAsia="Arial" w:hAnsi="Arial"/>
                <w:sz w:val="18"/>
                <w:szCs w:val="18"/>
                <w:color w:val="auto"/>
              </w:rPr>
              <w:t>ATB 50 In P.D. Sheave Box No. 2 Details</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151-38-26156</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Swell Compensator Cyl. &amp; Sheave Box Fndtn Arrgmt &amp; Details</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151-38-26165</w:t>
            </w:r>
          </w:p>
        </w:tc>
        <w:tc>
          <w:tcPr>
            <w:tcW w:w="7060" w:type="dxa"/>
            <w:vAlign w:val="bottom"/>
          </w:tcPr>
          <w:p>
            <w:pPr>
              <w:ind w:left="180"/>
              <w:spacing w:after="0"/>
              <w:rPr>
                <w:sz w:val="20"/>
                <w:szCs w:val="20"/>
                <w:color w:val="auto"/>
              </w:rPr>
            </w:pPr>
            <w:r>
              <w:rPr>
                <w:rFonts w:ascii="Arial" w:cs="Arial" w:eastAsia="Arial" w:hAnsi="Arial"/>
                <w:sz w:val="18"/>
                <w:szCs w:val="18"/>
                <w:color w:val="auto"/>
              </w:rPr>
              <w:t>ATB Gimbal Davit Hoist Foundation Arrgmt and Details</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151-38-26166</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Draghead Davit Hoist Foundation Arrgmt and Details</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151-38-26169</w:t>
            </w:r>
          </w:p>
        </w:tc>
        <w:tc>
          <w:tcPr>
            <w:tcW w:w="7060" w:type="dxa"/>
            <w:vAlign w:val="bottom"/>
          </w:tcPr>
          <w:p>
            <w:pPr>
              <w:ind w:left="180"/>
              <w:spacing w:after="0"/>
              <w:rPr>
                <w:sz w:val="20"/>
                <w:szCs w:val="20"/>
                <w:color w:val="auto"/>
              </w:rPr>
            </w:pPr>
            <w:r>
              <w:rPr>
                <w:rFonts w:ascii="Arial" w:cs="Arial" w:eastAsia="Arial" w:hAnsi="Arial"/>
                <w:sz w:val="18"/>
                <w:szCs w:val="18"/>
                <w:color w:val="auto"/>
              </w:rPr>
              <w:t>ATB Trunnion Davit Cable Carrier Arrgmt and Details</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151-61-25019</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 In Draghead Assy With (2) Piece Magnum Visor</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151-61-xxxxx</w:t>
            </w:r>
          </w:p>
        </w:tc>
        <w:tc>
          <w:tcPr>
            <w:tcW w:w="7060" w:type="dxa"/>
            <w:vAlign w:val="bottom"/>
          </w:tcPr>
          <w:p>
            <w:pPr>
              <w:ind w:left="180"/>
              <w:spacing w:after="0"/>
              <w:rPr>
                <w:sz w:val="20"/>
                <w:szCs w:val="20"/>
                <w:color w:val="auto"/>
              </w:rPr>
            </w:pPr>
            <w:r>
              <w:rPr>
                <w:rFonts w:ascii="Arial" w:cs="Arial" w:eastAsia="Arial" w:hAnsi="Arial"/>
                <w:sz w:val="18"/>
                <w:szCs w:val="18"/>
                <w:color w:val="auto"/>
              </w:rPr>
              <w:t>Connector Details 36 In Draghead</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151-61-xxxxx</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Visor Details 36 In Draghead</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151-61-xxxxx</w:t>
            </w:r>
          </w:p>
        </w:tc>
        <w:tc>
          <w:tcPr>
            <w:tcW w:w="7060" w:type="dxa"/>
            <w:vAlign w:val="bottom"/>
          </w:tcPr>
          <w:p>
            <w:pPr>
              <w:ind w:left="180"/>
              <w:spacing w:after="0"/>
              <w:rPr>
                <w:sz w:val="20"/>
                <w:szCs w:val="20"/>
                <w:color w:val="auto"/>
              </w:rPr>
            </w:pPr>
            <w:r>
              <w:rPr>
                <w:rFonts w:ascii="Arial" w:cs="Arial" w:eastAsia="Arial" w:hAnsi="Arial"/>
                <w:sz w:val="18"/>
                <w:szCs w:val="18"/>
                <w:color w:val="auto"/>
              </w:rPr>
              <w:t>Misc. Details 36 In Draghead</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151-61-xxxxx</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Visor Hydraulic Cylinder Assy 36 In Draghead</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151-61-xxxxx</w:t>
            </w:r>
          </w:p>
        </w:tc>
        <w:tc>
          <w:tcPr>
            <w:tcW w:w="7060" w:type="dxa"/>
            <w:vAlign w:val="bottom"/>
          </w:tcPr>
          <w:p>
            <w:pPr>
              <w:ind w:left="180"/>
              <w:spacing w:after="0"/>
              <w:rPr>
                <w:sz w:val="20"/>
                <w:szCs w:val="20"/>
                <w:color w:val="auto"/>
              </w:rPr>
            </w:pPr>
            <w:r>
              <w:rPr>
                <w:rFonts w:ascii="Arial" w:cs="Arial" w:eastAsia="Arial" w:hAnsi="Arial"/>
                <w:sz w:val="18"/>
                <w:szCs w:val="18"/>
                <w:color w:val="auto"/>
              </w:rPr>
              <w:t>Visor Jet Water Hose Detail 36 In Draghead</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151-61-xxxxx</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Connector Wear Liner Details 36 In Draghead</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151-61-xxxxx</w:t>
            </w:r>
          </w:p>
        </w:tc>
        <w:tc>
          <w:tcPr>
            <w:tcW w:w="7060" w:type="dxa"/>
            <w:vAlign w:val="bottom"/>
          </w:tcPr>
          <w:p>
            <w:pPr>
              <w:ind w:left="180"/>
              <w:spacing w:after="0"/>
              <w:rPr>
                <w:sz w:val="20"/>
                <w:szCs w:val="20"/>
                <w:color w:val="auto"/>
              </w:rPr>
            </w:pPr>
            <w:r>
              <w:rPr>
                <w:rFonts w:ascii="Arial" w:cs="Arial" w:eastAsia="Arial" w:hAnsi="Arial"/>
                <w:sz w:val="18"/>
                <w:szCs w:val="18"/>
                <w:color w:val="auto"/>
              </w:rPr>
              <w:t>Visor Wear Liner Details 365 In Draghead</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151-66-25133</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Dredging Equipment Hydraulic Functional Diagram</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151-67-23548</w:t>
            </w:r>
          </w:p>
        </w:tc>
        <w:tc>
          <w:tcPr>
            <w:tcW w:w="7060" w:type="dxa"/>
            <w:vAlign w:val="bottom"/>
          </w:tcPr>
          <w:p>
            <w:pPr>
              <w:ind w:left="180"/>
              <w:spacing w:after="0"/>
              <w:rPr>
                <w:sz w:val="20"/>
                <w:szCs w:val="20"/>
                <w:color w:val="auto"/>
              </w:rPr>
            </w:pPr>
            <w:r>
              <w:rPr>
                <w:rFonts w:ascii="Arial" w:cs="Arial" w:eastAsia="Arial" w:hAnsi="Arial"/>
                <w:sz w:val="18"/>
                <w:szCs w:val="18"/>
                <w:color w:val="auto"/>
              </w:rPr>
              <w:t>ATB 67 In I D Telescopic Overflow Arrgmt</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151-67-23550</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Hopper Door Actuator Arrgmt</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151-67-23551</w:t>
            </w:r>
          </w:p>
        </w:tc>
        <w:tc>
          <w:tcPr>
            <w:tcW w:w="7060" w:type="dxa"/>
            <w:vAlign w:val="bottom"/>
          </w:tcPr>
          <w:p>
            <w:pPr>
              <w:ind w:left="180"/>
              <w:spacing w:after="0"/>
              <w:rPr>
                <w:sz w:val="20"/>
                <w:szCs w:val="20"/>
                <w:color w:val="auto"/>
              </w:rPr>
            </w:pPr>
            <w:r>
              <w:rPr>
                <w:rFonts w:ascii="Arial" w:cs="Arial" w:eastAsia="Arial" w:hAnsi="Arial"/>
                <w:sz w:val="18"/>
                <w:szCs w:val="18"/>
                <w:color w:val="auto"/>
              </w:rPr>
              <w:t>ATB Hopper Bottom Dumping Door Detail</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151-67-25225</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Hopper Bottom Dumping Door Actuator Details</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151-67-25226</w:t>
            </w:r>
          </w:p>
        </w:tc>
        <w:tc>
          <w:tcPr>
            <w:tcW w:w="7060" w:type="dxa"/>
            <w:vAlign w:val="bottom"/>
          </w:tcPr>
          <w:p>
            <w:pPr>
              <w:ind w:left="180"/>
              <w:spacing w:after="0"/>
              <w:rPr>
                <w:sz w:val="20"/>
                <w:szCs w:val="20"/>
                <w:color w:val="auto"/>
              </w:rPr>
            </w:pPr>
            <w:r>
              <w:rPr>
                <w:rFonts w:ascii="Arial" w:cs="Arial" w:eastAsia="Arial" w:hAnsi="Arial"/>
                <w:sz w:val="18"/>
                <w:szCs w:val="18"/>
                <w:color w:val="auto"/>
              </w:rPr>
              <w:t>ATB Hopper Bottom Dumping Door Seal Arrgmt</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151-67-25227</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Hopper Bottom Dumping Door Perimeter Seal Detail</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151-67-25228</w:t>
            </w:r>
          </w:p>
        </w:tc>
        <w:tc>
          <w:tcPr>
            <w:tcW w:w="7060" w:type="dxa"/>
            <w:vAlign w:val="bottom"/>
          </w:tcPr>
          <w:p>
            <w:pPr>
              <w:ind w:left="180"/>
              <w:spacing w:after="0"/>
              <w:rPr>
                <w:sz w:val="20"/>
                <w:szCs w:val="20"/>
                <w:color w:val="auto"/>
              </w:rPr>
            </w:pPr>
            <w:r>
              <w:rPr>
                <w:rFonts w:ascii="Arial" w:cs="Arial" w:eastAsia="Arial" w:hAnsi="Arial"/>
                <w:sz w:val="18"/>
                <w:szCs w:val="18"/>
                <w:color w:val="auto"/>
              </w:rPr>
              <w:t>ATB Hopper Bottom Dumping Door Seal Frame Detail</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151-67-25229</w:t>
            </w: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Hopper Bottom Dumping Door Center Line Seal Detail</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151-67-25328</w:t>
            </w:r>
          </w:p>
        </w:tc>
        <w:tc>
          <w:tcPr>
            <w:tcW w:w="7060" w:type="dxa"/>
            <w:vAlign w:val="bottom"/>
          </w:tcPr>
          <w:p>
            <w:pPr>
              <w:ind w:left="180"/>
              <w:spacing w:after="0"/>
              <w:rPr>
                <w:sz w:val="20"/>
                <w:szCs w:val="20"/>
                <w:color w:val="auto"/>
              </w:rPr>
            </w:pPr>
            <w:r>
              <w:rPr>
                <w:rFonts w:ascii="Arial" w:cs="Arial" w:eastAsia="Arial" w:hAnsi="Arial"/>
                <w:sz w:val="18"/>
                <w:szCs w:val="18"/>
                <w:color w:val="auto"/>
              </w:rPr>
              <w:t>ATB Hopper Bottom Dumping Door Actuator Cylinder Support</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bl>
    <w:p>
      <w:pPr>
        <w:sectPr>
          <w:pgSz w:w="11900" w:h="16838" w:orient="portrait"/>
          <w:cols w:equalWidth="0" w:num="1">
            <w:col w:w="11420"/>
          </w:cols>
          <w:pgMar w:left="240" w:top="274" w:right="239" w:bottom="1440" w:gutter="0" w:footer="0" w:header="0"/>
        </w:sectPr>
      </w:pPr>
    </w:p>
    <w:bookmarkStart w:id="194" w:name="page195"/>
    <w:bookmarkEnd w:id="194"/>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151-67-25329</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Hopper Bottom Dumping Door Actuator Rod Guide</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151-67-25330</w:t>
            </w:r>
          </w:p>
        </w:tc>
        <w:tc>
          <w:tcPr>
            <w:tcW w:w="7200" w:type="dxa"/>
            <w:vAlign w:val="bottom"/>
          </w:tcPr>
          <w:p>
            <w:pPr>
              <w:ind w:left="180"/>
              <w:spacing w:after="0"/>
              <w:rPr>
                <w:sz w:val="20"/>
                <w:szCs w:val="20"/>
                <w:color w:val="auto"/>
              </w:rPr>
            </w:pPr>
            <w:r>
              <w:rPr>
                <w:rFonts w:ascii="Arial" w:cs="Arial" w:eastAsia="Arial" w:hAnsi="Arial"/>
                <w:sz w:val="18"/>
                <w:szCs w:val="18"/>
                <w:color w:val="auto"/>
              </w:rPr>
              <w:t>ATB Hopper Bottom Dumping Door Actuator Wedge Detail</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151-67-25331</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Hopper Bottom Dumping Door Seal Frame and Closing Bar Fixture</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151-67-25354</w:t>
            </w:r>
          </w:p>
        </w:tc>
        <w:tc>
          <w:tcPr>
            <w:tcW w:w="7200" w:type="dxa"/>
            <w:vAlign w:val="bottom"/>
          </w:tcPr>
          <w:p>
            <w:pPr>
              <w:ind w:left="180"/>
              <w:spacing w:after="0"/>
              <w:rPr>
                <w:sz w:val="20"/>
                <w:szCs w:val="20"/>
                <w:color w:val="auto"/>
              </w:rPr>
            </w:pPr>
            <w:r>
              <w:rPr>
                <w:rFonts w:ascii="Arial" w:cs="Arial" w:eastAsia="Arial" w:hAnsi="Arial"/>
                <w:sz w:val="18"/>
                <w:szCs w:val="18"/>
                <w:color w:val="auto"/>
              </w:rPr>
              <w:t>ATB Hopper Door Cylinder Support Beams</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151-71-23544</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Slurry System Schematic</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151-71-24443</w:t>
            </w:r>
          </w:p>
        </w:tc>
        <w:tc>
          <w:tcPr>
            <w:tcW w:w="7200" w:type="dxa"/>
            <w:vAlign w:val="bottom"/>
          </w:tcPr>
          <w:p>
            <w:pPr>
              <w:ind w:left="180"/>
              <w:spacing w:after="0"/>
              <w:rPr>
                <w:sz w:val="20"/>
                <w:szCs w:val="20"/>
                <w:color w:val="auto"/>
              </w:rPr>
            </w:pPr>
            <w:r>
              <w:rPr>
                <w:rFonts w:ascii="Arial" w:cs="Arial" w:eastAsia="Arial" w:hAnsi="Arial"/>
                <w:sz w:val="18"/>
                <w:szCs w:val="18"/>
                <w:color w:val="auto"/>
              </w:rPr>
              <w:t>Moveable Overflow Tube Details Telescopic Overflow</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151-71-25009</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36 In Dia.x 120 Ft Dragarm Assembly</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151-71-25357</w:t>
            </w:r>
          </w:p>
        </w:tc>
        <w:tc>
          <w:tcPr>
            <w:tcW w:w="7200" w:type="dxa"/>
            <w:vAlign w:val="bottom"/>
          </w:tcPr>
          <w:p>
            <w:pPr>
              <w:ind w:left="180"/>
              <w:spacing w:after="0"/>
              <w:rPr>
                <w:sz w:val="20"/>
                <w:szCs w:val="20"/>
                <w:color w:val="auto"/>
              </w:rPr>
            </w:pPr>
            <w:r>
              <w:rPr>
                <w:rFonts w:ascii="Arial" w:cs="Arial" w:eastAsia="Arial" w:hAnsi="Arial"/>
                <w:sz w:val="18"/>
                <w:szCs w:val="18"/>
                <w:color w:val="auto"/>
              </w:rPr>
              <w:t>ATB Sliding Trunnion Assembly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151-71-25358</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Sliding Trunnion Piece Detail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151-71-25359</w:t>
            </w:r>
          </w:p>
        </w:tc>
        <w:tc>
          <w:tcPr>
            <w:tcW w:w="7200" w:type="dxa"/>
            <w:vAlign w:val="bottom"/>
          </w:tcPr>
          <w:p>
            <w:pPr>
              <w:ind w:left="180"/>
              <w:spacing w:after="0"/>
              <w:rPr>
                <w:sz w:val="20"/>
                <w:szCs w:val="20"/>
                <w:color w:val="auto"/>
              </w:rPr>
            </w:pPr>
            <w:r>
              <w:rPr>
                <w:rFonts w:ascii="Arial" w:cs="Arial" w:eastAsia="Arial" w:hAnsi="Arial"/>
                <w:sz w:val="18"/>
                <w:szCs w:val="18"/>
                <w:color w:val="auto"/>
              </w:rPr>
              <w:t>ATB Sliding Trunnion Misc Details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151-71-25360</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Sliding Trunnion &amp; Service Fr. Supp. Detail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151-71-25361</w:t>
            </w:r>
          </w:p>
        </w:tc>
        <w:tc>
          <w:tcPr>
            <w:tcW w:w="7200" w:type="dxa"/>
            <w:vAlign w:val="bottom"/>
          </w:tcPr>
          <w:p>
            <w:pPr>
              <w:ind w:left="180"/>
              <w:spacing w:after="0"/>
              <w:rPr>
                <w:sz w:val="20"/>
                <w:szCs w:val="20"/>
                <w:color w:val="auto"/>
              </w:rPr>
            </w:pPr>
            <w:r>
              <w:rPr>
                <w:rFonts w:ascii="Arial" w:cs="Arial" w:eastAsia="Arial" w:hAnsi="Arial"/>
                <w:sz w:val="18"/>
                <w:szCs w:val="18"/>
                <w:color w:val="auto"/>
              </w:rPr>
              <w:t>ATB Trunnion Elbow Detail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151-71-25362</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Trunnion Elbow &amp; Armpiece Detail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151-71-25362</w:t>
            </w:r>
          </w:p>
        </w:tc>
        <w:tc>
          <w:tcPr>
            <w:tcW w:w="7200" w:type="dxa"/>
            <w:vAlign w:val="bottom"/>
          </w:tcPr>
          <w:p>
            <w:pPr>
              <w:ind w:left="180"/>
              <w:spacing w:after="0"/>
              <w:rPr>
                <w:sz w:val="20"/>
                <w:szCs w:val="20"/>
                <w:color w:val="auto"/>
              </w:rPr>
            </w:pPr>
            <w:r>
              <w:rPr>
                <w:rFonts w:ascii="Arial" w:cs="Arial" w:eastAsia="Arial" w:hAnsi="Arial"/>
                <w:sz w:val="18"/>
                <w:szCs w:val="18"/>
                <w:color w:val="auto"/>
              </w:rPr>
              <w:t>ATB Trunnion Elbow &amp; Armpiece Detail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151-71-25365</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Jet Water Piping Arrgmt &amp; Details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151-71-25366</w:t>
            </w:r>
          </w:p>
        </w:tc>
        <w:tc>
          <w:tcPr>
            <w:tcW w:w="7200" w:type="dxa"/>
            <w:vAlign w:val="bottom"/>
          </w:tcPr>
          <w:p>
            <w:pPr>
              <w:ind w:left="180"/>
              <w:spacing w:after="0"/>
              <w:rPr>
                <w:sz w:val="20"/>
                <w:szCs w:val="20"/>
                <w:color w:val="auto"/>
              </w:rPr>
            </w:pPr>
            <w:r>
              <w:rPr>
                <w:rFonts w:ascii="Arial" w:cs="Arial" w:eastAsia="Arial" w:hAnsi="Arial"/>
                <w:sz w:val="18"/>
                <w:szCs w:val="18"/>
                <w:color w:val="auto"/>
              </w:rPr>
              <w:t>ATB Jet Water Hose Details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151-71-25369</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Suction Hose Details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151-71-25370</w:t>
            </w:r>
          </w:p>
        </w:tc>
        <w:tc>
          <w:tcPr>
            <w:tcW w:w="7200" w:type="dxa"/>
            <w:vAlign w:val="bottom"/>
          </w:tcPr>
          <w:p>
            <w:pPr>
              <w:ind w:left="180"/>
              <w:spacing w:after="0"/>
              <w:rPr>
                <w:sz w:val="20"/>
                <w:szCs w:val="20"/>
                <w:color w:val="auto"/>
              </w:rPr>
            </w:pPr>
            <w:r>
              <w:rPr>
                <w:rFonts w:ascii="Arial" w:cs="Arial" w:eastAsia="Arial" w:hAnsi="Arial"/>
                <w:sz w:val="18"/>
                <w:szCs w:val="18"/>
                <w:color w:val="auto"/>
              </w:rPr>
              <w:t>ATB Armpiece Details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151-71-25371</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Suction Pipe Details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151-71-25372</w:t>
            </w:r>
          </w:p>
        </w:tc>
        <w:tc>
          <w:tcPr>
            <w:tcW w:w="7200" w:type="dxa"/>
            <w:vAlign w:val="bottom"/>
          </w:tcPr>
          <w:p>
            <w:pPr>
              <w:ind w:left="180"/>
              <w:spacing w:after="0"/>
              <w:rPr>
                <w:sz w:val="20"/>
                <w:szCs w:val="20"/>
                <w:color w:val="auto"/>
              </w:rPr>
            </w:pPr>
            <w:r>
              <w:rPr>
                <w:rFonts w:ascii="Arial" w:cs="Arial" w:eastAsia="Arial" w:hAnsi="Arial"/>
                <w:sz w:val="18"/>
                <w:szCs w:val="18"/>
                <w:color w:val="auto"/>
              </w:rPr>
              <w:t>ATB Gimbal Ring Assembly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151-71-25373</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Gimbal Ring Details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151-71-25374</w:t>
            </w:r>
          </w:p>
        </w:tc>
        <w:tc>
          <w:tcPr>
            <w:tcW w:w="7200" w:type="dxa"/>
            <w:vAlign w:val="bottom"/>
          </w:tcPr>
          <w:p>
            <w:pPr>
              <w:ind w:left="180"/>
              <w:spacing w:after="0"/>
              <w:rPr>
                <w:sz w:val="20"/>
                <w:szCs w:val="20"/>
                <w:color w:val="auto"/>
              </w:rPr>
            </w:pPr>
            <w:r>
              <w:rPr>
                <w:rFonts w:ascii="Arial" w:cs="Arial" w:eastAsia="Arial" w:hAnsi="Arial"/>
                <w:sz w:val="18"/>
                <w:szCs w:val="18"/>
                <w:color w:val="auto"/>
              </w:rPr>
              <w:t>ATB Gimbal Ring Misc Details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151-71-25375</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Turning Gland Assembly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151-71-25376</w:t>
            </w:r>
          </w:p>
        </w:tc>
        <w:tc>
          <w:tcPr>
            <w:tcW w:w="7200" w:type="dxa"/>
            <w:vAlign w:val="bottom"/>
          </w:tcPr>
          <w:p>
            <w:pPr>
              <w:ind w:left="180"/>
              <w:spacing w:after="0"/>
              <w:rPr>
                <w:sz w:val="20"/>
                <w:szCs w:val="20"/>
                <w:color w:val="auto"/>
              </w:rPr>
            </w:pPr>
            <w:r>
              <w:rPr>
                <w:rFonts w:ascii="Arial" w:cs="Arial" w:eastAsia="Arial" w:hAnsi="Arial"/>
                <w:sz w:val="18"/>
                <w:szCs w:val="18"/>
                <w:color w:val="auto"/>
              </w:rPr>
              <w:t>ATB Turning Gland Details 36 in Dragarm</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151-71-25406</w:t>
            </w: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Dragarm Pick Point &amp; Davit Layout 36 In Dragarm</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30"/>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151-71-25442</w:t>
            </w:r>
          </w:p>
        </w:tc>
        <w:tc>
          <w:tcPr>
            <w:tcW w:w="7200" w:type="dxa"/>
            <w:vAlign w:val="bottom"/>
          </w:tcPr>
          <w:p>
            <w:pPr>
              <w:ind w:left="180"/>
              <w:spacing w:after="0"/>
              <w:rPr>
                <w:sz w:val="20"/>
                <w:szCs w:val="20"/>
                <w:color w:val="auto"/>
              </w:rPr>
            </w:pPr>
            <w:r>
              <w:rPr>
                <w:rFonts w:ascii="Arial" w:cs="Arial" w:eastAsia="Arial" w:hAnsi="Arial"/>
                <w:sz w:val="18"/>
                <w:szCs w:val="18"/>
                <w:color w:val="auto"/>
              </w:rPr>
              <w:t>Fixed Overflow Tube Details Telescopic Overflow</w:t>
            </w: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bl>
    <w:p>
      <w:pPr>
        <w:sectPr>
          <w:pgSz w:w="11900" w:h="16838" w:orient="portrait"/>
          <w:cols w:equalWidth="0" w:num="1">
            <w:col w:w="11420"/>
          </w:cols>
          <w:pgMar w:left="240" w:top="274" w:right="239" w:bottom="1440" w:gutter="0" w:footer="0" w:header="0"/>
        </w:sectPr>
      </w:pPr>
    </w:p>
    <w:bookmarkStart w:id="195" w:name="page196"/>
    <w:bookmarkEnd w:id="19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151-71-25444</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Upper Platform Details Telescopic Overflow</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151-71-25445</w:t>
            </w:r>
          </w:p>
        </w:tc>
        <w:tc>
          <w:tcPr>
            <w:tcW w:w="7560" w:type="dxa"/>
            <w:vAlign w:val="bottom"/>
          </w:tcPr>
          <w:p>
            <w:pPr>
              <w:ind w:left="180"/>
              <w:spacing w:after="0"/>
              <w:rPr>
                <w:sz w:val="20"/>
                <w:szCs w:val="20"/>
                <w:color w:val="auto"/>
              </w:rPr>
            </w:pPr>
            <w:r>
              <w:rPr>
                <w:rFonts w:ascii="Arial" w:cs="Arial" w:eastAsia="Arial" w:hAnsi="Arial"/>
                <w:sz w:val="18"/>
                <w:szCs w:val="18"/>
                <w:color w:val="auto"/>
              </w:rPr>
              <w:t>Inlet Screen Arrgmt &amp; Details Telescopic Overflow</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151-71-25447</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Green Valve Arrgmt &amp; Detailks Telescopic Overflow</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151-71-25448</w:t>
            </w:r>
          </w:p>
        </w:tc>
        <w:tc>
          <w:tcPr>
            <w:tcW w:w="7560" w:type="dxa"/>
            <w:vAlign w:val="bottom"/>
          </w:tcPr>
          <w:p>
            <w:pPr>
              <w:ind w:left="180"/>
              <w:spacing w:after="0"/>
              <w:rPr>
                <w:sz w:val="20"/>
                <w:szCs w:val="20"/>
                <w:color w:val="auto"/>
              </w:rPr>
            </w:pPr>
            <w:r>
              <w:rPr>
                <w:rFonts w:ascii="Arial" w:cs="Arial" w:eastAsia="Arial" w:hAnsi="Arial"/>
                <w:sz w:val="18"/>
                <w:szCs w:val="18"/>
                <w:color w:val="auto"/>
              </w:rPr>
              <w:t>Green Valve Liner Arrgmt &amp; Details Telescopic Overflow</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151-71-25449</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Green Valve Actuator Link &amp; Misc. Details Telescopic Overflow</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151-71-25450</w:t>
            </w:r>
          </w:p>
        </w:tc>
        <w:tc>
          <w:tcPr>
            <w:tcW w:w="7560" w:type="dxa"/>
            <w:vAlign w:val="bottom"/>
          </w:tcPr>
          <w:p>
            <w:pPr>
              <w:ind w:left="180"/>
              <w:spacing w:after="0"/>
              <w:rPr>
                <w:sz w:val="20"/>
                <w:szCs w:val="20"/>
                <w:color w:val="auto"/>
              </w:rPr>
            </w:pPr>
            <w:r>
              <w:rPr>
                <w:rFonts w:ascii="Arial" w:cs="Arial" w:eastAsia="Arial" w:hAnsi="Arial"/>
                <w:sz w:val="18"/>
                <w:szCs w:val="18"/>
                <w:color w:val="auto"/>
              </w:rPr>
              <w:t>Green Valve Hydraulic Cylinder Support Arrgmt &amp; Details Telescopic Overflow</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151-71-25540</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24 In Dia. 50 Lb. Slurry Gate Valve Assy With GCC Liners</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151-71-25541</w:t>
            </w:r>
          </w:p>
        </w:tc>
        <w:tc>
          <w:tcPr>
            <w:tcW w:w="7560" w:type="dxa"/>
            <w:vAlign w:val="bottom"/>
          </w:tcPr>
          <w:p>
            <w:pPr>
              <w:ind w:left="180"/>
              <w:spacing w:after="0"/>
              <w:rPr>
                <w:sz w:val="20"/>
                <w:szCs w:val="20"/>
                <w:color w:val="auto"/>
              </w:rPr>
            </w:pPr>
            <w:r>
              <w:rPr>
                <w:rFonts w:ascii="Arial" w:cs="Arial" w:eastAsia="Arial" w:hAnsi="Arial"/>
                <w:sz w:val="18"/>
                <w:szCs w:val="18"/>
                <w:color w:val="auto"/>
              </w:rPr>
              <w:t>ATB Seal Retainer 24 In Dia. 50 Lb &amp; 150 Lb Slurry Gate Valve</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151-71-25542</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Body Detail For GCC Liner 24 In Dia. 50 Lb Slurry Gate Valve</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151-71-25543</w:t>
            </w:r>
          </w:p>
        </w:tc>
        <w:tc>
          <w:tcPr>
            <w:tcW w:w="7560" w:type="dxa"/>
            <w:vAlign w:val="bottom"/>
          </w:tcPr>
          <w:p>
            <w:pPr>
              <w:ind w:left="180"/>
              <w:spacing w:after="0"/>
              <w:rPr>
                <w:sz w:val="20"/>
                <w:szCs w:val="20"/>
                <w:color w:val="auto"/>
              </w:rPr>
            </w:pPr>
            <w:r>
              <w:rPr>
                <w:rFonts w:ascii="Arial" w:cs="Arial" w:eastAsia="Arial" w:hAnsi="Arial"/>
                <w:sz w:val="18"/>
                <w:szCs w:val="18"/>
                <w:color w:val="auto"/>
              </w:rPr>
              <w:t>ATB Bonnet Detail 24 In Dia. 50 Lb. Slurry Gate Valve</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151-71-25544</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Hydraulic Cyl. Assy 24 In Dia. 50 Lb &amp; 150 Lb Slurry Gate Valve</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151-71-25545</w:t>
            </w:r>
          </w:p>
        </w:tc>
        <w:tc>
          <w:tcPr>
            <w:tcW w:w="7560" w:type="dxa"/>
            <w:vAlign w:val="bottom"/>
          </w:tcPr>
          <w:p>
            <w:pPr>
              <w:ind w:left="180"/>
              <w:spacing w:after="0"/>
              <w:rPr>
                <w:sz w:val="20"/>
                <w:szCs w:val="20"/>
                <w:color w:val="auto"/>
              </w:rPr>
            </w:pPr>
            <w:r>
              <w:rPr>
                <w:rFonts w:ascii="Arial" w:cs="Arial" w:eastAsia="Arial" w:hAnsi="Arial"/>
                <w:sz w:val="18"/>
                <w:szCs w:val="18"/>
                <w:color w:val="auto"/>
              </w:rPr>
              <w:t>ATB Misc. Details 24 In Dia. 50 Lb &amp; 150 Lb Slurry Gate Valve</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151-71-25546</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Position Sensor Support Details 24 In Dia. 50 Lb &amp; 150 Lb Slurry Gate Valve</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151-71-25549</w:t>
            </w:r>
          </w:p>
        </w:tc>
        <w:tc>
          <w:tcPr>
            <w:tcW w:w="7560" w:type="dxa"/>
            <w:vAlign w:val="bottom"/>
          </w:tcPr>
          <w:p>
            <w:pPr>
              <w:ind w:left="180"/>
              <w:spacing w:after="0"/>
              <w:rPr>
                <w:sz w:val="20"/>
                <w:szCs w:val="20"/>
                <w:color w:val="auto"/>
              </w:rPr>
            </w:pPr>
            <w:r>
              <w:rPr>
                <w:rFonts w:ascii="Arial" w:cs="Arial" w:eastAsia="Arial" w:hAnsi="Arial"/>
                <w:sz w:val="18"/>
                <w:szCs w:val="18"/>
                <w:color w:val="auto"/>
              </w:rPr>
              <w:t>ATB Hull Trunnion Suction Inlet Casting Detail</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151-71-25627</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36 In Dia. 50 Lb. Slurry Gate Valve Assy</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151-71-25807</w:t>
            </w:r>
          </w:p>
        </w:tc>
        <w:tc>
          <w:tcPr>
            <w:tcW w:w="7560" w:type="dxa"/>
            <w:vAlign w:val="bottom"/>
          </w:tcPr>
          <w:p>
            <w:pPr>
              <w:ind w:left="180"/>
              <w:spacing w:after="0"/>
              <w:rPr>
                <w:sz w:val="20"/>
                <w:szCs w:val="20"/>
                <w:color w:val="auto"/>
              </w:rPr>
            </w:pPr>
            <w:r>
              <w:rPr>
                <w:rFonts w:ascii="Arial" w:cs="Arial" w:eastAsia="Arial" w:hAnsi="Arial"/>
                <w:sz w:val="18"/>
                <w:szCs w:val="18"/>
                <w:color w:val="auto"/>
              </w:rPr>
              <w:t>ATB 24 In Dia. 50 Lb. Slurry Gate Valve Assy With HS-400 Liners</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151-71-25808</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Body Detail With HS-400 Liner 24 In Dia. 50 Lb Slurry Gate Valve</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151-71-25898</w:t>
            </w:r>
          </w:p>
        </w:tc>
        <w:tc>
          <w:tcPr>
            <w:tcW w:w="7560" w:type="dxa"/>
            <w:vAlign w:val="bottom"/>
          </w:tcPr>
          <w:p>
            <w:pPr>
              <w:ind w:left="180"/>
              <w:spacing w:after="0"/>
              <w:rPr>
                <w:sz w:val="20"/>
                <w:szCs w:val="20"/>
                <w:color w:val="auto"/>
              </w:rPr>
            </w:pPr>
            <w:r>
              <w:rPr>
                <w:rFonts w:ascii="Arial" w:cs="Arial" w:eastAsia="Arial" w:hAnsi="Arial"/>
                <w:sz w:val="18"/>
                <w:szCs w:val="18"/>
                <w:color w:val="auto"/>
              </w:rPr>
              <w:t>36 In 150 Lb Slurry Gate Valve Assy</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151-71-25899</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Seal Retainer 36 In 15o Lb Slurry Gate Valve</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151-71-25900</w:t>
            </w:r>
          </w:p>
        </w:tc>
        <w:tc>
          <w:tcPr>
            <w:tcW w:w="7560" w:type="dxa"/>
            <w:vAlign w:val="bottom"/>
          </w:tcPr>
          <w:p>
            <w:pPr>
              <w:ind w:left="180"/>
              <w:spacing w:after="0"/>
              <w:rPr>
                <w:sz w:val="20"/>
                <w:szCs w:val="20"/>
                <w:color w:val="auto"/>
              </w:rPr>
            </w:pPr>
            <w:r>
              <w:rPr>
                <w:rFonts w:ascii="Arial" w:cs="Arial" w:eastAsia="Arial" w:hAnsi="Arial"/>
                <w:sz w:val="18"/>
                <w:szCs w:val="18"/>
                <w:color w:val="auto"/>
              </w:rPr>
              <w:t>Body Detail For GCC Liners 36 In 150 Lb Slurry Gate Valve</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151-71-25901</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Bonnet Detail 36 In 150 Lb Slurry Gate Valve</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151-71-25902</w:t>
            </w:r>
          </w:p>
        </w:tc>
        <w:tc>
          <w:tcPr>
            <w:tcW w:w="7560" w:type="dxa"/>
            <w:vAlign w:val="bottom"/>
          </w:tcPr>
          <w:p>
            <w:pPr>
              <w:ind w:left="180"/>
              <w:spacing w:after="0"/>
              <w:rPr>
                <w:sz w:val="20"/>
                <w:szCs w:val="20"/>
                <w:color w:val="auto"/>
              </w:rPr>
            </w:pPr>
            <w:r>
              <w:rPr>
                <w:rFonts w:ascii="Arial" w:cs="Arial" w:eastAsia="Arial" w:hAnsi="Arial"/>
                <w:sz w:val="18"/>
                <w:szCs w:val="18"/>
                <w:color w:val="auto"/>
              </w:rPr>
              <w:t>Misc. Details 36 In 150 Lb Slurry Gate Valve</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151-71-26060</w:t>
            </w: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36 in Dragarm Hydraulic and Electrical Arrgmt and Details</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30"/>
        </w:trPr>
        <w:tc>
          <w:tcPr>
            <w:tcW w:w="1200" w:type="dxa"/>
            <w:vAlign w:val="bottom"/>
          </w:tcPr>
          <w:p>
            <w:pPr>
              <w:jc w:val="right"/>
              <w:ind w:right="90"/>
              <w:spacing w:after="0"/>
              <w:rPr>
                <w:sz w:val="20"/>
                <w:szCs w:val="20"/>
                <w:color w:val="auto"/>
              </w:rPr>
            </w:pPr>
            <w:r>
              <w:rPr>
                <w:rFonts w:ascii="Arial" w:cs="Arial" w:eastAsia="Arial" w:hAnsi="Arial"/>
                <w:sz w:val="18"/>
                <w:szCs w:val="18"/>
                <w:color w:val="auto"/>
                <w:w w:val="89"/>
              </w:rPr>
              <w:t>151-71-26061</w:t>
            </w:r>
          </w:p>
        </w:tc>
        <w:tc>
          <w:tcPr>
            <w:tcW w:w="7560" w:type="dxa"/>
            <w:vAlign w:val="bottom"/>
          </w:tcPr>
          <w:p>
            <w:pPr>
              <w:ind w:left="180"/>
              <w:spacing w:after="0"/>
              <w:rPr>
                <w:sz w:val="20"/>
                <w:szCs w:val="20"/>
                <w:color w:val="auto"/>
              </w:rPr>
            </w:pPr>
            <w:r>
              <w:rPr>
                <w:rFonts w:ascii="Arial" w:cs="Arial" w:eastAsia="Arial" w:hAnsi="Arial"/>
                <w:sz w:val="18"/>
                <w:szCs w:val="18"/>
                <w:color w:val="auto"/>
              </w:rPr>
              <w:t>ATB 36 in Dragarm Electrical Equipment Enclosures</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bl>
    <w:p>
      <w:pPr>
        <w:sectPr>
          <w:pgSz w:w="11900" w:h="16838" w:orient="portrait"/>
          <w:cols w:equalWidth="0" w:num="1">
            <w:col w:w="11420"/>
          </w:cols>
          <w:pgMar w:left="240" w:top="274" w:right="239" w:bottom="1440" w:gutter="0" w:footer="0" w:header="0"/>
        </w:sectPr>
      </w:pPr>
    </w:p>
    <w:bookmarkStart w:id="196" w:name="page197"/>
    <w:bookmarkEnd w:id="196"/>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151-71-26062</w:t>
            </w: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Service Frame Hydraulic Piping and Electrical Cable Arrgmt 36 in Dragarm</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151-71-26063</w:t>
            </w:r>
          </w:p>
        </w:tc>
        <w:tc>
          <w:tcPr>
            <w:tcW w:w="7500" w:type="dxa"/>
            <w:vAlign w:val="bottom"/>
          </w:tcPr>
          <w:p>
            <w:pPr>
              <w:ind w:left="180"/>
              <w:spacing w:after="0"/>
              <w:rPr>
                <w:sz w:val="20"/>
                <w:szCs w:val="20"/>
                <w:color w:val="auto"/>
              </w:rPr>
            </w:pPr>
            <w:r>
              <w:rPr>
                <w:rFonts w:ascii="Arial" w:cs="Arial" w:eastAsia="Arial" w:hAnsi="Arial"/>
                <w:sz w:val="18"/>
                <w:szCs w:val="18"/>
                <w:color w:val="auto"/>
              </w:rPr>
              <w:t>ATB Service Frame Hydraulic Piping and Electrical Cable Details 36 in Dragarm</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151-71-26064</w:t>
            </w: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ATB Service Frame Hydraulic Piping Details 36 in Dragarm</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151-71-26155</w:t>
            </w:r>
          </w:p>
        </w:tc>
        <w:tc>
          <w:tcPr>
            <w:tcW w:w="7500" w:type="dxa"/>
            <w:vAlign w:val="bottom"/>
          </w:tcPr>
          <w:p>
            <w:pPr>
              <w:ind w:left="180"/>
              <w:spacing w:after="0"/>
              <w:rPr>
                <w:sz w:val="20"/>
                <w:szCs w:val="20"/>
                <w:color w:val="auto"/>
              </w:rPr>
            </w:pPr>
            <w:r>
              <w:rPr>
                <w:rFonts w:ascii="Arial" w:cs="Arial" w:eastAsia="Arial" w:hAnsi="Arial"/>
                <w:sz w:val="18"/>
                <w:szCs w:val="18"/>
                <w:color w:val="auto"/>
              </w:rPr>
              <w:t>Body Detail With HS-400 Liners 24 In 150 Lb Slurry Gate Valve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151-71-26174</w:t>
            </w: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24 In 150 Lb Slurry Gate Valve Assy</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151-71-26176</w:t>
            </w:r>
          </w:p>
        </w:tc>
        <w:tc>
          <w:tcPr>
            <w:tcW w:w="7500" w:type="dxa"/>
            <w:vAlign w:val="bottom"/>
          </w:tcPr>
          <w:p>
            <w:pPr>
              <w:ind w:left="180"/>
              <w:spacing w:after="0"/>
              <w:rPr>
                <w:sz w:val="20"/>
                <w:szCs w:val="20"/>
                <w:color w:val="auto"/>
              </w:rPr>
            </w:pPr>
            <w:r>
              <w:rPr>
                <w:rFonts w:ascii="Arial" w:cs="Arial" w:eastAsia="Arial" w:hAnsi="Arial"/>
                <w:sz w:val="18"/>
                <w:szCs w:val="18"/>
                <w:color w:val="auto"/>
              </w:rPr>
              <w:t>Bonnet Detail 24 In 150 Lb Slurry Gate Valve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151-71-xxxxx</w:t>
            </w: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In 150 Lb Slurry Gate Valve Assy</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151-71-xxxxx</w:t>
            </w:r>
          </w:p>
        </w:tc>
        <w:tc>
          <w:tcPr>
            <w:tcW w:w="7500" w:type="dxa"/>
            <w:vAlign w:val="bottom"/>
          </w:tcPr>
          <w:p>
            <w:pPr>
              <w:ind w:left="180"/>
              <w:spacing w:after="0"/>
              <w:rPr>
                <w:sz w:val="20"/>
                <w:szCs w:val="20"/>
                <w:color w:val="auto"/>
              </w:rPr>
            </w:pPr>
            <w:r>
              <w:rPr>
                <w:rFonts w:ascii="Arial" w:cs="Arial" w:eastAsia="Arial" w:hAnsi="Arial"/>
                <w:sz w:val="18"/>
                <w:szCs w:val="18"/>
                <w:color w:val="auto"/>
              </w:rPr>
              <w:t>Body Detail For GCC Liners 30 In 150 Lb Slurry Gate Valve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151-71-xxxxx</w:t>
            </w: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Bonnet Detail 30 In 150 Lb Slurry Gate Valve</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151-71-xxxxx</w:t>
            </w:r>
          </w:p>
        </w:tc>
        <w:tc>
          <w:tcPr>
            <w:tcW w:w="7500" w:type="dxa"/>
            <w:vAlign w:val="bottom"/>
          </w:tcPr>
          <w:p>
            <w:pPr>
              <w:ind w:left="180"/>
              <w:spacing w:after="0"/>
              <w:rPr>
                <w:sz w:val="20"/>
                <w:szCs w:val="20"/>
                <w:color w:val="auto"/>
              </w:rPr>
            </w:pPr>
            <w:r>
              <w:rPr>
                <w:rFonts w:ascii="Arial" w:cs="Arial" w:eastAsia="Arial" w:hAnsi="Arial"/>
                <w:sz w:val="18"/>
                <w:szCs w:val="18"/>
                <w:color w:val="auto"/>
              </w:rPr>
              <w:t>Seal Retainer 30 In 150 Lb Slurry Gate Valve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151-71-xxxxx</w:t>
            </w: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Hydraulic Cylinder Assy 30 In 150 Lb Slurry Gate Valve</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151-71-xxxxx</w:t>
            </w:r>
          </w:p>
        </w:tc>
        <w:tc>
          <w:tcPr>
            <w:tcW w:w="7500" w:type="dxa"/>
            <w:vAlign w:val="bottom"/>
          </w:tcPr>
          <w:p>
            <w:pPr>
              <w:ind w:left="180"/>
              <w:spacing w:after="0"/>
              <w:rPr>
                <w:sz w:val="20"/>
                <w:szCs w:val="20"/>
                <w:color w:val="auto"/>
              </w:rPr>
            </w:pPr>
            <w:r>
              <w:rPr>
                <w:rFonts w:ascii="Arial" w:cs="Arial" w:eastAsia="Arial" w:hAnsi="Arial"/>
                <w:sz w:val="18"/>
                <w:szCs w:val="18"/>
                <w:color w:val="auto"/>
              </w:rPr>
              <w:t>Misc. Details 30 In 150 Lb Slurry Gate Valve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151-71-xxxxx</w:t>
            </w: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Position Sensor Support Details 30 In 150 Lb Slurry Gate Valve</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2/15/2014</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151-81-24639</w:t>
            </w:r>
          </w:p>
        </w:tc>
        <w:tc>
          <w:tcPr>
            <w:tcW w:w="7500" w:type="dxa"/>
            <w:vAlign w:val="bottom"/>
          </w:tcPr>
          <w:p>
            <w:pPr>
              <w:ind w:left="180"/>
              <w:spacing w:after="0"/>
              <w:rPr>
                <w:sz w:val="20"/>
                <w:szCs w:val="20"/>
                <w:color w:val="auto"/>
              </w:rPr>
            </w:pPr>
            <w:r>
              <w:rPr>
                <w:rFonts w:ascii="Arial" w:cs="Arial" w:eastAsia="Arial" w:hAnsi="Arial"/>
                <w:sz w:val="18"/>
                <w:szCs w:val="18"/>
                <w:color w:val="auto"/>
              </w:rPr>
              <w:t>ATB Jet Water System Diagram</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2/15/2014</w:t>
            </w:r>
          </w:p>
        </w:tc>
      </w:tr>
    </w:tbl>
    <w:p>
      <w:pPr>
        <w:sectPr>
          <w:pgSz w:w="11900" w:h="16838" w:orient="portrait"/>
          <w:cols w:equalWidth="0" w:num="1">
            <w:col w:w="11420"/>
          </w:cols>
          <w:pgMar w:left="240" w:top="274" w:right="239" w:bottom="1440" w:gutter="0" w:footer="0" w:header="0"/>
        </w:sectPr>
      </w:pPr>
    </w:p>
    <w:bookmarkStart w:id="197" w:name="page198"/>
    <w:bookmarkEnd w:id="19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C.3</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ATB DREDGE PROJECT MODEL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169545</wp:posOffset>
            </wp:positionV>
            <wp:extent cx="5574030" cy="3224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74030" cy="322453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198" w:name="page199"/>
    <w:bookmarkEnd w:id="19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C-4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ATB BARGE CONTRACT DRAWINGS PACKAGE – AUGUST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Dwg #</w:t>
            </w:r>
          </w:p>
        </w:tc>
        <w:tc>
          <w:tcPr>
            <w:tcW w:w="3760" w:type="dxa"/>
            <w:vAlign w:val="bottom"/>
          </w:tcPr>
          <w:p>
            <w:pPr>
              <w:spacing w:after="0"/>
              <w:rPr>
                <w:sz w:val="14"/>
                <w:szCs w:val="14"/>
                <w:color w:val="auto"/>
              </w:rPr>
            </w:pPr>
          </w:p>
        </w:tc>
        <w:tc>
          <w:tcPr>
            <w:tcW w:w="4940" w:type="dxa"/>
            <w:vAlign w:val="bottom"/>
            <w:gridSpan w:val="3"/>
          </w:tcPr>
          <w:p>
            <w:pPr>
              <w:ind w:left="22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Revision</w:t>
            </w:r>
          </w:p>
        </w:tc>
        <w:tc>
          <w:tcPr>
            <w:tcW w:w="14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151-14-24640</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SEA VALVE FLUSHING SCHEMATIC</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T267-101-008</w:t>
            </w:r>
          </w:p>
        </w:tc>
        <w:tc>
          <w:tcPr>
            <w:tcW w:w="3760" w:type="dxa"/>
            <w:vAlign w:val="bottom"/>
          </w:tcPr>
          <w:p>
            <w:pPr>
              <w:ind w:left="120"/>
              <w:spacing w:after="0"/>
              <w:rPr>
                <w:sz w:val="20"/>
                <w:szCs w:val="20"/>
                <w:color w:val="auto"/>
              </w:rPr>
            </w:pPr>
            <w:r>
              <w:rPr>
                <w:rFonts w:ascii="Arial" w:cs="Arial" w:eastAsia="Arial" w:hAnsi="Arial"/>
                <w:sz w:val="18"/>
                <w:szCs w:val="18"/>
                <w:color w:val="auto"/>
              </w:rPr>
              <w:t>Hull Structural Closure Schedule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T267-102-004</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Docking Plan</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T267-267-002</w:t>
            </w:r>
          </w:p>
        </w:tc>
        <w:tc>
          <w:tcPr>
            <w:tcW w:w="3760" w:type="dxa"/>
            <w:vAlign w:val="bottom"/>
          </w:tcPr>
          <w:p>
            <w:pPr>
              <w:ind w:left="120"/>
              <w:spacing w:after="0"/>
              <w:rPr>
                <w:sz w:val="20"/>
                <w:szCs w:val="20"/>
                <w:color w:val="auto"/>
              </w:rPr>
            </w:pPr>
            <w:r>
              <w:rPr>
                <w:rFonts w:ascii="Arial" w:cs="Arial" w:eastAsia="Arial" w:hAnsi="Arial"/>
                <w:sz w:val="18"/>
                <w:szCs w:val="18"/>
                <w:color w:val="auto"/>
              </w:rPr>
              <w:t>Hull Fittings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T267-269-001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Independent Tanks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T267-427-001</w:t>
            </w:r>
          </w:p>
        </w:tc>
        <w:tc>
          <w:tcPr>
            <w:tcW w:w="3760" w:type="dxa"/>
            <w:vAlign w:val="bottom"/>
          </w:tcPr>
          <w:p>
            <w:pPr>
              <w:ind w:left="120"/>
              <w:spacing w:after="0"/>
              <w:rPr>
                <w:sz w:val="20"/>
                <w:szCs w:val="20"/>
                <w:color w:val="auto"/>
              </w:rPr>
            </w:pPr>
            <w:r>
              <w:rPr>
                <w:rFonts w:ascii="Arial" w:cs="Arial" w:eastAsia="Arial" w:hAnsi="Arial"/>
                <w:sz w:val="18"/>
                <w:szCs w:val="18"/>
                <w:color w:val="auto"/>
              </w:rPr>
              <w:t>Navigation and Signal Light Arrangement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T267-430-001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Mooring &amp; Towing Arrangement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T267-482-001</w:t>
            </w:r>
          </w:p>
        </w:tc>
        <w:tc>
          <w:tcPr>
            <w:tcW w:w="3760" w:type="dxa"/>
            <w:vAlign w:val="bottom"/>
          </w:tcPr>
          <w:p>
            <w:pPr>
              <w:ind w:left="120"/>
              <w:spacing w:after="0"/>
              <w:rPr>
                <w:sz w:val="20"/>
                <w:szCs w:val="20"/>
                <w:color w:val="auto"/>
              </w:rPr>
            </w:pPr>
            <w:r>
              <w:rPr>
                <w:rFonts w:ascii="Arial" w:cs="Arial" w:eastAsia="Arial" w:hAnsi="Arial"/>
                <w:sz w:val="18"/>
                <w:szCs w:val="18"/>
                <w:color w:val="auto"/>
              </w:rPr>
              <w:t>Bow Discharge Arrangement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T267-482-001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BOW DISC</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T267-482-002</w:t>
            </w:r>
          </w:p>
        </w:tc>
        <w:tc>
          <w:tcPr>
            <w:tcW w:w="3760" w:type="dxa"/>
            <w:vAlign w:val="bottom"/>
          </w:tcPr>
          <w:p>
            <w:pPr>
              <w:ind w:left="120"/>
              <w:spacing w:after="0"/>
              <w:rPr>
                <w:sz w:val="20"/>
                <w:szCs w:val="20"/>
                <w:color w:val="auto"/>
              </w:rPr>
            </w:pPr>
            <w:r>
              <w:rPr>
                <w:rFonts w:ascii="Arial" w:cs="Arial" w:eastAsia="Arial" w:hAnsi="Arial"/>
                <w:sz w:val="18"/>
                <w:szCs w:val="18"/>
                <w:color w:val="auto"/>
              </w:rPr>
              <w:t>OVERFLOW ARGMTN</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T267-482-004</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36IN Dragarm Arrangement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T267-482-005</w:t>
            </w:r>
          </w:p>
        </w:tc>
        <w:tc>
          <w:tcPr>
            <w:tcW w:w="3760" w:type="dxa"/>
            <w:vAlign w:val="bottom"/>
          </w:tcPr>
          <w:p>
            <w:pPr>
              <w:ind w:left="120"/>
              <w:spacing w:after="0"/>
              <w:rPr>
                <w:sz w:val="20"/>
                <w:szCs w:val="20"/>
                <w:color w:val="auto"/>
              </w:rPr>
            </w:pPr>
            <w:r>
              <w:rPr>
                <w:rFonts w:ascii="Arial" w:cs="Arial" w:eastAsia="Arial" w:hAnsi="Arial"/>
                <w:sz w:val="18"/>
                <w:szCs w:val="18"/>
                <w:color w:val="auto"/>
              </w:rPr>
              <w:t>Dragarm w Magum Visor Arrangement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T267-482-006</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50IN PD Sheve Bx Assbly</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T267-482-007</w:t>
            </w:r>
          </w:p>
        </w:tc>
        <w:tc>
          <w:tcPr>
            <w:tcW w:w="3760" w:type="dxa"/>
            <w:vAlign w:val="bottom"/>
          </w:tcPr>
          <w:p>
            <w:pPr>
              <w:ind w:left="120"/>
              <w:spacing w:after="0"/>
              <w:rPr>
                <w:sz w:val="20"/>
                <w:szCs w:val="20"/>
                <w:color w:val="auto"/>
              </w:rPr>
            </w:pPr>
            <w:r>
              <w:rPr>
                <w:rFonts w:ascii="Arial" w:cs="Arial" w:eastAsia="Arial" w:hAnsi="Arial"/>
                <w:sz w:val="18"/>
                <w:szCs w:val="18"/>
                <w:color w:val="auto"/>
              </w:rPr>
              <w:t>Swell Comp Cylinder Arrangement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T267-482-008</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Swell Comp Sheave Box Assy</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T267-482-012</w:t>
            </w:r>
          </w:p>
        </w:tc>
        <w:tc>
          <w:tcPr>
            <w:tcW w:w="3760" w:type="dxa"/>
            <w:vAlign w:val="bottom"/>
          </w:tcPr>
          <w:p>
            <w:pPr>
              <w:ind w:left="120"/>
              <w:spacing w:after="0"/>
              <w:rPr>
                <w:sz w:val="20"/>
                <w:szCs w:val="20"/>
                <w:color w:val="auto"/>
              </w:rPr>
            </w:pPr>
            <w:r>
              <w:rPr>
                <w:rFonts w:ascii="Arial" w:cs="Arial" w:eastAsia="Arial" w:hAnsi="Arial"/>
                <w:sz w:val="18"/>
                <w:szCs w:val="18"/>
                <w:color w:val="auto"/>
              </w:rPr>
              <w:t>GIMBAL DAVIT BLOCK</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T267-482-013</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Dredge Loading &amp; Unloading System Diagram</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T267-482-016</w:t>
            </w:r>
          </w:p>
        </w:tc>
        <w:tc>
          <w:tcPr>
            <w:tcW w:w="3760" w:type="dxa"/>
            <w:vAlign w:val="bottom"/>
          </w:tcPr>
          <w:p>
            <w:pPr>
              <w:ind w:left="120"/>
              <w:spacing w:after="0"/>
              <w:rPr>
                <w:sz w:val="20"/>
                <w:szCs w:val="20"/>
                <w:color w:val="auto"/>
              </w:rPr>
            </w:pPr>
            <w:r>
              <w:rPr>
                <w:rFonts w:ascii="Arial" w:cs="Arial" w:eastAsia="Arial" w:hAnsi="Arial"/>
                <w:sz w:val="18"/>
                <w:szCs w:val="18"/>
                <w:color w:val="auto"/>
              </w:rPr>
              <w:t>GIMBAL DAVIT ARRGMNT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T267-482-017</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Gland Seal Diagram</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T267-482-018</w:t>
            </w:r>
          </w:p>
        </w:tc>
        <w:tc>
          <w:tcPr>
            <w:tcW w:w="3760" w:type="dxa"/>
            <w:vAlign w:val="bottom"/>
          </w:tcPr>
          <w:p>
            <w:pPr>
              <w:ind w:left="120"/>
              <w:spacing w:after="0"/>
              <w:rPr>
                <w:sz w:val="20"/>
                <w:szCs w:val="20"/>
                <w:color w:val="auto"/>
              </w:rPr>
            </w:pPr>
            <w:r>
              <w:rPr>
                <w:rFonts w:ascii="Arial" w:cs="Arial" w:eastAsia="Arial" w:hAnsi="Arial"/>
                <w:sz w:val="18"/>
                <w:szCs w:val="18"/>
                <w:color w:val="auto"/>
              </w:rPr>
              <w:t>Jet Water System Diagram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T267-482-021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SLIDE TRUN ARGMNT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T267-482-022</w:t>
            </w:r>
          </w:p>
        </w:tc>
        <w:tc>
          <w:tcPr>
            <w:tcW w:w="3760" w:type="dxa"/>
            <w:vAlign w:val="bottom"/>
          </w:tcPr>
          <w:p>
            <w:pPr>
              <w:ind w:left="120"/>
              <w:spacing w:after="0"/>
              <w:rPr>
                <w:sz w:val="20"/>
                <w:szCs w:val="20"/>
                <w:color w:val="auto"/>
              </w:rPr>
            </w:pPr>
            <w:r>
              <w:rPr>
                <w:rFonts w:ascii="Arial" w:cs="Arial" w:eastAsia="Arial" w:hAnsi="Arial"/>
                <w:sz w:val="18"/>
                <w:szCs w:val="18"/>
                <w:color w:val="auto"/>
              </w:rPr>
              <w:t>TRUN DAVIT ARGMT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T267-482-024</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36IN PD Sheave Box Assembly</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T267-500-001</w:t>
            </w:r>
          </w:p>
        </w:tc>
        <w:tc>
          <w:tcPr>
            <w:tcW w:w="3760" w:type="dxa"/>
            <w:vAlign w:val="bottom"/>
          </w:tcPr>
          <w:p>
            <w:pPr>
              <w:ind w:left="120"/>
              <w:spacing w:after="0"/>
              <w:rPr>
                <w:sz w:val="20"/>
                <w:szCs w:val="20"/>
                <w:color w:val="auto"/>
              </w:rPr>
            </w:pPr>
            <w:r>
              <w:rPr>
                <w:rFonts w:ascii="Arial" w:cs="Arial" w:eastAsia="Arial" w:hAnsi="Arial"/>
                <w:sz w:val="18"/>
                <w:szCs w:val="18"/>
                <w:color w:val="auto"/>
              </w:rPr>
              <w:t>Major Equipment List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T267-503-001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Life Saving &amp; Safety Plan</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T267-503-002</w:t>
            </w:r>
          </w:p>
        </w:tc>
        <w:tc>
          <w:tcPr>
            <w:tcW w:w="3760" w:type="dxa"/>
            <w:vAlign w:val="bottom"/>
          </w:tcPr>
          <w:p>
            <w:pPr>
              <w:ind w:left="120"/>
              <w:spacing w:after="0"/>
              <w:rPr>
                <w:sz w:val="20"/>
                <w:szCs w:val="20"/>
                <w:color w:val="auto"/>
              </w:rPr>
            </w:pPr>
            <w:r>
              <w:rPr>
                <w:rFonts w:ascii="Arial" w:cs="Arial" w:eastAsia="Arial" w:hAnsi="Arial"/>
                <w:sz w:val="18"/>
                <w:szCs w:val="18"/>
                <w:color w:val="auto"/>
              </w:rPr>
              <w:t>Fire Control Plan</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T267-505-001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Fire Extinguisher List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T267-520-001</w:t>
            </w:r>
          </w:p>
        </w:tc>
        <w:tc>
          <w:tcPr>
            <w:tcW w:w="3760" w:type="dxa"/>
            <w:vAlign w:val="bottom"/>
          </w:tcPr>
          <w:p>
            <w:pPr>
              <w:ind w:left="120"/>
              <w:spacing w:after="0"/>
              <w:rPr>
                <w:sz w:val="20"/>
                <w:szCs w:val="20"/>
                <w:color w:val="auto"/>
              </w:rPr>
            </w:pPr>
            <w:r>
              <w:rPr>
                <w:rFonts w:ascii="Arial" w:cs="Arial" w:eastAsia="Arial" w:hAnsi="Arial"/>
                <w:sz w:val="18"/>
                <w:szCs w:val="18"/>
                <w:color w:val="auto"/>
              </w:rPr>
              <w:t>Ladders, Inclined</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T267-520-005</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Gratings, Machinery Space</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T267-520-007</w:t>
            </w:r>
          </w:p>
        </w:tc>
        <w:tc>
          <w:tcPr>
            <w:tcW w:w="3760" w:type="dxa"/>
            <w:vAlign w:val="bottom"/>
          </w:tcPr>
          <w:p>
            <w:pPr>
              <w:ind w:left="120"/>
              <w:spacing w:after="0"/>
              <w:rPr>
                <w:sz w:val="20"/>
                <w:szCs w:val="20"/>
                <w:color w:val="auto"/>
              </w:rPr>
            </w:pPr>
            <w:r>
              <w:rPr>
                <w:rFonts w:ascii="Arial" w:cs="Arial" w:eastAsia="Arial" w:hAnsi="Arial"/>
                <w:sz w:val="18"/>
                <w:szCs w:val="18"/>
                <w:color w:val="auto"/>
              </w:rPr>
              <w:t>Exterior Gratings A &amp; D</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T267-580-001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Plumbing Drainage System Diagram</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T267-583-001</w:t>
            </w:r>
          </w:p>
        </w:tc>
        <w:tc>
          <w:tcPr>
            <w:tcW w:w="3760" w:type="dxa"/>
            <w:vAlign w:val="bottom"/>
          </w:tcPr>
          <w:p>
            <w:pPr>
              <w:ind w:left="120"/>
              <w:spacing w:after="0"/>
              <w:rPr>
                <w:sz w:val="20"/>
                <w:szCs w:val="20"/>
                <w:color w:val="auto"/>
              </w:rPr>
            </w:pPr>
            <w:r>
              <w:rPr>
                <w:rFonts w:ascii="Arial" w:cs="Arial" w:eastAsia="Arial" w:hAnsi="Arial"/>
                <w:sz w:val="18"/>
                <w:szCs w:val="18"/>
                <w:color w:val="auto"/>
              </w:rPr>
              <w:t>Fire &amp; Washdown System Diagram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T267-583-005</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 NUMERAL CALC W-TUG</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T267-584-002</w:t>
            </w:r>
          </w:p>
        </w:tc>
        <w:tc>
          <w:tcPr>
            <w:tcW w:w="3760" w:type="dxa"/>
            <w:vAlign w:val="bottom"/>
          </w:tcPr>
          <w:p>
            <w:pPr>
              <w:ind w:left="120"/>
              <w:spacing w:after="0"/>
              <w:rPr>
                <w:sz w:val="20"/>
                <w:szCs w:val="20"/>
                <w:color w:val="auto"/>
              </w:rPr>
            </w:pPr>
            <w:r>
              <w:rPr>
                <w:rFonts w:ascii="Arial" w:cs="Arial" w:eastAsia="Arial" w:hAnsi="Arial"/>
                <w:sz w:val="18"/>
                <w:szCs w:val="18"/>
                <w:color w:val="auto"/>
              </w:rPr>
              <w:t>Potable Water System Diagram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T267-701-001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Fuel Oil Transfer System Diagram</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T267-713-001</w:t>
            </w:r>
          </w:p>
        </w:tc>
        <w:tc>
          <w:tcPr>
            <w:tcW w:w="3760" w:type="dxa"/>
            <w:vAlign w:val="bottom"/>
          </w:tcPr>
          <w:p>
            <w:pPr>
              <w:ind w:left="120"/>
              <w:spacing w:after="0"/>
              <w:rPr>
                <w:sz w:val="20"/>
                <w:szCs w:val="20"/>
                <w:color w:val="auto"/>
              </w:rPr>
            </w:pPr>
            <w:r>
              <w:rPr>
                <w:rFonts w:ascii="Arial" w:cs="Arial" w:eastAsia="Arial" w:hAnsi="Arial"/>
                <w:sz w:val="18"/>
                <w:szCs w:val="18"/>
                <w:color w:val="auto"/>
              </w:rPr>
              <w:t>Lube Oil System Diagram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T267-721-001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SW Engine Cooling System Diagram</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T267-722-002</w:t>
            </w:r>
          </w:p>
        </w:tc>
        <w:tc>
          <w:tcPr>
            <w:tcW w:w="3760" w:type="dxa"/>
            <w:vAlign w:val="bottom"/>
          </w:tcPr>
          <w:p>
            <w:pPr>
              <w:ind w:left="120"/>
              <w:spacing w:after="0"/>
              <w:rPr>
                <w:sz w:val="20"/>
                <w:szCs w:val="20"/>
                <w:color w:val="auto"/>
              </w:rPr>
            </w:pPr>
            <w:r>
              <w:rPr>
                <w:rFonts w:ascii="Arial" w:cs="Arial" w:eastAsia="Arial" w:hAnsi="Arial"/>
                <w:sz w:val="18"/>
                <w:szCs w:val="18"/>
                <w:color w:val="auto"/>
              </w:rPr>
              <w:t>Generator Cooling System Diagram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T267-732-001</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Compressed Air Diagram</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T267-744-002</w:t>
            </w:r>
          </w:p>
        </w:tc>
        <w:tc>
          <w:tcPr>
            <w:tcW w:w="3760" w:type="dxa"/>
            <w:vAlign w:val="bottom"/>
          </w:tcPr>
          <w:p>
            <w:pPr>
              <w:ind w:left="120"/>
              <w:spacing w:after="0"/>
              <w:rPr>
                <w:sz w:val="20"/>
                <w:szCs w:val="20"/>
                <w:color w:val="auto"/>
              </w:rPr>
            </w:pPr>
            <w:r>
              <w:rPr>
                <w:rFonts w:ascii="Arial" w:cs="Arial" w:eastAsia="Arial" w:hAnsi="Arial"/>
                <w:sz w:val="18"/>
                <w:szCs w:val="18"/>
                <w:color w:val="auto"/>
              </w:rPr>
              <w:t>Diesel Engine Combustion Air Diagram</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T267-744-003</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Diesel Engine Exhaust System Diagram</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P</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9" w:name="page200"/>
    <w:bookmarkEnd w:id="19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tcPr>
          <w:p>
            <w:pPr>
              <w:ind w:left="4000"/>
              <w:spacing w:after="0"/>
              <w:rPr>
                <w:sz w:val="20"/>
                <w:szCs w:val="20"/>
                <w:color w:val="auto"/>
              </w:rPr>
            </w:pPr>
            <w:r>
              <w:rPr>
                <w:rFonts w:ascii="Arial" w:cs="Arial" w:eastAsia="Arial" w:hAnsi="Arial"/>
                <w:sz w:val="18"/>
                <w:szCs w:val="18"/>
                <w:b w:val="1"/>
                <w:bCs w:val="1"/>
                <w:color w:val="auto"/>
              </w:rPr>
              <w:t>EXHIBIT C-4</w:t>
            </w:r>
          </w:p>
        </w:tc>
        <w:tc>
          <w:tcPr>
            <w:tcW w:w="2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T267-803-001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Bilge System Diagram</w:t>
            </w:r>
          </w:p>
        </w:tc>
        <w:tc>
          <w:tcPr>
            <w:tcW w:w="20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A</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T267-803-002</w:t>
            </w:r>
          </w:p>
        </w:tc>
        <w:tc>
          <w:tcPr>
            <w:tcW w:w="7240" w:type="dxa"/>
            <w:vAlign w:val="bottom"/>
          </w:tcPr>
          <w:p>
            <w:pPr>
              <w:ind w:left="120"/>
              <w:spacing w:after="0"/>
              <w:rPr>
                <w:sz w:val="20"/>
                <w:szCs w:val="20"/>
                <w:color w:val="auto"/>
              </w:rPr>
            </w:pPr>
            <w:r>
              <w:rPr>
                <w:rFonts w:ascii="Arial" w:cs="Arial" w:eastAsia="Arial" w:hAnsi="Arial"/>
                <w:sz w:val="18"/>
                <w:szCs w:val="18"/>
                <w:color w:val="auto"/>
              </w:rPr>
              <w:t>Deck Drains &amp; Scuppers System Diagram</w:t>
            </w:r>
          </w:p>
        </w:tc>
        <w:tc>
          <w:tcPr>
            <w:tcW w:w="2040" w:type="dxa"/>
            <w:vAlign w:val="bottom"/>
          </w:tcPr>
          <w:p>
            <w:pPr>
              <w:ind w:left="1680"/>
              <w:spacing w:after="0"/>
              <w:rPr>
                <w:sz w:val="20"/>
                <w:szCs w:val="20"/>
                <w:color w:val="auto"/>
              </w:rPr>
            </w:pPr>
            <w:r>
              <w:rPr>
                <w:rFonts w:ascii="Arial" w:cs="Arial" w:eastAsia="Arial" w:hAnsi="Arial"/>
                <w:sz w:val="18"/>
                <w:szCs w:val="18"/>
                <w:color w:val="auto"/>
              </w:rPr>
              <w:t>P</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T267-821-001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Vents and Soundings System Diagram</w:t>
            </w:r>
          </w:p>
        </w:tc>
        <w:tc>
          <w:tcPr>
            <w:tcW w:w="20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B</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T267-861-001</w:t>
            </w:r>
          </w:p>
        </w:tc>
        <w:tc>
          <w:tcPr>
            <w:tcW w:w="7240" w:type="dxa"/>
            <w:vAlign w:val="bottom"/>
          </w:tcPr>
          <w:p>
            <w:pPr>
              <w:ind w:left="120"/>
              <w:spacing w:after="0"/>
              <w:rPr>
                <w:sz w:val="20"/>
                <w:szCs w:val="20"/>
                <w:color w:val="auto"/>
              </w:rPr>
            </w:pPr>
            <w:r>
              <w:rPr>
                <w:rFonts w:ascii="Arial" w:cs="Arial" w:eastAsia="Arial" w:hAnsi="Arial"/>
                <w:sz w:val="18"/>
                <w:szCs w:val="18"/>
                <w:color w:val="auto"/>
              </w:rPr>
              <w:t>1 ONE LINE</w:t>
            </w:r>
          </w:p>
        </w:tc>
        <w:tc>
          <w:tcPr>
            <w:tcW w:w="2040" w:type="dxa"/>
            <w:vAlign w:val="bottom"/>
          </w:tcPr>
          <w:p>
            <w:pPr>
              <w:ind w:left="1680"/>
              <w:spacing w:after="0"/>
              <w:rPr>
                <w:sz w:val="20"/>
                <w:szCs w:val="20"/>
                <w:color w:val="auto"/>
              </w:rPr>
            </w:pPr>
            <w:r>
              <w:rPr>
                <w:rFonts w:ascii="Arial" w:cs="Arial" w:eastAsia="Arial" w:hAnsi="Arial"/>
                <w:sz w:val="18"/>
                <w:szCs w:val="18"/>
                <w:color w:val="auto"/>
              </w:rPr>
              <w:t>P</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T267-861-002</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ONE LINE DIA</w:t>
            </w:r>
          </w:p>
        </w:tc>
        <w:tc>
          <w:tcPr>
            <w:tcW w:w="20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P</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T267-871-001</w:t>
            </w:r>
          </w:p>
        </w:tc>
        <w:tc>
          <w:tcPr>
            <w:tcW w:w="7240" w:type="dxa"/>
            <w:vAlign w:val="bottom"/>
          </w:tcPr>
          <w:p>
            <w:pPr>
              <w:ind w:left="120"/>
              <w:spacing w:after="0"/>
              <w:rPr>
                <w:sz w:val="20"/>
                <w:szCs w:val="20"/>
                <w:color w:val="auto"/>
              </w:rPr>
            </w:pPr>
            <w:r>
              <w:rPr>
                <w:rFonts w:ascii="Arial" w:cs="Arial" w:eastAsia="Arial" w:hAnsi="Arial"/>
                <w:sz w:val="18"/>
                <w:szCs w:val="18"/>
                <w:color w:val="auto"/>
              </w:rPr>
              <w:t>Machinery Lighting Arrangement</w:t>
            </w:r>
          </w:p>
        </w:tc>
        <w:tc>
          <w:tcPr>
            <w:tcW w:w="2040" w:type="dxa"/>
            <w:vAlign w:val="bottom"/>
          </w:tcPr>
          <w:p>
            <w:pPr>
              <w:ind w:left="1660"/>
              <w:spacing w:after="0"/>
              <w:rPr>
                <w:sz w:val="20"/>
                <w:szCs w:val="20"/>
                <w:color w:val="auto"/>
              </w:rPr>
            </w:pPr>
            <w:r>
              <w:rPr>
                <w:rFonts w:ascii="Arial" w:cs="Arial" w:eastAsia="Arial" w:hAnsi="Arial"/>
                <w:sz w:val="18"/>
                <w:szCs w:val="18"/>
                <w:color w:val="auto"/>
              </w:rPr>
              <w:t>B</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T267-875-001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LOAD ANALYSIS</w:t>
            </w:r>
          </w:p>
        </w:tc>
        <w:tc>
          <w:tcPr>
            <w:tcW w:w="20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P</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T267-875-002</w:t>
            </w:r>
          </w:p>
        </w:tc>
        <w:tc>
          <w:tcPr>
            <w:tcW w:w="7240" w:type="dxa"/>
            <w:vAlign w:val="bottom"/>
          </w:tcPr>
          <w:p>
            <w:pPr>
              <w:ind w:left="120"/>
              <w:spacing w:after="0"/>
              <w:rPr>
                <w:sz w:val="20"/>
                <w:szCs w:val="20"/>
                <w:color w:val="auto"/>
              </w:rPr>
            </w:pPr>
            <w:r>
              <w:rPr>
                <w:rFonts w:ascii="Arial" w:cs="Arial" w:eastAsia="Arial" w:hAnsi="Arial"/>
                <w:sz w:val="18"/>
                <w:szCs w:val="18"/>
                <w:color w:val="auto"/>
              </w:rPr>
              <w:t>Elect Load Analysis DC</w:t>
            </w:r>
          </w:p>
        </w:tc>
        <w:tc>
          <w:tcPr>
            <w:tcW w:w="2040" w:type="dxa"/>
            <w:vAlign w:val="bottom"/>
          </w:tcPr>
          <w:p>
            <w:pPr>
              <w:ind w:left="1680"/>
              <w:spacing w:after="0"/>
              <w:rPr>
                <w:sz w:val="20"/>
                <w:szCs w:val="20"/>
                <w:color w:val="auto"/>
              </w:rPr>
            </w:pPr>
            <w:r>
              <w:rPr>
                <w:rFonts w:ascii="Arial" w:cs="Arial" w:eastAsia="Arial" w:hAnsi="Arial"/>
                <w:sz w:val="18"/>
                <w:szCs w:val="18"/>
                <w:color w:val="auto"/>
              </w:rPr>
              <w:t>P</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T267-880-001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CABLEWAY ROUTING</w:t>
            </w:r>
          </w:p>
        </w:tc>
        <w:tc>
          <w:tcPr>
            <w:tcW w:w="20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P</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T267-881-001</w:t>
            </w:r>
          </w:p>
        </w:tc>
        <w:tc>
          <w:tcPr>
            <w:tcW w:w="7240" w:type="dxa"/>
            <w:vAlign w:val="bottom"/>
          </w:tcPr>
          <w:p>
            <w:pPr>
              <w:ind w:left="120"/>
              <w:spacing w:after="0"/>
              <w:rPr>
                <w:sz w:val="20"/>
                <w:szCs w:val="20"/>
                <w:color w:val="auto"/>
              </w:rPr>
            </w:pPr>
            <w:r>
              <w:rPr>
                <w:rFonts w:ascii="Arial" w:cs="Arial" w:eastAsia="Arial" w:hAnsi="Arial"/>
                <w:sz w:val="18"/>
                <w:szCs w:val="18"/>
                <w:color w:val="auto"/>
              </w:rPr>
              <w:t>CABLE LIST &amp; BOM</w:t>
            </w:r>
          </w:p>
        </w:tc>
        <w:tc>
          <w:tcPr>
            <w:tcW w:w="2040" w:type="dxa"/>
            <w:vAlign w:val="bottom"/>
          </w:tcPr>
          <w:p>
            <w:pPr>
              <w:ind w:left="1680"/>
              <w:spacing w:after="0"/>
              <w:rPr>
                <w:sz w:val="20"/>
                <w:szCs w:val="20"/>
                <w:color w:val="auto"/>
              </w:rPr>
            </w:pPr>
            <w:r>
              <w:rPr>
                <w:rFonts w:ascii="Arial" w:cs="Arial" w:eastAsia="Arial" w:hAnsi="Arial"/>
                <w:sz w:val="18"/>
                <w:szCs w:val="18"/>
                <w:color w:val="auto"/>
              </w:rPr>
              <w:t>P</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T267-891-001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 LIGHT ARRANGEMENT</w:t>
            </w:r>
          </w:p>
        </w:tc>
        <w:tc>
          <w:tcPr>
            <w:tcW w:w="20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C</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T267-893-001</w:t>
            </w:r>
          </w:p>
        </w:tc>
        <w:tc>
          <w:tcPr>
            <w:tcW w:w="7240" w:type="dxa"/>
            <w:vAlign w:val="bottom"/>
          </w:tcPr>
          <w:p>
            <w:pPr>
              <w:ind w:left="120"/>
              <w:spacing w:after="0"/>
              <w:rPr>
                <w:sz w:val="20"/>
                <w:szCs w:val="20"/>
                <w:color w:val="auto"/>
              </w:rPr>
            </w:pPr>
            <w:r>
              <w:rPr>
                <w:rFonts w:ascii="Arial" w:cs="Arial" w:eastAsia="Arial" w:hAnsi="Arial"/>
                <w:sz w:val="18"/>
                <w:szCs w:val="18"/>
                <w:color w:val="auto"/>
              </w:rPr>
              <w:t>EXT LIGHT ARRGMNT</w:t>
            </w:r>
          </w:p>
        </w:tc>
        <w:tc>
          <w:tcPr>
            <w:tcW w:w="2040" w:type="dxa"/>
            <w:vAlign w:val="bottom"/>
          </w:tcPr>
          <w:p>
            <w:pPr>
              <w:ind w:left="1660"/>
              <w:spacing w:after="0"/>
              <w:rPr>
                <w:sz w:val="20"/>
                <w:szCs w:val="20"/>
                <w:color w:val="auto"/>
              </w:rPr>
            </w:pPr>
            <w:r>
              <w:rPr>
                <w:rFonts w:ascii="Arial" w:cs="Arial" w:eastAsia="Arial" w:hAnsi="Arial"/>
                <w:sz w:val="18"/>
                <w:szCs w:val="18"/>
                <w:color w:val="auto"/>
              </w:rPr>
              <w:t>A</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151-38-26136</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120 Ft Dragarm, Davits &amp; Hoists Arrgmt</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151-38-25286</w:t>
            </w:r>
          </w:p>
        </w:tc>
        <w:tc>
          <w:tcPr>
            <w:tcW w:w="7240" w:type="dxa"/>
            <w:vAlign w:val="bottom"/>
          </w:tcPr>
          <w:p>
            <w:pPr>
              <w:ind w:left="120"/>
              <w:spacing w:after="0"/>
              <w:rPr>
                <w:sz w:val="20"/>
                <w:szCs w:val="20"/>
                <w:color w:val="auto"/>
              </w:rPr>
            </w:pPr>
            <w:r>
              <w:rPr>
                <w:rFonts w:ascii="Arial" w:cs="Arial" w:eastAsia="Arial" w:hAnsi="Arial"/>
                <w:sz w:val="18"/>
                <w:szCs w:val="18"/>
                <w:color w:val="auto"/>
              </w:rPr>
              <w:t>ATB Draghead Davit Arrgmt 36 In Dragarm REV 1</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151-38-25286</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Draghead Davit Arrgmt 36 In Dragarm Rev 2</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151-38-25286</w:t>
            </w:r>
          </w:p>
        </w:tc>
        <w:tc>
          <w:tcPr>
            <w:tcW w:w="7240" w:type="dxa"/>
            <w:vAlign w:val="bottom"/>
          </w:tcPr>
          <w:p>
            <w:pPr>
              <w:ind w:left="120"/>
              <w:spacing w:after="0"/>
              <w:rPr>
                <w:sz w:val="20"/>
                <w:szCs w:val="20"/>
                <w:color w:val="auto"/>
              </w:rPr>
            </w:pPr>
            <w:r>
              <w:rPr>
                <w:rFonts w:ascii="Arial" w:cs="Arial" w:eastAsia="Arial" w:hAnsi="Arial"/>
                <w:sz w:val="18"/>
                <w:szCs w:val="18"/>
                <w:color w:val="auto"/>
              </w:rPr>
              <w:t>ATB Draghead Davit Arrgmt 36 In Dragarm Rev 4</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151-38-25333</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Draghead Davit Weight Spreadsheet 10 Sep 12</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151-38-25334</w:t>
            </w:r>
          </w:p>
        </w:tc>
        <w:tc>
          <w:tcPr>
            <w:tcW w:w="7240" w:type="dxa"/>
            <w:vAlign w:val="bottom"/>
          </w:tcPr>
          <w:p>
            <w:pPr>
              <w:ind w:left="120"/>
              <w:spacing w:after="0"/>
              <w:rPr>
                <w:sz w:val="20"/>
                <w:szCs w:val="20"/>
                <w:color w:val="auto"/>
              </w:rPr>
            </w:pPr>
            <w:r>
              <w:rPr>
                <w:rFonts w:ascii="Arial" w:cs="Arial" w:eastAsia="Arial" w:hAnsi="Arial"/>
                <w:sz w:val="18"/>
                <w:szCs w:val="18"/>
                <w:color w:val="auto"/>
              </w:rPr>
              <w:t>ATB Draghead Davit FEA Report 7 Sep 12</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151-38-25335</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Draghead Davit Cylinder Bracket FEA Report 11 Sep 12</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151-38-25390</w:t>
            </w:r>
          </w:p>
        </w:tc>
        <w:tc>
          <w:tcPr>
            <w:tcW w:w="7240" w:type="dxa"/>
            <w:vAlign w:val="bottom"/>
          </w:tcPr>
          <w:p>
            <w:pPr>
              <w:ind w:left="120"/>
              <w:spacing w:after="0"/>
              <w:rPr>
                <w:sz w:val="20"/>
                <w:szCs w:val="20"/>
                <w:color w:val="auto"/>
              </w:rPr>
            </w:pPr>
            <w:r>
              <w:rPr>
                <w:rFonts w:ascii="Arial" w:cs="Arial" w:eastAsia="Arial" w:hAnsi="Arial"/>
                <w:sz w:val="18"/>
                <w:szCs w:val="18"/>
                <w:color w:val="auto"/>
              </w:rPr>
              <w:t>ATB Draghead Davit Frame Details 36 In Dragarm Rev 1</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151-38-25390</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Draghead Davit Frame Details 36 In Dragarm</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151-38-25391</w:t>
            </w:r>
          </w:p>
        </w:tc>
        <w:tc>
          <w:tcPr>
            <w:tcW w:w="7240" w:type="dxa"/>
            <w:vAlign w:val="bottom"/>
          </w:tcPr>
          <w:p>
            <w:pPr>
              <w:ind w:left="120"/>
              <w:spacing w:after="0"/>
              <w:rPr>
                <w:sz w:val="20"/>
                <w:szCs w:val="20"/>
                <w:color w:val="auto"/>
              </w:rPr>
            </w:pPr>
            <w:r>
              <w:rPr>
                <w:rFonts w:ascii="Arial" w:cs="Arial" w:eastAsia="Arial" w:hAnsi="Arial"/>
                <w:sz w:val="18"/>
                <w:szCs w:val="18"/>
                <w:color w:val="auto"/>
              </w:rPr>
              <w:t>ATB 50 In P.D. Sheave Assy &amp; Details Draghead Davit</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151-38-25392</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Swivel Sheave Housing Details Draghead Davit Rev 1</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151-38-25392</w:t>
            </w:r>
          </w:p>
        </w:tc>
        <w:tc>
          <w:tcPr>
            <w:tcW w:w="7240" w:type="dxa"/>
            <w:vAlign w:val="bottom"/>
          </w:tcPr>
          <w:p>
            <w:pPr>
              <w:ind w:left="120"/>
              <w:spacing w:after="0"/>
              <w:rPr>
                <w:sz w:val="20"/>
                <w:szCs w:val="20"/>
                <w:color w:val="auto"/>
              </w:rPr>
            </w:pPr>
            <w:r>
              <w:rPr>
                <w:rFonts w:ascii="Arial" w:cs="Arial" w:eastAsia="Arial" w:hAnsi="Arial"/>
                <w:sz w:val="18"/>
                <w:szCs w:val="18"/>
                <w:color w:val="auto"/>
              </w:rPr>
              <w:t>ATB Swivel Sheave Housing Details Draghead Davit</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151-38-25393</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Swivel Sheave Misc Details Draghead Davit Rev 1</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151-38-25393</w:t>
            </w:r>
          </w:p>
        </w:tc>
        <w:tc>
          <w:tcPr>
            <w:tcW w:w="7240" w:type="dxa"/>
            <w:vAlign w:val="bottom"/>
          </w:tcPr>
          <w:p>
            <w:pPr>
              <w:ind w:left="120"/>
              <w:spacing w:after="0"/>
              <w:rPr>
                <w:sz w:val="20"/>
                <w:szCs w:val="20"/>
                <w:color w:val="auto"/>
              </w:rPr>
            </w:pPr>
            <w:r>
              <w:rPr>
                <w:rFonts w:ascii="Arial" w:cs="Arial" w:eastAsia="Arial" w:hAnsi="Arial"/>
                <w:sz w:val="18"/>
                <w:szCs w:val="18"/>
                <w:color w:val="auto"/>
              </w:rPr>
              <w:t>ATB Swivel Sheave Misc Details Draghead Davit</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151-38-25394</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Pivot Bracket Details Draghead &amp; Gimbal Davits</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151-38-25440</w:t>
            </w:r>
          </w:p>
        </w:tc>
        <w:tc>
          <w:tcPr>
            <w:tcW w:w="7240" w:type="dxa"/>
            <w:vAlign w:val="bottom"/>
          </w:tcPr>
          <w:p>
            <w:pPr>
              <w:ind w:left="120"/>
              <w:spacing w:after="0"/>
              <w:rPr>
                <w:sz w:val="20"/>
                <w:szCs w:val="20"/>
                <w:color w:val="auto"/>
              </w:rPr>
            </w:pPr>
            <w:r>
              <w:rPr>
                <w:rFonts w:ascii="Arial" w:cs="Arial" w:eastAsia="Arial" w:hAnsi="Arial"/>
                <w:sz w:val="18"/>
                <w:szCs w:val="18"/>
                <w:color w:val="auto"/>
              </w:rPr>
              <w:t>ATB Draghead Davit Lube Lines Arrgmt &amp; Details Rev 1</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151-38-25440</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Draghead Davit Lube Lines Arrgmt &amp; Details</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151-38-25487</w:t>
            </w:r>
          </w:p>
        </w:tc>
        <w:tc>
          <w:tcPr>
            <w:tcW w:w="7240" w:type="dxa"/>
            <w:vAlign w:val="bottom"/>
          </w:tcPr>
          <w:p>
            <w:pPr>
              <w:ind w:left="120"/>
              <w:spacing w:after="0"/>
              <w:rPr>
                <w:sz w:val="20"/>
                <w:szCs w:val="20"/>
                <w:color w:val="auto"/>
              </w:rPr>
            </w:pPr>
            <w:r>
              <w:rPr>
                <w:rFonts w:ascii="Arial" w:cs="Arial" w:eastAsia="Arial" w:hAnsi="Arial"/>
                <w:sz w:val="18"/>
                <w:szCs w:val="18"/>
                <w:color w:val="auto"/>
              </w:rPr>
              <w:t>ATB Draghead Davit Cylinder Anchor Bracket Detail Rev 1</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151-38-25487</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Draghead Davit Cylinder Anchor Bracket Detail</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151-38-25496</w:t>
            </w:r>
          </w:p>
        </w:tc>
        <w:tc>
          <w:tcPr>
            <w:tcW w:w="7240" w:type="dxa"/>
            <w:vAlign w:val="bottom"/>
          </w:tcPr>
          <w:p>
            <w:pPr>
              <w:ind w:left="120"/>
              <w:spacing w:after="0"/>
              <w:rPr>
                <w:sz w:val="20"/>
                <w:szCs w:val="20"/>
                <w:color w:val="auto"/>
              </w:rPr>
            </w:pPr>
            <w:r>
              <w:rPr>
                <w:rFonts w:ascii="Arial" w:cs="Arial" w:eastAsia="Arial" w:hAnsi="Arial"/>
                <w:sz w:val="18"/>
                <w:szCs w:val="18"/>
                <w:color w:val="auto"/>
              </w:rPr>
              <w:t>ATB Sheave Lip Seal (Garlock Part No 21267-4190- Rev 1)</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151-38-26166</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Draghead Davit Hoist Foundation Arrgmt and Details</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151-38-26172</w:t>
            </w:r>
          </w:p>
        </w:tc>
        <w:tc>
          <w:tcPr>
            <w:tcW w:w="7240" w:type="dxa"/>
            <w:vAlign w:val="bottom"/>
          </w:tcPr>
          <w:p>
            <w:pPr>
              <w:ind w:left="120"/>
              <w:spacing w:after="0"/>
              <w:rPr>
                <w:sz w:val="20"/>
                <w:szCs w:val="20"/>
                <w:color w:val="auto"/>
              </w:rPr>
            </w:pPr>
            <w:r>
              <w:rPr>
                <w:rFonts w:ascii="Arial" w:cs="Arial" w:eastAsia="Arial" w:hAnsi="Arial"/>
                <w:sz w:val="18"/>
                <w:szCs w:val="18"/>
                <w:color w:val="auto"/>
              </w:rPr>
              <w:t>ATB Draghead Davit Hoist Foundation FEA Report</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Draghead Davit 36 In Dragarm Cylinder Bracket FEA Report 4 Dec 12</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Dredge ATB Draghead Davit Deck Loads For 36 In Dragarm 1 Oct 12</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151-38-23541</w:t>
            </w: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ATB Gimble Davit Suspension Block Assembly Rev 2</w:t>
            </w: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151-38-25287</w:t>
            </w:r>
          </w:p>
        </w:tc>
        <w:tc>
          <w:tcPr>
            <w:tcW w:w="7240" w:type="dxa"/>
            <w:vAlign w:val="bottom"/>
          </w:tcPr>
          <w:p>
            <w:pPr>
              <w:ind w:left="120"/>
              <w:spacing w:after="0"/>
              <w:rPr>
                <w:sz w:val="20"/>
                <w:szCs w:val="20"/>
                <w:color w:val="auto"/>
              </w:rPr>
            </w:pPr>
            <w:r>
              <w:rPr>
                <w:rFonts w:ascii="Arial" w:cs="Arial" w:eastAsia="Arial" w:hAnsi="Arial"/>
                <w:sz w:val="18"/>
                <w:szCs w:val="18"/>
                <w:color w:val="auto"/>
              </w:rPr>
              <w:t>ATB Gimbal Davit Arrgmt 36 In Dragarm REV 1</w:t>
            </w: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0" w:name="page201"/>
    <w:bookmarkEnd w:id="20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40" w:type="dxa"/>
            <w:vAlign w:val="bottom"/>
          </w:tcPr>
          <w:p>
            <w:pPr>
              <w:ind w:left="5140"/>
              <w:spacing w:after="0"/>
              <w:rPr>
                <w:sz w:val="20"/>
                <w:szCs w:val="20"/>
                <w:color w:val="auto"/>
              </w:rPr>
            </w:pPr>
            <w:r>
              <w:rPr>
                <w:rFonts w:ascii="Arial" w:cs="Arial" w:eastAsia="Arial" w:hAnsi="Arial"/>
                <w:sz w:val="18"/>
                <w:szCs w:val="18"/>
                <w:b w:val="1"/>
                <w:bCs w:val="1"/>
                <w:color w:val="auto"/>
              </w:rPr>
              <w:t>EXHIBIT C-4</w:t>
            </w:r>
          </w:p>
        </w:tc>
        <w:tc>
          <w:tcPr>
            <w:tcW w:w="1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5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151-38-25287   ATB Gimbal Davit Arrgmt 36 In Dragarm Rev 2</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151-38-25287   ATB Gimbal Davit Arrgmt 36 In Dragarm Rev 4</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151-38-25340   ATB Gimble Davit Weight Spreadsheet 14 Sep 12</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151-38-25341   ATB Gimble Davit FEA Report 18 Sep 12</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151-38-25342   ATB Gimble Davit Cylinder Bracket FEA Report 17 Sep 12</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151-38-25487   ATB Draghead Davit Cylinder Anchor Bracket Detail Rev 2</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151-38-25488   ATB Gimbal Davit Frame Details 36 In Dragarm Rev 1</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151-38-25488   ATB Gimbal Davit Frame Details 36 In Dragarm</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151-38-25489   ATB 36 In P.D. Sheave Assy &amp; Details Gimbal Davit</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151-38-25490   ATB Swivel Sheave Housing Details Gimbal Davit</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151-38-25491   ATB Swivel Sheave Misc Details Gimbal Davit</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151-38-25492   ATB Gimbal Davit Lube Lines Arrgmt &amp; Details</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151-38-25494   ATB Gimbal Davit Cylinder Anchor Bracket Detail Rev 1</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151-38-25494   ATB Gimbal Davit Cylinder Anchor Bracket Detail</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151-38-25519   ATB Gimbal Davit Suspension Block Housing Detail</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151-38-25520   ATB Gimbal Davit Suspension Block Cover Detail</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151-38-25521   ATB Gimbal Davit Suspension Block Misc Details</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151-38-26165   ATB Gimbal Davit Hoist Foundation Arrgmt and Details</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151-38-26171   ATB Gimbal Davit Hoist Foundation FEA Report</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60"/>
              <w:spacing w:after="0"/>
              <w:rPr>
                <w:sz w:val="20"/>
                <w:szCs w:val="20"/>
                <w:color w:val="auto"/>
              </w:rPr>
            </w:pPr>
            <w:r>
              <w:rPr>
                <w:rFonts w:ascii="Arial" w:cs="Arial" w:eastAsia="Arial" w:hAnsi="Arial"/>
                <w:sz w:val="18"/>
                <w:szCs w:val="18"/>
                <w:color w:val="auto"/>
              </w:rPr>
              <w:t>ATB Gimbal Davit 36 In Dragarm Cylinder Bracket FEA Report 11 Dec 12</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Dredge ATB Gimbal Davit Deck Loads For 36 In Dragarm 1 Oct 12</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151-38-23519   ATB 50 In P.D. Sheave Box No. 1 Assy Rev 2</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151-38-23524   ATB 36 In P.D. Sheave Box Assembly Rev 2</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151-38-23535   ATB Swell Compensator Sheave Box Assembly Rev 2</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151-38-25441   ATB 50 In P.D. Sheave Box No. 1 Details</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151-38-26135   ATB 36 In P.D. Sheave Box Details</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151-38-26149   ATB Swell Compensator Sheave Box Details</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151-38-26154   ATB 50 In P.D. Sheave Box No. 2 Assy</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151-38-26155   ATB 50 In P.D. Sheave Box No. 2 Details</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151-38-26156   ATB Swell Compensator Cyl. &amp; Sheave Box Fndtn Arrgmt &amp; Details</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151-38-26173   ATB Swell Compensator Cyl. &amp; Sheave Box Foundation FEA Report 29 May 13</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151-38-25288   ATB Trunnion Davit Arrgmt 36 In Dragarm Brusselle Hoist Rev 1</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151-38-25288   ATB Trunnion Davit Arrgmt 36 In Dragarm Brusselle Hoist Rev 3</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151-38-25323   ATB Trunnion Davit Service Frame Assembly 36 In Dragarm Rev 2</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151-38-25332   ATB Trunnion Davit Service Frame Details 36 In Dragarm</w:t>
            </w:r>
          </w:p>
        </w:tc>
        <w:tc>
          <w:tcPr>
            <w:tcW w:w="1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151-38-25935   ATB Trunnion Davit Foundation Details Rev 1</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1" w:name="page202"/>
    <w:bookmarkEnd w:id="201"/>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80" w:type="dxa"/>
            <w:vAlign w:val="bottom"/>
          </w:tcPr>
          <w:p>
            <w:pPr>
              <w:ind w:left="5140"/>
              <w:spacing w:after="0"/>
              <w:rPr>
                <w:sz w:val="20"/>
                <w:szCs w:val="20"/>
                <w:color w:val="auto"/>
              </w:rPr>
            </w:pPr>
            <w:r>
              <w:rPr>
                <w:rFonts w:ascii="Arial" w:cs="Arial" w:eastAsia="Arial" w:hAnsi="Arial"/>
                <w:sz w:val="18"/>
                <w:szCs w:val="18"/>
                <w:b w:val="1"/>
                <w:bCs w:val="1"/>
                <w:color w:val="auto"/>
              </w:rPr>
              <w:t>EXHIBIT C-4</w:t>
            </w:r>
          </w:p>
        </w:tc>
        <w:tc>
          <w:tcPr>
            <w:tcW w:w="2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151-38-25935   ATB Trunnion Davit Foundation Details Rev 2</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151-38-25935   ATB Trunnion Davit Foundation Details</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151-38-25936   ATB Trunnion Davit Guide Rails Details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151-38-25936   ATB Trunnion Davit Guide Rails Details</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151-38-25937   ATB Trunnion Davit Assembly 36 In Dragarm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151-38-25937   ATB Trunnion Davit Assembly 36 In Dragarm</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151-38-25938   ATB Trunnion Davit Frame Details 36 In Dragarm Sheet 1 of 2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151-38-25938   ATB Trunnion Davit Frame Details 36 In Dragarm Sheet 1 of 2</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151-38-25938   ATB Trunnion Davit Frame Details 36 In Dragarm Sheet 2 of 2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151-38-25938   ATB Trunnion Davit Frame Details 36 In Dragarm Sheet 2 of 2</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151-38-25939   ATB Trunnion Davit Service Platform and Ladder Details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151-38-25939   ATB Trunnion Davit Service Platform and Ladder Details</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151-38-25940   ATB Trunnion Davit Misc Details 36 In Dragarm</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151-38-25941   ATB Trunnion Davit Hoist Slack Wire Sensor Arrgmt and Details Rev 1</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151-38-25941   ATB Trunnion Davit Hoist Slack Wire Sensor Arrgmt and Details</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151-38-26046   ATB Trunnion Davit Cylinder Arrgmt &amp; Details Rev 1</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151-38-26046   ATB Trunnion Davit Cylinder Arrgmt &amp; Details</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151-38-26065   ATB Trunnion Davit Foundation Walkway Details Rev 1</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151-38-26065   ATB Trunnion Davit Foundation Walkway Details</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151-38-26149   ATB Trunnion Davit Foundation 36 In Dragarm FEA Report 12 Apr 13</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151-38-26150   ATB Trunnion Davit Frame 36 In Dragarm FEA Report 22 May 13</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151-38-26169   ATB Trunnion Davit Cable Carrier Arrgmt and Details</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ATB Trunnion Davit Foundation 36 In Dragarm FEA Report 7 Mar 13 (2)</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151-67-23550   ATB Hopper Door Actuator Arrgmt Rev 3</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151-67-23550   ATB Hopper Door Actuator Arrgmt Rev 4</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151-67-23550   ATB Hopper Door Actuator Arrgmt Rev 5</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151-67-23550   ATB Hopper Door Actuator Arrgmt Rev 6</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151-67-25225   ATB Hopper Bottom Dumping Door Actuator Details Rev 1</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151-67-25225   ATB Hopper Bottom Dumping Door Actuator Details Rev 2</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151-67-25328   ATB Hopper Bottom Dumping Door Actuator Cylinder Support Rev 1</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151-67-25328   ATB Hopper Bottom Dumping Door Actuator Cylinder Support</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151-67-25329   ATB Hopper Bottom Dumping Door Actuator Rod Guide</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151-67-25330   ATB Hopper Bottom Dumping Door Actuator Wedge Detail</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2" w:name="page203"/>
    <w:bookmarkEnd w:id="20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60" w:type="dxa"/>
            <w:vAlign w:val="bottom"/>
          </w:tcPr>
          <w:p>
            <w:pPr>
              <w:ind w:left="5140"/>
              <w:spacing w:after="0"/>
              <w:rPr>
                <w:sz w:val="20"/>
                <w:szCs w:val="20"/>
                <w:color w:val="auto"/>
              </w:rPr>
            </w:pPr>
            <w:r>
              <w:rPr>
                <w:rFonts w:ascii="Arial" w:cs="Arial" w:eastAsia="Arial" w:hAnsi="Arial"/>
                <w:sz w:val="18"/>
                <w:szCs w:val="18"/>
                <w:b w:val="1"/>
                <w:bCs w:val="1"/>
                <w:color w:val="auto"/>
              </w:rPr>
              <w:t>EXHIBIT C-4</w:t>
            </w:r>
          </w:p>
        </w:tc>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151-67-25354   ATB Hopper Door Cylinder Support Beams</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151-67-25328   ATB Hopper Bottom Dumping Door Actuator Cylinder Support Rev 1</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151-67-25354   ATB Hopper Door Cylinder Support Beams</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151-67-25226   ATB Hopper Bottom Dumping Door Seal Arrgmt Rev 1</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151-67-25226   ATB Hopper Bottom Dumping Door Seal Arrgmt Rev 2</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151-67-25226   ATB Hopper Bottom Dumping Door Seal Arrgmt Rev 3</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151-67-25227   ATB Hopper Bottom Dumping Door Perimeter Seal Detail Rev 1</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151-67-25228   ATB Hopper Bottom Dumping Door Seal Frame Detail Rev 1</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151-67-25228   ATB Hopper Bottom Dumping Door Seal Frame Detail Rev 2</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151-67-25229   ATB Hopper Bottom Dumping Door Center Line Seal Detail Rev 1</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151-67-25331   ATB Hopper Bottom Dumping Door Seal Frame and Closing Bar Fixture Sht 1 of 2 Rev 2</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151-67-25331   ATB Hopper Bottom Dumping Door Seal Frame and Closing Bar Fixture Sht 1 of 2</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151-67-25331   ATB Hopper Bottom Dumping Door Seal Frame and Closing Bar Fixture Sht 2 of 2</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151-67-23551   ATB Hopper Bottom Dumping Door Detail Rev 3</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151-67-23551   ATB Hopper Bottom Dumping Door Detail Rev 4</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151-67-23548   ATB 67 In I D Telescopic Overflow Arrgmt Rev 2</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151-71-25009   ATB 36 In Dia x 120 Ft Dragarm Assembly Rev 2</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151-71-25370   ATB Armpiece Details 36 In Dragarm</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151-71-25406   ATB Dragarm Pick Point &amp; Davit Layout 36 In Dragarm</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151-71-26060   ATB 36 in Dragarm Hydraulic and Electrical Arrgmt and Details Sht 1 of 4</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151-71-26060   ATB 36 in Dragarm Hydraulic and Electrical Arrgmt and Details Sht 2 of 4</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151-71-26060   ATB 36 in Dragarm Hydraulic and Electrical Arrgmt and Details Sht 3 of 4</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151-71-26060   ATB 36 in Dragarm Hydraulic and Electrical Arrgmt and Details Sht 4 of 4</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151-71-26061   ATB 36 in Dragarm Electrical Equipment Enclosures</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151-71-25372   ATB Gimbal Ring Assembly 36 In Dragarm</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151-71-25373   ATB Gimbal Ring Details 36 In Dragarm</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151-71-25374   ATB Gimbal Ring Misc Details 36 In Dragarm</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151-71-26062   ATB Service Frame Hydraulic Piping and Electrical Cable Arrgmt 36 In Dragarm</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151-71-26063   ATB Service Frame Hydraulic Piping and Electrical Cable Details 36 In Dragarm</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151-71-26064   ATB Service Frame Hydraulic Piping Details 36 in Dragarm</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151-71-25357   ATB Sliding Trunnion Assembly 36 In Dragarm</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151-71-25358   ATB Sliding Trunnion Piece Detail 36 In Dragarm Rev 1</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151-71-25358   ATB Sliding Trunnion Piece Detail 36 In Dragarm</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3" w:name="page204"/>
    <w:bookmarkEnd w:id="20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40" w:type="dxa"/>
            <w:vAlign w:val="bottom"/>
          </w:tcPr>
          <w:p>
            <w:pPr>
              <w:ind w:left="4000"/>
              <w:spacing w:after="0"/>
              <w:rPr>
                <w:sz w:val="20"/>
                <w:szCs w:val="20"/>
                <w:color w:val="auto"/>
              </w:rPr>
            </w:pPr>
            <w:r>
              <w:rPr>
                <w:rFonts w:ascii="Arial" w:cs="Arial" w:eastAsia="Arial" w:hAnsi="Arial"/>
                <w:sz w:val="18"/>
                <w:szCs w:val="18"/>
                <w:b w:val="1"/>
                <w:bCs w:val="1"/>
                <w:color w:val="auto"/>
              </w:rPr>
              <w:t>EXHIBIT C-4</w:t>
            </w:r>
          </w:p>
        </w:tc>
        <w:tc>
          <w:tcPr>
            <w:tcW w:w="2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280" w:type="dxa"/>
            <w:vAlign w:val="bottom"/>
            <w:gridSpan w:val="2"/>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151-71-25359   ATB Sliding Trunnion Misc Details 36 In Dragarm</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151-71-25360   ATB Sliding Trunnion Service Fr Supp Detail 36 In Dragarm Rev 1</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151-71-25360   ATB Sliding Trunnion &amp; Service Fr Supp Detail 36 In Dragarm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151-71-25360   ATB Sliding Trunnion &amp; Service Fr Supp Detail 36 In Dragarm</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151-71-25361   ATB Trunnion Elbow Detail 36 In Dragarm</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151-71-25362   ATB Trunnion Elbow &amp; Armpiece Detail 36 In Dragarm</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Trunnion Slide</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151-71-23544</w:t>
            </w:r>
          </w:p>
        </w:tc>
        <w:tc>
          <w:tcPr>
            <w:tcW w:w="7140" w:type="dxa"/>
            <w:vAlign w:val="bottom"/>
          </w:tcPr>
          <w:p>
            <w:pPr>
              <w:ind w:left="120"/>
              <w:spacing w:after="0"/>
              <w:rPr>
                <w:sz w:val="20"/>
                <w:szCs w:val="20"/>
                <w:color w:val="auto"/>
              </w:rPr>
            </w:pPr>
            <w:r>
              <w:rPr>
                <w:rFonts w:ascii="Arial" w:cs="Arial" w:eastAsia="Arial" w:hAnsi="Arial"/>
                <w:sz w:val="18"/>
                <w:szCs w:val="18"/>
                <w:color w:val="auto"/>
              </w:rPr>
              <w:t>Slurry System Schematic</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151-71-23544</w:t>
            </w: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Slurry System Schematic</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151-71-25540   ATB 24 In Dia. 50 Lb. Slurry Gate Valve Assy With GCC Liners Rev 1</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151-71-25541   ATB Seal Retainer 24 In Dia. 50 Lb &amp; 150 Lb Slurry Gate Valve</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151-71-25542   ATB Body Detail For GCC Liner 24 In Dia. 50 Lb Slurry Gate Valve</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151-71-25543   ATB Bonnet Detail 24 In Dia. 50 Lb. Slurry Gate Valve</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151-71-25544   ATB Hydraulic Cyl. Assy 24 In Dia. 50 Lb &amp; 150 Lb Slurry Gate Valve</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151-71-25545   ATB Misc.Details 24 In Dia. 50 Lb &amp; 150 Lb Slurry Gate Valve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24 Inch GCC Lined</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151-71-25541   ATB Seal Retainer 24 In Dia. 50 Lb &amp; 150 Lb Slurry Gate Valve</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151-71-25543   ATB Bonnet Detail 24 In Dia. 50 Lb. Slurry Gate Valve</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151-71-25544   ATB Hydraulic Cyl. Assy 24 In Dia. 50 Lb &amp; 150 Lb Slurry Gate Valve</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151-71-25545   ATB Misc.Details 24 In Dia. 50 Lb &amp; 150 Lb Slurry Gate Valve Rev 1</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151-71-25807   ATB 24 In Dia. 50 Lb. Slurry Gate Valve Assy With HS-400 Liners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151-71-25808   ATB Body Detail With HS-400 Liner 24 In Dia. 50 Lb Slurry Gate Valve</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24 Inch HS400 Lined</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151-71-25540   ATB 24 In Dia. 50 Lb. Slurry Gate Valve Assy</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151-71-25627   ATB 36 In Dia. 50 Lb. Slurry Gate Valve Assy</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151-71-25627   ATB 36 In Dia. 50 Lb. Slurry Gate Valve Assy</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151-71-25369   ATB Suction Hose Details 36 in Dragarm</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151-71-25371   ATB Suction Pipe Details 36 In Dragarm</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151-71-25361   ATB Trunnion Elbow Detail 36 In Dragarm</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151-71-25362   ATB Trunnion Elbow &amp; Armpiece Detail 36 In Dragarm</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151-71-25549   ATB Hull Trunnion Suction Inlet Casting Detail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151-71-25549   ATB Hull Trunnion Suction Inlet Casting Detail</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151-71-25375   ATB Turning Gland Assembly 36 In Dragarm Rev 1</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151-71-25375   ATB Turning Gland Assembly 36 In Dragarm</w:t>
            </w:r>
          </w:p>
        </w:tc>
        <w:tc>
          <w:tcPr>
            <w:tcW w:w="2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rPr>
              <w:t>Aug-13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4" w:name="page205"/>
    <w:bookmarkEnd w:id="204"/>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20" w:type="dxa"/>
            <w:vAlign w:val="bottom"/>
          </w:tcPr>
          <w:p>
            <w:pPr>
              <w:ind w:left="4020"/>
              <w:spacing w:after="0"/>
              <w:rPr>
                <w:sz w:val="20"/>
                <w:szCs w:val="20"/>
                <w:color w:val="auto"/>
              </w:rPr>
            </w:pPr>
            <w:r>
              <w:rPr>
                <w:rFonts w:ascii="Arial" w:cs="Arial" w:eastAsia="Arial" w:hAnsi="Arial"/>
                <w:sz w:val="18"/>
                <w:szCs w:val="18"/>
                <w:b w:val="1"/>
                <w:bCs w:val="1"/>
                <w:color w:val="auto"/>
              </w:rPr>
              <w:t>EXHIBIT C-4</w:t>
            </w:r>
          </w:p>
        </w:tc>
        <w:tc>
          <w:tcPr>
            <w:tcW w:w="2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20" w:type="dxa"/>
            <w:vAlign w:val="bottom"/>
            <w:vMerge w:val="restart"/>
          </w:tcPr>
          <w:p>
            <w:pPr>
              <w:spacing w:after="0"/>
              <w:rPr>
                <w:sz w:val="24"/>
                <w:szCs w:val="24"/>
                <w:color w:val="auto"/>
              </w:rPr>
            </w:pPr>
          </w:p>
        </w:tc>
        <w:tc>
          <w:tcPr>
            <w:tcW w:w="834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151-71-25376   ATB Turning Gland Details 36 in Dragarm Rev 1</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8"/>
              </w:rPr>
              <w:t>151-71-25376</w:t>
            </w:r>
          </w:p>
        </w:tc>
        <w:tc>
          <w:tcPr>
            <w:tcW w:w="7220" w:type="dxa"/>
            <w:vAlign w:val="bottom"/>
          </w:tcPr>
          <w:p>
            <w:pPr>
              <w:ind w:left="100"/>
              <w:spacing w:after="0"/>
              <w:rPr>
                <w:sz w:val="20"/>
                <w:szCs w:val="20"/>
                <w:color w:val="auto"/>
              </w:rPr>
            </w:pPr>
            <w:r>
              <w:rPr>
                <w:rFonts w:ascii="Arial" w:cs="Arial" w:eastAsia="Arial" w:hAnsi="Arial"/>
                <w:sz w:val="18"/>
                <w:szCs w:val="18"/>
                <w:color w:val="auto"/>
              </w:rPr>
              <w:t>ATB Turning Gland Details 36 in Dragarm</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Turning Gland</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8"/>
              </w:rPr>
              <w:t>151-71-25365</w:t>
            </w:r>
          </w:p>
        </w:tc>
        <w:tc>
          <w:tcPr>
            <w:tcW w:w="7220" w:type="dxa"/>
            <w:vAlign w:val="bottom"/>
          </w:tcPr>
          <w:p>
            <w:pPr>
              <w:ind w:left="100"/>
              <w:spacing w:after="0"/>
              <w:rPr>
                <w:sz w:val="20"/>
                <w:szCs w:val="20"/>
                <w:color w:val="auto"/>
              </w:rPr>
            </w:pPr>
            <w:r>
              <w:rPr>
                <w:rFonts w:ascii="Arial" w:cs="Arial" w:eastAsia="Arial" w:hAnsi="Arial"/>
                <w:sz w:val="18"/>
                <w:szCs w:val="18"/>
                <w:color w:val="auto"/>
              </w:rPr>
              <w:t>ATB Jet Water Piping Arrgmt &amp; Details 36 in Dragarm</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8"/>
              </w:rPr>
              <w:t>151-71-25366</w:t>
            </w:r>
          </w:p>
        </w:tc>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ATB Jet Water Hose Details 36 in Dragarm</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8"/>
              </w:rPr>
              <w:t>151-81-24639</w:t>
            </w:r>
          </w:p>
        </w:tc>
        <w:tc>
          <w:tcPr>
            <w:tcW w:w="7220" w:type="dxa"/>
            <w:vAlign w:val="bottom"/>
          </w:tcPr>
          <w:p>
            <w:pPr>
              <w:ind w:left="100"/>
              <w:spacing w:after="0"/>
              <w:rPr>
                <w:sz w:val="20"/>
                <w:szCs w:val="20"/>
                <w:color w:val="auto"/>
              </w:rPr>
            </w:pPr>
            <w:r>
              <w:rPr>
                <w:rFonts w:ascii="Arial" w:cs="Arial" w:eastAsia="Arial" w:hAnsi="Arial"/>
                <w:sz w:val="18"/>
                <w:szCs w:val="18"/>
                <w:color w:val="auto"/>
              </w:rPr>
              <w:t>ATB Jet Water System Diagram Rev 2</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660" w:type="dxa"/>
            <w:vAlign w:val="bottom"/>
          </w:tcPr>
          <w:p>
            <w:pPr>
              <w:ind w:left="100"/>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ATB BARGE CONTRACT DRAWINGS PACKAGE – SEPTEMBER 2013</w:t>
      </w:r>
    </w:p>
    <w:p>
      <w:pPr>
        <w:sectPr>
          <w:pgSz w:w="11900" w:h="16838" w:orient="portrait"/>
          <w:cols w:equalWidth="0" w:num="1">
            <w:col w:w="11420"/>
          </w:cols>
          <w:pgMar w:left="240" w:top="274"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Dwg #</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732-001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020" w:type="dxa"/>
            <w:vAlign w:val="bottom"/>
            <w:gridSpan w:val="2"/>
          </w:tcPr>
          <w:p>
            <w:pPr>
              <w:ind w:left="410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Revision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Delivery Date</w:t>
            </w:r>
          </w:p>
        </w:tc>
      </w:tr>
      <w:tr>
        <w:trPr>
          <w:trHeight w:val="195"/>
        </w:trPr>
        <w:tc>
          <w:tcPr>
            <w:tcW w:w="8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Compressed Air Diagram (Barge)</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2"/>
              </w:rPr>
              <w:t>P</w:t>
            </w:r>
          </w:p>
        </w:tc>
        <w:tc>
          <w:tcPr>
            <w:tcW w:w="1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Sept-13</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Unit Breaks with Stock Shown on Lines Plan</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Sept-13</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GLDD Build Strategy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Sept-13</w:t>
            </w: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ATB Hopper Barge Model</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Sept-13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-556895</wp:posOffset>
            </wp:positionV>
            <wp:extent cx="7246620"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-273685</wp:posOffset>
            </wp:positionV>
            <wp:extent cx="72466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220"/>
            <w:col w:w="10600"/>
          </w:cols>
          <w:pgMar w:left="240" w:top="274"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ATB BARGE CONTRACT DRAWINGS PACKAGE – OCTOBER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Dwg #</w:t>
            </w:r>
          </w:p>
        </w:tc>
        <w:tc>
          <w:tcPr>
            <w:tcW w:w="4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5460" w:type="dxa"/>
            <w:vAlign w:val="bottom"/>
            <w:gridSpan w:val="2"/>
          </w:tcPr>
          <w:p>
            <w:pPr>
              <w:ind w:left="54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Revision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Delivery Date</w:t>
            </w:r>
          </w:p>
        </w:tc>
      </w:tr>
      <w:tr>
        <w:trPr>
          <w:trHeight w:val="203"/>
        </w:trPr>
        <w:tc>
          <w:tcPr>
            <w:tcW w:w="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266-001</w:t>
            </w:r>
          </w:p>
        </w:tc>
        <w:tc>
          <w:tcPr>
            <w:tcW w:w="3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Chain Locker and Hawse Pipes</w:t>
            </w:r>
          </w:p>
        </w:tc>
        <w:tc>
          <w:tcPr>
            <w:tcW w:w="5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2"/>
              </w:rPr>
              <w:t>P</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Oct-13</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266-001   Chain Locker and Hawse Pipes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266-001   Chain Locker and Hawse Pipes, Sheet 3</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267-001</w:t>
            </w:r>
          </w:p>
        </w:tc>
        <w:tc>
          <w:tcPr>
            <w:tcW w:w="3560" w:type="dxa"/>
            <w:vAlign w:val="bottom"/>
          </w:tcPr>
          <w:p>
            <w:pPr>
              <w:spacing w:after="0"/>
              <w:rPr>
                <w:sz w:val="20"/>
                <w:szCs w:val="20"/>
                <w:color w:val="auto"/>
              </w:rPr>
            </w:pPr>
            <w:r>
              <w:rPr>
                <w:rFonts w:ascii="Arial" w:cs="Arial" w:eastAsia="Arial" w:hAnsi="Arial"/>
                <w:sz w:val="18"/>
                <w:szCs w:val="18"/>
                <w:color w:val="auto"/>
              </w:rPr>
              <w:t>Bulwarks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267-001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Bulwarks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267-002</w:t>
            </w:r>
          </w:p>
        </w:tc>
        <w:tc>
          <w:tcPr>
            <w:tcW w:w="3560" w:type="dxa"/>
            <w:vAlign w:val="bottom"/>
          </w:tcPr>
          <w:p>
            <w:pPr>
              <w:spacing w:after="0"/>
              <w:rPr>
                <w:sz w:val="20"/>
                <w:szCs w:val="20"/>
                <w:color w:val="auto"/>
              </w:rPr>
            </w:pPr>
            <w:r>
              <w:rPr>
                <w:rFonts w:ascii="Arial" w:cs="Arial" w:eastAsia="Arial" w:hAnsi="Arial"/>
                <w:sz w:val="18"/>
                <w:szCs w:val="18"/>
                <w:color w:val="auto"/>
              </w:rPr>
              <w:t>Hull Fittings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269-001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Independent Tanks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278-001   Anodes &amp; Cathodic Protection System</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Hopper Coaming</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311-001</w:t>
            </w:r>
          </w:p>
        </w:tc>
        <w:tc>
          <w:tcPr>
            <w:tcW w:w="3560" w:type="dxa"/>
            <w:vAlign w:val="bottom"/>
          </w:tcPr>
          <w:p>
            <w:pPr>
              <w:spacing w:after="0"/>
              <w:rPr>
                <w:sz w:val="20"/>
                <w:szCs w:val="20"/>
                <w:color w:val="auto"/>
              </w:rPr>
            </w:pPr>
            <w:r>
              <w:rPr>
                <w:rFonts w:ascii="Arial" w:cs="Arial" w:eastAsia="Arial" w:hAnsi="Arial"/>
                <w:sz w:val="18"/>
                <w:szCs w:val="18"/>
                <w:color w:val="auto"/>
              </w:rPr>
              <w:t>Hopper Coaming</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Hopper Coaming</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311-001</w:t>
            </w:r>
          </w:p>
        </w:tc>
        <w:tc>
          <w:tcPr>
            <w:tcW w:w="3560" w:type="dxa"/>
            <w:vAlign w:val="bottom"/>
          </w:tcPr>
          <w:p>
            <w:pPr>
              <w:spacing w:after="0"/>
              <w:rPr>
                <w:sz w:val="20"/>
                <w:szCs w:val="20"/>
                <w:color w:val="auto"/>
              </w:rPr>
            </w:pPr>
            <w:r>
              <w:rPr>
                <w:rFonts w:ascii="Arial" w:cs="Arial" w:eastAsia="Arial" w:hAnsi="Arial"/>
                <w:sz w:val="18"/>
                <w:szCs w:val="18"/>
                <w:color w:val="auto"/>
              </w:rPr>
              <w:t>Hopper Coaming</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330-001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Deck Crane Arangement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330-001</w:t>
            </w:r>
          </w:p>
        </w:tc>
        <w:tc>
          <w:tcPr>
            <w:tcW w:w="3560" w:type="dxa"/>
            <w:vAlign w:val="bottom"/>
          </w:tcPr>
          <w:p>
            <w:pPr>
              <w:spacing w:after="0"/>
              <w:rPr>
                <w:sz w:val="20"/>
                <w:szCs w:val="20"/>
                <w:color w:val="auto"/>
              </w:rPr>
            </w:pPr>
            <w:r>
              <w:rPr>
                <w:rFonts w:ascii="Arial" w:cs="Arial" w:eastAsia="Arial" w:hAnsi="Arial"/>
                <w:sz w:val="18"/>
                <w:szCs w:val="18"/>
                <w:color w:val="auto"/>
              </w:rPr>
              <w:t>Deck Crane Arangement</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404-001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Bow Thruster Arrangement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418-001</w:t>
            </w:r>
          </w:p>
        </w:tc>
        <w:tc>
          <w:tcPr>
            <w:tcW w:w="3560" w:type="dxa"/>
            <w:vAlign w:val="bottom"/>
          </w:tcPr>
          <w:p>
            <w:pPr>
              <w:spacing w:after="0"/>
              <w:rPr>
                <w:sz w:val="20"/>
                <w:szCs w:val="20"/>
                <w:color w:val="auto"/>
              </w:rPr>
            </w:pPr>
            <w:r>
              <w:rPr>
                <w:rFonts w:ascii="Arial" w:cs="Arial" w:eastAsia="Arial" w:hAnsi="Arial"/>
                <w:sz w:val="18"/>
                <w:szCs w:val="18"/>
                <w:color w:val="auto"/>
              </w:rPr>
              <w:t>Masts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427-001   Navigation and Signal Light Arrangement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427-001   Navigation and Signal Light Arrangement</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P1</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427-001   Navigation and Signal Light Arrangement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430-001   Mooring &amp; Towing Arrangement</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431-001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Anchor Arrangement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435-001</w:t>
            </w:r>
          </w:p>
        </w:tc>
        <w:tc>
          <w:tcPr>
            <w:tcW w:w="3560" w:type="dxa"/>
            <w:vAlign w:val="bottom"/>
          </w:tcPr>
          <w:p>
            <w:pPr>
              <w:spacing w:after="0"/>
              <w:rPr>
                <w:sz w:val="20"/>
                <w:szCs w:val="20"/>
                <w:color w:val="auto"/>
              </w:rPr>
            </w:pPr>
            <w:r>
              <w:rPr>
                <w:rFonts w:ascii="Arial" w:cs="Arial" w:eastAsia="Arial" w:hAnsi="Arial"/>
                <w:sz w:val="18"/>
                <w:szCs w:val="18"/>
                <w:color w:val="auto"/>
              </w:rPr>
              <w:t>Hogback Structure</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435-001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Hogback Structure</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435-001</w:t>
            </w:r>
          </w:p>
        </w:tc>
        <w:tc>
          <w:tcPr>
            <w:tcW w:w="3560" w:type="dxa"/>
            <w:vAlign w:val="bottom"/>
          </w:tcPr>
          <w:p>
            <w:pPr>
              <w:spacing w:after="0"/>
              <w:rPr>
                <w:sz w:val="20"/>
                <w:szCs w:val="20"/>
                <w:color w:val="auto"/>
              </w:rPr>
            </w:pPr>
            <w:r>
              <w:rPr>
                <w:rFonts w:ascii="Arial" w:cs="Arial" w:eastAsia="Arial" w:hAnsi="Arial"/>
                <w:sz w:val="18"/>
                <w:szCs w:val="18"/>
                <w:color w:val="auto"/>
              </w:rPr>
              <w:t>Hogback Structure</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r>
        <w:trPr>
          <w:trHeight w:val="216"/>
        </w:trPr>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435-001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Hogback Structure</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435-001</w:t>
            </w:r>
          </w:p>
        </w:tc>
        <w:tc>
          <w:tcPr>
            <w:tcW w:w="3560" w:type="dxa"/>
            <w:vAlign w:val="bottom"/>
          </w:tcPr>
          <w:p>
            <w:pPr>
              <w:spacing w:after="0"/>
              <w:rPr>
                <w:sz w:val="20"/>
                <w:szCs w:val="20"/>
                <w:color w:val="auto"/>
              </w:rPr>
            </w:pPr>
            <w:r>
              <w:rPr>
                <w:rFonts w:ascii="Arial" w:cs="Arial" w:eastAsia="Arial" w:hAnsi="Arial"/>
                <w:sz w:val="18"/>
                <w:szCs w:val="18"/>
                <w:color w:val="auto"/>
              </w:rPr>
              <w:t>Hogback Structure</w:t>
            </w:r>
          </w:p>
        </w:tc>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Oct-13</w:t>
            </w:r>
          </w:p>
        </w:tc>
      </w:tr>
    </w:tbl>
    <w:p>
      <w:pPr>
        <w:sectPr>
          <w:pgSz w:w="11900" w:h="16838" w:orient="portrait"/>
          <w:cols w:equalWidth="0" w:num="1">
            <w:col w:w="11420"/>
          </w:cols>
          <w:pgMar w:left="240" w:top="274" w:right="239" w:bottom="1440" w:gutter="0" w:footer="0" w:header="0"/>
          <w:type w:val="continuous"/>
        </w:sectPr>
      </w:pPr>
    </w:p>
    <w:bookmarkStart w:id="205" w:name="page206"/>
    <w:bookmarkEnd w:id="20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700" w:type="dxa"/>
            <w:vAlign w:val="bottom"/>
          </w:tcPr>
          <w:p>
            <w:pPr>
              <w:ind w:left="400"/>
              <w:spacing w:after="0"/>
              <w:rPr>
                <w:sz w:val="20"/>
                <w:szCs w:val="20"/>
                <w:color w:val="auto"/>
              </w:rPr>
            </w:pPr>
            <w:r>
              <w:rPr>
                <w:rFonts w:ascii="Arial" w:cs="Arial" w:eastAsia="Arial" w:hAnsi="Arial"/>
                <w:sz w:val="18"/>
                <w:szCs w:val="18"/>
                <w:b w:val="1"/>
                <w:bCs w:val="1"/>
                <w:color w:val="auto"/>
              </w:rPr>
              <w:t>EXHIBIT C-4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482-001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Bow Discharge Arrangement</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482-002</w:t>
            </w:r>
          </w:p>
        </w:tc>
        <w:tc>
          <w:tcPr>
            <w:tcW w:w="4040" w:type="dxa"/>
            <w:vAlign w:val="bottom"/>
          </w:tcPr>
          <w:p>
            <w:pPr>
              <w:ind w:left="100"/>
              <w:spacing w:after="0"/>
              <w:rPr>
                <w:sz w:val="20"/>
                <w:szCs w:val="20"/>
                <w:color w:val="auto"/>
              </w:rPr>
            </w:pPr>
            <w:r>
              <w:rPr>
                <w:rFonts w:ascii="Arial" w:cs="Arial" w:eastAsia="Arial" w:hAnsi="Arial"/>
                <w:sz w:val="18"/>
                <w:szCs w:val="18"/>
                <w:color w:val="auto"/>
              </w:rPr>
              <w:t>Overflow Arrangement</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482-002</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Overflow Arrangement</w:t>
            </w:r>
          </w:p>
        </w:tc>
        <w:tc>
          <w:tcPr>
            <w:tcW w:w="5700" w:type="dxa"/>
            <w:vAlign w:val="bottom"/>
            <w:shd w:val="clear" w:color="auto" w:fill="CCEEFF"/>
          </w:tcPr>
          <w:p>
            <w:pPr>
              <w:ind w:left="530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482-004</w:t>
            </w:r>
          </w:p>
        </w:tc>
        <w:tc>
          <w:tcPr>
            <w:tcW w:w="4040" w:type="dxa"/>
            <w:vAlign w:val="bottom"/>
          </w:tcPr>
          <w:p>
            <w:pPr>
              <w:ind w:left="100"/>
              <w:spacing w:after="0"/>
              <w:rPr>
                <w:sz w:val="20"/>
                <w:szCs w:val="20"/>
                <w:color w:val="auto"/>
              </w:rPr>
            </w:pPr>
            <w:r>
              <w:rPr>
                <w:rFonts w:ascii="Arial" w:cs="Arial" w:eastAsia="Arial" w:hAnsi="Arial"/>
                <w:sz w:val="18"/>
                <w:szCs w:val="18"/>
                <w:color w:val="auto"/>
              </w:rPr>
              <w:t>36" Dragarm Arrangement</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482-004</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36" Dragarm Arrangement</w:t>
            </w:r>
          </w:p>
        </w:tc>
        <w:tc>
          <w:tcPr>
            <w:tcW w:w="5700" w:type="dxa"/>
            <w:vAlign w:val="bottom"/>
            <w:shd w:val="clear" w:color="auto" w:fill="CCEEFF"/>
          </w:tcPr>
          <w:p>
            <w:pPr>
              <w:ind w:left="530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482-005   Dragarm w Magnum Visor Arrangement</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482-006   50" PD Sheave Box Assembly</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482-007   Swell Compensator Cylinder Arrangement</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482-007   Swell Compensator Cylinder Arrangement</w:t>
            </w:r>
          </w:p>
        </w:tc>
        <w:tc>
          <w:tcPr>
            <w:tcW w:w="5700" w:type="dxa"/>
            <w:vAlign w:val="bottom"/>
            <w:shd w:val="clear" w:color="auto" w:fill="CCEEFF"/>
          </w:tcPr>
          <w:p>
            <w:pPr>
              <w:ind w:left="530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482-008   Swell Compensator Sheave Box Assembly</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482-009</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Connector Structure</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482-011</w:t>
            </w:r>
          </w:p>
        </w:tc>
        <w:tc>
          <w:tcPr>
            <w:tcW w:w="4040" w:type="dxa"/>
            <w:vAlign w:val="bottom"/>
          </w:tcPr>
          <w:p>
            <w:pPr>
              <w:ind w:left="100"/>
              <w:spacing w:after="0"/>
              <w:rPr>
                <w:sz w:val="20"/>
                <w:szCs w:val="20"/>
                <w:color w:val="auto"/>
              </w:rPr>
            </w:pPr>
            <w:r>
              <w:rPr>
                <w:rFonts w:ascii="Arial" w:cs="Arial" w:eastAsia="Arial" w:hAnsi="Arial"/>
                <w:sz w:val="18"/>
                <w:szCs w:val="18"/>
                <w:color w:val="auto"/>
              </w:rPr>
              <w:t>Dragarm Davit Arrangement</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482-012   Gimbal Davit Block Assembly</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482-013   Dredge Loading and Unloading System Diagram</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482-016</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Gimbal Davit Arrangement</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482-017</w:t>
            </w:r>
          </w:p>
        </w:tc>
        <w:tc>
          <w:tcPr>
            <w:tcW w:w="4040" w:type="dxa"/>
            <w:vAlign w:val="bottom"/>
          </w:tcPr>
          <w:p>
            <w:pPr>
              <w:ind w:left="100"/>
              <w:spacing w:after="0"/>
              <w:rPr>
                <w:sz w:val="20"/>
                <w:szCs w:val="20"/>
                <w:color w:val="auto"/>
              </w:rPr>
            </w:pPr>
            <w:r>
              <w:rPr>
                <w:rFonts w:ascii="Arial" w:cs="Arial" w:eastAsia="Arial" w:hAnsi="Arial"/>
                <w:sz w:val="18"/>
                <w:szCs w:val="18"/>
                <w:color w:val="auto"/>
              </w:rPr>
              <w:t>Gland Seal Diagram</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482-018   Jet Water System Diagram</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482-018   Jet Water System Diagram</w:t>
            </w:r>
          </w:p>
        </w:tc>
        <w:tc>
          <w:tcPr>
            <w:tcW w:w="5700" w:type="dxa"/>
            <w:vAlign w:val="bottom"/>
          </w:tcPr>
          <w:p>
            <w:pPr>
              <w:ind w:left="530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482-019</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Overflow Structure</w:t>
            </w:r>
          </w:p>
        </w:tc>
        <w:tc>
          <w:tcPr>
            <w:tcW w:w="5700" w:type="dxa"/>
            <w:vAlign w:val="bottom"/>
            <w:shd w:val="clear" w:color="auto" w:fill="CCEEFF"/>
          </w:tcPr>
          <w:p>
            <w:pPr>
              <w:ind w:left="530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482-020   Slurry Valve Flushing Diagram</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482-021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Slide Trunnion Arrangement</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482-022</w:t>
            </w:r>
          </w:p>
        </w:tc>
        <w:tc>
          <w:tcPr>
            <w:tcW w:w="4040" w:type="dxa"/>
            <w:vAlign w:val="bottom"/>
          </w:tcPr>
          <w:p>
            <w:pPr>
              <w:ind w:left="100"/>
              <w:spacing w:after="0"/>
              <w:rPr>
                <w:sz w:val="20"/>
                <w:szCs w:val="20"/>
                <w:color w:val="auto"/>
              </w:rPr>
            </w:pPr>
            <w:r>
              <w:rPr>
                <w:rFonts w:ascii="Arial" w:cs="Arial" w:eastAsia="Arial" w:hAnsi="Arial"/>
                <w:sz w:val="18"/>
                <w:szCs w:val="18"/>
                <w:color w:val="auto"/>
              </w:rPr>
              <w:t>Trunnion Davit Arrangement</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482-023</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Trunnion Slide Structure</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482-023</w:t>
            </w:r>
          </w:p>
        </w:tc>
        <w:tc>
          <w:tcPr>
            <w:tcW w:w="4040" w:type="dxa"/>
            <w:vAlign w:val="bottom"/>
          </w:tcPr>
          <w:p>
            <w:pPr>
              <w:ind w:left="100"/>
              <w:spacing w:after="0"/>
              <w:rPr>
                <w:sz w:val="20"/>
                <w:szCs w:val="20"/>
                <w:color w:val="auto"/>
              </w:rPr>
            </w:pPr>
            <w:r>
              <w:rPr>
                <w:rFonts w:ascii="Arial" w:cs="Arial" w:eastAsia="Arial" w:hAnsi="Arial"/>
                <w:sz w:val="18"/>
                <w:szCs w:val="18"/>
                <w:color w:val="auto"/>
              </w:rPr>
              <w:t>Trunnion Slide Structure</w:t>
            </w:r>
          </w:p>
        </w:tc>
        <w:tc>
          <w:tcPr>
            <w:tcW w:w="5700" w:type="dxa"/>
            <w:vAlign w:val="bottom"/>
          </w:tcPr>
          <w:p>
            <w:pPr>
              <w:ind w:left="530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482-024   36 IN PD Sheave Box Assembly</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482-024   36 IN PD Sheave Box Assembly</w:t>
            </w:r>
          </w:p>
        </w:tc>
        <w:tc>
          <w:tcPr>
            <w:tcW w:w="5700" w:type="dxa"/>
            <w:vAlign w:val="bottom"/>
          </w:tcPr>
          <w:p>
            <w:pPr>
              <w:ind w:left="530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482-025   Bottom Dump Door Cylinder Support Structure</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500-001</w:t>
            </w:r>
          </w:p>
        </w:tc>
        <w:tc>
          <w:tcPr>
            <w:tcW w:w="4040" w:type="dxa"/>
            <w:vAlign w:val="bottom"/>
          </w:tcPr>
          <w:p>
            <w:pPr>
              <w:ind w:left="100"/>
              <w:spacing w:after="0"/>
              <w:rPr>
                <w:sz w:val="20"/>
                <w:szCs w:val="20"/>
                <w:color w:val="auto"/>
              </w:rPr>
            </w:pPr>
            <w:r>
              <w:rPr>
                <w:rFonts w:ascii="Arial" w:cs="Arial" w:eastAsia="Arial" w:hAnsi="Arial"/>
                <w:sz w:val="18"/>
                <w:szCs w:val="18"/>
                <w:color w:val="auto"/>
              </w:rPr>
              <w:t>Major Equipment List</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500-002</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Auxiliary Machinery Arrangement</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503-001   Life Saving &amp; Safety Plan</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503-002</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 Control Plan</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505-001</w:t>
            </w:r>
          </w:p>
        </w:tc>
        <w:tc>
          <w:tcPr>
            <w:tcW w:w="4040" w:type="dxa"/>
            <w:vAlign w:val="bottom"/>
          </w:tcPr>
          <w:p>
            <w:pPr>
              <w:ind w:left="100"/>
              <w:spacing w:after="0"/>
              <w:rPr>
                <w:sz w:val="20"/>
                <w:szCs w:val="20"/>
                <w:color w:val="auto"/>
              </w:rPr>
            </w:pPr>
            <w:r>
              <w:rPr>
                <w:rFonts w:ascii="Arial" w:cs="Arial" w:eastAsia="Arial" w:hAnsi="Arial"/>
                <w:sz w:val="18"/>
                <w:szCs w:val="18"/>
                <w:color w:val="auto"/>
              </w:rPr>
              <w:t>Fire Extinguisher List</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510-001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Crew Lounge Arrangement</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520-001</w:t>
            </w:r>
          </w:p>
        </w:tc>
        <w:tc>
          <w:tcPr>
            <w:tcW w:w="4040" w:type="dxa"/>
            <w:vAlign w:val="bottom"/>
          </w:tcPr>
          <w:p>
            <w:pPr>
              <w:ind w:left="100"/>
              <w:spacing w:after="0"/>
              <w:rPr>
                <w:sz w:val="20"/>
                <w:szCs w:val="20"/>
                <w:color w:val="auto"/>
              </w:rPr>
            </w:pPr>
            <w:r>
              <w:rPr>
                <w:rFonts w:ascii="Arial" w:cs="Arial" w:eastAsia="Arial" w:hAnsi="Arial"/>
                <w:sz w:val="18"/>
                <w:szCs w:val="18"/>
                <w:color w:val="auto"/>
              </w:rPr>
              <w:t>Ladders, Inclined</w:t>
            </w:r>
          </w:p>
        </w:tc>
        <w:tc>
          <w:tcPr>
            <w:tcW w:w="5700" w:type="dxa"/>
            <w:vAlign w:val="bottom"/>
          </w:tcPr>
          <w:p>
            <w:pPr>
              <w:ind w:left="530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520-002</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Hand Rails, Interior</w:t>
            </w:r>
          </w:p>
        </w:tc>
        <w:tc>
          <w:tcPr>
            <w:tcW w:w="5700" w:type="dxa"/>
            <w:vAlign w:val="bottom"/>
            <w:shd w:val="clear" w:color="auto" w:fill="CCEEFF"/>
          </w:tcPr>
          <w:p>
            <w:pPr>
              <w:ind w:left="530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520-005</w:t>
            </w:r>
          </w:p>
        </w:tc>
        <w:tc>
          <w:tcPr>
            <w:tcW w:w="4040" w:type="dxa"/>
            <w:vAlign w:val="bottom"/>
          </w:tcPr>
          <w:p>
            <w:pPr>
              <w:ind w:left="100"/>
              <w:spacing w:after="0"/>
              <w:rPr>
                <w:sz w:val="20"/>
                <w:szCs w:val="20"/>
                <w:color w:val="auto"/>
              </w:rPr>
            </w:pPr>
            <w:r>
              <w:rPr>
                <w:rFonts w:ascii="Arial" w:cs="Arial" w:eastAsia="Arial" w:hAnsi="Arial"/>
                <w:sz w:val="18"/>
                <w:szCs w:val="18"/>
                <w:color w:val="auto"/>
              </w:rPr>
              <w:t>Gratings/Machinery Space</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520-006</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Internal Tank Gratings</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520-007   Exterior Gratings A &amp; D</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520-007   Exterior Gratings A &amp; D</w:t>
            </w:r>
          </w:p>
        </w:tc>
        <w:tc>
          <w:tcPr>
            <w:tcW w:w="5700" w:type="dxa"/>
            <w:vAlign w:val="bottom"/>
            <w:shd w:val="clear" w:color="auto" w:fill="CCEEFF"/>
          </w:tcPr>
          <w:p>
            <w:pPr>
              <w:ind w:left="530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533-001</w:t>
            </w:r>
          </w:p>
        </w:tc>
        <w:tc>
          <w:tcPr>
            <w:tcW w:w="4040" w:type="dxa"/>
            <w:vAlign w:val="bottom"/>
          </w:tcPr>
          <w:p>
            <w:pPr>
              <w:ind w:left="100"/>
              <w:spacing w:after="0"/>
              <w:rPr>
                <w:sz w:val="20"/>
                <w:szCs w:val="20"/>
                <w:color w:val="auto"/>
              </w:rPr>
            </w:pPr>
            <w:r>
              <w:rPr>
                <w:rFonts w:ascii="Arial" w:cs="Arial" w:eastAsia="Arial" w:hAnsi="Arial"/>
                <w:sz w:val="18"/>
                <w:szCs w:val="18"/>
                <w:color w:val="auto"/>
              </w:rPr>
              <w:t>Hand Rails, Exterior</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580-001   Plumbing Drainage System Diagram</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583-001   Fire / Washdown System Diagram</w:t>
            </w:r>
          </w:p>
        </w:tc>
        <w:tc>
          <w:tcPr>
            <w:tcW w:w="5700" w:type="dxa"/>
            <w:vAlign w:val="bottom"/>
          </w:tcPr>
          <w:p>
            <w:pPr>
              <w:ind w:left="532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583-005</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Equipment Numerical Calc</w:t>
            </w:r>
          </w:p>
        </w:tc>
        <w:tc>
          <w:tcPr>
            <w:tcW w:w="5700" w:type="dxa"/>
            <w:vAlign w:val="bottom"/>
            <w:shd w:val="clear" w:color="auto" w:fill="CCEEFF"/>
          </w:tcPr>
          <w:p>
            <w:pPr>
              <w:ind w:left="532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6" w:name="page207"/>
    <w:bookmarkEnd w:id="206"/>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5920" w:type="dxa"/>
            <w:vAlign w:val="bottom"/>
          </w:tcPr>
          <w:p>
            <w:pPr>
              <w:ind w:left="600"/>
              <w:spacing w:after="0"/>
              <w:rPr>
                <w:sz w:val="20"/>
                <w:szCs w:val="20"/>
                <w:color w:val="auto"/>
              </w:rPr>
            </w:pPr>
            <w:r>
              <w:rPr>
                <w:rFonts w:ascii="Arial" w:cs="Arial" w:eastAsia="Arial" w:hAnsi="Arial"/>
                <w:sz w:val="18"/>
                <w:szCs w:val="18"/>
                <w:b w:val="1"/>
                <w:bCs w:val="1"/>
                <w:color w:val="auto"/>
              </w:rPr>
              <w:t>EXHIBIT C-4</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Lines Plan</w:t>
            </w:r>
          </w:p>
        </w:tc>
        <w:tc>
          <w:tcPr>
            <w:tcW w:w="5920" w:type="dxa"/>
            <w:vAlign w:val="bottom"/>
            <w:shd w:val="clear" w:color="auto" w:fill="CCEEFF"/>
          </w:tcPr>
          <w:p>
            <w:pPr>
              <w:jc w:val="center"/>
              <w:ind w:left="5110"/>
              <w:spacing w:after="0"/>
              <w:rPr>
                <w:sz w:val="20"/>
                <w:szCs w:val="20"/>
                <w:color w:val="auto"/>
              </w:rPr>
            </w:pPr>
            <w:r>
              <w:rPr>
                <w:rFonts w:ascii="Arial" w:cs="Arial" w:eastAsia="Arial" w:hAnsi="Arial"/>
                <w:sz w:val="18"/>
                <w:szCs w:val="18"/>
                <w:color w:val="auto"/>
                <w:w w:val="90"/>
              </w:rPr>
              <w:t>P2</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101-002</w:t>
            </w:r>
          </w:p>
        </w:tc>
        <w:tc>
          <w:tcPr>
            <w:tcW w:w="3840" w:type="dxa"/>
            <w:vAlign w:val="bottom"/>
          </w:tcPr>
          <w:p>
            <w:pPr>
              <w:ind w:left="100"/>
              <w:spacing w:after="0"/>
              <w:rPr>
                <w:sz w:val="20"/>
                <w:szCs w:val="20"/>
                <w:color w:val="auto"/>
              </w:rPr>
            </w:pPr>
            <w:r>
              <w:rPr>
                <w:rFonts w:ascii="Arial" w:cs="Arial" w:eastAsia="Arial" w:hAnsi="Arial"/>
                <w:sz w:val="18"/>
                <w:szCs w:val="18"/>
                <w:color w:val="auto"/>
              </w:rPr>
              <w:t>General Arrangement</w:t>
            </w:r>
          </w:p>
        </w:tc>
        <w:tc>
          <w:tcPr>
            <w:tcW w:w="5920" w:type="dxa"/>
            <w:vAlign w:val="bottom"/>
          </w:tcPr>
          <w:p>
            <w:pPr>
              <w:ind w:left="5500"/>
              <w:spacing w:after="0"/>
              <w:rPr>
                <w:sz w:val="20"/>
                <w:szCs w:val="20"/>
                <w:color w:val="auto"/>
              </w:rPr>
            </w:pPr>
            <w:r>
              <w:rPr>
                <w:rFonts w:ascii="Arial" w:cs="Arial" w:eastAsia="Arial" w:hAnsi="Arial"/>
                <w:sz w:val="18"/>
                <w:szCs w:val="18"/>
                <w:color w:val="auto"/>
              </w:rPr>
              <w:t>A</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101-003</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Welding Standards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101-003</w:t>
            </w:r>
          </w:p>
        </w:tc>
        <w:tc>
          <w:tcPr>
            <w:tcW w:w="3840" w:type="dxa"/>
            <w:vAlign w:val="bottom"/>
          </w:tcPr>
          <w:p>
            <w:pPr>
              <w:ind w:left="100"/>
              <w:spacing w:after="0"/>
              <w:rPr>
                <w:sz w:val="20"/>
                <w:szCs w:val="20"/>
                <w:color w:val="auto"/>
              </w:rPr>
            </w:pPr>
            <w:r>
              <w:rPr>
                <w:rFonts w:ascii="Arial" w:cs="Arial" w:eastAsia="Arial" w:hAnsi="Arial"/>
                <w:sz w:val="18"/>
                <w:szCs w:val="18"/>
                <w:color w:val="auto"/>
              </w:rPr>
              <w:t>Welding Standards</w:t>
            </w:r>
          </w:p>
        </w:tc>
        <w:tc>
          <w:tcPr>
            <w:tcW w:w="5920" w:type="dxa"/>
            <w:vAlign w:val="bottom"/>
          </w:tcPr>
          <w:p>
            <w:pPr>
              <w:ind w:left="5500"/>
              <w:spacing w:after="0"/>
              <w:rPr>
                <w:sz w:val="20"/>
                <w:szCs w:val="20"/>
                <w:color w:val="auto"/>
              </w:rPr>
            </w:pPr>
            <w:r>
              <w:rPr>
                <w:rFonts w:ascii="Arial" w:cs="Arial" w:eastAsia="Arial" w:hAnsi="Arial"/>
                <w:sz w:val="18"/>
                <w:szCs w:val="18"/>
                <w:color w:val="auto"/>
              </w:rPr>
              <w:t>A</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101-004</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Inboard Profile</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101-005</w:t>
            </w:r>
          </w:p>
        </w:tc>
        <w:tc>
          <w:tcPr>
            <w:tcW w:w="3840" w:type="dxa"/>
            <w:vAlign w:val="bottom"/>
          </w:tcPr>
          <w:p>
            <w:pPr>
              <w:ind w:left="100"/>
              <w:spacing w:after="0"/>
              <w:rPr>
                <w:sz w:val="20"/>
                <w:szCs w:val="20"/>
                <w:color w:val="auto"/>
              </w:rPr>
            </w:pPr>
            <w:r>
              <w:rPr>
                <w:rFonts w:ascii="Arial" w:cs="Arial" w:eastAsia="Arial" w:hAnsi="Arial"/>
                <w:sz w:val="18"/>
                <w:szCs w:val="18"/>
                <w:color w:val="auto"/>
              </w:rPr>
              <w:t>Outboard Profile</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101-005</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Outboard Profile</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101-006</w:t>
            </w:r>
          </w:p>
        </w:tc>
        <w:tc>
          <w:tcPr>
            <w:tcW w:w="3840" w:type="dxa"/>
            <w:vAlign w:val="bottom"/>
          </w:tcPr>
          <w:p>
            <w:pPr>
              <w:ind w:left="100"/>
              <w:spacing w:after="0"/>
              <w:rPr>
                <w:sz w:val="20"/>
                <w:szCs w:val="20"/>
                <w:color w:val="auto"/>
              </w:rPr>
            </w:pPr>
            <w:r>
              <w:rPr>
                <w:rFonts w:ascii="Arial" w:cs="Arial" w:eastAsia="Arial" w:hAnsi="Arial"/>
                <w:sz w:val="18"/>
                <w:szCs w:val="18"/>
                <w:color w:val="auto"/>
              </w:rPr>
              <w:t>Auxiliary Machinery Arrangement</w:t>
            </w:r>
          </w:p>
        </w:tc>
        <w:tc>
          <w:tcPr>
            <w:tcW w:w="5920" w:type="dxa"/>
            <w:vAlign w:val="bottom"/>
          </w:tcPr>
          <w:p>
            <w:pPr>
              <w:ind w:left="5500"/>
              <w:spacing w:after="0"/>
              <w:rPr>
                <w:sz w:val="20"/>
                <w:szCs w:val="20"/>
                <w:color w:val="auto"/>
              </w:rPr>
            </w:pPr>
            <w:r>
              <w:rPr>
                <w:rFonts w:ascii="Arial" w:cs="Arial" w:eastAsia="Arial" w:hAnsi="Arial"/>
                <w:sz w:val="18"/>
                <w:szCs w:val="18"/>
                <w:color w:val="auto"/>
              </w:rPr>
              <w:t>A</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101-006</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Auxiliary Machinery Arrangement</w:t>
            </w:r>
          </w:p>
        </w:tc>
        <w:tc>
          <w:tcPr>
            <w:tcW w:w="5920" w:type="dxa"/>
            <w:vAlign w:val="bottom"/>
            <w:shd w:val="clear" w:color="auto" w:fill="CCEEFF"/>
          </w:tcPr>
          <w:p>
            <w:pPr>
              <w:jc w:val="center"/>
              <w:ind w:left="5130"/>
              <w:spacing w:after="0"/>
              <w:rPr>
                <w:sz w:val="20"/>
                <w:szCs w:val="20"/>
                <w:color w:val="auto"/>
              </w:rPr>
            </w:pPr>
            <w:r>
              <w:rPr>
                <w:rFonts w:ascii="Arial" w:cs="Arial" w:eastAsia="Arial" w:hAnsi="Arial"/>
                <w:sz w:val="18"/>
                <w:szCs w:val="18"/>
                <w:color w:val="auto"/>
                <w:w w:val="99"/>
              </w:rPr>
              <w:t>A1</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101-008</w:t>
            </w:r>
          </w:p>
        </w:tc>
        <w:tc>
          <w:tcPr>
            <w:tcW w:w="3840" w:type="dxa"/>
            <w:vAlign w:val="bottom"/>
          </w:tcPr>
          <w:p>
            <w:pPr>
              <w:ind w:left="100"/>
              <w:spacing w:after="0"/>
              <w:rPr>
                <w:sz w:val="20"/>
                <w:szCs w:val="20"/>
                <w:color w:val="auto"/>
              </w:rPr>
            </w:pPr>
            <w:r>
              <w:rPr>
                <w:rFonts w:ascii="Arial" w:cs="Arial" w:eastAsia="Arial" w:hAnsi="Arial"/>
                <w:sz w:val="18"/>
                <w:szCs w:val="18"/>
                <w:color w:val="auto"/>
              </w:rPr>
              <w:t>Hull Structural Closures Schedule</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101-017</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Tank Capacity Tables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101-020</w:t>
            </w:r>
          </w:p>
        </w:tc>
        <w:tc>
          <w:tcPr>
            <w:tcW w:w="3840" w:type="dxa"/>
            <w:vAlign w:val="bottom"/>
          </w:tcPr>
          <w:p>
            <w:pPr>
              <w:ind w:left="100"/>
              <w:spacing w:after="0"/>
              <w:rPr>
                <w:sz w:val="20"/>
                <w:szCs w:val="20"/>
                <w:color w:val="auto"/>
              </w:rPr>
            </w:pPr>
            <w:r>
              <w:rPr>
                <w:rFonts w:ascii="Arial" w:cs="Arial" w:eastAsia="Arial" w:hAnsi="Arial"/>
                <w:sz w:val="18"/>
                <w:szCs w:val="18"/>
                <w:color w:val="auto"/>
              </w:rPr>
              <w:t>Ship Motion Factors</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101-020</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Ship Motion Factors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101-021</w:t>
            </w:r>
          </w:p>
        </w:tc>
        <w:tc>
          <w:tcPr>
            <w:tcW w:w="3840" w:type="dxa"/>
            <w:vAlign w:val="bottom"/>
          </w:tcPr>
          <w:p>
            <w:pPr>
              <w:ind w:left="100"/>
              <w:spacing w:after="0"/>
              <w:rPr>
                <w:sz w:val="20"/>
                <w:szCs w:val="20"/>
                <w:color w:val="auto"/>
              </w:rPr>
            </w:pPr>
            <w:r>
              <w:rPr>
                <w:rFonts w:ascii="Arial" w:cs="Arial" w:eastAsia="Arial" w:hAnsi="Arial"/>
                <w:sz w:val="18"/>
                <w:szCs w:val="18"/>
                <w:color w:val="auto"/>
              </w:rPr>
              <w:t>Notch Structure FEA</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101-026</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Equipment Numeral Calculation Combined</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102-001</w:t>
            </w:r>
          </w:p>
        </w:tc>
        <w:tc>
          <w:tcPr>
            <w:tcW w:w="3840" w:type="dxa"/>
            <w:vAlign w:val="bottom"/>
          </w:tcPr>
          <w:p>
            <w:pPr>
              <w:ind w:left="100"/>
              <w:spacing w:after="0"/>
              <w:rPr>
                <w:sz w:val="20"/>
                <w:szCs w:val="20"/>
                <w:color w:val="auto"/>
              </w:rPr>
            </w:pPr>
            <w:r>
              <w:rPr>
                <w:rFonts w:ascii="Arial" w:cs="Arial" w:eastAsia="Arial" w:hAnsi="Arial"/>
                <w:sz w:val="18"/>
                <w:szCs w:val="18"/>
                <w:color w:val="auto"/>
              </w:rPr>
              <w:t>Cargo Hopper FEA Development</w:t>
            </w:r>
          </w:p>
        </w:tc>
        <w:tc>
          <w:tcPr>
            <w:tcW w:w="5920" w:type="dxa"/>
            <w:vAlign w:val="bottom"/>
          </w:tcPr>
          <w:p>
            <w:pPr>
              <w:jc w:val="center"/>
              <w:ind w:left="5110"/>
              <w:spacing w:after="0"/>
              <w:rPr>
                <w:sz w:val="20"/>
                <w:szCs w:val="20"/>
                <w:color w:val="auto"/>
              </w:rPr>
            </w:pPr>
            <w:r>
              <w:rPr>
                <w:rFonts w:ascii="Arial" w:cs="Arial" w:eastAsia="Arial" w:hAnsi="Arial"/>
                <w:sz w:val="18"/>
                <w:szCs w:val="18"/>
                <w:color w:val="auto"/>
                <w:w w:val="90"/>
              </w:rPr>
              <w:t>P1</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102-004</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Docking Plan</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102-005</w:t>
            </w:r>
          </w:p>
        </w:tc>
        <w:tc>
          <w:tcPr>
            <w:tcW w:w="3840" w:type="dxa"/>
            <w:vAlign w:val="bottom"/>
          </w:tcPr>
          <w:p>
            <w:pPr>
              <w:ind w:left="100"/>
              <w:spacing w:after="0"/>
              <w:rPr>
                <w:sz w:val="20"/>
                <w:szCs w:val="20"/>
                <w:color w:val="auto"/>
              </w:rPr>
            </w:pPr>
            <w:r>
              <w:rPr>
                <w:rFonts w:ascii="Arial" w:cs="Arial" w:eastAsia="Arial" w:hAnsi="Arial"/>
                <w:sz w:val="18"/>
                <w:szCs w:val="18"/>
                <w:color w:val="auto"/>
              </w:rPr>
              <w:t>Capacity Plan</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102-005</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Capacity Plan</w:t>
            </w:r>
          </w:p>
        </w:tc>
        <w:tc>
          <w:tcPr>
            <w:tcW w:w="5920" w:type="dxa"/>
            <w:vAlign w:val="bottom"/>
            <w:shd w:val="clear" w:color="auto" w:fill="CCEEFF"/>
          </w:tcPr>
          <w:p>
            <w:pPr>
              <w:jc w:val="center"/>
              <w:ind w:left="5110"/>
              <w:spacing w:after="0"/>
              <w:rPr>
                <w:sz w:val="20"/>
                <w:szCs w:val="20"/>
                <w:color w:val="auto"/>
              </w:rPr>
            </w:pPr>
            <w:r>
              <w:rPr>
                <w:rFonts w:ascii="Arial" w:cs="Arial" w:eastAsia="Arial" w:hAnsi="Arial"/>
                <w:sz w:val="18"/>
                <w:szCs w:val="18"/>
                <w:color w:val="auto"/>
                <w:w w:val="90"/>
              </w:rPr>
              <w:t>P2</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111-001</w:t>
            </w:r>
          </w:p>
        </w:tc>
        <w:tc>
          <w:tcPr>
            <w:tcW w:w="3840" w:type="dxa"/>
            <w:vAlign w:val="bottom"/>
          </w:tcPr>
          <w:p>
            <w:pPr>
              <w:ind w:left="100"/>
              <w:spacing w:after="0"/>
              <w:rPr>
                <w:sz w:val="20"/>
                <w:szCs w:val="20"/>
                <w:color w:val="auto"/>
              </w:rPr>
            </w:pPr>
            <w:r>
              <w:rPr>
                <w:rFonts w:ascii="Arial" w:cs="Arial" w:eastAsia="Arial" w:hAnsi="Arial"/>
                <w:sz w:val="18"/>
                <w:szCs w:val="18"/>
                <w:color w:val="auto"/>
              </w:rPr>
              <w:t>Shell Arrangement</w:t>
            </w:r>
          </w:p>
        </w:tc>
        <w:tc>
          <w:tcPr>
            <w:tcW w:w="5920" w:type="dxa"/>
            <w:vAlign w:val="bottom"/>
          </w:tcPr>
          <w:p>
            <w:pPr>
              <w:ind w:left="5500"/>
              <w:spacing w:after="0"/>
              <w:rPr>
                <w:sz w:val="20"/>
                <w:szCs w:val="20"/>
                <w:color w:val="auto"/>
              </w:rPr>
            </w:pPr>
            <w:r>
              <w:rPr>
                <w:rFonts w:ascii="Arial" w:cs="Arial" w:eastAsia="Arial" w:hAnsi="Arial"/>
                <w:sz w:val="18"/>
                <w:szCs w:val="18"/>
                <w:color w:val="auto"/>
              </w:rPr>
              <w:t>A</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130-004</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Poop Deck</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214-001</w:t>
            </w:r>
          </w:p>
        </w:tc>
        <w:tc>
          <w:tcPr>
            <w:tcW w:w="3840" w:type="dxa"/>
            <w:vAlign w:val="bottom"/>
          </w:tcPr>
          <w:p>
            <w:pPr>
              <w:ind w:left="100"/>
              <w:spacing w:after="0"/>
              <w:rPr>
                <w:sz w:val="20"/>
                <w:szCs w:val="20"/>
                <w:color w:val="auto"/>
              </w:rPr>
            </w:pPr>
            <w:r>
              <w:rPr>
                <w:rFonts w:ascii="Arial" w:cs="Arial" w:eastAsia="Arial" w:hAnsi="Arial"/>
                <w:sz w:val="18"/>
                <w:szCs w:val="18"/>
                <w:color w:val="auto"/>
              </w:rPr>
              <w:t>Poop Structure</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218-001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Notch Structure</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231-001</w:t>
            </w:r>
          </w:p>
        </w:tc>
        <w:tc>
          <w:tcPr>
            <w:tcW w:w="3840" w:type="dxa"/>
            <w:vAlign w:val="bottom"/>
          </w:tcPr>
          <w:p>
            <w:pPr>
              <w:ind w:left="100"/>
              <w:spacing w:after="0"/>
              <w:rPr>
                <w:sz w:val="20"/>
                <w:szCs w:val="20"/>
                <w:color w:val="auto"/>
              </w:rPr>
            </w:pPr>
            <w:r>
              <w:rPr>
                <w:rFonts w:ascii="Arial" w:cs="Arial" w:eastAsia="Arial" w:hAnsi="Arial"/>
                <w:sz w:val="18"/>
                <w:szCs w:val="18"/>
                <w:color w:val="auto"/>
              </w:rPr>
              <w:t>Shell Arrangement</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231-001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Shell Arrangement</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B</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231-001</w:t>
            </w:r>
          </w:p>
        </w:tc>
        <w:tc>
          <w:tcPr>
            <w:tcW w:w="3840" w:type="dxa"/>
            <w:vAlign w:val="bottom"/>
          </w:tcPr>
          <w:p>
            <w:pPr>
              <w:ind w:left="100"/>
              <w:spacing w:after="0"/>
              <w:rPr>
                <w:sz w:val="20"/>
                <w:szCs w:val="20"/>
                <w:color w:val="auto"/>
              </w:rPr>
            </w:pPr>
            <w:r>
              <w:rPr>
                <w:rFonts w:ascii="Arial" w:cs="Arial" w:eastAsia="Arial" w:hAnsi="Arial"/>
                <w:sz w:val="18"/>
                <w:szCs w:val="18"/>
                <w:color w:val="auto"/>
              </w:rPr>
              <w:t>Shell Arrangement</w:t>
            </w:r>
          </w:p>
        </w:tc>
        <w:tc>
          <w:tcPr>
            <w:tcW w:w="5920" w:type="dxa"/>
            <w:vAlign w:val="bottom"/>
          </w:tcPr>
          <w:p>
            <w:pPr>
              <w:ind w:left="5500"/>
              <w:spacing w:after="0"/>
              <w:rPr>
                <w:sz w:val="20"/>
                <w:szCs w:val="20"/>
                <w:color w:val="auto"/>
              </w:rPr>
            </w:pPr>
            <w:r>
              <w:rPr>
                <w:rFonts w:ascii="Arial" w:cs="Arial" w:eastAsia="Arial" w:hAnsi="Arial"/>
                <w:sz w:val="18"/>
                <w:szCs w:val="18"/>
                <w:color w:val="auto"/>
              </w:rPr>
              <w:t>C</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233-001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Tank Top</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233-001</w:t>
            </w:r>
          </w:p>
        </w:tc>
        <w:tc>
          <w:tcPr>
            <w:tcW w:w="3840" w:type="dxa"/>
            <w:vAlign w:val="bottom"/>
          </w:tcPr>
          <w:p>
            <w:pPr>
              <w:ind w:left="100"/>
              <w:spacing w:after="0"/>
              <w:rPr>
                <w:sz w:val="20"/>
                <w:szCs w:val="20"/>
                <w:color w:val="auto"/>
              </w:rPr>
            </w:pPr>
            <w:r>
              <w:rPr>
                <w:rFonts w:ascii="Arial" w:cs="Arial" w:eastAsia="Arial" w:hAnsi="Arial"/>
                <w:sz w:val="18"/>
                <w:szCs w:val="18"/>
                <w:color w:val="auto"/>
              </w:rPr>
              <w:t>Tank Top, Sheet 2</w:t>
            </w:r>
          </w:p>
        </w:tc>
        <w:tc>
          <w:tcPr>
            <w:tcW w:w="5920" w:type="dxa"/>
            <w:vAlign w:val="bottom"/>
          </w:tcPr>
          <w:p>
            <w:pPr>
              <w:jc w:val="center"/>
              <w:ind w:left="5110"/>
              <w:spacing w:after="0"/>
              <w:rPr>
                <w:sz w:val="20"/>
                <w:szCs w:val="20"/>
                <w:color w:val="auto"/>
              </w:rPr>
            </w:pPr>
            <w:r>
              <w:rPr>
                <w:rFonts w:ascii="Arial" w:cs="Arial" w:eastAsia="Arial" w:hAnsi="Arial"/>
                <w:sz w:val="18"/>
                <w:szCs w:val="18"/>
                <w:color w:val="auto"/>
                <w:w w:val="90"/>
              </w:rPr>
              <w:t>P1</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233-001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Tank Top, Sheet 2</w:t>
            </w:r>
          </w:p>
        </w:tc>
        <w:tc>
          <w:tcPr>
            <w:tcW w:w="5920" w:type="dxa"/>
            <w:vAlign w:val="bottom"/>
            <w:shd w:val="clear" w:color="auto" w:fill="CCEEFF"/>
          </w:tcPr>
          <w:p>
            <w:pPr>
              <w:jc w:val="center"/>
              <w:ind w:left="5110"/>
              <w:spacing w:after="0"/>
              <w:rPr>
                <w:sz w:val="20"/>
                <w:szCs w:val="20"/>
                <w:color w:val="auto"/>
              </w:rPr>
            </w:pPr>
            <w:r>
              <w:rPr>
                <w:rFonts w:ascii="Arial" w:cs="Arial" w:eastAsia="Arial" w:hAnsi="Arial"/>
                <w:sz w:val="18"/>
                <w:szCs w:val="18"/>
                <w:color w:val="auto"/>
                <w:w w:val="90"/>
              </w:rPr>
              <w:t>P2</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233-001</w:t>
            </w:r>
          </w:p>
        </w:tc>
        <w:tc>
          <w:tcPr>
            <w:tcW w:w="3840" w:type="dxa"/>
            <w:vAlign w:val="bottom"/>
          </w:tcPr>
          <w:p>
            <w:pPr>
              <w:ind w:left="100"/>
              <w:spacing w:after="0"/>
              <w:rPr>
                <w:sz w:val="20"/>
                <w:szCs w:val="20"/>
                <w:color w:val="auto"/>
              </w:rPr>
            </w:pPr>
            <w:r>
              <w:rPr>
                <w:rFonts w:ascii="Arial" w:cs="Arial" w:eastAsia="Arial" w:hAnsi="Arial"/>
                <w:sz w:val="18"/>
                <w:szCs w:val="18"/>
                <w:color w:val="auto"/>
              </w:rPr>
              <w:t>Tank Top, Sheet 2</w:t>
            </w:r>
          </w:p>
        </w:tc>
        <w:tc>
          <w:tcPr>
            <w:tcW w:w="5920" w:type="dxa"/>
            <w:vAlign w:val="bottom"/>
          </w:tcPr>
          <w:p>
            <w:pPr>
              <w:jc w:val="center"/>
              <w:ind w:left="5110"/>
              <w:spacing w:after="0"/>
              <w:rPr>
                <w:sz w:val="20"/>
                <w:szCs w:val="20"/>
                <w:color w:val="auto"/>
              </w:rPr>
            </w:pPr>
            <w:r>
              <w:rPr>
                <w:rFonts w:ascii="Arial" w:cs="Arial" w:eastAsia="Arial" w:hAnsi="Arial"/>
                <w:sz w:val="18"/>
                <w:szCs w:val="18"/>
                <w:color w:val="auto"/>
                <w:w w:val="90"/>
              </w:rPr>
              <w:t>P3</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234-001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Main Deck</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P</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234-001</w:t>
            </w:r>
          </w:p>
        </w:tc>
        <w:tc>
          <w:tcPr>
            <w:tcW w:w="3840" w:type="dxa"/>
            <w:vAlign w:val="bottom"/>
          </w:tcPr>
          <w:p>
            <w:pPr>
              <w:ind w:left="100"/>
              <w:spacing w:after="0"/>
              <w:rPr>
                <w:sz w:val="20"/>
                <w:szCs w:val="20"/>
                <w:color w:val="auto"/>
              </w:rPr>
            </w:pPr>
            <w:r>
              <w:rPr>
                <w:rFonts w:ascii="Arial" w:cs="Arial" w:eastAsia="Arial" w:hAnsi="Arial"/>
                <w:sz w:val="18"/>
                <w:szCs w:val="18"/>
                <w:color w:val="auto"/>
              </w:rPr>
              <w:t>Main Deck</w:t>
            </w:r>
          </w:p>
        </w:tc>
        <w:tc>
          <w:tcPr>
            <w:tcW w:w="5920" w:type="dxa"/>
            <w:vAlign w:val="bottom"/>
          </w:tcPr>
          <w:p>
            <w:pPr>
              <w:ind w:left="5500"/>
              <w:spacing w:after="0"/>
              <w:rPr>
                <w:sz w:val="20"/>
                <w:szCs w:val="20"/>
                <w:color w:val="auto"/>
              </w:rPr>
            </w:pPr>
            <w:r>
              <w:rPr>
                <w:rFonts w:ascii="Arial" w:cs="Arial" w:eastAsia="Arial" w:hAnsi="Arial"/>
                <w:sz w:val="18"/>
                <w:szCs w:val="18"/>
                <w:color w:val="auto"/>
              </w:rPr>
              <w:t>A</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234-001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Main Deck</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234-001</w:t>
            </w:r>
          </w:p>
        </w:tc>
        <w:tc>
          <w:tcPr>
            <w:tcW w:w="3840" w:type="dxa"/>
            <w:vAlign w:val="bottom"/>
          </w:tcPr>
          <w:p>
            <w:pPr>
              <w:ind w:left="100"/>
              <w:spacing w:after="0"/>
              <w:rPr>
                <w:sz w:val="20"/>
                <w:szCs w:val="20"/>
                <w:color w:val="auto"/>
              </w:rPr>
            </w:pPr>
            <w:r>
              <w:rPr>
                <w:rFonts w:ascii="Arial" w:cs="Arial" w:eastAsia="Arial" w:hAnsi="Arial"/>
                <w:sz w:val="18"/>
                <w:szCs w:val="18"/>
                <w:color w:val="auto"/>
              </w:rPr>
              <w:t>Main Deck</w:t>
            </w:r>
          </w:p>
        </w:tc>
        <w:tc>
          <w:tcPr>
            <w:tcW w:w="5920" w:type="dxa"/>
            <w:vAlign w:val="bottom"/>
          </w:tcPr>
          <w:p>
            <w:pPr>
              <w:ind w:left="5500"/>
              <w:spacing w:after="0"/>
              <w:rPr>
                <w:sz w:val="20"/>
                <w:szCs w:val="20"/>
                <w:color w:val="auto"/>
              </w:rPr>
            </w:pPr>
            <w:r>
              <w:rPr>
                <w:rFonts w:ascii="Arial" w:cs="Arial" w:eastAsia="Arial" w:hAnsi="Arial"/>
                <w:sz w:val="18"/>
                <w:szCs w:val="18"/>
                <w:color w:val="auto"/>
              </w:rPr>
              <w:t>B</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234-001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Main Deck</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235-001</w:t>
            </w:r>
          </w:p>
        </w:tc>
        <w:tc>
          <w:tcPr>
            <w:tcW w:w="3840" w:type="dxa"/>
            <w:vAlign w:val="bottom"/>
          </w:tcPr>
          <w:p>
            <w:pPr>
              <w:ind w:left="100"/>
              <w:spacing w:after="0"/>
              <w:rPr>
                <w:sz w:val="20"/>
                <w:szCs w:val="20"/>
                <w:color w:val="auto"/>
              </w:rPr>
            </w:pPr>
            <w:r>
              <w:rPr>
                <w:rFonts w:ascii="Arial" w:cs="Arial" w:eastAsia="Arial" w:hAnsi="Arial"/>
                <w:sz w:val="18"/>
                <w:szCs w:val="18"/>
                <w:color w:val="auto"/>
              </w:rPr>
              <w:t>Tween Deck</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235-001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Tween Deck</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235-001</w:t>
            </w:r>
          </w:p>
        </w:tc>
        <w:tc>
          <w:tcPr>
            <w:tcW w:w="3840" w:type="dxa"/>
            <w:vAlign w:val="bottom"/>
          </w:tcPr>
          <w:p>
            <w:pPr>
              <w:ind w:left="100"/>
              <w:spacing w:after="0"/>
              <w:rPr>
                <w:sz w:val="20"/>
                <w:szCs w:val="20"/>
                <w:color w:val="auto"/>
              </w:rPr>
            </w:pPr>
            <w:r>
              <w:rPr>
                <w:rFonts w:ascii="Arial" w:cs="Arial" w:eastAsia="Arial" w:hAnsi="Arial"/>
                <w:sz w:val="18"/>
                <w:szCs w:val="18"/>
                <w:color w:val="auto"/>
              </w:rPr>
              <w:t>Tween Deck</w:t>
            </w:r>
          </w:p>
        </w:tc>
        <w:tc>
          <w:tcPr>
            <w:tcW w:w="5920" w:type="dxa"/>
            <w:vAlign w:val="bottom"/>
          </w:tcPr>
          <w:p>
            <w:pPr>
              <w:ind w:left="5500"/>
              <w:spacing w:after="0"/>
              <w:rPr>
                <w:sz w:val="20"/>
                <w:szCs w:val="20"/>
                <w:color w:val="auto"/>
              </w:rPr>
            </w:pPr>
            <w:r>
              <w:rPr>
                <w:rFonts w:ascii="Arial" w:cs="Arial" w:eastAsia="Arial" w:hAnsi="Arial"/>
                <w:sz w:val="18"/>
                <w:szCs w:val="18"/>
                <w:color w:val="auto"/>
              </w:rPr>
              <w:t>B</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235-001</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Tween Deck</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235-002</w:t>
            </w:r>
          </w:p>
        </w:tc>
        <w:tc>
          <w:tcPr>
            <w:tcW w:w="3840" w:type="dxa"/>
            <w:vAlign w:val="bottom"/>
          </w:tcPr>
          <w:p>
            <w:pPr>
              <w:ind w:left="100"/>
              <w:spacing w:after="0"/>
              <w:rPr>
                <w:sz w:val="20"/>
                <w:szCs w:val="20"/>
                <w:color w:val="auto"/>
              </w:rPr>
            </w:pPr>
            <w:r>
              <w:rPr>
                <w:rFonts w:ascii="Arial" w:cs="Arial" w:eastAsia="Arial" w:hAnsi="Arial"/>
                <w:sz w:val="18"/>
                <w:szCs w:val="18"/>
                <w:color w:val="auto"/>
              </w:rPr>
              <w:t>Hopper Slopes &amp; Keelson</w:t>
            </w:r>
          </w:p>
        </w:tc>
        <w:tc>
          <w:tcPr>
            <w:tcW w:w="5920" w:type="dxa"/>
            <w:vAlign w:val="bottom"/>
          </w:tcPr>
          <w:p>
            <w:pPr>
              <w:ind w:left="5520"/>
              <w:spacing w:after="0"/>
              <w:rPr>
                <w:sz w:val="20"/>
                <w:szCs w:val="20"/>
                <w:color w:val="auto"/>
              </w:rPr>
            </w:pPr>
            <w:r>
              <w:rPr>
                <w:rFonts w:ascii="Arial" w:cs="Arial" w:eastAsia="Arial" w:hAnsi="Arial"/>
                <w:sz w:val="18"/>
                <w:szCs w:val="18"/>
                <w:color w:val="auto"/>
              </w:rPr>
              <w:t>P</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235-002</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Hopper Slopes &amp; Keelson</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A</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235-002</w:t>
            </w:r>
          </w:p>
        </w:tc>
        <w:tc>
          <w:tcPr>
            <w:tcW w:w="3840" w:type="dxa"/>
            <w:vAlign w:val="bottom"/>
          </w:tcPr>
          <w:p>
            <w:pPr>
              <w:ind w:left="100"/>
              <w:spacing w:after="0"/>
              <w:rPr>
                <w:sz w:val="20"/>
                <w:szCs w:val="20"/>
                <w:color w:val="auto"/>
              </w:rPr>
            </w:pPr>
            <w:r>
              <w:rPr>
                <w:rFonts w:ascii="Arial" w:cs="Arial" w:eastAsia="Arial" w:hAnsi="Arial"/>
                <w:sz w:val="18"/>
                <w:szCs w:val="18"/>
                <w:color w:val="auto"/>
              </w:rPr>
              <w:t>Hopper Slopes &amp; Keelson</w:t>
            </w:r>
          </w:p>
        </w:tc>
        <w:tc>
          <w:tcPr>
            <w:tcW w:w="5920" w:type="dxa"/>
            <w:vAlign w:val="bottom"/>
          </w:tcPr>
          <w:p>
            <w:pPr>
              <w:ind w:left="5500"/>
              <w:spacing w:after="0"/>
              <w:rPr>
                <w:sz w:val="20"/>
                <w:szCs w:val="20"/>
                <w:color w:val="auto"/>
              </w:rPr>
            </w:pPr>
            <w:r>
              <w:rPr>
                <w:rFonts w:ascii="Arial" w:cs="Arial" w:eastAsia="Arial" w:hAnsi="Arial"/>
                <w:sz w:val="18"/>
                <w:szCs w:val="18"/>
                <w:color w:val="auto"/>
              </w:rPr>
              <w:t>B</w:t>
            </w:r>
          </w:p>
        </w:tc>
        <w:tc>
          <w:tcPr>
            <w:tcW w:w="940" w:type="dxa"/>
            <w:vAlign w:val="bottom"/>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235-002</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Hopper Slopes &amp; Keelson</w:t>
            </w:r>
          </w:p>
        </w:tc>
        <w:tc>
          <w:tcPr>
            <w:tcW w:w="5920" w:type="dxa"/>
            <w:vAlign w:val="bottom"/>
            <w:shd w:val="clear" w:color="auto" w:fill="CCEEFF"/>
          </w:tcPr>
          <w:p>
            <w:pPr>
              <w:ind w:left="5500"/>
              <w:spacing w:after="0"/>
              <w:rPr>
                <w:sz w:val="20"/>
                <w:szCs w:val="20"/>
                <w:color w:val="auto"/>
              </w:rPr>
            </w:pPr>
            <w:r>
              <w:rPr>
                <w:rFonts w:ascii="Arial" w:cs="Arial" w:eastAsia="Arial" w:hAnsi="Arial"/>
                <w:sz w:val="18"/>
                <w:szCs w:val="18"/>
                <w:color w:val="auto"/>
              </w:rPr>
              <w:t>C</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7" w:name="page208"/>
    <w:bookmarkEnd w:id="207"/>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480" w:type="dxa"/>
            <w:vAlign w:val="bottom"/>
          </w:tcPr>
          <w:p>
            <w:pPr>
              <w:ind w:left="180"/>
              <w:spacing w:after="0"/>
              <w:rPr>
                <w:sz w:val="20"/>
                <w:szCs w:val="20"/>
                <w:color w:val="auto"/>
              </w:rPr>
            </w:pPr>
            <w:r>
              <w:rPr>
                <w:rFonts w:ascii="Arial" w:cs="Arial" w:eastAsia="Arial" w:hAnsi="Arial"/>
                <w:sz w:val="18"/>
                <w:szCs w:val="18"/>
                <w:b w:val="1"/>
                <w:bCs w:val="1"/>
                <w:color w:val="auto"/>
              </w:rPr>
              <w:t>EXHIBIT C-4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236-001</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Midship Section</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0"/>
              </w:rPr>
              <w:t>P1</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236-001</w:t>
            </w:r>
          </w:p>
        </w:tc>
        <w:tc>
          <w:tcPr>
            <w:tcW w:w="4260" w:type="dxa"/>
            <w:vAlign w:val="bottom"/>
          </w:tcPr>
          <w:p>
            <w:pPr>
              <w:ind w:left="100"/>
              <w:spacing w:after="0"/>
              <w:rPr>
                <w:sz w:val="20"/>
                <w:szCs w:val="20"/>
                <w:color w:val="auto"/>
              </w:rPr>
            </w:pPr>
            <w:r>
              <w:rPr>
                <w:rFonts w:ascii="Arial" w:cs="Arial" w:eastAsia="Arial" w:hAnsi="Arial"/>
                <w:sz w:val="18"/>
                <w:szCs w:val="18"/>
                <w:color w:val="auto"/>
              </w:rPr>
              <w:t>Midship Section</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236-001</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Midship Section</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236-001</w:t>
            </w:r>
          </w:p>
        </w:tc>
        <w:tc>
          <w:tcPr>
            <w:tcW w:w="4260" w:type="dxa"/>
            <w:vAlign w:val="bottom"/>
          </w:tcPr>
          <w:p>
            <w:pPr>
              <w:ind w:left="100"/>
              <w:spacing w:after="0"/>
              <w:rPr>
                <w:sz w:val="20"/>
                <w:szCs w:val="20"/>
                <w:color w:val="auto"/>
              </w:rPr>
            </w:pPr>
            <w:r>
              <w:rPr>
                <w:rFonts w:ascii="Arial" w:cs="Arial" w:eastAsia="Arial" w:hAnsi="Arial"/>
                <w:sz w:val="18"/>
                <w:szCs w:val="18"/>
                <w:color w:val="auto"/>
              </w:rPr>
              <w:t>Midship Section</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1"/>
              </w:rPr>
              <w:t>C</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236-001</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Midship Section</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1"/>
              </w:rPr>
              <w:t>D</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236-002</w:t>
            </w:r>
          </w:p>
        </w:tc>
        <w:tc>
          <w:tcPr>
            <w:tcW w:w="4260" w:type="dxa"/>
            <w:vAlign w:val="bottom"/>
          </w:tcPr>
          <w:p>
            <w:pPr>
              <w:ind w:left="100"/>
              <w:spacing w:after="0"/>
              <w:rPr>
                <w:sz w:val="20"/>
                <w:szCs w:val="20"/>
                <w:color w:val="auto"/>
              </w:rPr>
            </w:pPr>
            <w:r>
              <w:rPr>
                <w:rFonts w:ascii="Arial" w:cs="Arial" w:eastAsia="Arial" w:hAnsi="Arial"/>
                <w:sz w:val="18"/>
                <w:szCs w:val="18"/>
                <w:color w:val="auto"/>
              </w:rPr>
              <w:t>Transverse Bulkheads</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236-002</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Transverse Bulkheads</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0"/>
              </w:rPr>
              <w:t>P1</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236-002</w:t>
            </w:r>
          </w:p>
        </w:tc>
        <w:tc>
          <w:tcPr>
            <w:tcW w:w="4260" w:type="dxa"/>
            <w:vAlign w:val="bottom"/>
          </w:tcPr>
          <w:p>
            <w:pPr>
              <w:ind w:left="100"/>
              <w:spacing w:after="0"/>
              <w:rPr>
                <w:sz w:val="20"/>
                <w:szCs w:val="20"/>
                <w:color w:val="auto"/>
              </w:rPr>
            </w:pPr>
            <w:r>
              <w:rPr>
                <w:rFonts w:ascii="Arial" w:cs="Arial" w:eastAsia="Arial" w:hAnsi="Arial"/>
                <w:sz w:val="18"/>
                <w:szCs w:val="18"/>
                <w:color w:val="auto"/>
              </w:rPr>
              <w:t>Transverse Bulkheads</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236-002</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Transverse Bulkheads</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236-002   Transverse Bulkheads, Sheet 3</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236-002   Transverse Bulkheads, Sheets 1-3</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0"/>
              </w:rPr>
              <w:t>P2</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236-002   Transverse Bulkheads, Sheet 5</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236-002   Transverse Bulkheads, Sheets 1 &amp; 3</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0"/>
              </w:rPr>
              <w:t>P3</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236-002   Transverse Bulkheads, Sheet 6</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236-002   Transverse Bulkheads, Sheet 2</w:t>
            </w:r>
          </w:p>
        </w:tc>
        <w:tc>
          <w:tcPr>
            <w:tcW w:w="548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236-003   Transverse Web Frames, Bow and Stern</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236-003   Transverse Web Frames, Bow and Stern Sheets 6-7-8-9</w:t>
            </w:r>
          </w:p>
        </w:tc>
        <w:tc>
          <w:tcPr>
            <w:tcW w:w="548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236-003   Transverse Web Frames, Bow and Stern</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236-003   Transverse Web Frames, Bow and Stern</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237-002</w:t>
            </w:r>
          </w:p>
        </w:tc>
        <w:tc>
          <w:tcPr>
            <w:tcW w:w="4260" w:type="dxa"/>
            <w:vAlign w:val="bottom"/>
          </w:tcPr>
          <w:p>
            <w:pPr>
              <w:ind w:left="100"/>
              <w:spacing w:after="0"/>
              <w:rPr>
                <w:sz w:val="20"/>
                <w:szCs w:val="20"/>
                <w:color w:val="auto"/>
              </w:rPr>
            </w:pPr>
            <w:r>
              <w:rPr>
                <w:rFonts w:ascii="Arial" w:cs="Arial" w:eastAsia="Arial" w:hAnsi="Arial"/>
                <w:sz w:val="18"/>
                <w:szCs w:val="18"/>
                <w:color w:val="auto"/>
              </w:rPr>
              <w:t>Longitudinal Bulkheads</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237-002</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Longitudinal Bulkheads</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0"/>
              </w:rPr>
              <w:t>P1</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237-002</w:t>
            </w:r>
          </w:p>
        </w:tc>
        <w:tc>
          <w:tcPr>
            <w:tcW w:w="4260" w:type="dxa"/>
            <w:vAlign w:val="bottom"/>
          </w:tcPr>
          <w:p>
            <w:pPr>
              <w:ind w:left="100"/>
              <w:spacing w:after="0"/>
              <w:rPr>
                <w:sz w:val="20"/>
                <w:szCs w:val="20"/>
                <w:color w:val="auto"/>
              </w:rPr>
            </w:pPr>
            <w:r>
              <w:rPr>
                <w:rFonts w:ascii="Arial" w:cs="Arial" w:eastAsia="Arial" w:hAnsi="Arial"/>
                <w:sz w:val="18"/>
                <w:szCs w:val="18"/>
                <w:color w:val="auto"/>
              </w:rPr>
              <w:t>Longitudinal Bulkheads</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237-002</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Longitudinal Bulkheads</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238-001</w:t>
            </w:r>
          </w:p>
        </w:tc>
        <w:tc>
          <w:tcPr>
            <w:tcW w:w="4260" w:type="dxa"/>
            <w:vAlign w:val="bottom"/>
          </w:tcPr>
          <w:p>
            <w:pPr>
              <w:ind w:left="100"/>
              <w:spacing w:after="0"/>
              <w:rPr>
                <w:sz w:val="20"/>
                <w:szCs w:val="20"/>
                <w:color w:val="auto"/>
              </w:rPr>
            </w:pPr>
            <w:r>
              <w:rPr>
                <w:rFonts w:ascii="Arial" w:cs="Arial" w:eastAsia="Arial" w:hAnsi="Arial"/>
                <w:sz w:val="18"/>
                <w:szCs w:val="18"/>
                <w:color w:val="auto"/>
              </w:rPr>
              <w:t>Bulbous Bow Structure</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238-001</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Bulbous Bow Structure</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238-003</w:t>
            </w:r>
          </w:p>
        </w:tc>
        <w:tc>
          <w:tcPr>
            <w:tcW w:w="4260" w:type="dxa"/>
            <w:vAlign w:val="bottom"/>
          </w:tcPr>
          <w:p>
            <w:pPr>
              <w:ind w:left="100"/>
              <w:spacing w:after="0"/>
              <w:rPr>
                <w:sz w:val="20"/>
                <w:szCs w:val="20"/>
                <w:color w:val="auto"/>
              </w:rPr>
            </w:pPr>
            <w:r>
              <w:rPr>
                <w:rFonts w:ascii="Arial" w:cs="Arial" w:eastAsia="Arial" w:hAnsi="Arial"/>
                <w:sz w:val="18"/>
                <w:szCs w:val="18"/>
                <w:color w:val="auto"/>
              </w:rPr>
              <w:t>Bottom Door Arrangement</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238-004</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Bow Thruster Structure</w:t>
            </w:r>
          </w:p>
        </w:tc>
        <w:tc>
          <w:tcPr>
            <w:tcW w:w="548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238-004</w:t>
            </w:r>
          </w:p>
        </w:tc>
        <w:tc>
          <w:tcPr>
            <w:tcW w:w="4260" w:type="dxa"/>
            <w:vAlign w:val="bottom"/>
          </w:tcPr>
          <w:p>
            <w:pPr>
              <w:ind w:left="100"/>
              <w:spacing w:after="0"/>
              <w:rPr>
                <w:sz w:val="20"/>
                <w:szCs w:val="20"/>
                <w:color w:val="auto"/>
              </w:rPr>
            </w:pPr>
            <w:r>
              <w:rPr>
                <w:rFonts w:ascii="Arial" w:cs="Arial" w:eastAsia="Arial" w:hAnsi="Arial"/>
                <w:sz w:val="18"/>
                <w:szCs w:val="18"/>
                <w:color w:val="auto"/>
              </w:rPr>
              <w:t>Bow Thruster Structure</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253-001</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Forecastle Deck</w:t>
            </w:r>
          </w:p>
        </w:tc>
        <w:tc>
          <w:tcPr>
            <w:tcW w:w="548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253-001</w:t>
            </w:r>
          </w:p>
        </w:tc>
        <w:tc>
          <w:tcPr>
            <w:tcW w:w="4260" w:type="dxa"/>
            <w:vAlign w:val="bottom"/>
          </w:tcPr>
          <w:p>
            <w:pPr>
              <w:ind w:left="100"/>
              <w:spacing w:after="0"/>
              <w:rPr>
                <w:sz w:val="20"/>
                <w:szCs w:val="20"/>
                <w:color w:val="auto"/>
              </w:rPr>
            </w:pPr>
            <w:r>
              <w:rPr>
                <w:rFonts w:ascii="Arial" w:cs="Arial" w:eastAsia="Arial" w:hAnsi="Arial"/>
                <w:sz w:val="18"/>
                <w:szCs w:val="18"/>
                <w:color w:val="auto"/>
              </w:rPr>
              <w:t>Forecastle Deck</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253-002</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Forecastle Structure</w:t>
            </w:r>
          </w:p>
        </w:tc>
        <w:tc>
          <w:tcPr>
            <w:tcW w:w="548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253-002</w:t>
            </w:r>
          </w:p>
        </w:tc>
        <w:tc>
          <w:tcPr>
            <w:tcW w:w="4260" w:type="dxa"/>
            <w:vAlign w:val="bottom"/>
          </w:tcPr>
          <w:p>
            <w:pPr>
              <w:ind w:left="100"/>
              <w:spacing w:after="0"/>
              <w:rPr>
                <w:sz w:val="20"/>
                <w:szCs w:val="20"/>
                <w:color w:val="auto"/>
              </w:rPr>
            </w:pPr>
            <w:r>
              <w:rPr>
                <w:rFonts w:ascii="Arial" w:cs="Arial" w:eastAsia="Arial" w:hAnsi="Arial"/>
                <w:sz w:val="18"/>
                <w:szCs w:val="18"/>
                <w:color w:val="auto"/>
              </w:rPr>
              <w:t>Forecastle Structure</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253-002</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Forecastle Structure</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261-001</w:t>
            </w:r>
          </w:p>
        </w:tc>
        <w:tc>
          <w:tcPr>
            <w:tcW w:w="4260" w:type="dxa"/>
            <w:vAlign w:val="bottom"/>
          </w:tcPr>
          <w:p>
            <w:pPr>
              <w:ind w:left="100"/>
              <w:spacing w:after="0"/>
              <w:rPr>
                <w:sz w:val="20"/>
                <w:szCs w:val="20"/>
                <w:color w:val="auto"/>
              </w:rPr>
            </w:pPr>
            <w:r>
              <w:rPr>
                <w:rFonts w:ascii="Arial" w:cs="Arial" w:eastAsia="Arial" w:hAnsi="Arial"/>
                <w:sz w:val="18"/>
                <w:szCs w:val="18"/>
                <w:color w:val="auto"/>
              </w:rPr>
              <w:t>Hull Markings</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261-001</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Hull Markings</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262-001   Sea Chest Arrangement &amp; Details</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262-001   Sea Chest Arrangement &amp; Details</w:t>
            </w:r>
          </w:p>
        </w:tc>
        <w:tc>
          <w:tcPr>
            <w:tcW w:w="5480" w:type="dxa"/>
            <w:vAlign w:val="bottom"/>
            <w:shd w:val="clear" w:color="auto" w:fill="CCEEFF"/>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263-002</w:t>
            </w:r>
          </w:p>
        </w:tc>
        <w:tc>
          <w:tcPr>
            <w:tcW w:w="4260" w:type="dxa"/>
            <w:vAlign w:val="bottom"/>
          </w:tcPr>
          <w:p>
            <w:pPr>
              <w:ind w:left="100"/>
              <w:spacing w:after="0"/>
              <w:rPr>
                <w:sz w:val="20"/>
                <w:szCs w:val="20"/>
                <w:color w:val="auto"/>
              </w:rPr>
            </w:pPr>
            <w:r>
              <w:rPr>
                <w:rFonts w:ascii="Arial" w:cs="Arial" w:eastAsia="Arial" w:hAnsi="Arial"/>
                <w:sz w:val="18"/>
                <w:szCs w:val="18"/>
                <w:color w:val="auto"/>
              </w:rPr>
              <w:t>Foundation, Crane</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263-007</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Dragarm Gantries</w:t>
            </w:r>
          </w:p>
        </w:tc>
        <w:tc>
          <w:tcPr>
            <w:tcW w:w="548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263-007</w:t>
            </w:r>
          </w:p>
        </w:tc>
        <w:tc>
          <w:tcPr>
            <w:tcW w:w="4260" w:type="dxa"/>
            <w:vAlign w:val="bottom"/>
          </w:tcPr>
          <w:p>
            <w:pPr>
              <w:ind w:left="100"/>
              <w:spacing w:after="0"/>
              <w:rPr>
                <w:sz w:val="20"/>
                <w:szCs w:val="20"/>
                <w:color w:val="auto"/>
              </w:rPr>
            </w:pPr>
            <w:r>
              <w:rPr>
                <w:rFonts w:ascii="Arial" w:cs="Arial" w:eastAsia="Arial" w:hAnsi="Arial"/>
                <w:sz w:val="18"/>
                <w:szCs w:val="18"/>
                <w:color w:val="auto"/>
              </w:rPr>
              <w:t>Foundations, Draghead Gantries</w:t>
            </w:r>
          </w:p>
        </w:tc>
        <w:tc>
          <w:tcPr>
            <w:tcW w:w="5480" w:type="dxa"/>
            <w:vAlign w:val="bottom"/>
          </w:tcPr>
          <w:p>
            <w:pPr>
              <w:jc w:val="center"/>
              <w:ind w:left="471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263-008</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Draghead Winches</w:t>
            </w:r>
          </w:p>
        </w:tc>
        <w:tc>
          <w:tcPr>
            <w:tcW w:w="548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263-010</w:t>
            </w:r>
          </w:p>
        </w:tc>
        <w:tc>
          <w:tcPr>
            <w:tcW w:w="4260" w:type="dxa"/>
            <w:vAlign w:val="bottom"/>
          </w:tcPr>
          <w:p>
            <w:pPr>
              <w:ind w:left="100"/>
              <w:spacing w:after="0"/>
              <w:rPr>
                <w:sz w:val="20"/>
                <w:szCs w:val="20"/>
                <w:color w:val="auto"/>
              </w:rPr>
            </w:pPr>
            <w:r>
              <w:rPr>
                <w:rFonts w:ascii="Arial" w:cs="Arial" w:eastAsia="Arial" w:hAnsi="Arial"/>
                <w:sz w:val="18"/>
                <w:szCs w:val="18"/>
                <w:color w:val="auto"/>
              </w:rPr>
              <w:t>Foundations, Gensets</w:t>
            </w:r>
          </w:p>
        </w:tc>
        <w:tc>
          <w:tcPr>
            <w:tcW w:w="5480" w:type="dxa"/>
            <w:vAlign w:val="bottom"/>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263-012</w:t>
            </w: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Intermediate Gantries</w:t>
            </w:r>
          </w:p>
        </w:tc>
        <w:tc>
          <w:tcPr>
            <w:tcW w:w="5480" w:type="dxa"/>
            <w:vAlign w:val="bottom"/>
            <w:shd w:val="clear" w:color="auto" w:fill="CCEEFF"/>
          </w:tcPr>
          <w:p>
            <w:pPr>
              <w:jc w:val="center"/>
              <w:ind w:left="473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8" w:name="page209"/>
    <w:bookmarkEnd w:id="20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960" w:type="dxa"/>
            <w:vAlign w:val="bottom"/>
          </w:tcPr>
          <w:p>
            <w:pPr>
              <w:ind w:left="660"/>
              <w:spacing w:after="0"/>
              <w:rPr>
                <w:sz w:val="20"/>
                <w:szCs w:val="20"/>
                <w:color w:val="auto"/>
              </w:rPr>
            </w:pPr>
            <w:r>
              <w:rPr>
                <w:rFonts w:ascii="Arial" w:cs="Arial" w:eastAsia="Arial" w:hAnsi="Arial"/>
                <w:sz w:val="18"/>
                <w:szCs w:val="18"/>
                <w:b w:val="1"/>
                <w:bCs w:val="1"/>
                <w:color w:val="auto"/>
              </w:rPr>
              <w:t>EXHIBIT C-4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263-012</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Intermediate Gantries</w:t>
            </w:r>
          </w:p>
        </w:tc>
        <w:tc>
          <w:tcPr>
            <w:tcW w:w="596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263-012</w:t>
            </w:r>
          </w:p>
        </w:tc>
        <w:tc>
          <w:tcPr>
            <w:tcW w:w="3780" w:type="dxa"/>
            <w:vAlign w:val="bottom"/>
          </w:tcPr>
          <w:p>
            <w:pPr>
              <w:ind w:left="100"/>
              <w:spacing w:after="0"/>
              <w:rPr>
                <w:sz w:val="20"/>
                <w:szCs w:val="20"/>
                <w:color w:val="auto"/>
              </w:rPr>
            </w:pPr>
            <w:r>
              <w:rPr>
                <w:rFonts w:ascii="Arial" w:cs="Arial" w:eastAsia="Arial" w:hAnsi="Arial"/>
                <w:sz w:val="18"/>
                <w:szCs w:val="18"/>
                <w:color w:val="auto"/>
              </w:rPr>
              <w:t>Foundations, Intermediate Gantries</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263-015   Foundations, Dredge Piping &amp; Fittings</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584-002   Potable Water System Diagram</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612-002</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Hand Rails, Interior</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701-001   Fuel Oil Transfer System Diagram</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713-001   Lube Oil System Diagram</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714-001   Waste Oil System Diagram</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714-001   Waste Oil System Diagram</w:t>
            </w:r>
          </w:p>
        </w:tc>
        <w:tc>
          <w:tcPr>
            <w:tcW w:w="596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714-001   Waste Oil System Diagram</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721-001   SW Engine Cooling System Diagram</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722-002   Generator Cooling System Diagram</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732-001   Compressed Air System Diagram</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744-002   Diesel Engine Combustion Air Diagram</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744-003   Diesel Engine Exhaust System Diagram</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792-001   Emergency Shutdown &amp; Alarm List</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801-001</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Arrangement</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803-001</w:t>
            </w:r>
          </w:p>
        </w:tc>
        <w:tc>
          <w:tcPr>
            <w:tcW w:w="3780" w:type="dxa"/>
            <w:vAlign w:val="bottom"/>
          </w:tcPr>
          <w:p>
            <w:pPr>
              <w:ind w:left="100"/>
              <w:spacing w:after="0"/>
              <w:rPr>
                <w:sz w:val="20"/>
                <w:szCs w:val="20"/>
                <w:color w:val="auto"/>
              </w:rPr>
            </w:pPr>
            <w:r>
              <w:rPr>
                <w:rFonts w:ascii="Arial" w:cs="Arial" w:eastAsia="Arial" w:hAnsi="Arial"/>
                <w:sz w:val="18"/>
                <w:szCs w:val="18"/>
                <w:color w:val="auto"/>
              </w:rPr>
              <w:t>Bilge System Diagram</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803-001</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Bilge System Diagram</w:t>
            </w:r>
          </w:p>
        </w:tc>
        <w:tc>
          <w:tcPr>
            <w:tcW w:w="596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803-002   Deck Drains &amp; Scupper System Diagram</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821-001   Vents and Soundings System Diagram</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821-001   Vents and Soundings System Diagram</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821-001   Vents and Soundings System Diagram</w:t>
            </w:r>
          </w:p>
        </w:tc>
        <w:tc>
          <w:tcPr>
            <w:tcW w:w="596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835-001</w:t>
            </w:r>
          </w:p>
        </w:tc>
        <w:tc>
          <w:tcPr>
            <w:tcW w:w="3780" w:type="dxa"/>
            <w:vAlign w:val="bottom"/>
          </w:tcPr>
          <w:p>
            <w:pPr>
              <w:ind w:left="100"/>
              <w:spacing w:after="0"/>
              <w:rPr>
                <w:sz w:val="20"/>
                <w:szCs w:val="20"/>
                <w:color w:val="auto"/>
              </w:rPr>
            </w:pPr>
            <w:r>
              <w:rPr>
                <w:rFonts w:ascii="Arial" w:cs="Arial" w:eastAsia="Arial" w:hAnsi="Arial"/>
                <w:sz w:val="18"/>
                <w:szCs w:val="18"/>
                <w:color w:val="auto"/>
              </w:rPr>
              <w:t>Longitudinal Strength Calculations</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835-002</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Hydrostatic Tables</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839-001</w:t>
            </w:r>
          </w:p>
        </w:tc>
        <w:tc>
          <w:tcPr>
            <w:tcW w:w="3780" w:type="dxa"/>
            <w:vAlign w:val="bottom"/>
          </w:tcPr>
          <w:p>
            <w:pPr>
              <w:ind w:left="100"/>
              <w:spacing w:after="0"/>
              <w:rPr>
                <w:sz w:val="20"/>
                <w:szCs w:val="20"/>
                <w:color w:val="auto"/>
              </w:rPr>
            </w:pPr>
            <w:r>
              <w:rPr>
                <w:rFonts w:ascii="Arial" w:cs="Arial" w:eastAsia="Arial" w:hAnsi="Arial"/>
                <w:sz w:val="18"/>
                <w:szCs w:val="18"/>
                <w:color w:val="auto"/>
              </w:rPr>
              <w:t>Lines Plan</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861-001   Electrical One Line Diagram AC</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861-001   Electrical One Line Diagram AC</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861-002   Electrical One Line Diagram DC</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871-001</w:t>
            </w:r>
          </w:p>
        </w:tc>
        <w:tc>
          <w:tcPr>
            <w:tcW w:w="3780" w:type="dxa"/>
            <w:vAlign w:val="bottom"/>
          </w:tcPr>
          <w:p>
            <w:pPr>
              <w:ind w:left="100"/>
              <w:spacing w:after="0"/>
              <w:rPr>
                <w:sz w:val="20"/>
                <w:szCs w:val="20"/>
                <w:color w:val="auto"/>
              </w:rPr>
            </w:pPr>
            <w:r>
              <w:rPr>
                <w:rFonts w:ascii="Arial" w:cs="Arial" w:eastAsia="Arial" w:hAnsi="Arial"/>
                <w:sz w:val="18"/>
                <w:szCs w:val="18"/>
                <w:color w:val="auto"/>
              </w:rPr>
              <w:t>Machinery Lighting Arrangement</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871-001</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Lighting Arrangement</w:t>
            </w:r>
          </w:p>
        </w:tc>
        <w:tc>
          <w:tcPr>
            <w:tcW w:w="596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871-001</w:t>
            </w:r>
          </w:p>
        </w:tc>
        <w:tc>
          <w:tcPr>
            <w:tcW w:w="3780" w:type="dxa"/>
            <w:vAlign w:val="bottom"/>
          </w:tcPr>
          <w:p>
            <w:pPr>
              <w:ind w:left="100"/>
              <w:spacing w:after="0"/>
              <w:rPr>
                <w:sz w:val="20"/>
                <w:szCs w:val="20"/>
                <w:color w:val="auto"/>
              </w:rPr>
            </w:pPr>
            <w:r>
              <w:rPr>
                <w:rFonts w:ascii="Arial" w:cs="Arial" w:eastAsia="Arial" w:hAnsi="Arial"/>
                <w:sz w:val="18"/>
                <w:szCs w:val="18"/>
                <w:color w:val="auto"/>
              </w:rPr>
              <w:t>Machinery Lighting Arrangement</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871-002   Power System Plan, Machinery Spaces</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871-002   Power System Plan, Machinery Spaces</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871-003   Power System Plan, Main Deck &amp; Above</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871-003   Power System Plan, Main Deck &amp; Above</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871-003   Power System Plan, Main Deck &amp; Above</w:t>
            </w:r>
          </w:p>
        </w:tc>
        <w:tc>
          <w:tcPr>
            <w:tcW w:w="596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875-001   Electrical Load Analysis AC</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875-001   Electrical Load Analysis AC</w:t>
            </w:r>
          </w:p>
        </w:tc>
        <w:tc>
          <w:tcPr>
            <w:tcW w:w="596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0"/>
              </w:rPr>
              <w:t>P1</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875-002   Electrical Load Analysis DC</w:t>
            </w:r>
          </w:p>
        </w:tc>
        <w:tc>
          <w:tcPr>
            <w:tcW w:w="5960" w:type="dxa"/>
            <w:vAlign w:val="bottom"/>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880-001</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Cableway Routing Arrangement</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880-001</w:t>
            </w:r>
          </w:p>
        </w:tc>
        <w:tc>
          <w:tcPr>
            <w:tcW w:w="3780" w:type="dxa"/>
            <w:vAlign w:val="bottom"/>
          </w:tcPr>
          <w:p>
            <w:pPr>
              <w:ind w:left="100"/>
              <w:spacing w:after="0"/>
              <w:rPr>
                <w:sz w:val="20"/>
                <w:szCs w:val="20"/>
                <w:color w:val="auto"/>
              </w:rPr>
            </w:pPr>
            <w:r>
              <w:rPr>
                <w:rFonts w:ascii="Arial" w:cs="Arial" w:eastAsia="Arial" w:hAnsi="Arial"/>
                <w:sz w:val="18"/>
                <w:szCs w:val="18"/>
                <w:color w:val="auto"/>
              </w:rPr>
              <w:t>Cableway Routing Arrangement</w:t>
            </w:r>
          </w:p>
        </w:tc>
        <w:tc>
          <w:tcPr>
            <w:tcW w:w="5960" w:type="dxa"/>
            <w:vAlign w:val="bottom"/>
          </w:tcPr>
          <w:p>
            <w:pPr>
              <w:jc w:val="center"/>
              <w:ind w:left="519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881-001</w:t>
            </w: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Cable List BoM</w:t>
            </w:r>
          </w:p>
        </w:tc>
        <w:tc>
          <w:tcPr>
            <w:tcW w:w="5960" w:type="dxa"/>
            <w:vAlign w:val="bottom"/>
            <w:shd w:val="clear" w:color="auto" w:fill="CCEEFF"/>
          </w:tcPr>
          <w:p>
            <w:pPr>
              <w:jc w:val="center"/>
              <w:ind w:left="521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9" w:name="page210"/>
    <w:bookmarkEnd w:id="20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700" w:type="dxa"/>
            <w:vAlign w:val="bottom"/>
          </w:tcPr>
          <w:p>
            <w:pPr>
              <w:ind w:left="400"/>
              <w:spacing w:after="0"/>
              <w:rPr>
                <w:sz w:val="20"/>
                <w:szCs w:val="20"/>
                <w:color w:val="auto"/>
              </w:rPr>
            </w:pPr>
            <w:r>
              <w:rPr>
                <w:rFonts w:ascii="Arial" w:cs="Arial" w:eastAsia="Arial" w:hAnsi="Arial"/>
                <w:sz w:val="18"/>
                <w:szCs w:val="18"/>
                <w:b w:val="1"/>
                <w:bCs w:val="1"/>
                <w:color w:val="auto"/>
              </w:rPr>
              <w:t>EXHIBIT C-4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891-001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Interior Lighting Arrangement</w:t>
            </w:r>
          </w:p>
        </w:tc>
        <w:tc>
          <w:tcPr>
            <w:tcW w:w="5700" w:type="dxa"/>
            <w:vAlign w:val="bottom"/>
            <w:shd w:val="clear" w:color="auto" w:fill="CCEEFF"/>
          </w:tcPr>
          <w:p>
            <w:pPr>
              <w:jc w:val="center"/>
              <w:ind w:left="495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891-001</w:t>
            </w:r>
          </w:p>
        </w:tc>
        <w:tc>
          <w:tcPr>
            <w:tcW w:w="4040" w:type="dxa"/>
            <w:vAlign w:val="bottom"/>
          </w:tcPr>
          <w:p>
            <w:pPr>
              <w:ind w:left="100"/>
              <w:spacing w:after="0"/>
              <w:rPr>
                <w:sz w:val="20"/>
                <w:szCs w:val="20"/>
                <w:color w:val="auto"/>
              </w:rPr>
            </w:pPr>
            <w:r>
              <w:rPr>
                <w:rFonts w:ascii="Arial" w:cs="Arial" w:eastAsia="Arial" w:hAnsi="Arial"/>
                <w:sz w:val="18"/>
                <w:szCs w:val="18"/>
                <w:color w:val="auto"/>
              </w:rPr>
              <w:t>Interior Lighting Arrangement</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891-001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Interior Lighting Arrangement</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891-001</w:t>
            </w:r>
          </w:p>
        </w:tc>
        <w:tc>
          <w:tcPr>
            <w:tcW w:w="4040" w:type="dxa"/>
            <w:vAlign w:val="bottom"/>
          </w:tcPr>
          <w:p>
            <w:pPr>
              <w:ind w:left="100"/>
              <w:spacing w:after="0"/>
              <w:rPr>
                <w:sz w:val="20"/>
                <w:szCs w:val="20"/>
                <w:color w:val="auto"/>
              </w:rPr>
            </w:pPr>
            <w:r>
              <w:rPr>
                <w:rFonts w:ascii="Arial" w:cs="Arial" w:eastAsia="Arial" w:hAnsi="Arial"/>
                <w:sz w:val="18"/>
                <w:szCs w:val="18"/>
                <w:color w:val="auto"/>
              </w:rPr>
              <w:t>Interior Lighting Arrangement</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1"/>
              </w:rPr>
              <w:t>C</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893-001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Exterior Lighting Arrangement</w:t>
            </w:r>
          </w:p>
        </w:tc>
        <w:tc>
          <w:tcPr>
            <w:tcW w:w="5700" w:type="dxa"/>
            <w:vAlign w:val="bottom"/>
            <w:shd w:val="clear" w:color="auto" w:fill="CCEEFF"/>
          </w:tcPr>
          <w:p>
            <w:pPr>
              <w:jc w:val="center"/>
              <w:ind w:left="495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893-001</w:t>
            </w:r>
          </w:p>
        </w:tc>
        <w:tc>
          <w:tcPr>
            <w:tcW w:w="4040" w:type="dxa"/>
            <w:vAlign w:val="bottom"/>
          </w:tcPr>
          <w:p>
            <w:pPr>
              <w:ind w:left="100"/>
              <w:spacing w:after="0"/>
              <w:rPr>
                <w:sz w:val="20"/>
                <w:szCs w:val="20"/>
                <w:color w:val="auto"/>
              </w:rPr>
            </w:pPr>
            <w:r>
              <w:rPr>
                <w:rFonts w:ascii="Arial" w:cs="Arial" w:eastAsia="Arial" w:hAnsi="Arial"/>
                <w:sz w:val="18"/>
                <w:szCs w:val="18"/>
                <w:color w:val="auto"/>
              </w:rPr>
              <w:t>Exterior Lighting Arrangement</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893-001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Exterior Lighting Arrangement</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102-004</w:t>
            </w:r>
          </w:p>
        </w:tc>
        <w:tc>
          <w:tcPr>
            <w:tcW w:w="4040" w:type="dxa"/>
            <w:vAlign w:val="bottom"/>
          </w:tcPr>
          <w:p>
            <w:pPr>
              <w:ind w:left="100"/>
              <w:spacing w:after="0"/>
              <w:rPr>
                <w:sz w:val="20"/>
                <w:szCs w:val="20"/>
                <w:color w:val="auto"/>
              </w:rPr>
            </w:pPr>
            <w:r>
              <w:rPr>
                <w:rFonts w:ascii="Arial" w:cs="Arial" w:eastAsia="Arial" w:hAnsi="Arial"/>
                <w:sz w:val="18"/>
                <w:szCs w:val="18"/>
                <w:color w:val="auto"/>
              </w:rPr>
              <w:t>Docking Plan</w:t>
            </w:r>
          </w:p>
        </w:tc>
        <w:tc>
          <w:tcPr>
            <w:tcW w:w="5700" w:type="dxa"/>
            <w:vAlign w:val="bottom"/>
          </w:tcPr>
          <w:p>
            <w:pPr>
              <w:jc w:val="center"/>
              <w:ind w:left="4950"/>
              <w:spacing w:after="0"/>
              <w:rPr>
                <w:sz w:val="20"/>
                <w:szCs w:val="20"/>
                <w:color w:val="auto"/>
              </w:rPr>
            </w:pPr>
            <w:r>
              <w:rPr>
                <w:rFonts w:ascii="Arial" w:cs="Arial" w:eastAsia="Arial" w:hAnsi="Arial"/>
                <w:sz w:val="18"/>
                <w:szCs w:val="18"/>
                <w:color w:val="auto"/>
                <w:w w:val="82"/>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SK-1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Proposed Hogback Framing Sketch 1</w:t>
            </w:r>
          </w:p>
        </w:tc>
        <w:tc>
          <w:tcPr>
            <w:tcW w:w="5700" w:type="dxa"/>
            <w:vAlign w:val="bottom"/>
            <w:shd w:val="clear" w:color="auto" w:fill="CCEEFF"/>
          </w:tcPr>
          <w:p>
            <w:pPr>
              <w:jc w:val="center"/>
              <w:ind w:left="495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SK-2</w:t>
            </w:r>
          </w:p>
        </w:tc>
        <w:tc>
          <w:tcPr>
            <w:tcW w:w="4040" w:type="dxa"/>
            <w:vAlign w:val="bottom"/>
          </w:tcPr>
          <w:p>
            <w:pPr>
              <w:ind w:left="100"/>
              <w:spacing w:after="0"/>
              <w:rPr>
                <w:sz w:val="20"/>
                <w:szCs w:val="20"/>
                <w:color w:val="auto"/>
              </w:rPr>
            </w:pPr>
            <w:r>
              <w:rPr>
                <w:rFonts w:ascii="Arial" w:cs="Arial" w:eastAsia="Arial" w:hAnsi="Arial"/>
                <w:sz w:val="18"/>
                <w:szCs w:val="18"/>
                <w:color w:val="auto"/>
              </w:rPr>
              <w:t>Proposed Tank Top Between Doors</w:t>
            </w:r>
          </w:p>
        </w:tc>
        <w:tc>
          <w:tcPr>
            <w:tcW w:w="5700" w:type="dxa"/>
            <w:vAlign w:val="bottom"/>
          </w:tcPr>
          <w:p>
            <w:pPr>
              <w:spacing w:after="0"/>
              <w:rPr>
                <w:sz w:val="18"/>
                <w:szCs w:val="18"/>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SK-3</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Proposed Bow Thruster Layout</w:t>
            </w:r>
          </w:p>
        </w:tc>
        <w:tc>
          <w:tcPr>
            <w:tcW w:w="5700" w:type="dxa"/>
            <w:vAlign w:val="bottom"/>
            <w:shd w:val="clear" w:color="auto" w:fill="CCEEFF"/>
          </w:tcPr>
          <w:p>
            <w:pPr>
              <w:spacing w:after="0"/>
              <w:rPr>
                <w:sz w:val="18"/>
                <w:szCs w:val="18"/>
                <w:color w:val="auto"/>
              </w:rPr>
            </w:pP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262-001</w:t>
            </w:r>
          </w:p>
        </w:tc>
        <w:tc>
          <w:tcPr>
            <w:tcW w:w="4040" w:type="dxa"/>
            <w:vAlign w:val="bottom"/>
          </w:tcPr>
          <w:p>
            <w:pPr>
              <w:ind w:left="100"/>
              <w:spacing w:after="0"/>
              <w:rPr>
                <w:sz w:val="20"/>
                <w:szCs w:val="20"/>
                <w:color w:val="auto"/>
              </w:rPr>
            </w:pPr>
            <w:r>
              <w:rPr>
                <w:rFonts w:ascii="Arial" w:cs="Arial" w:eastAsia="Arial" w:hAnsi="Arial"/>
                <w:sz w:val="18"/>
                <w:szCs w:val="18"/>
                <w:color w:val="auto"/>
              </w:rPr>
              <w:t>Lube Oil System Diagram</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259-002</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Diesel Engine Combustion Air Diagram</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521-011</w:t>
            </w:r>
          </w:p>
        </w:tc>
        <w:tc>
          <w:tcPr>
            <w:tcW w:w="4040" w:type="dxa"/>
            <w:vAlign w:val="bottom"/>
          </w:tcPr>
          <w:p>
            <w:pPr>
              <w:ind w:left="100"/>
              <w:spacing w:after="0"/>
              <w:rPr>
                <w:sz w:val="20"/>
                <w:szCs w:val="20"/>
                <w:color w:val="auto"/>
              </w:rPr>
            </w:pPr>
            <w:r>
              <w:rPr>
                <w:rFonts w:ascii="Arial" w:cs="Arial" w:eastAsia="Arial" w:hAnsi="Arial"/>
                <w:sz w:val="18"/>
                <w:szCs w:val="18"/>
                <w:color w:val="auto"/>
              </w:rPr>
              <w:t>Fire &amp; Washdown System Diagram</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529-010</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Ballast System Diagram</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529-011</w:t>
            </w:r>
          </w:p>
        </w:tc>
        <w:tc>
          <w:tcPr>
            <w:tcW w:w="4040" w:type="dxa"/>
            <w:vAlign w:val="bottom"/>
          </w:tcPr>
          <w:p>
            <w:pPr>
              <w:ind w:left="100"/>
              <w:spacing w:after="0"/>
              <w:rPr>
                <w:sz w:val="20"/>
                <w:szCs w:val="20"/>
                <w:color w:val="auto"/>
              </w:rPr>
            </w:pPr>
            <w:r>
              <w:rPr>
                <w:rFonts w:ascii="Arial" w:cs="Arial" w:eastAsia="Arial" w:hAnsi="Arial"/>
                <w:sz w:val="18"/>
                <w:szCs w:val="18"/>
                <w:color w:val="auto"/>
              </w:rPr>
              <w:t>Bilge System Diagram</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573-020</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Dredge Loading and Unloading System Diagram</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321-001</w:t>
            </w:r>
          </w:p>
        </w:tc>
        <w:tc>
          <w:tcPr>
            <w:tcW w:w="4040" w:type="dxa"/>
            <w:vAlign w:val="bottom"/>
          </w:tcPr>
          <w:p>
            <w:pPr>
              <w:ind w:left="100"/>
              <w:spacing w:after="0"/>
              <w:rPr>
                <w:sz w:val="20"/>
                <w:szCs w:val="20"/>
                <w:color w:val="auto"/>
              </w:rPr>
            </w:pPr>
            <w:r>
              <w:rPr>
                <w:rFonts w:ascii="Arial" w:cs="Arial" w:eastAsia="Arial" w:hAnsi="Arial"/>
                <w:sz w:val="18"/>
                <w:szCs w:val="18"/>
                <w:color w:val="auto"/>
              </w:rPr>
              <w:t>Electrical One Line Diagram AC</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332-001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Exterior Lighting Arrangement</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332-002</w:t>
            </w:r>
          </w:p>
        </w:tc>
        <w:tc>
          <w:tcPr>
            <w:tcW w:w="4040" w:type="dxa"/>
            <w:vAlign w:val="bottom"/>
          </w:tcPr>
          <w:p>
            <w:pPr>
              <w:ind w:left="100"/>
              <w:spacing w:after="0"/>
              <w:rPr>
                <w:sz w:val="20"/>
                <w:szCs w:val="20"/>
                <w:color w:val="auto"/>
              </w:rPr>
            </w:pPr>
            <w:r>
              <w:rPr>
                <w:rFonts w:ascii="Arial" w:cs="Arial" w:eastAsia="Arial" w:hAnsi="Arial"/>
                <w:sz w:val="18"/>
                <w:szCs w:val="18"/>
                <w:color w:val="auto"/>
              </w:rPr>
              <w:t>Interior Lighting Arrangement</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1"/>
              </w:rPr>
              <w:t>D</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332-003</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Lighting Arrangement</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1"/>
              </w:rPr>
              <w:t>C</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300-001</w:t>
            </w:r>
          </w:p>
        </w:tc>
        <w:tc>
          <w:tcPr>
            <w:tcW w:w="4040" w:type="dxa"/>
            <w:vAlign w:val="bottom"/>
          </w:tcPr>
          <w:p>
            <w:pPr>
              <w:ind w:left="100"/>
              <w:spacing w:after="0"/>
              <w:rPr>
                <w:sz w:val="20"/>
                <w:szCs w:val="20"/>
                <w:color w:val="auto"/>
              </w:rPr>
            </w:pPr>
            <w:r>
              <w:rPr>
                <w:rFonts w:ascii="Arial" w:cs="Arial" w:eastAsia="Arial" w:hAnsi="Arial"/>
                <w:sz w:val="18"/>
                <w:szCs w:val="18"/>
                <w:color w:val="auto"/>
              </w:rPr>
              <w:t>Cableway Routing Arrangement</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321-003</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 System Plan, Machinery Spaces</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117-01</w:t>
            </w:r>
          </w:p>
        </w:tc>
        <w:tc>
          <w:tcPr>
            <w:tcW w:w="4040" w:type="dxa"/>
            <w:vAlign w:val="bottom"/>
          </w:tcPr>
          <w:p>
            <w:pPr>
              <w:ind w:left="100"/>
              <w:spacing w:after="0"/>
              <w:rPr>
                <w:sz w:val="20"/>
                <w:szCs w:val="20"/>
                <w:color w:val="auto"/>
              </w:rPr>
            </w:pPr>
            <w:r>
              <w:rPr>
                <w:rFonts w:ascii="Arial" w:cs="Arial" w:eastAsia="Arial" w:hAnsi="Arial"/>
                <w:sz w:val="18"/>
                <w:szCs w:val="18"/>
                <w:color w:val="auto"/>
              </w:rPr>
              <w:t>Midship Section</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E</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117-06</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Longitudinal Bulkheads</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1"/>
              </w:rPr>
              <w:t>C</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117-09</w:t>
            </w:r>
          </w:p>
        </w:tc>
        <w:tc>
          <w:tcPr>
            <w:tcW w:w="4040" w:type="dxa"/>
            <w:vAlign w:val="bottom"/>
          </w:tcPr>
          <w:p>
            <w:pPr>
              <w:ind w:left="100"/>
              <w:spacing w:after="0"/>
              <w:rPr>
                <w:sz w:val="20"/>
                <w:szCs w:val="20"/>
                <w:color w:val="auto"/>
              </w:rPr>
            </w:pPr>
            <w:r>
              <w:rPr>
                <w:rFonts w:ascii="Arial" w:cs="Arial" w:eastAsia="Arial" w:hAnsi="Arial"/>
                <w:sz w:val="18"/>
                <w:szCs w:val="18"/>
                <w:color w:val="auto"/>
              </w:rPr>
              <w:t>Hogback Structure</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E</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117-11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Overflow Structure</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117-12</w:t>
            </w:r>
          </w:p>
        </w:tc>
        <w:tc>
          <w:tcPr>
            <w:tcW w:w="4040" w:type="dxa"/>
            <w:vAlign w:val="bottom"/>
          </w:tcPr>
          <w:p>
            <w:pPr>
              <w:ind w:left="100"/>
              <w:spacing w:after="0"/>
              <w:rPr>
                <w:sz w:val="20"/>
                <w:szCs w:val="20"/>
                <w:color w:val="auto"/>
              </w:rPr>
            </w:pPr>
            <w:r>
              <w:rPr>
                <w:rFonts w:ascii="Arial" w:cs="Arial" w:eastAsia="Arial" w:hAnsi="Arial"/>
                <w:sz w:val="18"/>
                <w:szCs w:val="18"/>
                <w:color w:val="auto"/>
              </w:rPr>
              <w:t>Bottom Dump Door Cylinder Support Structure</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573-03</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Hopper Coaming</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E</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100-01</w:t>
            </w:r>
          </w:p>
        </w:tc>
        <w:tc>
          <w:tcPr>
            <w:tcW w:w="4040" w:type="dxa"/>
            <w:vAlign w:val="bottom"/>
          </w:tcPr>
          <w:p>
            <w:pPr>
              <w:ind w:left="100"/>
              <w:spacing w:after="0"/>
              <w:rPr>
                <w:sz w:val="20"/>
                <w:szCs w:val="20"/>
                <w:color w:val="auto"/>
              </w:rPr>
            </w:pPr>
            <w:r>
              <w:rPr>
                <w:rFonts w:ascii="Arial" w:cs="Arial" w:eastAsia="Arial" w:hAnsi="Arial"/>
                <w:sz w:val="18"/>
                <w:szCs w:val="18"/>
                <w:color w:val="auto"/>
              </w:rPr>
              <w:t>Welding Standards</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117-05</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Bulbous Bow Structure</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171-01</w:t>
            </w:r>
          </w:p>
        </w:tc>
        <w:tc>
          <w:tcPr>
            <w:tcW w:w="4040" w:type="dxa"/>
            <w:vAlign w:val="bottom"/>
          </w:tcPr>
          <w:p>
            <w:pPr>
              <w:ind w:left="100"/>
              <w:spacing w:after="0"/>
              <w:rPr>
                <w:sz w:val="20"/>
                <w:szCs w:val="20"/>
                <w:color w:val="auto"/>
              </w:rPr>
            </w:pPr>
            <w:r>
              <w:rPr>
                <w:rFonts w:ascii="Arial" w:cs="Arial" w:eastAsia="Arial" w:hAnsi="Arial"/>
                <w:sz w:val="18"/>
                <w:szCs w:val="18"/>
                <w:color w:val="auto"/>
              </w:rPr>
              <w:t>Masts</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182-02</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Bow Thruster Structure</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185-10</w:t>
            </w:r>
          </w:p>
        </w:tc>
        <w:tc>
          <w:tcPr>
            <w:tcW w:w="4040" w:type="dxa"/>
            <w:vAlign w:val="bottom"/>
          </w:tcPr>
          <w:p>
            <w:pPr>
              <w:ind w:left="100"/>
              <w:spacing w:after="0"/>
              <w:rPr>
                <w:sz w:val="20"/>
                <w:szCs w:val="20"/>
                <w:color w:val="auto"/>
              </w:rPr>
            </w:pPr>
            <w:r>
              <w:rPr>
                <w:rFonts w:ascii="Arial" w:cs="Arial" w:eastAsia="Arial" w:hAnsi="Arial"/>
                <w:sz w:val="18"/>
                <w:szCs w:val="18"/>
                <w:color w:val="auto"/>
              </w:rPr>
              <w:t>Foundations, Draghead Gantries</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185-11</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Intermediate Gantries</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185-16</w:t>
            </w:r>
          </w:p>
        </w:tc>
        <w:tc>
          <w:tcPr>
            <w:tcW w:w="4040" w:type="dxa"/>
            <w:vAlign w:val="bottom"/>
          </w:tcPr>
          <w:p>
            <w:pPr>
              <w:ind w:left="100"/>
              <w:spacing w:after="0"/>
              <w:rPr>
                <w:sz w:val="20"/>
                <w:szCs w:val="20"/>
                <w:color w:val="auto"/>
              </w:rPr>
            </w:pPr>
            <w:r>
              <w:rPr>
                <w:rFonts w:ascii="Arial" w:cs="Arial" w:eastAsia="Arial" w:hAnsi="Arial"/>
                <w:sz w:val="18"/>
                <w:szCs w:val="18"/>
                <w:color w:val="auto"/>
              </w:rPr>
              <w:t>Foundations, Crane</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573-07</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Hopper Slopes &amp; Keelson</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1"/>
              </w:rPr>
              <w:t>D</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422-01</w:t>
            </w:r>
          </w:p>
        </w:tc>
        <w:tc>
          <w:tcPr>
            <w:tcW w:w="4040" w:type="dxa"/>
            <w:vAlign w:val="bottom"/>
          </w:tcPr>
          <w:p>
            <w:pPr>
              <w:ind w:left="100"/>
              <w:spacing w:after="0"/>
              <w:rPr>
                <w:sz w:val="20"/>
                <w:szCs w:val="20"/>
                <w:color w:val="auto"/>
              </w:rPr>
            </w:pPr>
            <w:r>
              <w:rPr>
                <w:rFonts w:ascii="Arial" w:cs="Arial" w:eastAsia="Arial" w:hAnsi="Arial"/>
                <w:sz w:val="18"/>
                <w:szCs w:val="18"/>
                <w:color w:val="auto"/>
              </w:rPr>
              <w:t>Navigation and Signal Light Arrangement</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169-04</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Stack Structure</w:t>
            </w:r>
          </w:p>
        </w:tc>
        <w:tc>
          <w:tcPr>
            <w:tcW w:w="5700" w:type="dxa"/>
            <w:vAlign w:val="bottom"/>
            <w:shd w:val="clear" w:color="auto" w:fill="CCEEFF"/>
          </w:tcPr>
          <w:p>
            <w:pPr>
              <w:jc w:val="center"/>
              <w:ind w:left="4950"/>
              <w:spacing w:after="0"/>
              <w:rPr>
                <w:sz w:val="20"/>
                <w:szCs w:val="20"/>
                <w:color w:val="auto"/>
              </w:rPr>
            </w:pPr>
            <w:r>
              <w:rPr>
                <w:rFonts w:ascii="Arial" w:cs="Arial" w:eastAsia="Arial" w:hAnsi="Arial"/>
                <w:sz w:val="18"/>
                <w:szCs w:val="18"/>
                <w:color w:val="auto"/>
                <w:w w:val="82"/>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185-01</w:t>
            </w:r>
          </w:p>
        </w:tc>
        <w:tc>
          <w:tcPr>
            <w:tcW w:w="4040" w:type="dxa"/>
            <w:vAlign w:val="bottom"/>
          </w:tcPr>
          <w:p>
            <w:pPr>
              <w:ind w:left="100"/>
              <w:spacing w:after="0"/>
              <w:rPr>
                <w:sz w:val="20"/>
                <w:szCs w:val="20"/>
                <w:color w:val="auto"/>
              </w:rPr>
            </w:pPr>
            <w:r>
              <w:rPr>
                <w:rFonts w:ascii="Arial" w:cs="Arial" w:eastAsia="Arial" w:hAnsi="Arial"/>
                <w:sz w:val="18"/>
                <w:szCs w:val="18"/>
                <w:color w:val="auto"/>
              </w:rPr>
              <w:t>Foundations, Genset</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506-10</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Vents and Soundings System Diagram</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1"/>
              </w:rPr>
              <w:t>C</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528-10</w:t>
            </w:r>
          </w:p>
        </w:tc>
        <w:tc>
          <w:tcPr>
            <w:tcW w:w="4040" w:type="dxa"/>
            <w:vAlign w:val="bottom"/>
          </w:tcPr>
          <w:p>
            <w:pPr>
              <w:ind w:left="100"/>
              <w:spacing w:after="0"/>
              <w:rPr>
                <w:sz w:val="20"/>
                <w:szCs w:val="20"/>
                <w:color w:val="auto"/>
              </w:rPr>
            </w:pPr>
            <w:r>
              <w:rPr>
                <w:rFonts w:ascii="Arial" w:cs="Arial" w:eastAsia="Arial" w:hAnsi="Arial"/>
                <w:sz w:val="18"/>
                <w:szCs w:val="18"/>
                <w:color w:val="auto"/>
              </w:rPr>
              <w:t>Plumbing Drainage System Diagram</w:t>
            </w:r>
          </w:p>
        </w:tc>
        <w:tc>
          <w:tcPr>
            <w:tcW w:w="5700" w:type="dxa"/>
            <w:vAlign w:val="bottom"/>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533-10</w:t>
            </w: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Potable Water Sustem Diagram</w:t>
            </w:r>
          </w:p>
        </w:tc>
        <w:tc>
          <w:tcPr>
            <w:tcW w:w="570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0" w:name="page211"/>
    <w:bookmarkEnd w:id="21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EXHIBIT C-4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259-01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Diesel Engine Exhaust System Diagram</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526-10</w:t>
            </w:r>
          </w:p>
        </w:tc>
        <w:tc>
          <w:tcPr>
            <w:tcW w:w="4180" w:type="dxa"/>
            <w:vAlign w:val="bottom"/>
          </w:tcPr>
          <w:p>
            <w:pPr>
              <w:ind w:left="100"/>
              <w:spacing w:after="0"/>
              <w:rPr>
                <w:sz w:val="20"/>
                <w:szCs w:val="20"/>
                <w:color w:val="auto"/>
              </w:rPr>
            </w:pPr>
            <w:r>
              <w:rPr>
                <w:rFonts w:ascii="Arial" w:cs="Arial" w:eastAsia="Arial" w:hAnsi="Arial"/>
                <w:sz w:val="18"/>
                <w:szCs w:val="18"/>
                <w:color w:val="auto"/>
              </w:rPr>
              <w:t>Deck Drains &amp; Scuppers System Diagram</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100-03</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Structural Standard Methods</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117-02</w:t>
            </w:r>
          </w:p>
        </w:tc>
        <w:tc>
          <w:tcPr>
            <w:tcW w:w="4180" w:type="dxa"/>
            <w:vAlign w:val="bottom"/>
          </w:tcPr>
          <w:p>
            <w:pPr>
              <w:ind w:left="100"/>
              <w:spacing w:after="0"/>
              <w:rPr>
                <w:sz w:val="20"/>
                <w:szCs w:val="20"/>
                <w:color w:val="auto"/>
              </w:rPr>
            </w:pPr>
            <w:r>
              <w:rPr>
                <w:rFonts w:ascii="Arial" w:cs="Arial" w:eastAsia="Arial" w:hAnsi="Arial"/>
                <w:sz w:val="18"/>
                <w:szCs w:val="18"/>
                <w:color w:val="auto"/>
              </w:rPr>
              <w:t>Notch Structure</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573-39</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Trunion Slide Support Structure</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261-01</w:t>
            </w:r>
          </w:p>
        </w:tc>
        <w:tc>
          <w:tcPr>
            <w:tcW w:w="4180" w:type="dxa"/>
            <w:vAlign w:val="bottom"/>
          </w:tcPr>
          <w:p>
            <w:pPr>
              <w:ind w:left="100"/>
              <w:spacing w:after="0"/>
              <w:rPr>
                <w:sz w:val="20"/>
                <w:szCs w:val="20"/>
                <w:color w:val="auto"/>
              </w:rPr>
            </w:pPr>
            <w:r>
              <w:rPr>
                <w:rFonts w:ascii="Arial" w:cs="Arial" w:eastAsia="Arial" w:hAnsi="Arial"/>
                <w:sz w:val="18"/>
                <w:szCs w:val="18"/>
                <w:color w:val="auto"/>
              </w:rPr>
              <w:t>Fuel Oil Service System Diagram</w:t>
            </w:r>
          </w:p>
        </w:tc>
        <w:tc>
          <w:tcPr>
            <w:tcW w:w="5660" w:type="dxa"/>
            <w:vAlign w:val="bottom"/>
          </w:tcPr>
          <w:p>
            <w:pPr>
              <w:ind w:left="528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541-01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Independent Tanks</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573-06</w:t>
            </w:r>
          </w:p>
        </w:tc>
        <w:tc>
          <w:tcPr>
            <w:tcW w:w="4180" w:type="dxa"/>
            <w:vAlign w:val="bottom"/>
          </w:tcPr>
          <w:p>
            <w:pPr>
              <w:ind w:left="100"/>
              <w:spacing w:after="0"/>
              <w:rPr>
                <w:sz w:val="20"/>
                <w:szCs w:val="20"/>
                <w:color w:val="auto"/>
              </w:rPr>
            </w:pPr>
            <w:r>
              <w:rPr>
                <w:rFonts w:ascii="Arial" w:cs="Arial" w:eastAsia="Arial" w:hAnsi="Arial"/>
                <w:sz w:val="18"/>
                <w:szCs w:val="18"/>
                <w:color w:val="auto"/>
              </w:rPr>
              <w:t>Bottom Door Arrangment</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573-27</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50 IN PD Sheave Box Assembly</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573-28</w:t>
            </w:r>
          </w:p>
        </w:tc>
        <w:tc>
          <w:tcPr>
            <w:tcW w:w="4180" w:type="dxa"/>
            <w:vAlign w:val="bottom"/>
          </w:tcPr>
          <w:p>
            <w:pPr>
              <w:ind w:left="100"/>
              <w:spacing w:after="0"/>
              <w:rPr>
                <w:sz w:val="20"/>
                <w:szCs w:val="20"/>
                <w:color w:val="auto"/>
              </w:rPr>
            </w:pPr>
            <w:r>
              <w:rPr>
                <w:rFonts w:ascii="Arial" w:cs="Arial" w:eastAsia="Arial" w:hAnsi="Arial"/>
                <w:sz w:val="18"/>
                <w:szCs w:val="18"/>
                <w:color w:val="auto"/>
              </w:rPr>
              <w:t>Gimbal Davit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573-30</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Trunion Davit Arrangement</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573-32</w:t>
            </w:r>
          </w:p>
        </w:tc>
        <w:tc>
          <w:tcPr>
            <w:tcW w:w="4180" w:type="dxa"/>
            <w:vAlign w:val="bottom"/>
          </w:tcPr>
          <w:p>
            <w:pPr>
              <w:ind w:left="100"/>
              <w:spacing w:after="0"/>
              <w:rPr>
                <w:sz w:val="20"/>
                <w:szCs w:val="20"/>
                <w:color w:val="auto"/>
              </w:rPr>
            </w:pPr>
            <w:r>
              <w:rPr>
                <w:rFonts w:ascii="Arial" w:cs="Arial" w:eastAsia="Arial" w:hAnsi="Arial"/>
                <w:sz w:val="18"/>
                <w:szCs w:val="18"/>
                <w:color w:val="auto"/>
              </w:rPr>
              <w:t>Swell Compensator Sheave Box Assembly</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573-33</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Gimbal Davit Block Assembly</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573-35</w:t>
            </w:r>
          </w:p>
        </w:tc>
        <w:tc>
          <w:tcPr>
            <w:tcW w:w="4180" w:type="dxa"/>
            <w:vAlign w:val="bottom"/>
          </w:tcPr>
          <w:p>
            <w:pPr>
              <w:ind w:left="100"/>
              <w:spacing w:after="0"/>
              <w:rPr>
                <w:sz w:val="20"/>
                <w:szCs w:val="20"/>
                <w:color w:val="auto"/>
              </w:rPr>
            </w:pPr>
            <w:r>
              <w:rPr>
                <w:rFonts w:ascii="Arial" w:cs="Arial" w:eastAsia="Arial" w:hAnsi="Arial"/>
                <w:sz w:val="18"/>
                <w:szCs w:val="18"/>
                <w:color w:val="auto"/>
              </w:rPr>
              <w:t>36 IN Dragarm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573-37</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Sliding Trunion Arrangement</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583-26</w:t>
            </w:r>
          </w:p>
        </w:tc>
        <w:tc>
          <w:tcPr>
            <w:tcW w:w="4180" w:type="dxa"/>
            <w:vAlign w:val="bottom"/>
          </w:tcPr>
          <w:p>
            <w:pPr>
              <w:ind w:left="100"/>
              <w:spacing w:after="0"/>
              <w:rPr>
                <w:sz w:val="20"/>
                <w:szCs w:val="20"/>
                <w:color w:val="auto"/>
              </w:rPr>
            </w:pPr>
            <w:r>
              <w:rPr>
                <w:rFonts w:ascii="Arial" w:cs="Arial" w:eastAsia="Arial" w:hAnsi="Arial"/>
                <w:sz w:val="18"/>
                <w:szCs w:val="18"/>
                <w:color w:val="auto"/>
              </w:rPr>
              <w:t>Dragarm Davit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633-01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Anodes &amp; Cathodic Protection System</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169-01</w:t>
            </w:r>
          </w:p>
        </w:tc>
        <w:tc>
          <w:tcPr>
            <w:tcW w:w="4180" w:type="dxa"/>
            <w:vAlign w:val="bottom"/>
          </w:tcPr>
          <w:p>
            <w:pPr>
              <w:ind w:left="100"/>
              <w:spacing w:after="0"/>
              <w:rPr>
                <w:sz w:val="20"/>
                <w:szCs w:val="20"/>
                <w:color w:val="auto"/>
              </w:rPr>
            </w:pPr>
            <w:r>
              <w:rPr>
                <w:rFonts w:ascii="Arial" w:cs="Arial" w:eastAsia="Arial" w:hAnsi="Arial"/>
                <w:sz w:val="18"/>
                <w:szCs w:val="18"/>
                <w:color w:val="auto"/>
              </w:rPr>
              <w:t>Hull Strucural Closure Schedule</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556-01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Swell Compensator Cylinder Arrangement</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568-01</w:t>
            </w:r>
          </w:p>
        </w:tc>
        <w:tc>
          <w:tcPr>
            <w:tcW w:w="4180" w:type="dxa"/>
            <w:vAlign w:val="bottom"/>
          </w:tcPr>
          <w:p>
            <w:pPr>
              <w:ind w:left="100"/>
              <w:spacing w:after="0"/>
              <w:rPr>
                <w:sz w:val="20"/>
                <w:szCs w:val="20"/>
                <w:color w:val="auto"/>
              </w:rPr>
            </w:pPr>
            <w:r>
              <w:rPr>
                <w:rFonts w:ascii="Arial" w:cs="Arial" w:eastAsia="Arial" w:hAnsi="Arial"/>
                <w:sz w:val="18"/>
                <w:szCs w:val="18"/>
                <w:color w:val="auto"/>
              </w:rPr>
              <w:t>Bow Thruster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573-01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Deck Crane Arrangement</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573-25</w:t>
            </w:r>
          </w:p>
        </w:tc>
        <w:tc>
          <w:tcPr>
            <w:tcW w:w="4180" w:type="dxa"/>
            <w:vAlign w:val="bottom"/>
          </w:tcPr>
          <w:p>
            <w:pPr>
              <w:ind w:left="100"/>
              <w:spacing w:after="0"/>
              <w:rPr>
                <w:sz w:val="20"/>
                <w:szCs w:val="20"/>
                <w:color w:val="auto"/>
              </w:rPr>
            </w:pPr>
            <w:r>
              <w:rPr>
                <w:rFonts w:ascii="Arial" w:cs="Arial" w:eastAsia="Arial" w:hAnsi="Arial"/>
                <w:sz w:val="18"/>
                <w:szCs w:val="18"/>
                <w:color w:val="auto"/>
              </w:rPr>
              <w:t>Overflow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602-01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Hull Markings</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612-01</w:t>
            </w:r>
          </w:p>
        </w:tc>
        <w:tc>
          <w:tcPr>
            <w:tcW w:w="4180" w:type="dxa"/>
            <w:vAlign w:val="bottom"/>
          </w:tcPr>
          <w:p>
            <w:pPr>
              <w:ind w:left="100"/>
              <w:spacing w:after="0"/>
              <w:rPr>
                <w:sz w:val="20"/>
                <w:szCs w:val="20"/>
                <w:color w:val="auto"/>
              </w:rPr>
            </w:pPr>
            <w:r>
              <w:rPr>
                <w:rFonts w:ascii="Arial" w:cs="Arial" w:eastAsia="Arial" w:hAnsi="Arial"/>
                <w:sz w:val="18"/>
                <w:szCs w:val="18"/>
                <w:color w:val="auto"/>
              </w:rPr>
              <w:t>Hand Rails, Exterior</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622-02</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Internal Tank Gratings</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801-03</w:t>
            </w:r>
          </w:p>
        </w:tc>
        <w:tc>
          <w:tcPr>
            <w:tcW w:w="4180" w:type="dxa"/>
            <w:vAlign w:val="bottom"/>
          </w:tcPr>
          <w:p>
            <w:pPr>
              <w:ind w:left="100"/>
              <w:spacing w:after="0"/>
              <w:rPr>
                <w:sz w:val="20"/>
                <w:szCs w:val="20"/>
                <w:color w:val="auto"/>
              </w:rPr>
            </w:pPr>
            <w:r>
              <w:rPr>
                <w:rFonts w:ascii="Arial" w:cs="Arial" w:eastAsia="Arial" w:hAnsi="Arial"/>
                <w:sz w:val="18"/>
                <w:szCs w:val="18"/>
                <w:color w:val="auto"/>
              </w:rPr>
              <w:t>Inboard Profile</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185-06</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Dredge Piping - Fittings</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114-02</w:t>
            </w:r>
          </w:p>
        </w:tc>
        <w:tc>
          <w:tcPr>
            <w:tcW w:w="4180" w:type="dxa"/>
            <w:vAlign w:val="bottom"/>
          </w:tcPr>
          <w:p>
            <w:pPr>
              <w:ind w:left="100"/>
              <w:spacing w:after="0"/>
              <w:rPr>
                <w:sz w:val="20"/>
                <w:szCs w:val="20"/>
                <w:color w:val="auto"/>
              </w:rPr>
            </w:pPr>
            <w:r>
              <w:rPr>
                <w:rFonts w:ascii="Arial" w:cs="Arial" w:eastAsia="Arial" w:hAnsi="Arial"/>
                <w:sz w:val="18"/>
                <w:szCs w:val="18"/>
                <w:color w:val="auto"/>
              </w:rPr>
              <w:t>Hull Fittings</w:t>
            </w:r>
          </w:p>
        </w:tc>
        <w:tc>
          <w:tcPr>
            <w:tcW w:w="5660" w:type="dxa"/>
            <w:vAlign w:val="bottom"/>
          </w:tcPr>
          <w:p>
            <w:pPr>
              <w:ind w:left="526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573-29</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36 IN PD Sheave Box Assembly</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573-36</w:t>
            </w:r>
          </w:p>
        </w:tc>
        <w:tc>
          <w:tcPr>
            <w:tcW w:w="4180" w:type="dxa"/>
            <w:vAlign w:val="bottom"/>
          </w:tcPr>
          <w:p>
            <w:pPr>
              <w:ind w:left="100"/>
              <w:spacing w:after="0"/>
              <w:rPr>
                <w:sz w:val="20"/>
                <w:szCs w:val="20"/>
                <w:color w:val="auto"/>
              </w:rPr>
            </w:pPr>
            <w:r>
              <w:rPr>
                <w:rFonts w:ascii="Arial" w:cs="Arial" w:eastAsia="Arial" w:hAnsi="Arial"/>
                <w:sz w:val="18"/>
                <w:szCs w:val="18"/>
                <w:color w:val="auto"/>
              </w:rPr>
              <w:t>Dragarm w Magnum Visor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582-01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Mooring &amp; Towing Arrangement</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583-10</w:t>
            </w:r>
          </w:p>
        </w:tc>
        <w:tc>
          <w:tcPr>
            <w:tcW w:w="4180" w:type="dxa"/>
            <w:vAlign w:val="bottom"/>
          </w:tcPr>
          <w:p>
            <w:pPr>
              <w:ind w:left="100"/>
              <w:spacing w:after="0"/>
              <w:rPr>
                <w:sz w:val="20"/>
                <w:szCs w:val="20"/>
                <w:color w:val="auto"/>
              </w:rPr>
            </w:pPr>
            <w:r>
              <w:rPr>
                <w:rFonts w:ascii="Arial" w:cs="Arial" w:eastAsia="Arial" w:hAnsi="Arial"/>
                <w:sz w:val="18"/>
                <w:szCs w:val="18"/>
                <w:color w:val="auto"/>
              </w:rPr>
              <w:t>Lifesaving Equipment Installation</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622-03</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Exterior Gratings Arrangements and Details</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801-01</w:t>
            </w:r>
          </w:p>
        </w:tc>
        <w:tc>
          <w:tcPr>
            <w:tcW w:w="4180" w:type="dxa"/>
            <w:vAlign w:val="bottom"/>
          </w:tcPr>
          <w:p>
            <w:pPr>
              <w:ind w:left="100"/>
              <w:spacing w:after="0"/>
              <w:rPr>
                <w:sz w:val="20"/>
                <w:szCs w:val="20"/>
                <w:color w:val="auto"/>
              </w:rPr>
            </w:pPr>
            <w:r>
              <w:rPr>
                <w:rFonts w:ascii="Arial" w:cs="Arial" w:eastAsia="Arial" w:hAnsi="Arial"/>
                <w:sz w:val="18"/>
                <w:szCs w:val="18"/>
                <w:color w:val="auto"/>
              </w:rPr>
              <w:t>General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801-02</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Outboard Profile</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801-04</w:t>
            </w:r>
          </w:p>
        </w:tc>
        <w:tc>
          <w:tcPr>
            <w:tcW w:w="4180" w:type="dxa"/>
            <w:vAlign w:val="bottom"/>
          </w:tcPr>
          <w:p>
            <w:pPr>
              <w:ind w:left="100"/>
              <w:spacing w:after="0"/>
              <w:rPr>
                <w:sz w:val="20"/>
                <w:szCs w:val="20"/>
                <w:color w:val="auto"/>
              </w:rPr>
            </w:pPr>
            <w:r>
              <w:rPr>
                <w:rFonts w:ascii="Arial" w:cs="Arial" w:eastAsia="Arial" w:hAnsi="Arial"/>
                <w:sz w:val="18"/>
                <w:szCs w:val="18"/>
                <w:color w:val="auto"/>
              </w:rPr>
              <w:t>Crew Lounge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182-01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Foundations, Aux Engine, Pump &amp; Reduction Gear</w:t>
            </w:r>
          </w:p>
        </w:tc>
        <w:tc>
          <w:tcPr>
            <w:tcW w:w="5660" w:type="dxa"/>
            <w:vAlign w:val="bottom"/>
            <w:shd w:val="clear" w:color="auto" w:fill="CCEEFF"/>
          </w:tcPr>
          <w:p>
            <w:pPr>
              <w:ind w:left="528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111-01</w:t>
            </w:r>
          </w:p>
        </w:tc>
        <w:tc>
          <w:tcPr>
            <w:tcW w:w="4180" w:type="dxa"/>
            <w:vAlign w:val="bottom"/>
          </w:tcPr>
          <w:p>
            <w:pPr>
              <w:ind w:left="100"/>
              <w:spacing w:after="0"/>
              <w:rPr>
                <w:sz w:val="20"/>
                <w:szCs w:val="20"/>
                <w:color w:val="auto"/>
              </w:rPr>
            </w:pPr>
            <w:r>
              <w:rPr>
                <w:rFonts w:ascii="Arial" w:cs="Arial" w:eastAsia="Arial" w:hAnsi="Arial"/>
                <w:sz w:val="18"/>
                <w:szCs w:val="18"/>
                <w:color w:val="auto"/>
              </w:rPr>
              <w:t>Shell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D</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113-01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Tank Top</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573-24</w:t>
            </w:r>
          </w:p>
        </w:tc>
        <w:tc>
          <w:tcPr>
            <w:tcW w:w="4180" w:type="dxa"/>
            <w:vAlign w:val="bottom"/>
          </w:tcPr>
          <w:p>
            <w:pPr>
              <w:ind w:left="100"/>
              <w:spacing w:after="0"/>
              <w:rPr>
                <w:sz w:val="20"/>
                <w:szCs w:val="20"/>
                <w:color w:val="auto"/>
              </w:rPr>
            </w:pPr>
            <w:r>
              <w:rPr>
                <w:rFonts w:ascii="Arial" w:cs="Arial" w:eastAsia="Arial" w:hAnsi="Arial"/>
                <w:sz w:val="18"/>
                <w:szCs w:val="18"/>
                <w:color w:val="auto"/>
              </w:rPr>
              <w:t>Bow Discharge Arrangement</w:t>
            </w:r>
          </w:p>
        </w:tc>
        <w:tc>
          <w:tcPr>
            <w:tcW w:w="5660" w:type="dxa"/>
            <w:vAlign w:val="bottom"/>
          </w:tcPr>
          <w:p>
            <w:pPr>
              <w:ind w:left="526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583-01</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Life Saving &amp; Safety Plan</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583-05</w:t>
            </w:r>
          </w:p>
        </w:tc>
        <w:tc>
          <w:tcPr>
            <w:tcW w:w="4180" w:type="dxa"/>
            <w:vAlign w:val="bottom"/>
          </w:tcPr>
          <w:p>
            <w:pPr>
              <w:ind w:left="100"/>
              <w:spacing w:after="0"/>
              <w:rPr>
                <w:sz w:val="20"/>
                <w:szCs w:val="20"/>
                <w:color w:val="auto"/>
              </w:rPr>
            </w:pPr>
            <w:r>
              <w:rPr>
                <w:rFonts w:ascii="Arial" w:cs="Arial" w:eastAsia="Arial" w:hAnsi="Arial"/>
                <w:sz w:val="18"/>
                <w:szCs w:val="18"/>
                <w:color w:val="auto"/>
              </w:rPr>
              <w:t>Fire Control Plan</w:t>
            </w:r>
          </w:p>
        </w:tc>
        <w:tc>
          <w:tcPr>
            <w:tcW w:w="5660" w:type="dxa"/>
            <w:vAlign w:val="bottom"/>
          </w:tcPr>
          <w:p>
            <w:pPr>
              <w:ind w:left="526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612-02</w:t>
            </w: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Hand Rails Interior</w:t>
            </w:r>
          </w:p>
        </w:tc>
        <w:tc>
          <w:tcPr>
            <w:tcW w:w="5660" w:type="dxa"/>
            <w:vAlign w:val="bottom"/>
            <w:shd w:val="clear" w:color="auto" w:fill="CCEEFF"/>
          </w:tcPr>
          <w:p>
            <w:pPr>
              <w:ind w:left="5260"/>
              <w:spacing w:after="0"/>
              <w:rPr>
                <w:sz w:val="20"/>
                <w:szCs w:val="20"/>
                <w:color w:val="auto"/>
              </w:rPr>
            </w:pPr>
            <w:r>
              <w:rPr>
                <w:rFonts w:ascii="Arial" w:cs="Arial" w:eastAsia="Arial" w:hAnsi="Arial"/>
                <w:sz w:val="18"/>
                <w:szCs w:val="18"/>
                <w:color w:val="auto"/>
              </w:rPr>
              <w:t>C</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1" w:name="page212"/>
    <w:bookmarkEnd w:id="211"/>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920" w:type="dxa"/>
            <w:vAlign w:val="bottom"/>
          </w:tcPr>
          <w:p>
            <w:pPr>
              <w:ind w:left="620"/>
              <w:spacing w:after="0"/>
              <w:rPr>
                <w:sz w:val="20"/>
                <w:szCs w:val="20"/>
                <w:color w:val="auto"/>
              </w:rPr>
            </w:pPr>
            <w:r>
              <w:rPr>
                <w:rFonts w:ascii="Arial" w:cs="Arial" w:eastAsia="Arial" w:hAnsi="Arial"/>
                <w:sz w:val="18"/>
                <w:szCs w:val="18"/>
                <w:b w:val="1"/>
                <w:bCs w:val="1"/>
                <w:color w:val="auto"/>
              </w:rPr>
              <w:t>EXHIBIT C-4</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623-01</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Ladders, Vertical</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Oct-13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632-02</w:t>
            </w:r>
          </w:p>
        </w:tc>
        <w:tc>
          <w:tcPr>
            <w:tcW w:w="3920" w:type="dxa"/>
            <w:vAlign w:val="bottom"/>
          </w:tcPr>
          <w:p>
            <w:pPr>
              <w:ind w:left="100"/>
              <w:spacing w:after="0"/>
              <w:rPr>
                <w:sz w:val="20"/>
                <w:szCs w:val="20"/>
                <w:color w:val="auto"/>
              </w:rPr>
            </w:pPr>
            <w:r>
              <w:rPr>
                <w:rFonts w:ascii="Arial" w:cs="Arial" w:eastAsia="Arial" w:hAnsi="Arial"/>
                <w:sz w:val="18"/>
                <w:szCs w:val="18"/>
                <w:color w:val="auto"/>
              </w:rPr>
              <w:t>Laddrs, Inclined</w:t>
            </w:r>
          </w:p>
        </w:tc>
        <w:tc>
          <w:tcPr>
            <w:tcW w:w="5920" w:type="dxa"/>
            <w:vAlign w:val="bottom"/>
          </w:tcPr>
          <w:p>
            <w:pPr>
              <w:ind w:left="5520"/>
              <w:spacing w:after="0"/>
              <w:rPr>
                <w:sz w:val="20"/>
                <w:szCs w:val="20"/>
                <w:color w:val="auto"/>
              </w:rPr>
            </w:pPr>
            <w:r>
              <w:rPr>
                <w:rFonts w:ascii="Arial" w:cs="Arial" w:eastAsia="Arial" w:hAnsi="Arial"/>
                <w:sz w:val="18"/>
                <w:szCs w:val="18"/>
                <w:color w:val="auto"/>
              </w:rPr>
              <w:t>D</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185-17</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Foundations, Draghead Winches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622-01</w:t>
            </w:r>
          </w:p>
        </w:tc>
        <w:tc>
          <w:tcPr>
            <w:tcW w:w="3920" w:type="dxa"/>
            <w:vAlign w:val="bottom"/>
          </w:tcPr>
          <w:p>
            <w:pPr>
              <w:ind w:left="100"/>
              <w:spacing w:after="0"/>
              <w:rPr>
                <w:sz w:val="20"/>
                <w:szCs w:val="20"/>
                <w:color w:val="auto"/>
              </w:rPr>
            </w:pPr>
            <w:r>
              <w:rPr>
                <w:rFonts w:ascii="Arial" w:cs="Arial" w:eastAsia="Arial" w:hAnsi="Arial"/>
                <w:sz w:val="18"/>
                <w:szCs w:val="18"/>
                <w:color w:val="auto"/>
              </w:rPr>
              <w:t>Gratings, Machinery Space</w:t>
            </w:r>
          </w:p>
        </w:tc>
        <w:tc>
          <w:tcPr>
            <w:tcW w:w="5920" w:type="dxa"/>
            <w:vAlign w:val="bottom"/>
          </w:tcPr>
          <w:p>
            <w:pPr>
              <w:ind w:left="552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117-13</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Poop Structure</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130-04</w:t>
            </w:r>
          </w:p>
        </w:tc>
        <w:tc>
          <w:tcPr>
            <w:tcW w:w="3920" w:type="dxa"/>
            <w:vAlign w:val="bottom"/>
          </w:tcPr>
          <w:p>
            <w:pPr>
              <w:ind w:left="100"/>
              <w:spacing w:after="0"/>
              <w:rPr>
                <w:sz w:val="20"/>
                <w:szCs w:val="20"/>
                <w:color w:val="auto"/>
              </w:rPr>
            </w:pPr>
            <w:r>
              <w:rPr>
                <w:rFonts w:ascii="Arial" w:cs="Arial" w:eastAsia="Arial" w:hAnsi="Arial"/>
                <w:sz w:val="18"/>
                <w:szCs w:val="18"/>
                <w:color w:val="auto"/>
              </w:rPr>
              <w:t>Poop Deck</w:t>
            </w:r>
          </w:p>
        </w:tc>
        <w:tc>
          <w:tcPr>
            <w:tcW w:w="5920" w:type="dxa"/>
            <w:vAlign w:val="bottom"/>
          </w:tcPr>
          <w:p>
            <w:pPr>
              <w:ind w:left="552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117-04  Transverse Web Frames Bow &amp; Stern</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C</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301-01</w:t>
            </w:r>
          </w:p>
        </w:tc>
        <w:tc>
          <w:tcPr>
            <w:tcW w:w="3920" w:type="dxa"/>
            <w:vAlign w:val="bottom"/>
          </w:tcPr>
          <w:p>
            <w:pPr>
              <w:ind w:left="100"/>
              <w:spacing w:after="0"/>
              <w:rPr>
                <w:sz w:val="20"/>
                <w:szCs w:val="20"/>
                <w:color w:val="auto"/>
              </w:rPr>
            </w:pPr>
            <w:r>
              <w:rPr>
                <w:rFonts w:ascii="Arial" w:cs="Arial" w:eastAsia="Arial" w:hAnsi="Arial"/>
                <w:sz w:val="18"/>
                <w:szCs w:val="18"/>
                <w:color w:val="auto"/>
              </w:rPr>
              <w:t>Electrical Standard Methods</w:t>
            </w:r>
          </w:p>
        </w:tc>
        <w:tc>
          <w:tcPr>
            <w:tcW w:w="5920" w:type="dxa"/>
            <w:vAlign w:val="bottom"/>
          </w:tcPr>
          <w:p>
            <w:pPr>
              <w:ind w:left="552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501-01</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Piping Standards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185-15  Foundations, Mooring &amp; Towing System</w:t>
            </w:r>
          </w:p>
        </w:tc>
        <w:tc>
          <w:tcPr>
            <w:tcW w:w="5920" w:type="dxa"/>
            <w:vAlign w:val="bottom"/>
          </w:tcPr>
          <w:p>
            <w:pPr>
              <w:ind w:left="554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500-02</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Auxiliary Machinery Arrangement</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573-04</w:t>
            </w:r>
          </w:p>
        </w:tc>
        <w:tc>
          <w:tcPr>
            <w:tcW w:w="3920" w:type="dxa"/>
            <w:vAlign w:val="bottom"/>
          </w:tcPr>
          <w:p>
            <w:pPr>
              <w:ind w:left="100"/>
              <w:spacing w:after="0"/>
              <w:rPr>
                <w:sz w:val="20"/>
                <w:szCs w:val="20"/>
                <w:color w:val="auto"/>
              </w:rPr>
            </w:pPr>
            <w:r>
              <w:rPr>
                <w:rFonts w:ascii="Arial" w:cs="Arial" w:eastAsia="Arial" w:hAnsi="Arial"/>
                <w:sz w:val="18"/>
                <w:szCs w:val="18"/>
                <w:color w:val="auto"/>
              </w:rPr>
              <w:t>Bow Discharge Structure</w:t>
            </w:r>
          </w:p>
        </w:tc>
        <w:tc>
          <w:tcPr>
            <w:tcW w:w="5920" w:type="dxa"/>
            <w:vAlign w:val="bottom"/>
          </w:tcPr>
          <w:p>
            <w:pPr>
              <w:ind w:left="5540"/>
              <w:spacing w:after="0"/>
              <w:rPr>
                <w:sz w:val="20"/>
                <w:szCs w:val="20"/>
                <w:color w:val="auto"/>
              </w:rPr>
            </w:pPr>
            <w:r>
              <w:rPr>
                <w:rFonts w:ascii="Arial" w:cs="Arial" w:eastAsia="Arial" w:hAnsi="Arial"/>
                <w:sz w:val="18"/>
                <w:szCs w:val="18"/>
                <w:color w:val="auto"/>
              </w:rPr>
              <w:t>P</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835-01</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Longitudinal Strength Calculations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835-02</w:t>
            </w:r>
          </w:p>
        </w:tc>
        <w:tc>
          <w:tcPr>
            <w:tcW w:w="3920" w:type="dxa"/>
            <w:vAlign w:val="bottom"/>
          </w:tcPr>
          <w:p>
            <w:pPr>
              <w:ind w:left="100"/>
              <w:spacing w:after="0"/>
              <w:rPr>
                <w:sz w:val="20"/>
                <w:szCs w:val="20"/>
                <w:color w:val="auto"/>
              </w:rPr>
            </w:pPr>
            <w:r>
              <w:rPr>
                <w:rFonts w:ascii="Arial" w:cs="Arial" w:eastAsia="Arial" w:hAnsi="Arial"/>
                <w:sz w:val="18"/>
                <w:szCs w:val="18"/>
                <w:color w:val="auto"/>
              </w:rPr>
              <w:t>Hydrostatic Tables</w:t>
            </w:r>
          </w:p>
        </w:tc>
        <w:tc>
          <w:tcPr>
            <w:tcW w:w="5920" w:type="dxa"/>
            <w:vAlign w:val="bottom"/>
          </w:tcPr>
          <w:p>
            <w:pPr>
              <w:ind w:left="552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835-03</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Tank Capacity Tables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835-04</w:t>
            </w:r>
          </w:p>
        </w:tc>
        <w:tc>
          <w:tcPr>
            <w:tcW w:w="3920" w:type="dxa"/>
            <w:vAlign w:val="bottom"/>
          </w:tcPr>
          <w:p>
            <w:pPr>
              <w:ind w:left="100"/>
              <w:spacing w:after="0"/>
              <w:rPr>
                <w:sz w:val="20"/>
                <w:szCs w:val="20"/>
                <w:color w:val="auto"/>
              </w:rPr>
            </w:pPr>
            <w:r>
              <w:rPr>
                <w:rFonts w:ascii="Arial" w:cs="Arial" w:eastAsia="Arial" w:hAnsi="Arial"/>
                <w:sz w:val="18"/>
                <w:szCs w:val="18"/>
                <w:color w:val="auto"/>
              </w:rPr>
              <w:t>Hopper Capacity Tables</w:t>
            </w:r>
          </w:p>
        </w:tc>
        <w:tc>
          <w:tcPr>
            <w:tcW w:w="5920" w:type="dxa"/>
            <w:vAlign w:val="bottom"/>
          </w:tcPr>
          <w:p>
            <w:pPr>
              <w:ind w:left="552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835-06</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Capacity Plan</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835-07  Weight Estimate &amp; Distribution</w:t>
            </w:r>
          </w:p>
        </w:tc>
        <w:tc>
          <w:tcPr>
            <w:tcW w:w="5920" w:type="dxa"/>
            <w:vAlign w:val="bottom"/>
          </w:tcPr>
          <w:p>
            <w:pPr>
              <w:ind w:left="552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835-09</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Loading Conditions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835-10</w:t>
            </w:r>
          </w:p>
        </w:tc>
        <w:tc>
          <w:tcPr>
            <w:tcW w:w="3920" w:type="dxa"/>
            <w:vAlign w:val="bottom"/>
          </w:tcPr>
          <w:p>
            <w:pPr>
              <w:ind w:left="100"/>
              <w:spacing w:after="0"/>
              <w:rPr>
                <w:sz w:val="20"/>
                <w:szCs w:val="20"/>
                <w:color w:val="auto"/>
              </w:rPr>
            </w:pPr>
            <w:r>
              <w:rPr>
                <w:rFonts w:ascii="Arial" w:cs="Arial" w:eastAsia="Arial" w:hAnsi="Arial"/>
                <w:sz w:val="18"/>
                <w:szCs w:val="18"/>
                <w:color w:val="auto"/>
              </w:rPr>
              <w:t>Intact Stability Calculations</w:t>
            </w:r>
          </w:p>
        </w:tc>
        <w:tc>
          <w:tcPr>
            <w:tcW w:w="5920" w:type="dxa"/>
            <w:vAlign w:val="bottom"/>
          </w:tcPr>
          <w:p>
            <w:pPr>
              <w:ind w:left="552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835-11  Longitudinal Bending Moment Calculations</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839-01</w:t>
            </w:r>
          </w:p>
        </w:tc>
        <w:tc>
          <w:tcPr>
            <w:tcW w:w="3920" w:type="dxa"/>
            <w:vAlign w:val="bottom"/>
          </w:tcPr>
          <w:p>
            <w:pPr>
              <w:ind w:left="100"/>
              <w:spacing w:after="0"/>
              <w:rPr>
                <w:sz w:val="20"/>
                <w:szCs w:val="20"/>
                <w:color w:val="auto"/>
              </w:rPr>
            </w:pPr>
            <w:r>
              <w:rPr>
                <w:rFonts w:ascii="Arial" w:cs="Arial" w:eastAsia="Arial" w:hAnsi="Arial"/>
                <w:sz w:val="18"/>
                <w:szCs w:val="18"/>
                <w:color w:val="auto"/>
              </w:rPr>
              <w:t>Lines Plan</w:t>
            </w:r>
          </w:p>
        </w:tc>
        <w:tc>
          <w:tcPr>
            <w:tcW w:w="5920" w:type="dxa"/>
            <w:vAlign w:val="bottom"/>
          </w:tcPr>
          <w:p>
            <w:pPr>
              <w:ind w:left="5520"/>
              <w:spacing w:after="0"/>
              <w:rPr>
                <w:sz w:val="20"/>
                <w:szCs w:val="20"/>
                <w:color w:val="auto"/>
              </w:rPr>
            </w:pPr>
            <w:r>
              <w:rPr>
                <w:rFonts w:ascii="Arial" w:cs="Arial" w:eastAsia="Arial" w:hAnsi="Arial"/>
                <w:sz w:val="18"/>
                <w:szCs w:val="18"/>
                <w:color w:val="auto"/>
              </w:rPr>
              <w:t>B</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843-06</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Load Line Estimate</w:t>
            </w:r>
          </w:p>
        </w:tc>
        <w:tc>
          <w:tcPr>
            <w:tcW w:w="592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997-01</w:t>
            </w:r>
          </w:p>
        </w:tc>
        <w:tc>
          <w:tcPr>
            <w:tcW w:w="3920" w:type="dxa"/>
            <w:vAlign w:val="bottom"/>
          </w:tcPr>
          <w:p>
            <w:pPr>
              <w:ind w:left="100"/>
              <w:spacing w:after="0"/>
              <w:rPr>
                <w:sz w:val="20"/>
                <w:szCs w:val="20"/>
                <w:color w:val="auto"/>
              </w:rPr>
            </w:pPr>
            <w:r>
              <w:rPr>
                <w:rFonts w:ascii="Arial" w:cs="Arial" w:eastAsia="Arial" w:hAnsi="Arial"/>
                <w:sz w:val="18"/>
                <w:szCs w:val="18"/>
                <w:color w:val="auto"/>
              </w:rPr>
              <w:t>Docking Plan</w:t>
            </w:r>
          </w:p>
        </w:tc>
        <w:tc>
          <w:tcPr>
            <w:tcW w:w="5920" w:type="dxa"/>
            <w:vAlign w:val="bottom"/>
          </w:tcPr>
          <w:p>
            <w:pPr>
              <w:ind w:left="5520"/>
              <w:spacing w:after="0"/>
              <w:rPr>
                <w:sz w:val="20"/>
                <w:szCs w:val="20"/>
                <w:color w:val="auto"/>
              </w:rPr>
            </w:pPr>
            <w:r>
              <w:rPr>
                <w:rFonts w:ascii="Arial" w:cs="Arial" w:eastAsia="Arial" w:hAnsi="Arial"/>
                <w:sz w:val="18"/>
                <w:szCs w:val="18"/>
                <w:color w:val="auto"/>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185-14  Foundations, Anchor System Equipment</w:t>
            </w:r>
          </w:p>
        </w:tc>
        <w:tc>
          <w:tcPr>
            <w:tcW w:w="5920" w:type="dxa"/>
            <w:vAlign w:val="bottom"/>
            <w:shd w:val="clear" w:color="auto" w:fill="CCEEFF"/>
          </w:tcPr>
          <w:p>
            <w:pPr>
              <w:ind w:left="5540"/>
              <w:spacing w:after="0"/>
              <w:rPr>
                <w:sz w:val="20"/>
                <w:szCs w:val="20"/>
                <w:color w:val="auto"/>
              </w:rPr>
            </w:pPr>
            <w:r>
              <w:rPr>
                <w:rFonts w:ascii="Arial" w:cs="Arial" w:eastAsia="Arial" w:hAnsi="Arial"/>
                <w:sz w:val="18"/>
                <w:szCs w:val="18"/>
                <w:color w:val="auto"/>
              </w:rPr>
              <w:t>P</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2" w:name="page213"/>
    <w:bookmarkEnd w:id="21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C-4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ATB TUG CONTRACT DRAWINGS PACKAGE – AUGUST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Dwg #</w:t>
            </w:r>
          </w:p>
        </w:tc>
        <w:tc>
          <w:tcPr>
            <w:tcW w:w="460" w:type="dxa"/>
            <w:vAlign w:val="bottom"/>
          </w:tcPr>
          <w:p>
            <w:pPr>
              <w:spacing w:after="0"/>
              <w:rPr>
                <w:sz w:val="14"/>
                <w:szCs w:val="14"/>
                <w:color w:val="auto"/>
              </w:rPr>
            </w:pPr>
          </w:p>
        </w:tc>
        <w:tc>
          <w:tcPr>
            <w:tcW w:w="8560" w:type="dxa"/>
            <w:vAlign w:val="bottom"/>
            <w:gridSpan w:val="2"/>
          </w:tcPr>
          <w:p>
            <w:pPr>
              <w:ind w:left="386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Revision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259-002</w:t>
            </w:r>
          </w:p>
        </w:tc>
        <w:tc>
          <w:tcPr>
            <w:tcW w:w="460" w:type="dxa"/>
            <w:vAlign w:val="bottom"/>
            <w:shd w:val="clear" w:color="auto" w:fill="CCEEFF"/>
          </w:tcPr>
          <w:p>
            <w:pPr>
              <w:spacing w:after="0"/>
              <w:rPr>
                <w:sz w:val="17"/>
                <w:szCs w:val="17"/>
                <w:color w:val="auto"/>
              </w:rPr>
            </w:pPr>
          </w:p>
        </w:tc>
        <w:tc>
          <w:tcPr>
            <w:tcW w:w="8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Exh Pipe Arr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P2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264-004</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Dirty Oil Sys Diagram</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521-002</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Fire Main System Diagram</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529-002</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Bilge and Ballast Diagram</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P2</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541-002</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 Service Sys Diagram</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551-002</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Compressed Air Sys Diagram</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P2</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101-002</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Arrangement</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117-002</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Midship Section</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117-101</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Scantlings Bow Thru Frame 16</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117-102</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Scantlings Fr 17 Thru 46</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117-103</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Scantlings Fr 47 Thru Transom</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117-104</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Scantlings Superstructure</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167-003</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Hatch Details</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233-002</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Propulsion Engines Fdns</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802-001</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Outboard Profile</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802-002</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Inboard Profile</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870-002</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480V Distribution</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870-003</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480V Distribution Panels</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870-004</w:t>
            </w:r>
          </w:p>
        </w:tc>
        <w:tc>
          <w:tcPr>
            <w:tcW w:w="46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208V/120V Power Distribution</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870-006</w:t>
            </w:r>
          </w:p>
        </w:tc>
        <w:tc>
          <w:tcPr>
            <w:tcW w:w="4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DC Power Distribution</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T266-264-002</w:t>
            </w: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FENDER INSTL DIAG</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auto"/>
              </w:rPr>
              <w:t>T266-300-001   Manholes &amp; Hatches A&amp;D</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P1</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T266-427-001</w:t>
            </w: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Navigation Lighting</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auto"/>
              </w:rPr>
              <w:t>T266-510-001   WT &amp; Weat Doors A&amp;D</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P1</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T266-534-001</w:t>
            </w: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Ladders A&amp;D</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auto"/>
              </w:rPr>
              <w:t>T266-582-002   SAN DRAINS &amp; SEWAGE</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T266-584-001   Potable Water System Diagram</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auto"/>
              </w:rPr>
              <w:t>T266-711-001   LO Fill and Trans Sys Diagram</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T266-820-001</w:t>
            </w: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TANK VENTS-SOUNDS PLAN</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T267-804-001</w:t>
            </w:r>
          </w:p>
        </w:tc>
        <w:tc>
          <w:tcPr>
            <w:tcW w:w="8560" w:type="dxa"/>
            <w:vAlign w:val="bottom"/>
            <w:gridSpan w:val="2"/>
          </w:tcPr>
          <w:p>
            <w:pPr>
              <w:spacing w:after="0"/>
              <w:rPr>
                <w:sz w:val="20"/>
                <w:szCs w:val="20"/>
                <w:color w:val="auto"/>
              </w:rPr>
            </w:pPr>
            <w:r>
              <w:rPr>
                <w:rFonts w:ascii="Arial" w:cs="Arial" w:eastAsia="Arial" w:hAnsi="Arial"/>
                <w:sz w:val="18"/>
                <w:szCs w:val="18"/>
                <w:color w:val="auto"/>
              </w:rPr>
              <w:t>WEATHER DK DRAINS</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Aug-13</w:t>
            </w:r>
          </w:p>
        </w:tc>
        <w:tc>
          <w:tcPr>
            <w:tcW w:w="0" w:type="dxa"/>
            <w:vAlign w:val="bottom"/>
          </w:tcPr>
          <w:p>
            <w:pPr>
              <w:spacing w:after="0"/>
              <w:rPr>
                <w:sz w:val="1"/>
                <w:szCs w:val="1"/>
                <w:color w:val="auto"/>
              </w:rPr>
            </w:pPr>
          </w:p>
        </w:tc>
      </w:tr>
      <w:tr>
        <w:trPr>
          <w:trHeight w:val="526"/>
        </w:trPr>
        <w:tc>
          <w:tcPr>
            <w:tcW w:w="9840" w:type="dxa"/>
            <w:vAlign w:val="bottom"/>
            <w:gridSpan w:val="6"/>
          </w:tcPr>
          <w:p>
            <w:pPr>
              <w:spacing w:after="0"/>
              <w:rPr>
                <w:sz w:val="20"/>
                <w:szCs w:val="20"/>
                <w:color w:val="auto"/>
              </w:rPr>
            </w:pPr>
            <w:r>
              <w:rPr>
                <w:rFonts w:ascii="Arial" w:cs="Arial" w:eastAsia="Arial" w:hAnsi="Arial"/>
                <w:sz w:val="18"/>
                <w:szCs w:val="18"/>
                <w:b w:val="1"/>
                <w:bCs w:val="1"/>
                <w:color w:val="auto"/>
              </w:rPr>
              <w:t>ATB TUG CONTRACT DRAWINGS PACKAGE – SEPTEMBER 2013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Dwg #</w:t>
            </w:r>
          </w:p>
        </w:tc>
        <w:tc>
          <w:tcPr>
            <w:tcW w:w="460" w:type="dxa"/>
            <w:vAlign w:val="bottom"/>
          </w:tcPr>
          <w:p>
            <w:pPr>
              <w:spacing w:after="0"/>
              <w:rPr>
                <w:sz w:val="24"/>
                <w:szCs w:val="24"/>
                <w:color w:val="auto"/>
              </w:rPr>
            </w:pPr>
          </w:p>
        </w:tc>
        <w:tc>
          <w:tcPr>
            <w:tcW w:w="8560" w:type="dxa"/>
            <w:vAlign w:val="bottom"/>
            <w:gridSpan w:val="2"/>
          </w:tcPr>
          <w:p>
            <w:pPr>
              <w:ind w:left="3640"/>
              <w:spacing w:after="0"/>
              <w:rPr>
                <w:sz w:val="20"/>
                <w:szCs w:val="20"/>
                <w:color w:val="auto"/>
              </w:rPr>
            </w:pPr>
            <w:r>
              <w:rPr>
                <w:rFonts w:ascii="Arial" w:cs="Arial" w:eastAsia="Arial" w:hAnsi="Arial"/>
                <w:sz w:val="14"/>
                <w:szCs w:val="14"/>
                <w:b w:val="1"/>
                <w:bCs w:val="1"/>
                <w:color w:val="auto"/>
              </w:rPr>
              <w:t>Description</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Revision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101-002</w:t>
            </w:r>
          </w:p>
        </w:tc>
        <w:tc>
          <w:tcPr>
            <w:tcW w:w="8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General Arrangement (Tug)</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1"/>
              <w:spacing w:after="0" w:line="203"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Sept-13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gridSpan w:val="3"/>
          </w:tcPr>
          <w:p>
            <w:pPr>
              <w:spacing w:after="0"/>
              <w:rPr>
                <w:sz w:val="20"/>
                <w:szCs w:val="20"/>
                <w:color w:val="auto"/>
              </w:rPr>
            </w:pPr>
            <w:r>
              <w:rPr>
                <w:rFonts w:ascii="Arial" w:cs="Arial" w:eastAsia="Arial" w:hAnsi="Arial"/>
                <w:sz w:val="18"/>
                <w:szCs w:val="18"/>
                <w:color w:val="auto"/>
              </w:rPr>
              <w:t>GLDD Build Strategy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Sept-13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ATB Hopper Tug Model</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Sept-13</w:t>
            </w:r>
          </w:p>
        </w:tc>
        <w:tc>
          <w:tcPr>
            <w:tcW w:w="0" w:type="dxa"/>
            <w:vAlign w:val="bottom"/>
          </w:tcPr>
          <w:p>
            <w:pPr>
              <w:spacing w:after="0"/>
              <w:rPr>
                <w:sz w:val="1"/>
                <w:szCs w:val="1"/>
                <w:color w:val="auto"/>
              </w:rPr>
            </w:pPr>
          </w:p>
        </w:tc>
      </w:tr>
      <w:tr>
        <w:trPr>
          <w:trHeight w:val="540"/>
        </w:trPr>
        <w:tc>
          <w:tcPr>
            <w:tcW w:w="9840" w:type="dxa"/>
            <w:vAlign w:val="bottom"/>
            <w:gridSpan w:val="6"/>
          </w:tcPr>
          <w:p>
            <w:pPr>
              <w:spacing w:after="0"/>
              <w:rPr>
                <w:sz w:val="20"/>
                <w:szCs w:val="20"/>
                <w:color w:val="auto"/>
              </w:rPr>
            </w:pPr>
            <w:r>
              <w:rPr>
                <w:rFonts w:ascii="Arial" w:cs="Arial" w:eastAsia="Arial" w:hAnsi="Arial"/>
                <w:sz w:val="18"/>
                <w:szCs w:val="18"/>
                <w:b w:val="1"/>
                <w:bCs w:val="1"/>
                <w:color w:val="auto"/>
              </w:rPr>
              <w:t>ATB TUG CONTRACT DRAWINGS PACKAGE – OCTOBER 2013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gridSpan w:val="2"/>
          </w:tcPr>
          <w:p>
            <w:pPr>
              <w:spacing w:after="0"/>
              <w:rPr>
                <w:sz w:val="21"/>
                <w:szCs w:val="21"/>
                <w:color w:val="auto"/>
              </w:rPr>
            </w:pPr>
          </w:p>
        </w:tc>
        <w:tc>
          <w:tcPr>
            <w:tcW w:w="90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101-023</w:t>
            </w:r>
          </w:p>
        </w:tc>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Connection Geometry</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3" w:name="page214"/>
    <w:bookmarkEnd w:id="21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40" w:type="dxa"/>
            <w:vAlign w:val="bottom"/>
          </w:tcPr>
          <w:p>
            <w:pPr>
              <w:ind w:left="3960"/>
              <w:spacing w:after="0"/>
              <w:rPr>
                <w:sz w:val="20"/>
                <w:szCs w:val="20"/>
                <w:color w:val="auto"/>
              </w:rPr>
            </w:pPr>
            <w:r>
              <w:rPr>
                <w:rFonts w:ascii="Arial" w:cs="Arial" w:eastAsia="Arial" w:hAnsi="Arial"/>
                <w:sz w:val="18"/>
                <w:szCs w:val="18"/>
                <w:b w:val="1"/>
                <w:bCs w:val="1"/>
                <w:color w:val="auto"/>
              </w:rPr>
              <w:t>EXHIBIT C-4</w:t>
            </w:r>
          </w:p>
        </w:tc>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1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101-023</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Geometry</w:t>
            </w:r>
          </w:p>
        </w:tc>
        <w:tc>
          <w:tcPr>
            <w:tcW w:w="23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101-002</w:t>
            </w:r>
          </w:p>
        </w:tc>
        <w:tc>
          <w:tcPr>
            <w:tcW w:w="6940" w:type="dxa"/>
            <w:vAlign w:val="bottom"/>
          </w:tcPr>
          <w:p>
            <w:pPr>
              <w:ind w:left="160"/>
              <w:spacing w:after="0"/>
              <w:rPr>
                <w:sz w:val="20"/>
                <w:szCs w:val="20"/>
                <w:color w:val="auto"/>
              </w:rPr>
            </w:pPr>
            <w:r>
              <w:rPr>
                <w:rFonts w:ascii="Arial" w:cs="Arial" w:eastAsia="Arial" w:hAnsi="Arial"/>
                <w:sz w:val="18"/>
                <w:szCs w:val="18"/>
                <w:color w:val="auto"/>
              </w:rPr>
              <w:t>General Arrangement – Hold Plan &amp; Main Deck</w:t>
            </w:r>
          </w:p>
        </w:tc>
        <w:tc>
          <w:tcPr>
            <w:tcW w:w="2320" w:type="dxa"/>
            <w:vAlign w:val="bottom"/>
          </w:tcPr>
          <w:p>
            <w:pPr>
              <w:ind w:left="188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101-002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Arrangement – Hold Plan &amp; Main Deck</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99"/>
              </w:rPr>
              <w:t>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890-001</w:t>
            </w:r>
          </w:p>
        </w:tc>
        <w:tc>
          <w:tcPr>
            <w:tcW w:w="6940" w:type="dxa"/>
            <w:vAlign w:val="bottom"/>
          </w:tcPr>
          <w:p>
            <w:pPr>
              <w:ind w:left="160"/>
              <w:spacing w:after="0"/>
              <w:rPr>
                <w:sz w:val="20"/>
                <w:szCs w:val="20"/>
                <w:color w:val="auto"/>
              </w:rPr>
            </w:pPr>
            <w:r>
              <w:rPr>
                <w:rFonts w:ascii="Arial" w:cs="Arial" w:eastAsia="Arial" w:hAnsi="Arial"/>
                <w:sz w:val="18"/>
                <w:szCs w:val="18"/>
                <w:color w:val="auto"/>
              </w:rPr>
              <w:t>Articouple System Block Diagram</w:t>
            </w:r>
          </w:p>
        </w:tc>
        <w:tc>
          <w:tcPr>
            <w:tcW w:w="2320" w:type="dxa"/>
            <w:vAlign w:val="bottom"/>
          </w:tcPr>
          <w:p>
            <w:pPr>
              <w:ind w:left="194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876-001</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MAK Engine Control System</w:t>
            </w:r>
          </w:p>
        </w:tc>
        <w:tc>
          <w:tcPr>
            <w:tcW w:w="23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890-001</w:t>
            </w:r>
          </w:p>
        </w:tc>
        <w:tc>
          <w:tcPr>
            <w:tcW w:w="6940" w:type="dxa"/>
            <w:vAlign w:val="bottom"/>
          </w:tcPr>
          <w:p>
            <w:pPr>
              <w:ind w:left="160"/>
              <w:spacing w:after="0"/>
              <w:rPr>
                <w:sz w:val="20"/>
                <w:szCs w:val="20"/>
                <w:color w:val="auto"/>
              </w:rPr>
            </w:pPr>
            <w:r>
              <w:rPr>
                <w:rFonts w:ascii="Arial" w:cs="Arial" w:eastAsia="Arial" w:hAnsi="Arial"/>
                <w:sz w:val="18"/>
                <w:szCs w:val="18"/>
                <w:color w:val="auto"/>
              </w:rPr>
              <w:t>Articouple One Line Diagram</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99"/>
              </w:rPr>
              <w:t>0</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T266-101-002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Arrangement</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99"/>
              </w:rPr>
              <w:t>3</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T266-101-002</w:t>
            </w:r>
          </w:p>
        </w:tc>
        <w:tc>
          <w:tcPr>
            <w:tcW w:w="6940" w:type="dxa"/>
            <w:vAlign w:val="bottom"/>
          </w:tcPr>
          <w:p>
            <w:pPr>
              <w:ind w:left="160"/>
              <w:spacing w:after="0"/>
              <w:rPr>
                <w:sz w:val="20"/>
                <w:szCs w:val="20"/>
                <w:color w:val="auto"/>
              </w:rPr>
            </w:pPr>
            <w:r>
              <w:rPr>
                <w:rFonts w:ascii="Arial" w:cs="Arial" w:eastAsia="Arial" w:hAnsi="Arial"/>
                <w:sz w:val="18"/>
                <w:szCs w:val="18"/>
                <w:color w:val="auto"/>
              </w:rPr>
              <w:t>General Arrangement</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99"/>
              </w:rPr>
              <w:t>4</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T266-101-002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Arrangement</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99"/>
              </w:rPr>
              <w:t>5</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T266-101-002</w:t>
            </w:r>
          </w:p>
        </w:tc>
        <w:tc>
          <w:tcPr>
            <w:tcW w:w="6940" w:type="dxa"/>
            <w:vAlign w:val="bottom"/>
          </w:tcPr>
          <w:p>
            <w:pPr>
              <w:ind w:left="160"/>
              <w:spacing w:after="0"/>
              <w:rPr>
                <w:sz w:val="20"/>
                <w:szCs w:val="20"/>
                <w:color w:val="auto"/>
              </w:rPr>
            </w:pPr>
            <w:r>
              <w:rPr>
                <w:rFonts w:ascii="Arial" w:cs="Arial" w:eastAsia="Arial" w:hAnsi="Arial"/>
                <w:sz w:val="18"/>
                <w:szCs w:val="18"/>
                <w:color w:val="auto"/>
              </w:rPr>
              <w:t>General Arrangement - IN PROCESS</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99"/>
              </w:rPr>
              <w:t>6</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T266-101-021</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Lines Model</w:t>
            </w:r>
          </w:p>
        </w:tc>
        <w:tc>
          <w:tcPr>
            <w:tcW w:w="23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T266-101-021</w:t>
            </w:r>
          </w:p>
        </w:tc>
        <w:tc>
          <w:tcPr>
            <w:tcW w:w="6940" w:type="dxa"/>
            <w:vAlign w:val="bottom"/>
          </w:tcPr>
          <w:p>
            <w:pPr>
              <w:ind w:left="160"/>
              <w:spacing w:after="0"/>
              <w:rPr>
                <w:sz w:val="20"/>
                <w:szCs w:val="20"/>
                <w:color w:val="auto"/>
              </w:rPr>
            </w:pPr>
            <w:r>
              <w:rPr>
                <w:rFonts w:ascii="Arial" w:cs="Arial" w:eastAsia="Arial" w:hAnsi="Arial"/>
                <w:sz w:val="18"/>
                <w:szCs w:val="18"/>
                <w:color w:val="auto"/>
              </w:rPr>
              <w:t>Rhino Lines Model</w:t>
            </w:r>
          </w:p>
        </w:tc>
        <w:tc>
          <w:tcPr>
            <w:tcW w:w="2320" w:type="dxa"/>
            <w:vAlign w:val="bottom"/>
          </w:tcPr>
          <w:p>
            <w:pPr>
              <w:ind w:left="188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T266-101-045</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Navigation Bridge Visibility</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T266-109-002</w:t>
            </w:r>
          </w:p>
        </w:tc>
        <w:tc>
          <w:tcPr>
            <w:tcW w:w="6940" w:type="dxa"/>
            <w:vAlign w:val="bottom"/>
          </w:tcPr>
          <w:p>
            <w:pPr>
              <w:ind w:left="160"/>
              <w:spacing w:after="0"/>
              <w:rPr>
                <w:sz w:val="20"/>
                <w:szCs w:val="20"/>
                <w:color w:val="auto"/>
              </w:rPr>
            </w:pPr>
            <w:r>
              <w:rPr>
                <w:rFonts w:ascii="Arial" w:cs="Arial" w:eastAsia="Arial" w:hAnsi="Arial"/>
                <w:sz w:val="18"/>
                <w:szCs w:val="18"/>
                <w:color w:val="auto"/>
              </w:rPr>
              <w:t>Structural Fire Protection</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T266-109-002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Structural Fire Protection</w:t>
            </w:r>
          </w:p>
        </w:tc>
        <w:tc>
          <w:tcPr>
            <w:tcW w:w="23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T266-167-003</w:t>
            </w:r>
          </w:p>
        </w:tc>
        <w:tc>
          <w:tcPr>
            <w:tcW w:w="6940" w:type="dxa"/>
            <w:vAlign w:val="bottom"/>
          </w:tcPr>
          <w:p>
            <w:pPr>
              <w:ind w:left="160"/>
              <w:spacing w:after="0"/>
              <w:rPr>
                <w:sz w:val="20"/>
                <w:szCs w:val="20"/>
                <w:color w:val="auto"/>
              </w:rPr>
            </w:pPr>
            <w:r>
              <w:rPr>
                <w:rFonts w:ascii="Arial" w:cs="Arial" w:eastAsia="Arial" w:hAnsi="Arial"/>
                <w:sz w:val="18"/>
                <w:szCs w:val="18"/>
                <w:color w:val="auto"/>
              </w:rPr>
              <w:t>Hatch Details</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T266-233-001</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Propulsion Arrangement</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T266-233-001</w:t>
            </w:r>
          </w:p>
        </w:tc>
        <w:tc>
          <w:tcPr>
            <w:tcW w:w="6940" w:type="dxa"/>
            <w:vAlign w:val="bottom"/>
          </w:tcPr>
          <w:p>
            <w:pPr>
              <w:ind w:left="160"/>
              <w:spacing w:after="0"/>
              <w:rPr>
                <w:sz w:val="20"/>
                <w:szCs w:val="20"/>
                <w:color w:val="auto"/>
              </w:rPr>
            </w:pPr>
            <w:r>
              <w:rPr>
                <w:rFonts w:ascii="Arial" w:cs="Arial" w:eastAsia="Arial" w:hAnsi="Arial"/>
                <w:sz w:val="18"/>
                <w:szCs w:val="18"/>
                <w:color w:val="auto"/>
              </w:rPr>
              <w:t>Propulsion Arrangement</w:t>
            </w:r>
          </w:p>
        </w:tc>
        <w:tc>
          <w:tcPr>
            <w:tcW w:w="2320" w:type="dxa"/>
            <w:vAlign w:val="bottom"/>
          </w:tcPr>
          <w:p>
            <w:pPr>
              <w:ind w:left="188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T266-256-002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 and Aux Raw Water Cooling System Diagram</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T266-259-002</w:t>
            </w:r>
          </w:p>
        </w:tc>
        <w:tc>
          <w:tcPr>
            <w:tcW w:w="6940" w:type="dxa"/>
            <w:vAlign w:val="bottom"/>
          </w:tcPr>
          <w:p>
            <w:pPr>
              <w:ind w:left="160"/>
              <w:spacing w:after="0"/>
              <w:rPr>
                <w:sz w:val="20"/>
                <w:szCs w:val="20"/>
                <w:color w:val="auto"/>
              </w:rPr>
            </w:pPr>
            <w:r>
              <w:rPr>
                <w:rFonts w:ascii="Arial" w:cs="Arial" w:eastAsia="Arial" w:hAnsi="Arial"/>
                <w:sz w:val="18"/>
                <w:szCs w:val="18"/>
                <w:color w:val="auto"/>
              </w:rPr>
              <w:t>Exhaust Piping Arrangement</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T266-264-002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Fender Installation Diagram</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T266-264-004</w:t>
            </w:r>
          </w:p>
        </w:tc>
        <w:tc>
          <w:tcPr>
            <w:tcW w:w="6940" w:type="dxa"/>
            <w:vAlign w:val="bottom"/>
          </w:tcPr>
          <w:p>
            <w:pPr>
              <w:ind w:left="160"/>
              <w:spacing w:after="0"/>
              <w:rPr>
                <w:sz w:val="20"/>
                <w:szCs w:val="20"/>
                <w:color w:val="auto"/>
              </w:rPr>
            </w:pPr>
            <w:r>
              <w:rPr>
                <w:rFonts w:ascii="Arial" w:cs="Arial" w:eastAsia="Arial" w:hAnsi="Arial"/>
                <w:sz w:val="18"/>
                <w:szCs w:val="18"/>
                <w:color w:val="auto"/>
              </w:rPr>
              <w:t>Dirty Oil System Diagram</w:t>
            </w:r>
          </w:p>
        </w:tc>
        <w:tc>
          <w:tcPr>
            <w:tcW w:w="2320" w:type="dxa"/>
            <w:vAlign w:val="bottom"/>
          </w:tcPr>
          <w:p>
            <w:pPr>
              <w:ind w:left="188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T266-300-001</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Manholes &amp; Hatches Arrangement &amp; Details</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T266-401-001</w:t>
            </w:r>
          </w:p>
        </w:tc>
        <w:tc>
          <w:tcPr>
            <w:tcW w:w="6940" w:type="dxa"/>
            <w:vAlign w:val="bottom"/>
          </w:tcPr>
          <w:p>
            <w:pPr>
              <w:ind w:left="160"/>
              <w:spacing w:after="0"/>
              <w:rPr>
                <w:sz w:val="20"/>
                <w:szCs w:val="20"/>
                <w:color w:val="auto"/>
              </w:rPr>
            </w:pPr>
            <w:r>
              <w:rPr>
                <w:rFonts w:ascii="Arial" w:cs="Arial" w:eastAsia="Arial" w:hAnsi="Arial"/>
                <w:sz w:val="18"/>
                <w:szCs w:val="18"/>
                <w:color w:val="auto"/>
              </w:rPr>
              <w:t>Rudder Arrangement</w:t>
            </w:r>
          </w:p>
        </w:tc>
        <w:tc>
          <w:tcPr>
            <w:tcW w:w="2320" w:type="dxa"/>
            <w:vAlign w:val="bottom"/>
          </w:tcPr>
          <w:p>
            <w:pPr>
              <w:ind w:left="188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T266-427-001</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Navigational Lighting</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T266-501-001</w:t>
            </w:r>
          </w:p>
        </w:tc>
        <w:tc>
          <w:tcPr>
            <w:tcW w:w="6940" w:type="dxa"/>
            <w:vAlign w:val="bottom"/>
          </w:tcPr>
          <w:p>
            <w:pPr>
              <w:ind w:left="160"/>
              <w:spacing w:after="0"/>
              <w:rPr>
                <w:sz w:val="20"/>
                <w:szCs w:val="20"/>
                <w:color w:val="auto"/>
              </w:rPr>
            </w:pPr>
            <w:r>
              <w:rPr>
                <w:rFonts w:ascii="Arial" w:cs="Arial" w:eastAsia="Arial" w:hAnsi="Arial"/>
                <w:sz w:val="18"/>
                <w:szCs w:val="18"/>
                <w:color w:val="auto"/>
              </w:rPr>
              <w:t>Rescue Boat and Liferaft Arrangement &amp; Details</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T266-506-002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Tank Vents &amp; Sounds Diagram</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T266-510-001</w:t>
            </w:r>
          </w:p>
        </w:tc>
        <w:tc>
          <w:tcPr>
            <w:tcW w:w="6940" w:type="dxa"/>
            <w:vAlign w:val="bottom"/>
          </w:tcPr>
          <w:p>
            <w:pPr>
              <w:ind w:left="160"/>
              <w:spacing w:after="0"/>
              <w:rPr>
                <w:sz w:val="20"/>
                <w:szCs w:val="20"/>
                <w:color w:val="auto"/>
              </w:rPr>
            </w:pPr>
            <w:r>
              <w:rPr>
                <w:rFonts w:ascii="Arial" w:cs="Arial" w:eastAsia="Arial" w:hAnsi="Arial"/>
                <w:sz w:val="18"/>
                <w:szCs w:val="18"/>
                <w:color w:val="auto"/>
              </w:rPr>
              <w:t>WT and Weathertight Doors Arrangement &amp; Details</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T266-513-001</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Ventilation</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T266-521-002</w:t>
            </w:r>
          </w:p>
        </w:tc>
        <w:tc>
          <w:tcPr>
            <w:tcW w:w="6940" w:type="dxa"/>
            <w:vAlign w:val="bottom"/>
          </w:tcPr>
          <w:p>
            <w:pPr>
              <w:ind w:left="160"/>
              <w:spacing w:after="0"/>
              <w:rPr>
                <w:sz w:val="20"/>
                <w:szCs w:val="20"/>
                <w:color w:val="auto"/>
              </w:rPr>
            </w:pPr>
            <w:r>
              <w:rPr>
                <w:rFonts w:ascii="Arial" w:cs="Arial" w:eastAsia="Arial" w:hAnsi="Arial"/>
                <w:sz w:val="18"/>
                <w:szCs w:val="18"/>
                <w:color w:val="auto"/>
              </w:rPr>
              <w:t>Fire Main System Diagram</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T266-529-002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Bilge and Ballast Diagram</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T266-532-002</w:t>
            </w:r>
          </w:p>
        </w:tc>
        <w:tc>
          <w:tcPr>
            <w:tcW w:w="6940" w:type="dxa"/>
            <w:vAlign w:val="bottom"/>
          </w:tcPr>
          <w:p>
            <w:pPr>
              <w:ind w:left="160"/>
              <w:spacing w:after="0"/>
              <w:rPr>
                <w:sz w:val="20"/>
                <w:szCs w:val="20"/>
                <w:color w:val="auto"/>
              </w:rPr>
            </w:pPr>
            <w:r>
              <w:rPr>
                <w:rFonts w:ascii="Arial" w:cs="Arial" w:eastAsia="Arial" w:hAnsi="Arial"/>
                <w:sz w:val="18"/>
                <w:szCs w:val="18"/>
                <w:color w:val="auto"/>
              </w:rPr>
              <w:t>Main and Aux FW Cooling System Diagram</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T266-533-002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Potable Water System Diagram</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T266-534-001</w:t>
            </w:r>
          </w:p>
        </w:tc>
        <w:tc>
          <w:tcPr>
            <w:tcW w:w="6940" w:type="dxa"/>
            <w:vAlign w:val="bottom"/>
          </w:tcPr>
          <w:p>
            <w:pPr>
              <w:ind w:left="160"/>
              <w:spacing w:after="0"/>
              <w:rPr>
                <w:sz w:val="20"/>
                <w:szCs w:val="20"/>
                <w:color w:val="auto"/>
              </w:rPr>
            </w:pPr>
            <w:r>
              <w:rPr>
                <w:rFonts w:ascii="Arial" w:cs="Arial" w:eastAsia="Arial" w:hAnsi="Arial"/>
                <w:sz w:val="18"/>
                <w:szCs w:val="18"/>
                <w:color w:val="auto"/>
              </w:rPr>
              <w:t>Ladders Arrangement &amp; Details</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T266-541-002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Fuel Oil Service System Diagram</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T266-541-003</w:t>
            </w:r>
          </w:p>
        </w:tc>
        <w:tc>
          <w:tcPr>
            <w:tcW w:w="6940" w:type="dxa"/>
            <w:vAlign w:val="bottom"/>
          </w:tcPr>
          <w:p>
            <w:pPr>
              <w:ind w:left="160"/>
              <w:spacing w:after="0"/>
              <w:rPr>
                <w:sz w:val="20"/>
                <w:szCs w:val="20"/>
                <w:color w:val="auto"/>
              </w:rPr>
            </w:pPr>
            <w:r>
              <w:rPr>
                <w:rFonts w:ascii="Arial" w:cs="Arial" w:eastAsia="Arial" w:hAnsi="Arial"/>
                <w:sz w:val="18"/>
                <w:szCs w:val="18"/>
                <w:color w:val="auto"/>
              </w:rPr>
              <w:t>Fuel Oil Fill - Transfer System</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T266-582-002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SANITARY DRAINS &amp; SEWAGE SYSTEM DIAGRAM</w:t>
            </w:r>
          </w:p>
        </w:tc>
        <w:tc>
          <w:tcPr>
            <w:tcW w:w="23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T266-584-001</w:t>
            </w:r>
          </w:p>
        </w:tc>
        <w:tc>
          <w:tcPr>
            <w:tcW w:w="6940" w:type="dxa"/>
            <w:vAlign w:val="bottom"/>
          </w:tcPr>
          <w:p>
            <w:pPr>
              <w:ind w:left="160"/>
              <w:spacing w:after="0"/>
              <w:rPr>
                <w:sz w:val="20"/>
                <w:szCs w:val="20"/>
                <w:color w:val="auto"/>
              </w:rPr>
            </w:pPr>
            <w:r>
              <w:rPr>
                <w:rFonts w:ascii="Arial" w:cs="Arial" w:eastAsia="Arial" w:hAnsi="Arial"/>
                <w:sz w:val="18"/>
                <w:szCs w:val="18"/>
                <w:color w:val="auto"/>
              </w:rPr>
              <w:t>Potable Water System Diagram</w:t>
            </w:r>
          </w:p>
        </w:tc>
        <w:tc>
          <w:tcPr>
            <w:tcW w:w="2320" w:type="dxa"/>
            <w:vAlign w:val="bottom"/>
          </w:tcPr>
          <w:p>
            <w:pPr>
              <w:ind w:left="188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T266-603-002</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Underwater Inspection In Lieu of Drydocking</w:t>
            </w:r>
          </w:p>
        </w:tc>
        <w:tc>
          <w:tcPr>
            <w:tcW w:w="23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T266-625-001</w:t>
            </w:r>
          </w:p>
        </w:tc>
        <w:tc>
          <w:tcPr>
            <w:tcW w:w="6940" w:type="dxa"/>
            <w:vAlign w:val="bottom"/>
          </w:tcPr>
          <w:p>
            <w:pPr>
              <w:ind w:left="160"/>
              <w:spacing w:after="0"/>
              <w:rPr>
                <w:sz w:val="20"/>
                <w:szCs w:val="20"/>
                <w:color w:val="auto"/>
              </w:rPr>
            </w:pPr>
            <w:r>
              <w:rPr>
                <w:rFonts w:ascii="Arial" w:cs="Arial" w:eastAsia="Arial" w:hAnsi="Arial"/>
                <w:sz w:val="18"/>
                <w:szCs w:val="18"/>
                <w:color w:val="auto"/>
              </w:rPr>
              <w:t>Window Arrangement &amp; Details</w:t>
            </w:r>
          </w:p>
        </w:tc>
        <w:tc>
          <w:tcPr>
            <w:tcW w:w="2320" w:type="dxa"/>
            <w:vAlign w:val="bottom"/>
          </w:tcPr>
          <w:p>
            <w:pPr>
              <w:jc w:val="center"/>
              <w:ind w:left="161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T266-701-001</w:t>
            </w: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FUEL OIL FILLING AND TRANSFER SYSTEM DIAGRAM</w:t>
            </w:r>
          </w:p>
        </w:tc>
        <w:tc>
          <w:tcPr>
            <w:tcW w:w="23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T266-703-001</w:t>
            </w:r>
          </w:p>
        </w:tc>
        <w:tc>
          <w:tcPr>
            <w:tcW w:w="6940" w:type="dxa"/>
            <w:vAlign w:val="bottom"/>
          </w:tcPr>
          <w:p>
            <w:pPr>
              <w:ind w:left="160"/>
              <w:spacing w:after="0"/>
              <w:rPr>
                <w:sz w:val="20"/>
                <w:szCs w:val="20"/>
                <w:color w:val="auto"/>
              </w:rPr>
            </w:pPr>
            <w:r>
              <w:rPr>
                <w:rFonts w:ascii="Arial" w:cs="Arial" w:eastAsia="Arial" w:hAnsi="Arial"/>
                <w:sz w:val="18"/>
                <w:szCs w:val="18"/>
                <w:color w:val="auto"/>
              </w:rPr>
              <w:t>Fuel Oil System Diagram</w:t>
            </w:r>
          </w:p>
        </w:tc>
        <w:tc>
          <w:tcPr>
            <w:tcW w:w="2320" w:type="dxa"/>
            <w:vAlign w:val="bottom"/>
          </w:tcPr>
          <w:p>
            <w:pPr>
              <w:ind w:left="188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4" w:name="page215"/>
    <w:bookmarkEnd w:id="214"/>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80" w:type="dxa"/>
            <w:vAlign w:val="bottom"/>
          </w:tcPr>
          <w:p>
            <w:pPr>
              <w:ind w:left="4000"/>
              <w:spacing w:after="0"/>
              <w:rPr>
                <w:sz w:val="20"/>
                <w:szCs w:val="20"/>
                <w:color w:val="auto"/>
              </w:rPr>
            </w:pPr>
            <w:r>
              <w:rPr>
                <w:rFonts w:ascii="Arial" w:cs="Arial" w:eastAsia="Arial" w:hAnsi="Arial"/>
                <w:sz w:val="18"/>
                <w:szCs w:val="18"/>
                <w:b w:val="1"/>
                <w:bCs w:val="1"/>
                <w:color w:val="auto"/>
              </w:rPr>
              <w:t>EXHIBIT C-4</w:t>
            </w: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8220" w:type="dxa"/>
            <w:vAlign w:val="bottom"/>
            <w:gridSpan w:val="2"/>
          </w:tcPr>
          <w:p>
            <w:pPr>
              <w:spacing w:after="0"/>
              <w:rPr>
                <w:sz w:val="24"/>
                <w:szCs w:val="24"/>
                <w:color w:val="auto"/>
              </w:rPr>
            </w:pP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T266-711-001   Lube Oil Fill and Transfer System Diagram</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T266-730-001   Compressed Air System Diagram</w:t>
            </w:r>
          </w:p>
        </w:tc>
        <w:tc>
          <w:tcPr>
            <w:tcW w:w="2220" w:type="dxa"/>
            <w:vAlign w:val="bottom"/>
          </w:tcPr>
          <w:p>
            <w:pPr>
              <w:jc w:val="center"/>
              <w:ind w:left="1450"/>
              <w:spacing w:after="0"/>
              <w:rPr>
                <w:sz w:val="20"/>
                <w:szCs w:val="20"/>
                <w:color w:val="auto"/>
              </w:rPr>
            </w:pPr>
            <w:r>
              <w:rPr>
                <w:rFonts w:ascii="Arial" w:cs="Arial" w:eastAsia="Arial" w:hAnsi="Arial"/>
                <w:sz w:val="18"/>
                <w:szCs w:val="18"/>
                <w:color w:val="auto"/>
                <w:w w:val="90"/>
              </w:rPr>
              <w:t>P2</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T266-730-001   Compressed Air System Diagram</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T266-743-001   Exhaust Piping Arrangement Diagram</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T266-800-001   Bilge and Ballast Diagram</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T266-804-001</w:t>
            </w:r>
          </w:p>
        </w:tc>
        <w:tc>
          <w:tcPr>
            <w:tcW w:w="7080" w:type="dxa"/>
            <w:vAlign w:val="bottom"/>
          </w:tcPr>
          <w:p>
            <w:pPr>
              <w:ind w:left="120"/>
              <w:spacing w:after="0"/>
              <w:rPr>
                <w:sz w:val="20"/>
                <w:szCs w:val="20"/>
                <w:color w:val="auto"/>
              </w:rPr>
            </w:pPr>
            <w:r>
              <w:rPr>
                <w:rFonts w:ascii="Arial" w:cs="Arial" w:eastAsia="Arial" w:hAnsi="Arial"/>
                <w:sz w:val="18"/>
                <w:szCs w:val="18"/>
                <w:color w:val="auto"/>
              </w:rPr>
              <w:t>Weather Deck Drains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T266-813-001   FIRE MAIN SYSTEM DIAGRAM</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T266-820-001</w:t>
            </w:r>
          </w:p>
        </w:tc>
        <w:tc>
          <w:tcPr>
            <w:tcW w:w="7080" w:type="dxa"/>
            <w:vAlign w:val="bottom"/>
          </w:tcPr>
          <w:p>
            <w:pPr>
              <w:ind w:left="120"/>
              <w:spacing w:after="0"/>
              <w:rPr>
                <w:sz w:val="20"/>
                <w:szCs w:val="20"/>
                <w:color w:val="auto"/>
              </w:rPr>
            </w:pPr>
            <w:r>
              <w:rPr>
                <w:rFonts w:ascii="Arial" w:cs="Arial" w:eastAsia="Arial" w:hAnsi="Arial"/>
                <w:sz w:val="18"/>
                <w:szCs w:val="18"/>
                <w:color w:val="auto"/>
              </w:rPr>
              <w:t>Vents and Sounds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T266-820-001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Vents and Sounds</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T266-870-001</w:t>
            </w:r>
          </w:p>
        </w:tc>
        <w:tc>
          <w:tcPr>
            <w:tcW w:w="7080" w:type="dxa"/>
            <w:vAlign w:val="bottom"/>
          </w:tcPr>
          <w:p>
            <w:pPr>
              <w:ind w:left="120"/>
              <w:spacing w:after="0"/>
              <w:rPr>
                <w:sz w:val="20"/>
                <w:szCs w:val="20"/>
                <w:color w:val="auto"/>
              </w:rPr>
            </w:pPr>
            <w:r>
              <w:rPr>
                <w:rFonts w:ascii="Arial" w:cs="Arial" w:eastAsia="Arial" w:hAnsi="Arial"/>
                <w:sz w:val="18"/>
                <w:szCs w:val="18"/>
                <w:color w:val="auto"/>
              </w:rPr>
              <w:t>Electrical Load Analysis</w:t>
            </w:r>
          </w:p>
        </w:tc>
        <w:tc>
          <w:tcPr>
            <w:tcW w:w="2220" w:type="dxa"/>
            <w:vAlign w:val="bottom"/>
          </w:tcPr>
          <w:p>
            <w:pPr>
              <w:jc w:val="center"/>
              <w:ind w:left="145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T266-870-001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Electrical Load Analysis</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0"/>
              </w:rPr>
              <w:t>P2</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T266-870-002   480V Distribution Notes and Drawing Index</w:t>
            </w:r>
          </w:p>
        </w:tc>
        <w:tc>
          <w:tcPr>
            <w:tcW w:w="2220" w:type="dxa"/>
            <w:vAlign w:val="bottom"/>
          </w:tcPr>
          <w:p>
            <w:pPr>
              <w:jc w:val="center"/>
              <w:ind w:left="145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T266-870-003   480V Distribution Panels Notes and Drawing Index</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0"/>
              </w:rPr>
              <w:t>P1</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T266-870-004   208V/120V Power Distribution Notes and Drawing Index</w:t>
            </w:r>
          </w:p>
        </w:tc>
        <w:tc>
          <w:tcPr>
            <w:tcW w:w="2220" w:type="dxa"/>
            <w:vAlign w:val="bottom"/>
          </w:tcPr>
          <w:p>
            <w:pPr>
              <w:jc w:val="center"/>
              <w:ind w:left="145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T266-870-006   DC Power Distribution Notes and Drawing Index</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0"/>
              </w:rPr>
              <w:t>P1</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T266-890-001   120VAC Lighting System Drawing Index and Notes</w:t>
            </w:r>
          </w:p>
        </w:tc>
        <w:tc>
          <w:tcPr>
            <w:tcW w:w="2220" w:type="dxa"/>
            <w:vAlign w:val="bottom"/>
          </w:tcPr>
          <w:p>
            <w:pPr>
              <w:jc w:val="center"/>
              <w:ind w:left="1450"/>
              <w:spacing w:after="0"/>
              <w:rPr>
                <w:sz w:val="20"/>
                <w:szCs w:val="20"/>
                <w:color w:val="auto"/>
              </w:rPr>
            </w:pPr>
            <w:r>
              <w:rPr>
                <w:rFonts w:ascii="Arial" w:cs="Arial" w:eastAsia="Arial" w:hAnsi="Arial"/>
                <w:sz w:val="18"/>
                <w:szCs w:val="18"/>
                <w:color w:val="auto"/>
                <w:w w:val="90"/>
              </w:rPr>
              <w:t>P1</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256-001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Main and Aux Raw Water Cooling System Diagram Design Basis</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259-001</w:t>
            </w:r>
          </w:p>
        </w:tc>
        <w:tc>
          <w:tcPr>
            <w:tcW w:w="7080" w:type="dxa"/>
            <w:vAlign w:val="bottom"/>
          </w:tcPr>
          <w:p>
            <w:pPr>
              <w:ind w:left="120"/>
              <w:spacing w:after="0"/>
              <w:rPr>
                <w:sz w:val="20"/>
                <w:szCs w:val="20"/>
                <w:color w:val="auto"/>
              </w:rPr>
            </w:pPr>
            <w:r>
              <w:rPr>
                <w:rFonts w:ascii="Arial" w:cs="Arial" w:eastAsia="Arial" w:hAnsi="Arial"/>
                <w:sz w:val="18"/>
                <w:szCs w:val="18"/>
                <w:color w:val="auto"/>
              </w:rPr>
              <w:t>Exhaust Piping Arrangement Design Basis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264-003</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Dirty Oil System Design Basis</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506-001</w:t>
            </w:r>
          </w:p>
        </w:tc>
        <w:tc>
          <w:tcPr>
            <w:tcW w:w="7080" w:type="dxa"/>
            <w:vAlign w:val="bottom"/>
          </w:tcPr>
          <w:p>
            <w:pPr>
              <w:ind w:left="120"/>
              <w:spacing w:after="0"/>
              <w:rPr>
                <w:sz w:val="20"/>
                <w:szCs w:val="20"/>
                <w:color w:val="auto"/>
              </w:rPr>
            </w:pPr>
            <w:r>
              <w:rPr>
                <w:rFonts w:ascii="Arial" w:cs="Arial" w:eastAsia="Arial" w:hAnsi="Arial"/>
                <w:sz w:val="18"/>
                <w:szCs w:val="18"/>
                <w:color w:val="auto"/>
              </w:rPr>
              <w:t>Vents &amp; Sounds Design Basis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506-001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Vents &amp; Sounds Design Basis</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521-001</w:t>
            </w:r>
          </w:p>
        </w:tc>
        <w:tc>
          <w:tcPr>
            <w:tcW w:w="7080" w:type="dxa"/>
            <w:vAlign w:val="bottom"/>
          </w:tcPr>
          <w:p>
            <w:pPr>
              <w:ind w:left="120"/>
              <w:spacing w:after="0"/>
              <w:rPr>
                <w:sz w:val="20"/>
                <w:szCs w:val="20"/>
                <w:color w:val="auto"/>
              </w:rPr>
            </w:pPr>
            <w:r>
              <w:rPr>
                <w:rFonts w:ascii="Arial" w:cs="Arial" w:eastAsia="Arial" w:hAnsi="Arial"/>
                <w:sz w:val="18"/>
                <w:szCs w:val="18"/>
                <w:color w:val="auto"/>
              </w:rPr>
              <w:t>Fire Main Design Basis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526-001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Weather Deck Drains Design Basis</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528-001</w:t>
            </w:r>
          </w:p>
        </w:tc>
        <w:tc>
          <w:tcPr>
            <w:tcW w:w="7080" w:type="dxa"/>
            <w:vAlign w:val="bottom"/>
          </w:tcPr>
          <w:p>
            <w:pPr>
              <w:ind w:left="120"/>
              <w:spacing w:after="0"/>
              <w:rPr>
                <w:sz w:val="20"/>
                <w:szCs w:val="20"/>
                <w:color w:val="auto"/>
              </w:rPr>
            </w:pPr>
            <w:r>
              <w:rPr>
                <w:rFonts w:ascii="Arial" w:cs="Arial" w:eastAsia="Arial" w:hAnsi="Arial"/>
                <w:sz w:val="18"/>
                <w:szCs w:val="18"/>
                <w:color w:val="auto"/>
              </w:rPr>
              <w:t>SANITARY DRAINS &amp; SEWAGE SYSTEM BASIS OF DESIGN</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528-001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Sanitary Drains &amp; Sewage System Basis of Design</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529-001</w:t>
            </w:r>
          </w:p>
        </w:tc>
        <w:tc>
          <w:tcPr>
            <w:tcW w:w="7080" w:type="dxa"/>
            <w:vAlign w:val="bottom"/>
          </w:tcPr>
          <w:p>
            <w:pPr>
              <w:ind w:left="120"/>
              <w:spacing w:after="0"/>
              <w:rPr>
                <w:sz w:val="20"/>
                <w:szCs w:val="20"/>
                <w:color w:val="auto"/>
              </w:rPr>
            </w:pPr>
            <w:r>
              <w:rPr>
                <w:rFonts w:ascii="Arial" w:cs="Arial" w:eastAsia="Arial" w:hAnsi="Arial"/>
                <w:sz w:val="18"/>
                <w:szCs w:val="18"/>
                <w:color w:val="auto"/>
              </w:rPr>
              <w:t>Bilge &amp; Ballast Design Basis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532-001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Fresh Water Design Basis</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533-001</w:t>
            </w:r>
          </w:p>
        </w:tc>
        <w:tc>
          <w:tcPr>
            <w:tcW w:w="7080" w:type="dxa"/>
            <w:vAlign w:val="bottom"/>
          </w:tcPr>
          <w:p>
            <w:pPr>
              <w:ind w:left="120"/>
              <w:spacing w:after="0"/>
              <w:rPr>
                <w:sz w:val="20"/>
                <w:szCs w:val="20"/>
                <w:color w:val="auto"/>
              </w:rPr>
            </w:pPr>
            <w:r>
              <w:rPr>
                <w:rFonts w:ascii="Arial" w:cs="Arial" w:eastAsia="Arial" w:hAnsi="Arial"/>
                <w:sz w:val="18"/>
                <w:szCs w:val="18"/>
                <w:color w:val="auto"/>
              </w:rPr>
              <w:t>Potable Water Design Basis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541-004</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 Fill &amp; Transfer Design Basis</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541-001</w:t>
            </w:r>
          </w:p>
        </w:tc>
        <w:tc>
          <w:tcPr>
            <w:tcW w:w="7080" w:type="dxa"/>
            <w:vAlign w:val="bottom"/>
          </w:tcPr>
          <w:p>
            <w:pPr>
              <w:ind w:left="120"/>
              <w:spacing w:after="0"/>
              <w:rPr>
                <w:sz w:val="20"/>
                <w:szCs w:val="20"/>
                <w:color w:val="auto"/>
              </w:rPr>
            </w:pPr>
            <w:r>
              <w:rPr>
                <w:rFonts w:ascii="Arial" w:cs="Arial" w:eastAsia="Arial" w:hAnsi="Arial"/>
                <w:sz w:val="18"/>
                <w:szCs w:val="18"/>
                <w:color w:val="auto"/>
              </w:rPr>
              <w:t>FO Fill &amp; Transfer Design Basis</w:t>
            </w:r>
          </w:p>
        </w:tc>
        <w:tc>
          <w:tcPr>
            <w:tcW w:w="2220" w:type="dxa"/>
            <w:vAlign w:val="bottom"/>
          </w:tcPr>
          <w:p>
            <w:pPr>
              <w:jc w:val="center"/>
              <w:ind w:left="145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551-001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Compressed Air Design Basis</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551-001</w:t>
            </w:r>
          </w:p>
        </w:tc>
        <w:tc>
          <w:tcPr>
            <w:tcW w:w="7080" w:type="dxa"/>
            <w:vAlign w:val="bottom"/>
          </w:tcPr>
          <w:p>
            <w:pPr>
              <w:ind w:left="120"/>
              <w:spacing w:after="0"/>
              <w:rPr>
                <w:sz w:val="20"/>
                <w:szCs w:val="20"/>
                <w:color w:val="auto"/>
              </w:rPr>
            </w:pPr>
            <w:r>
              <w:rPr>
                <w:rFonts w:ascii="Arial" w:cs="Arial" w:eastAsia="Arial" w:hAnsi="Arial"/>
                <w:sz w:val="18"/>
                <w:szCs w:val="18"/>
                <w:color w:val="auto"/>
              </w:rPr>
              <w:t>Compressed Air Design Basis</w:t>
            </w:r>
          </w:p>
        </w:tc>
        <w:tc>
          <w:tcPr>
            <w:tcW w:w="2220" w:type="dxa"/>
            <w:vAlign w:val="bottom"/>
          </w:tcPr>
          <w:p>
            <w:pPr>
              <w:jc w:val="center"/>
              <w:ind w:left="1450"/>
              <w:spacing w:after="0"/>
              <w:rPr>
                <w:sz w:val="20"/>
                <w:szCs w:val="20"/>
                <w:color w:val="auto"/>
              </w:rPr>
            </w:pPr>
            <w:r>
              <w:rPr>
                <w:rFonts w:ascii="Arial" w:cs="Arial" w:eastAsia="Arial" w:hAnsi="Arial"/>
                <w:sz w:val="18"/>
                <w:szCs w:val="18"/>
                <w:color w:val="auto"/>
                <w:w w:val="99"/>
              </w:rPr>
              <w:t>A</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584-201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Potable Water Design Basis</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584-301</w:t>
            </w:r>
          </w:p>
        </w:tc>
        <w:tc>
          <w:tcPr>
            <w:tcW w:w="7080" w:type="dxa"/>
            <w:vAlign w:val="bottom"/>
          </w:tcPr>
          <w:p>
            <w:pPr>
              <w:ind w:left="120"/>
              <w:spacing w:after="0"/>
              <w:rPr>
                <w:sz w:val="20"/>
                <w:szCs w:val="20"/>
                <w:color w:val="auto"/>
              </w:rPr>
            </w:pPr>
            <w:r>
              <w:rPr>
                <w:rFonts w:ascii="Arial" w:cs="Arial" w:eastAsia="Arial" w:hAnsi="Arial"/>
                <w:sz w:val="18"/>
                <w:szCs w:val="18"/>
                <w:color w:val="auto"/>
              </w:rPr>
              <w:t>Potable Water Calculations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701-201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FUEL OIL FILLING AND TRANSFER SYSTEM BASIS OF DESIGN</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701-301</w:t>
            </w:r>
          </w:p>
        </w:tc>
        <w:tc>
          <w:tcPr>
            <w:tcW w:w="7080" w:type="dxa"/>
            <w:vAlign w:val="bottom"/>
          </w:tcPr>
          <w:p>
            <w:pPr>
              <w:ind w:left="120"/>
              <w:spacing w:after="0"/>
              <w:rPr>
                <w:sz w:val="20"/>
                <w:szCs w:val="20"/>
                <w:color w:val="auto"/>
              </w:rPr>
            </w:pPr>
            <w:r>
              <w:rPr>
                <w:rFonts w:ascii="Arial" w:cs="Arial" w:eastAsia="Arial" w:hAnsi="Arial"/>
                <w:sz w:val="18"/>
                <w:szCs w:val="18"/>
                <w:color w:val="auto"/>
              </w:rPr>
              <w:t>FUEL OIL FILLING AND TRANSFER SYSTEM CALCULATIONS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711-201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Lube Oil Design Basis</w:t>
            </w:r>
          </w:p>
        </w:tc>
        <w:tc>
          <w:tcPr>
            <w:tcW w:w="2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711-301</w:t>
            </w:r>
          </w:p>
        </w:tc>
        <w:tc>
          <w:tcPr>
            <w:tcW w:w="7080" w:type="dxa"/>
            <w:vAlign w:val="bottom"/>
          </w:tcPr>
          <w:p>
            <w:pPr>
              <w:ind w:left="120"/>
              <w:spacing w:after="0"/>
              <w:rPr>
                <w:sz w:val="20"/>
                <w:szCs w:val="20"/>
                <w:color w:val="auto"/>
              </w:rPr>
            </w:pPr>
            <w:r>
              <w:rPr>
                <w:rFonts w:ascii="Arial" w:cs="Arial" w:eastAsia="Arial" w:hAnsi="Arial"/>
                <w:sz w:val="18"/>
                <w:szCs w:val="18"/>
                <w:color w:val="auto"/>
              </w:rPr>
              <w:t>Lube Oil Calculations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743-201</w:t>
            </w: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Exhaust Piping Design Basis</w:t>
            </w:r>
          </w:p>
        </w:tc>
        <w:tc>
          <w:tcPr>
            <w:tcW w:w="22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743-301</w:t>
            </w:r>
          </w:p>
        </w:tc>
        <w:tc>
          <w:tcPr>
            <w:tcW w:w="7080" w:type="dxa"/>
            <w:vAlign w:val="bottom"/>
          </w:tcPr>
          <w:p>
            <w:pPr>
              <w:ind w:left="120"/>
              <w:spacing w:after="0"/>
              <w:rPr>
                <w:sz w:val="20"/>
                <w:szCs w:val="20"/>
                <w:color w:val="auto"/>
              </w:rPr>
            </w:pPr>
            <w:r>
              <w:rPr>
                <w:rFonts w:ascii="Arial" w:cs="Arial" w:eastAsia="Arial" w:hAnsi="Arial"/>
                <w:sz w:val="18"/>
                <w:szCs w:val="18"/>
                <w:color w:val="auto"/>
              </w:rPr>
              <w:t>Exhasut Piping Calculations</w:t>
            </w: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5" w:name="page216"/>
    <w:bookmarkEnd w:id="21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520" w:type="dxa"/>
            <w:vAlign w:val="bottom"/>
          </w:tcPr>
          <w:p>
            <w:pPr>
              <w:ind w:left="4400"/>
              <w:spacing w:after="0"/>
              <w:rPr>
                <w:sz w:val="20"/>
                <w:szCs w:val="20"/>
                <w:color w:val="auto"/>
              </w:rPr>
            </w:pPr>
            <w:r>
              <w:rPr>
                <w:rFonts w:ascii="Arial" w:cs="Arial" w:eastAsia="Arial" w:hAnsi="Arial"/>
                <w:sz w:val="18"/>
                <w:szCs w:val="18"/>
                <w:b w:val="1"/>
                <w:bCs w:val="1"/>
                <w:color w:val="auto"/>
              </w:rPr>
              <w:t>EXHIBIT C-4</w:t>
            </w: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7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800-201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Bilge &amp; Ballast Design Basis</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800-301</w:t>
            </w:r>
          </w:p>
        </w:tc>
        <w:tc>
          <w:tcPr>
            <w:tcW w:w="8520" w:type="dxa"/>
            <w:vAlign w:val="bottom"/>
          </w:tcPr>
          <w:p>
            <w:pPr>
              <w:ind w:left="140"/>
              <w:spacing w:after="0"/>
              <w:rPr>
                <w:sz w:val="20"/>
                <w:szCs w:val="20"/>
                <w:color w:val="auto"/>
              </w:rPr>
            </w:pPr>
            <w:r>
              <w:rPr>
                <w:rFonts w:ascii="Arial" w:cs="Arial" w:eastAsia="Arial" w:hAnsi="Arial"/>
                <w:sz w:val="18"/>
                <w:szCs w:val="18"/>
                <w:color w:val="auto"/>
              </w:rPr>
              <w:t>Bilge &amp; Ballast Calculations</w:t>
            </w:r>
          </w:p>
        </w:tc>
        <w:tc>
          <w:tcPr>
            <w:tcW w:w="118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813-201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FIRE MAIN SYSTEM BASIS OF DESIGN</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813-301</w:t>
            </w:r>
          </w:p>
        </w:tc>
        <w:tc>
          <w:tcPr>
            <w:tcW w:w="8520" w:type="dxa"/>
            <w:vAlign w:val="bottom"/>
          </w:tcPr>
          <w:p>
            <w:pPr>
              <w:ind w:left="140"/>
              <w:spacing w:after="0"/>
              <w:rPr>
                <w:sz w:val="20"/>
                <w:szCs w:val="20"/>
                <w:color w:val="auto"/>
              </w:rPr>
            </w:pPr>
            <w:r>
              <w:rPr>
                <w:rFonts w:ascii="Arial" w:cs="Arial" w:eastAsia="Arial" w:hAnsi="Arial"/>
                <w:sz w:val="18"/>
                <w:szCs w:val="18"/>
                <w:color w:val="auto"/>
              </w:rPr>
              <w:t>FIRE MAIN SYSTEM CALCULATIONS</w:t>
            </w:r>
          </w:p>
        </w:tc>
        <w:tc>
          <w:tcPr>
            <w:tcW w:w="118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835-006</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Oil Calculations</w:t>
            </w:r>
          </w:p>
        </w:tc>
        <w:tc>
          <w:tcPr>
            <w:tcW w:w="1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835-008</w:t>
            </w:r>
          </w:p>
        </w:tc>
        <w:tc>
          <w:tcPr>
            <w:tcW w:w="8520" w:type="dxa"/>
            <w:vAlign w:val="bottom"/>
          </w:tcPr>
          <w:p>
            <w:pPr>
              <w:ind w:left="140"/>
              <w:spacing w:after="0"/>
              <w:rPr>
                <w:sz w:val="20"/>
                <w:szCs w:val="20"/>
                <w:color w:val="auto"/>
              </w:rPr>
            </w:pPr>
            <w:r>
              <w:rPr>
                <w:rFonts w:ascii="Arial" w:cs="Arial" w:eastAsia="Arial" w:hAnsi="Arial"/>
                <w:sz w:val="18"/>
                <w:szCs w:val="18"/>
                <w:color w:val="auto"/>
              </w:rPr>
              <w:t>Compressed Air Calculations</w:t>
            </w:r>
          </w:p>
        </w:tc>
        <w:tc>
          <w:tcPr>
            <w:tcW w:w="118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835-011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Dirty Oil System Calculations</w:t>
            </w:r>
          </w:p>
        </w:tc>
        <w:tc>
          <w:tcPr>
            <w:tcW w:w="1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835-024</w:t>
            </w:r>
          </w:p>
        </w:tc>
        <w:tc>
          <w:tcPr>
            <w:tcW w:w="8520" w:type="dxa"/>
            <w:vAlign w:val="bottom"/>
          </w:tcPr>
          <w:p>
            <w:pPr>
              <w:ind w:left="140"/>
              <w:spacing w:after="0"/>
              <w:rPr>
                <w:sz w:val="20"/>
                <w:szCs w:val="20"/>
                <w:color w:val="auto"/>
              </w:rPr>
            </w:pPr>
            <w:r>
              <w:rPr>
                <w:rFonts w:ascii="Arial" w:cs="Arial" w:eastAsia="Arial" w:hAnsi="Arial"/>
                <w:sz w:val="18"/>
                <w:szCs w:val="18"/>
                <w:color w:val="auto"/>
              </w:rPr>
              <w:t>SANITARY DRAINS AND SEWAGE SYSTEM CLACULATIONS</w:t>
            </w:r>
          </w:p>
        </w:tc>
        <w:tc>
          <w:tcPr>
            <w:tcW w:w="118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870-000</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Low Voltage Electrical System Basis of Design</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890-000</w:t>
            </w:r>
          </w:p>
        </w:tc>
        <w:tc>
          <w:tcPr>
            <w:tcW w:w="8520" w:type="dxa"/>
            <w:vAlign w:val="bottom"/>
          </w:tcPr>
          <w:p>
            <w:pPr>
              <w:ind w:left="140"/>
              <w:spacing w:after="0"/>
              <w:rPr>
                <w:sz w:val="20"/>
                <w:szCs w:val="20"/>
                <w:color w:val="auto"/>
              </w:rPr>
            </w:pPr>
            <w:r>
              <w:rPr>
                <w:rFonts w:ascii="Arial" w:cs="Arial" w:eastAsia="Arial" w:hAnsi="Arial"/>
                <w:sz w:val="18"/>
                <w:szCs w:val="18"/>
                <w:color w:val="auto"/>
              </w:rPr>
              <w:t>Lighting System Basis of Design</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SAi Report - General Hydrostatics and Curves of Form of Bare Hull</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40"/>
              <w:spacing w:after="0"/>
              <w:rPr>
                <w:sz w:val="20"/>
                <w:szCs w:val="20"/>
                <w:color w:val="auto"/>
              </w:rPr>
            </w:pPr>
            <w:r>
              <w:rPr>
                <w:rFonts w:ascii="Arial" w:cs="Arial" w:eastAsia="Arial" w:hAnsi="Arial"/>
                <w:sz w:val="18"/>
                <w:szCs w:val="18"/>
                <w:color w:val="auto"/>
              </w:rPr>
              <w:t>SAi Report - COF and General Hydrostatics of Hull with Skeg, Gondolas, and Head Boxes (Faired Lines)</w:t>
            </w:r>
          </w:p>
        </w:tc>
        <w:tc>
          <w:tcPr>
            <w:tcW w:w="118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500-001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Arrangement</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835-007</w:t>
            </w:r>
          </w:p>
        </w:tc>
        <w:tc>
          <w:tcPr>
            <w:tcW w:w="8520" w:type="dxa"/>
            <w:vAlign w:val="bottom"/>
          </w:tcPr>
          <w:p>
            <w:pPr>
              <w:ind w:left="140"/>
              <w:spacing w:after="0"/>
              <w:rPr>
                <w:sz w:val="20"/>
                <w:szCs w:val="20"/>
                <w:color w:val="auto"/>
              </w:rPr>
            </w:pPr>
            <w:r>
              <w:rPr>
                <w:rFonts w:ascii="Arial" w:cs="Arial" w:eastAsia="Arial" w:hAnsi="Arial"/>
                <w:sz w:val="18"/>
                <w:szCs w:val="18"/>
                <w:color w:val="auto"/>
              </w:rPr>
              <w:t>Bilge and Ballast Calculations</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835-023</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Exhaust Piping Arrangement Calculations</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100-001</w:t>
            </w:r>
          </w:p>
        </w:tc>
        <w:tc>
          <w:tcPr>
            <w:tcW w:w="8520" w:type="dxa"/>
            <w:vAlign w:val="bottom"/>
          </w:tcPr>
          <w:p>
            <w:pPr>
              <w:ind w:left="140"/>
              <w:spacing w:after="0"/>
              <w:rPr>
                <w:sz w:val="20"/>
                <w:szCs w:val="20"/>
                <w:color w:val="auto"/>
              </w:rPr>
            </w:pPr>
            <w:r>
              <w:rPr>
                <w:rFonts w:ascii="Arial" w:cs="Arial" w:eastAsia="Arial" w:hAnsi="Arial"/>
                <w:sz w:val="18"/>
                <w:szCs w:val="18"/>
                <w:color w:val="auto"/>
              </w:rPr>
              <w:t>Welding Schedule</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261-001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Quick Cosing Valve Diagram</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401-001</w:t>
            </w:r>
          </w:p>
        </w:tc>
        <w:tc>
          <w:tcPr>
            <w:tcW w:w="8520" w:type="dxa"/>
            <w:vAlign w:val="bottom"/>
          </w:tcPr>
          <w:p>
            <w:pPr>
              <w:ind w:left="140"/>
              <w:spacing w:after="0"/>
              <w:rPr>
                <w:sz w:val="20"/>
                <w:szCs w:val="20"/>
                <w:color w:val="auto"/>
              </w:rPr>
            </w:pPr>
            <w:r>
              <w:rPr>
                <w:rFonts w:ascii="Arial" w:cs="Arial" w:eastAsia="Arial" w:hAnsi="Arial"/>
                <w:sz w:val="18"/>
                <w:szCs w:val="18"/>
                <w:color w:val="auto"/>
              </w:rPr>
              <w:t>Navigational Light Arrangement</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532-003</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 Engine Expansion Tanks</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581-001</w:t>
            </w:r>
          </w:p>
        </w:tc>
        <w:tc>
          <w:tcPr>
            <w:tcW w:w="8520" w:type="dxa"/>
            <w:vAlign w:val="bottom"/>
          </w:tcPr>
          <w:p>
            <w:pPr>
              <w:ind w:left="140"/>
              <w:spacing w:after="0"/>
              <w:rPr>
                <w:sz w:val="20"/>
                <w:szCs w:val="20"/>
                <w:color w:val="auto"/>
              </w:rPr>
            </w:pPr>
            <w:r>
              <w:rPr>
                <w:rFonts w:ascii="Arial" w:cs="Arial" w:eastAsia="Arial" w:hAnsi="Arial"/>
                <w:sz w:val="18"/>
                <w:szCs w:val="18"/>
                <w:color w:val="auto"/>
              </w:rPr>
              <w:t>Anchor Handling Arrangement and Details</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532-002</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Fresh Water Cooling Diagram</w:t>
            </w:r>
          </w:p>
        </w:tc>
        <w:tc>
          <w:tcPr>
            <w:tcW w:w="1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101-021</w:t>
            </w:r>
          </w:p>
        </w:tc>
        <w:tc>
          <w:tcPr>
            <w:tcW w:w="8520" w:type="dxa"/>
            <w:vAlign w:val="bottom"/>
          </w:tcPr>
          <w:p>
            <w:pPr>
              <w:ind w:left="140"/>
              <w:spacing w:after="0"/>
              <w:rPr>
                <w:sz w:val="20"/>
                <w:szCs w:val="20"/>
                <w:color w:val="auto"/>
              </w:rPr>
            </w:pPr>
            <w:r>
              <w:rPr>
                <w:rFonts w:ascii="Arial" w:cs="Arial" w:eastAsia="Arial" w:hAnsi="Arial"/>
                <w:sz w:val="18"/>
                <w:szCs w:val="18"/>
                <w:color w:val="auto"/>
              </w:rPr>
              <w:t>Hull Lines Plan</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997-001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Blocking Plan</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259-002</w:t>
            </w:r>
          </w:p>
        </w:tc>
        <w:tc>
          <w:tcPr>
            <w:tcW w:w="8520" w:type="dxa"/>
            <w:vAlign w:val="bottom"/>
          </w:tcPr>
          <w:p>
            <w:pPr>
              <w:ind w:left="140"/>
              <w:spacing w:after="0"/>
              <w:rPr>
                <w:sz w:val="20"/>
                <w:szCs w:val="20"/>
                <w:color w:val="auto"/>
              </w:rPr>
            </w:pPr>
            <w:r>
              <w:rPr>
                <w:rFonts w:ascii="Arial" w:cs="Arial" w:eastAsia="Arial" w:hAnsi="Arial"/>
                <w:sz w:val="18"/>
                <w:szCs w:val="18"/>
                <w:color w:val="auto"/>
              </w:rPr>
              <w:t>Exhaust Piping Arrangement</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526-002</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Weather Deck Drains Diagram</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256-002</w:t>
            </w:r>
          </w:p>
        </w:tc>
        <w:tc>
          <w:tcPr>
            <w:tcW w:w="8520" w:type="dxa"/>
            <w:vAlign w:val="bottom"/>
          </w:tcPr>
          <w:p>
            <w:pPr>
              <w:ind w:left="140"/>
              <w:spacing w:after="0"/>
              <w:rPr>
                <w:sz w:val="20"/>
                <w:szCs w:val="20"/>
                <w:color w:val="auto"/>
              </w:rPr>
            </w:pPr>
            <w:r>
              <w:rPr>
                <w:rFonts w:ascii="Arial" w:cs="Arial" w:eastAsia="Arial" w:hAnsi="Arial"/>
                <w:sz w:val="18"/>
                <w:szCs w:val="18"/>
                <w:color w:val="auto"/>
              </w:rPr>
              <w:t>Main and Aux Raw Water Cooling System Diagram</w:t>
            </w:r>
          </w:p>
        </w:tc>
        <w:tc>
          <w:tcPr>
            <w:tcW w:w="118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602-001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Hull Marking Diagram</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870-000</w:t>
            </w:r>
          </w:p>
        </w:tc>
        <w:tc>
          <w:tcPr>
            <w:tcW w:w="8520" w:type="dxa"/>
            <w:vAlign w:val="bottom"/>
          </w:tcPr>
          <w:p>
            <w:pPr>
              <w:ind w:left="140"/>
              <w:spacing w:after="0"/>
              <w:rPr>
                <w:sz w:val="20"/>
                <w:szCs w:val="20"/>
                <w:color w:val="auto"/>
              </w:rPr>
            </w:pPr>
            <w:r>
              <w:rPr>
                <w:rFonts w:ascii="Arial" w:cs="Arial" w:eastAsia="Arial" w:hAnsi="Arial"/>
                <w:sz w:val="18"/>
                <w:szCs w:val="18"/>
                <w:color w:val="auto"/>
              </w:rPr>
              <w:t>Low Voltage Electrical System</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892-000</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Lighting Basis of Design</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802-001</w:t>
            </w:r>
          </w:p>
        </w:tc>
        <w:tc>
          <w:tcPr>
            <w:tcW w:w="8520" w:type="dxa"/>
            <w:vAlign w:val="bottom"/>
          </w:tcPr>
          <w:p>
            <w:pPr>
              <w:ind w:left="140"/>
              <w:spacing w:after="0"/>
              <w:rPr>
                <w:sz w:val="20"/>
                <w:szCs w:val="20"/>
                <w:color w:val="auto"/>
              </w:rPr>
            </w:pPr>
            <w:r>
              <w:rPr>
                <w:rFonts w:ascii="Arial" w:cs="Arial" w:eastAsia="Arial" w:hAnsi="Arial"/>
                <w:sz w:val="18"/>
                <w:szCs w:val="18"/>
                <w:color w:val="auto"/>
              </w:rPr>
              <w:t>Outboard Profile</w:t>
            </w:r>
          </w:p>
        </w:tc>
        <w:tc>
          <w:tcPr>
            <w:tcW w:w="118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802-002</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Inboard Profile</w:t>
            </w:r>
          </w:p>
        </w:tc>
        <w:tc>
          <w:tcPr>
            <w:tcW w:w="1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526-001</w:t>
            </w:r>
          </w:p>
        </w:tc>
        <w:tc>
          <w:tcPr>
            <w:tcW w:w="8520" w:type="dxa"/>
            <w:vAlign w:val="bottom"/>
          </w:tcPr>
          <w:p>
            <w:pPr>
              <w:ind w:left="140"/>
              <w:spacing w:after="0"/>
              <w:rPr>
                <w:sz w:val="20"/>
                <w:szCs w:val="20"/>
                <w:color w:val="auto"/>
              </w:rPr>
            </w:pPr>
            <w:r>
              <w:rPr>
                <w:rFonts w:ascii="Arial" w:cs="Arial" w:eastAsia="Arial" w:hAnsi="Arial"/>
                <w:sz w:val="18"/>
                <w:szCs w:val="18"/>
                <w:color w:val="auto"/>
              </w:rPr>
              <w:t>Weather Deck Drains System Basis of Design</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551-001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Compressed Air System Basis of Design</w:t>
            </w:r>
          </w:p>
        </w:tc>
        <w:tc>
          <w:tcPr>
            <w:tcW w:w="1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541-004</w:t>
            </w:r>
          </w:p>
        </w:tc>
        <w:tc>
          <w:tcPr>
            <w:tcW w:w="8520" w:type="dxa"/>
            <w:vAlign w:val="bottom"/>
          </w:tcPr>
          <w:p>
            <w:pPr>
              <w:ind w:left="140"/>
              <w:spacing w:after="0"/>
              <w:rPr>
                <w:sz w:val="20"/>
                <w:szCs w:val="20"/>
                <w:color w:val="auto"/>
              </w:rPr>
            </w:pPr>
            <w:r>
              <w:rPr>
                <w:rFonts w:ascii="Arial" w:cs="Arial" w:eastAsia="Arial" w:hAnsi="Arial"/>
                <w:sz w:val="18"/>
                <w:szCs w:val="18"/>
                <w:color w:val="auto"/>
              </w:rPr>
              <w:t>Fuel Oil Fill and Transfer System Basis of Design</w:t>
            </w:r>
          </w:p>
        </w:tc>
        <w:tc>
          <w:tcPr>
            <w:tcW w:w="1180" w:type="dxa"/>
            <w:vAlign w:val="bottom"/>
          </w:tcPr>
          <w:p>
            <w:pPr>
              <w:jc w:val="center"/>
              <w:ind w:left="49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541-001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Oil Service System Basis of Design</w:t>
            </w:r>
          </w:p>
        </w:tc>
        <w:tc>
          <w:tcPr>
            <w:tcW w:w="1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264-003</w:t>
            </w:r>
          </w:p>
        </w:tc>
        <w:tc>
          <w:tcPr>
            <w:tcW w:w="8520" w:type="dxa"/>
            <w:vAlign w:val="bottom"/>
          </w:tcPr>
          <w:p>
            <w:pPr>
              <w:ind w:left="140"/>
              <w:spacing w:after="0"/>
              <w:rPr>
                <w:sz w:val="20"/>
                <w:szCs w:val="20"/>
                <w:color w:val="auto"/>
              </w:rPr>
            </w:pPr>
            <w:r>
              <w:rPr>
                <w:rFonts w:ascii="Arial" w:cs="Arial" w:eastAsia="Arial" w:hAnsi="Arial"/>
                <w:sz w:val="18"/>
                <w:szCs w:val="18"/>
                <w:color w:val="auto"/>
              </w:rPr>
              <w:t>Dirty Oil System Basis of Design</w:t>
            </w:r>
          </w:p>
        </w:tc>
        <w:tc>
          <w:tcPr>
            <w:tcW w:w="1180" w:type="dxa"/>
            <w:vAlign w:val="bottom"/>
          </w:tcPr>
          <w:p>
            <w:pPr>
              <w:jc w:val="center"/>
              <w:ind w:left="47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533-001</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Potable Water System Basis of Design</w:t>
            </w:r>
          </w:p>
        </w:tc>
        <w:tc>
          <w:tcPr>
            <w:tcW w:w="11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9"/>
              </w:rPr>
              <w:t>B</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259-001</w:t>
            </w:r>
          </w:p>
        </w:tc>
        <w:tc>
          <w:tcPr>
            <w:tcW w:w="8520" w:type="dxa"/>
            <w:vAlign w:val="bottom"/>
          </w:tcPr>
          <w:p>
            <w:pPr>
              <w:ind w:left="140"/>
              <w:spacing w:after="0"/>
              <w:rPr>
                <w:sz w:val="20"/>
                <w:szCs w:val="20"/>
                <w:color w:val="auto"/>
              </w:rPr>
            </w:pPr>
            <w:r>
              <w:rPr>
                <w:rFonts w:ascii="Arial" w:cs="Arial" w:eastAsia="Arial" w:hAnsi="Arial"/>
                <w:sz w:val="18"/>
                <w:szCs w:val="18"/>
                <w:color w:val="auto"/>
              </w:rPr>
              <w:t>Exhaust Piping Arrangement Basis of Design</w:t>
            </w:r>
          </w:p>
        </w:tc>
        <w:tc>
          <w:tcPr>
            <w:tcW w:w="1180" w:type="dxa"/>
            <w:vAlign w:val="bottom"/>
          </w:tcPr>
          <w:p>
            <w:pPr>
              <w:jc w:val="center"/>
              <w:ind w:left="49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117-002</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Midship Section</w:t>
            </w:r>
          </w:p>
        </w:tc>
        <w:tc>
          <w:tcPr>
            <w:tcW w:w="1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4"/>
              </w:rPr>
              <w:t>506-001</w:t>
            </w:r>
          </w:p>
        </w:tc>
        <w:tc>
          <w:tcPr>
            <w:tcW w:w="8520" w:type="dxa"/>
            <w:vAlign w:val="bottom"/>
          </w:tcPr>
          <w:p>
            <w:pPr>
              <w:ind w:left="140"/>
              <w:spacing w:after="0"/>
              <w:rPr>
                <w:sz w:val="20"/>
                <w:szCs w:val="20"/>
                <w:color w:val="auto"/>
              </w:rPr>
            </w:pPr>
            <w:r>
              <w:rPr>
                <w:rFonts w:ascii="Arial" w:cs="Arial" w:eastAsia="Arial" w:hAnsi="Arial"/>
                <w:sz w:val="18"/>
                <w:szCs w:val="18"/>
                <w:color w:val="auto"/>
              </w:rPr>
              <w:t>Tank Vents and Sounds Basis of Design</w:t>
            </w:r>
          </w:p>
        </w:tc>
        <w:tc>
          <w:tcPr>
            <w:tcW w:w="1180" w:type="dxa"/>
            <w:vAlign w:val="bottom"/>
          </w:tcPr>
          <w:p>
            <w:pPr>
              <w:jc w:val="center"/>
              <w:ind w:left="490"/>
              <w:spacing w:after="0"/>
              <w:rPr>
                <w:sz w:val="20"/>
                <w:szCs w:val="20"/>
                <w:color w:val="auto"/>
              </w:rPr>
            </w:pPr>
            <w:r>
              <w:rPr>
                <w:rFonts w:ascii="Arial" w:cs="Arial" w:eastAsia="Arial" w:hAnsi="Arial"/>
                <w:sz w:val="18"/>
                <w:szCs w:val="18"/>
                <w:color w:val="auto"/>
                <w:w w:val="99"/>
              </w:rPr>
              <w:t>B</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870-002</w:t>
            </w:r>
          </w:p>
        </w:tc>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480V Distribution</w:t>
            </w: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6" w:name="page217"/>
    <w:bookmarkEnd w:id="216"/>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5580" w:type="dxa"/>
            <w:vAlign w:val="bottom"/>
          </w:tcPr>
          <w:p>
            <w:pPr>
              <w:ind w:left="280"/>
              <w:spacing w:after="0"/>
              <w:rPr>
                <w:sz w:val="20"/>
                <w:szCs w:val="20"/>
                <w:color w:val="auto"/>
              </w:rPr>
            </w:pPr>
            <w:r>
              <w:rPr>
                <w:rFonts w:ascii="Arial" w:cs="Arial" w:eastAsia="Arial" w:hAnsi="Arial"/>
                <w:sz w:val="18"/>
                <w:szCs w:val="18"/>
                <w:b w:val="1"/>
                <w:bCs w:val="1"/>
                <w:color w:val="auto"/>
              </w:rPr>
              <w:t>EXHIBIT C-4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870-003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480V Distribution Panels</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870-004</w:t>
            </w:r>
          </w:p>
        </w:tc>
        <w:tc>
          <w:tcPr>
            <w:tcW w:w="3940" w:type="dxa"/>
            <w:vAlign w:val="bottom"/>
          </w:tcPr>
          <w:p>
            <w:pPr>
              <w:ind w:left="60"/>
              <w:spacing w:after="0"/>
              <w:rPr>
                <w:sz w:val="20"/>
                <w:szCs w:val="20"/>
                <w:color w:val="auto"/>
              </w:rPr>
            </w:pPr>
            <w:r>
              <w:rPr>
                <w:rFonts w:ascii="Arial" w:cs="Arial" w:eastAsia="Arial" w:hAnsi="Arial"/>
                <w:sz w:val="18"/>
                <w:szCs w:val="18"/>
                <w:color w:val="auto"/>
              </w:rPr>
              <w:t>208V/120V Power Distribution</w:t>
            </w:r>
          </w:p>
        </w:tc>
        <w:tc>
          <w:tcPr>
            <w:tcW w:w="5580" w:type="dxa"/>
            <w:vAlign w:val="bottom"/>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870-006</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DC Power Distribution</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870-001</w:t>
            </w:r>
          </w:p>
        </w:tc>
        <w:tc>
          <w:tcPr>
            <w:tcW w:w="3940" w:type="dxa"/>
            <w:vAlign w:val="bottom"/>
          </w:tcPr>
          <w:p>
            <w:pPr>
              <w:ind w:left="60"/>
              <w:spacing w:after="0"/>
              <w:rPr>
                <w:sz w:val="20"/>
                <w:szCs w:val="20"/>
                <w:color w:val="auto"/>
              </w:rPr>
            </w:pPr>
            <w:r>
              <w:rPr>
                <w:rFonts w:ascii="Arial" w:cs="Arial" w:eastAsia="Arial" w:hAnsi="Arial"/>
                <w:sz w:val="18"/>
                <w:szCs w:val="18"/>
                <w:color w:val="auto"/>
              </w:rPr>
              <w:t>Electrical Load Analysis</w:t>
            </w:r>
          </w:p>
        </w:tc>
        <w:tc>
          <w:tcPr>
            <w:tcW w:w="5580" w:type="dxa"/>
            <w:vAlign w:val="bottom"/>
          </w:tcPr>
          <w:p>
            <w:pPr>
              <w:jc w:val="center"/>
              <w:ind w:left="4870"/>
              <w:spacing w:after="0"/>
              <w:rPr>
                <w:sz w:val="20"/>
                <w:szCs w:val="20"/>
                <w:color w:val="auto"/>
              </w:rPr>
            </w:pPr>
            <w:r>
              <w:rPr>
                <w:rFonts w:ascii="Arial" w:cs="Arial" w:eastAsia="Arial" w:hAnsi="Arial"/>
                <w:sz w:val="18"/>
                <w:szCs w:val="18"/>
                <w:color w:val="auto"/>
                <w:w w:val="81"/>
              </w:rPr>
              <w:t>P3</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529-001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Bilge and Ballast Basis of Design</w:t>
            </w:r>
          </w:p>
        </w:tc>
        <w:tc>
          <w:tcPr>
            <w:tcW w:w="5580" w:type="dxa"/>
            <w:vAlign w:val="bottom"/>
            <w:shd w:val="clear" w:color="auto" w:fill="CCEEFF"/>
          </w:tcPr>
          <w:p>
            <w:pPr>
              <w:ind w:left="522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529-002</w:t>
            </w:r>
          </w:p>
        </w:tc>
        <w:tc>
          <w:tcPr>
            <w:tcW w:w="3940" w:type="dxa"/>
            <w:vAlign w:val="bottom"/>
          </w:tcPr>
          <w:p>
            <w:pPr>
              <w:ind w:left="60"/>
              <w:spacing w:after="0"/>
              <w:rPr>
                <w:sz w:val="20"/>
                <w:szCs w:val="20"/>
                <w:color w:val="auto"/>
              </w:rPr>
            </w:pPr>
            <w:r>
              <w:rPr>
                <w:rFonts w:ascii="Arial" w:cs="Arial" w:eastAsia="Arial" w:hAnsi="Arial"/>
                <w:sz w:val="18"/>
                <w:szCs w:val="18"/>
                <w:color w:val="auto"/>
              </w:rPr>
              <w:t>Bilge and Ballast Diagram</w:t>
            </w:r>
          </w:p>
        </w:tc>
        <w:tc>
          <w:tcPr>
            <w:tcW w:w="5580" w:type="dxa"/>
            <w:vAlign w:val="bottom"/>
          </w:tcPr>
          <w:p>
            <w:pPr>
              <w:ind w:left="520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101-002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Arrangement</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99"/>
              </w:rPr>
              <w:t>7</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111-001</w:t>
            </w:r>
          </w:p>
        </w:tc>
        <w:tc>
          <w:tcPr>
            <w:tcW w:w="3940" w:type="dxa"/>
            <w:vAlign w:val="bottom"/>
          </w:tcPr>
          <w:p>
            <w:pPr>
              <w:ind w:left="60"/>
              <w:spacing w:after="0"/>
              <w:rPr>
                <w:sz w:val="20"/>
                <w:szCs w:val="20"/>
                <w:color w:val="auto"/>
              </w:rPr>
            </w:pPr>
            <w:r>
              <w:rPr>
                <w:rFonts w:ascii="Arial" w:cs="Arial" w:eastAsia="Arial" w:hAnsi="Arial"/>
                <w:sz w:val="18"/>
                <w:szCs w:val="18"/>
                <w:color w:val="auto"/>
              </w:rPr>
              <w:t>Shell Plating Key Plan</w:t>
            </w:r>
          </w:p>
        </w:tc>
        <w:tc>
          <w:tcPr>
            <w:tcW w:w="5580" w:type="dxa"/>
            <w:vAlign w:val="bottom"/>
          </w:tcPr>
          <w:p>
            <w:pPr>
              <w:jc w:val="center"/>
              <w:ind w:left="487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264-001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 Filling &amp; Transfer Diagram</w:t>
            </w:r>
          </w:p>
        </w:tc>
        <w:tc>
          <w:tcPr>
            <w:tcW w:w="5580" w:type="dxa"/>
            <w:vAlign w:val="bottom"/>
            <w:shd w:val="clear" w:color="auto" w:fill="CCEEFF"/>
          </w:tcPr>
          <w:p>
            <w:pPr>
              <w:ind w:left="520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801-001</w:t>
            </w:r>
          </w:p>
        </w:tc>
        <w:tc>
          <w:tcPr>
            <w:tcW w:w="3940" w:type="dxa"/>
            <w:vAlign w:val="bottom"/>
          </w:tcPr>
          <w:p>
            <w:pPr>
              <w:ind w:left="60"/>
              <w:spacing w:after="0"/>
              <w:rPr>
                <w:sz w:val="20"/>
                <w:szCs w:val="20"/>
                <w:color w:val="auto"/>
              </w:rPr>
            </w:pPr>
            <w:r>
              <w:rPr>
                <w:rFonts w:ascii="Arial" w:cs="Arial" w:eastAsia="Arial" w:hAnsi="Arial"/>
                <w:sz w:val="18"/>
                <w:szCs w:val="18"/>
                <w:color w:val="auto"/>
              </w:rPr>
              <w:t>Navigational Bridge Visibility</w:t>
            </w:r>
          </w:p>
        </w:tc>
        <w:tc>
          <w:tcPr>
            <w:tcW w:w="5580" w:type="dxa"/>
            <w:vAlign w:val="bottom"/>
          </w:tcPr>
          <w:p>
            <w:pPr>
              <w:ind w:left="51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167-002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&amp; Weat Doors Arrangement &amp; Details</w:t>
            </w:r>
          </w:p>
        </w:tc>
        <w:tc>
          <w:tcPr>
            <w:tcW w:w="5580" w:type="dxa"/>
            <w:vAlign w:val="bottom"/>
            <w:shd w:val="clear" w:color="auto" w:fill="CCEEFF"/>
          </w:tcPr>
          <w:p>
            <w:pPr>
              <w:ind w:left="5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802-001</w:t>
            </w:r>
          </w:p>
        </w:tc>
        <w:tc>
          <w:tcPr>
            <w:tcW w:w="3940" w:type="dxa"/>
            <w:vAlign w:val="bottom"/>
          </w:tcPr>
          <w:p>
            <w:pPr>
              <w:ind w:left="60"/>
              <w:spacing w:after="0"/>
              <w:rPr>
                <w:sz w:val="20"/>
                <w:szCs w:val="20"/>
                <w:color w:val="auto"/>
              </w:rPr>
            </w:pPr>
            <w:r>
              <w:rPr>
                <w:rFonts w:ascii="Arial" w:cs="Arial" w:eastAsia="Arial" w:hAnsi="Arial"/>
                <w:sz w:val="18"/>
                <w:szCs w:val="18"/>
                <w:color w:val="auto"/>
              </w:rPr>
              <w:t>Outboard Profile</w:t>
            </w:r>
          </w:p>
        </w:tc>
        <w:tc>
          <w:tcPr>
            <w:tcW w:w="5580" w:type="dxa"/>
            <w:vAlign w:val="bottom"/>
          </w:tcPr>
          <w:p>
            <w:pPr>
              <w:ind w:left="520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167-003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Hatch Details</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802-002</w:t>
            </w:r>
          </w:p>
        </w:tc>
        <w:tc>
          <w:tcPr>
            <w:tcW w:w="3940" w:type="dxa"/>
            <w:vAlign w:val="bottom"/>
          </w:tcPr>
          <w:p>
            <w:pPr>
              <w:ind w:left="60"/>
              <w:spacing w:after="0"/>
              <w:rPr>
                <w:sz w:val="20"/>
                <w:szCs w:val="20"/>
                <w:color w:val="auto"/>
              </w:rPr>
            </w:pPr>
            <w:r>
              <w:rPr>
                <w:rFonts w:ascii="Arial" w:cs="Arial" w:eastAsia="Arial" w:hAnsi="Arial"/>
                <w:sz w:val="18"/>
                <w:szCs w:val="18"/>
                <w:color w:val="auto"/>
              </w:rPr>
              <w:t>Inboard Profile</w:t>
            </w:r>
          </w:p>
        </w:tc>
        <w:tc>
          <w:tcPr>
            <w:tcW w:w="5580" w:type="dxa"/>
            <w:vAlign w:val="bottom"/>
          </w:tcPr>
          <w:p>
            <w:pPr>
              <w:ind w:left="520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101-002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Arrangement</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99"/>
              </w:rPr>
              <w:t>7</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513-002</w:t>
            </w:r>
          </w:p>
        </w:tc>
        <w:tc>
          <w:tcPr>
            <w:tcW w:w="3940" w:type="dxa"/>
            <w:vAlign w:val="bottom"/>
          </w:tcPr>
          <w:p>
            <w:pPr>
              <w:ind w:left="60"/>
              <w:spacing w:after="0"/>
              <w:rPr>
                <w:sz w:val="20"/>
                <w:szCs w:val="20"/>
                <w:color w:val="auto"/>
              </w:rPr>
            </w:pPr>
            <w:r>
              <w:rPr>
                <w:rFonts w:ascii="Arial" w:cs="Arial" w:eastAsia="Arial" w:hAnsi="Arial"/>
                <w:sz w:val="18"/>
                <w:szCs w:val="18"/>
                <w:color w:val="auto"/>
              </w:rPr>
              <w:t>Machinery Ventilation Basis of Design</w:t>
            </w:r>
          </w:p>
        </w:tc>
        <w:tc>
          <w:tcPr>
            <w:tcW w:w="5580" w:type="dxa"/>
            <w:vAlign w:val="bottom"/>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835-001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Midship Calculations</w:t>
            </w:r>
          </w:p>
        </w:tc>
        <w:tc>
          <w:tcPr>
            <w:tcW w:w="5580" w:type="dxa"/>
            <w:vAlign w:val="bottom"/>
            <w:shd w:val="clear" w:color="auto" w:fill="CCEEFF"/>
          </w:tcPr>
          <w:p>
            <w:pPr>
              <w:ind w:left="5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555-001</w:t>
            </w:r>
          </w:p>
        </w:tc>
        <w:tc>
          <w:tcPr>
            <w:tcW w:w="3940" w:type="dxa"/>
            <w:vAlign w:val="bottom"/>
          </w:tcPr>
          <w:p>
            <w:pPr>
              <w:ind w:left="60"/>
              <w:spacing w:after="0"/>
              <w:rPr>
                <w:sz w:val="20"/>
                <w:szCs w:val="20"/>
                <w:color w:val="auto"/>
              </w:rPr>
            </w:pPr>
            <w:r>
              <w:rPr>
                <w:rFonts w:ascii="Arial" w:cs="Arial" w:eastAsia="Arial" w:hAnsi="Arial"/>
                <w:sz w:val="18"/>
                <w:szCs w:val="18"/>
                <w:color w:val="auto"/>
              </w:rPr>
              <w:t>Vessel Safety Plan</w:t>
            </w:r>
          </w:p>
        </w:tc>
        <w:tc>
          <w:tcPr>
            <w:tcW w:w="5580" w:type="dxa"/>
            <w:vAlign w:val="bottom"/>
          </w:tcPr>
          <w:p>
            <w:pPr>
              <w:jc w:val="center"/>
              <w:ind w:left="4870"/>
              <w:spacing w:after="0"/>
              <w:rPr>
                <w:sz w:val="20"/>
                <w:szCs w:val="20"/>
                <w:color w:val="auto"/>
              </w:rPr>
            </w:pPr>
            <w:r>
              <w:rPr>
                <w:rFonts w:ascii="Arial" w:cs="Arial" w:eastAsia="Arial" w:hAnsi="Arial"/>
                <w:sz w:val="18"/>
                <w:szCs w:val="18"/>
                <w:color w:val="auto"/>
                <w:w w:val="81"/>
              </w:rPr>
              <w:t>P1</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117-102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Scantlings Fr 17 Thru 46</w:t>
            </w:r>
          </w:p>
        </w:tc>
        <w:tc>
          <w:tcPr>
            <w:tcW w:w="5580" w:type="dxa"/>
            <w:vAlign w:val="bottom"/>
            <w:shd w:val="clear" w:color="auto" w:fill="CCEEFF"/>
          </w:tcPr>
          <w:p>
            <w:pPr>
              <w:ind w:left="5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870-LIGHT</w:t>
            </w:r>
          </w:p>
        </w:tc>
        <w:tc>
          <w:tcPr>
            <w:tcW w:w="3940" w:type="dxa"/>
            <w:vAlign w:val="bottom"/>
          </w:tcPr>
          <w:p>
            <w:pPr>
              <w:ind w:left="60"/>
              <w:spacing w:after="0"/>
              <w:rPr>
                <w:sz w:val="20"/>
                <w:szCs w:val="20"/>
                <w:color w:val="auto"/>
              </w:rPr>
            </w:pPr>
            <w:r>
              <w:rPr>
                <w:rFonts w:ascii="Arial" w:cs="Arial" w:eastAsia="Arial" w:hAnsi="Arial"/>
                <w:sz w:val="18"/>
                <w:szCs w:val="18"/>
                <w:color w:val="auto"/>
              </w:rPr>
              <w:t>Lighting Calculations</w:t>
            </w:r>
          </w:p>
        </w:tc>
        <w:tc>
          <w:tcPr>
            <w:tcW w:w="5580" w:type="dxa"/>
            <w:vAlign w:val="bottom"/>
          </w:tcPr>
          <w:p>
            <w:pPr>
              <w:ind w:left="51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555-002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Structural Fire Protection</w:t>
            </w:r>
          </w:p>
        </w:tc>
        <w:tc>
          <w:tcPr>
            <w:tcW w:w="5580" w:type="dxa"/>
            <w:vAlign w:val="bottom"/>
            <w:shd w:val="clear" w:color="auto" w:fill="CCEEFF"/>
          </w:tcPr>
          <w:p>
            <w:pPr>
              <w:ind w:left="5200"/>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521-002</w:t>
            </w:r>
          </w:p>
        </w:tc>
        <w:tc>
          <w:tcPr>
            <w:tcW w:w="3940" w:type="dxa"/>
            <w:vAlign w:val="bottom"/>
          </w:tcPr>
          <w:p>
            <w:pPr>
              <w:ind w:left="60"/>
              <w:spacing w:after="0"/>
              <w:rPr>
                <w:sz w:val="20"/>
                <w:szCs w:val="20"/>
                <w:color w:val="auto"/>
              </w:rPr>
            </w:pPr>
            <w:r>
              <w:rPr>
                <w:rFonts w:ascii="Arial" w:cs="Arial" w:eastAsia="Arial" w:hAnsi="Arial"/>
                <w:sz w:val="18"/>
                <w:szCs w:val="18"/>
                <w:color w:val="auto"/>
              </w:rPr>
              <w:t>Fire Main System Diagram</w:t>
            </w:r>
          </w:p>
        </w:tc>
        <w:tc>
          <w:tcPr>
            <w:tcW w:w="5580" w:type="dxa"/>
            <w:vAlign w:val="bottom"/>
          </w:tcPr>
          <w:p>
            <w:pPr>
              <w:ind w:left="520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521-001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Fire Main System Basis of Design</w:t>
            </w:r>
          </w:p>
        </w:tc>
        <w:tc>
          <w:tcPr>
            <w:tcW w:w="5580" w:type="dxa"/>
            <w:vAlign w:val="bottom"/>
            <w:shd w:val="clear" w:color="auto" w:fill="CCEEFF"/>
          </w:tcPr>
          <w:p>
            <w:pPr>
              <w:ind w:left="5220"/>
              <w:spacing w:after="0"/>
              <w:rPr>
                <w:sz w:val="20"/>
                <w:szCs w:val="20"/>
                <w:color w:val="auto"/>
              </w:rPr>
            </w:pPr>
            <w:r>
              <w:rPr>
                <w:rFonts w:ascii="Arial" w:cs="Arial" w:eastAsia="Arial" w:hAnsi="Arial"/>
                <w:sz w:val="18"/>
                <w:szCs w:val="18"/>
                <w:color w:val="auto"/>
              </w:rPr>
              <w:t>B</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835-028</w:t>
            </w:r>
          </w:p>
        </w:tc>
        <w:tc>
          <w:tcPr>
            <w:tcW w:w="3940" w:type="dxa"/>
            <w:vAlign w:val="bottom"/>
          </w:tcPr>
          <w:p>
            <w:pPr>
              <w:ind w:left="60"/>
              <w:spacing w:after="0"/>
              <w:rPr>
                <w:sz w:val="20"/>
                <w:szCs w:val="20"/>
                <w:color w:val="auto"/>
              </w:rPr>
            </w:pPr>
            <w:r>
              <w:rPr>
                <w:rFonts w:ascii="Arial" w:cs="Arial" w:eastAsia="Arial" w:hAnsi="Arial"/>
                <w:sz w:val="18"/>
                <w:szCs w:val="18"/>
                <w:color w:val="auto"/>
              </w:rPr>
              <w:t>Fire Main System Calculations</w:t>
            </w:r>
          </w:p>
        </w:tc>
        <w:tc>
          <w:tcPr>
            <w:tcW w:w="5580" w:type="dxa"/>
            <w:vAlign w:val="bottom"/>
          </w:tcPr>
          <w:p>
            <w:pPr>
              <w:ind w:left="520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612-002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Handrails and Stanchions</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81"/>
              </w:rPr>
              <w:t>P1</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117-101</w:t>
            </w:r>
          </w:p>
        </w:tc>
        <w:tc>
          <w:tcPr>
            <w:tcW w:w="3940" w:type="dxa"/>
            <w:vAlign w:val="bottom"/>
          </w:tcPr>
          <w:p>
            <w:pPr>
              <w:ind w:left="60"/>
              <w:spacing w:after="0"/>
              <w:rPr>
                <w:sz w:val="20"/>
                <w:szCs w:val="20"/>
                <w:color w:val="auto"/>
              </w:rPr>
            </w:pPr>
            <w:r>
              <w:rPr>
                <w:rFonts w:ascii="Arial" w:cs="Arial" w:eastAsia="Arial" w:hAnsi="Arial"/>
                <w:sz w:val="18"/>
                <w:szCs w:val="18"/>
                <w:color w:val="auto"/>
              </w:rPr>
              <w:t>Scantlings Bow Thru Frame 16</w:t>
            </w:r>
          </w:p>
        </w:tc>
        <w:tc>
          <w:tcPr>
            <w:tcW w:w="5580" w:type="dxa"/>
            <w:vAlign w:val="bottom"/>
          </w:tcPr>
          <w:p>
            <w:pPr>
              <w:ind w:left="51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117-103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Scantlings Fr 47 Thru Transom</w:t>
            </w:r>
          </w:p>
        </w:tc>
        <w:tc>
          <w:tcPr>
            <w:tcW w:w="5580" w:type="dxa"/>
            <w:vAlign w:val="bottom"/>
            <w:shd w:val="clear" w:color="auto" w:fill="CCEEFF"/>
          </w:tcPr>
          <w:p>
            <w:pPr>
              <w:ind w:left="5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117-104</w:t>
            </w:r>
          </w:p>
        </w:tc>
        <w:tc>
          <w:tcPr>
            <w:tcW w:w="3940" w:type="dxa"/>
            <w:vAlign w:val="bottom"/>
          </w:tcPr>
          <w:p>
            <w:pPr>
              <w:ind w:left="60"/>
              <w:spacing w:after="0"/>
              <w:rPr>
                <w:sz w:val="20"/>
                <w:szCs w:val="20"/>
                <w:color w:val="auto"/>
              </w:rPr>
            </w:pPr>
            <w:r>
              <w:rPr>
                <w:rFonts w:ascii="Arial" w:cs="Arial" w:eastAsia="Arial" w:hAnsi="Arial"/>
                <w:sz w:val="18"/>
                <w:szCs w:val="18"/>
                <w:color w:val="auto"/>
              </w:rPr>
              <w:t>Scantlings Superstructure</w:t>
            </w:r>
          </w:p>
        </w:tc>
        <w:tc>
          <w:tcPr>
            <w:tcW w:w="5580" w:type="dxa"/>
            <w:vAlign w:val="bottom"/>
          </w:tcPr>
          <w:p>
            <w:pPr>
              <w:ind w:left="51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233-002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Propulsion Engines Fdns</w:t>
            </w:r>
          </w:p>
        </w:tc>
        <w:tc>
          <w:tcPr>
            <w:tcW w:w="5580" w:type="dxa"/>
            <w:vAlign w:val="bottom"/>
            <w:shd w:val="clear" w:color="auto" w:fill="CCEEFF"/>
          </w:tcPr>
          <w:p>
            <w:pPr>
              <w:ind w:left="5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603-002</w:t>
            </w:r>
          </w:p>
        </w:tc>
        <w:tc>
          <w:tcPr>
            <w:tcW w:w="3940" w:type="dxa"/>
            <w:vAlign w:val="bottom"/>
          </w:tcPr>
          <w:p>
            <w:pPr>
              <w:ind w:left="60"/>
              <w:spacing w:after="0"/>
              <w:rPr>
                <w:sz w:val="20"/>
                <w:szCs w:val="20"/>
                <w:color w:val="auto"/>
              </w:rPr>
            </w:pPr>
            <w:r>
              <w:rPr>
                <w:rFonts w:ascii="Arial" w:cs="Arial" w:eastAsia="Arial" w:hAnsi="Arial"/>
                <w:sz w:val="18"/>
                <w:szCs w:val="18"/>
                <w:color w:val="auto"/>
              </w:rPr>
              <w:t>UWILD</w:t>
            </w:r>
          </w:p>
        </w:tc>
        <w:tc>
          <w:tcPr>
            <w:tcW w:w="5580" w:type="dxa"/>
            <w:vAlign w:val="bottom"/>
          </w:tcPr>
          <w:p>
            <w:pPr>
              <w:ind w:left="51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167-001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Manholes &amp; Hatches Arrangement &amp; Details</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117-002</w:t>
            </w:r>
          </w:p>
        </w:tc>
        <w:tc>
          <w:tcPr>
            <w:tcW w:w="3940" w:type="dxa"/>
            <w:vAlign w:val="bottom"/>
          </w:tcPr>
          <w:p>
            <w:pPr>
              <w:ind w:left="60"/>
              <w:spacing w:after="0"/>
              <w:rPr>
                <w:sz w:val="20"/>
                <w:szCs w:val="20"/>
                <w:color w:val="auto"/>
              </w:rPr>
            </w:pPr>
            <w:r>
              <w:rPr>
                <w:rFonts w:ascii="Arial" w:cs="Arial" w:eastAsia="Arial" w:hAnsi="Arial"/>
                <w:sz w:val="18"/>
                <w:szCs w:val="18"/>
                <w:color w:val="auto"/>
              </w:rPr>
              <w:t>Midship Section</w:t>
            </w:r>
          </w:p>
        </w:tc>
        <w:tc>
          <w:tcPr>
            <w:tcW w:w="5580" w:type="dxa"/>
            <w:vAlign w:val="bottom"/>
          </w:tcPr>
          <w:p>
            <w:pPr>
              <w:ind w:left="5200"/>
              <w:spacing w:after="0"/>
              <w:rPr>
                <w:sz w:val="20"/>
                <w:szCs w:val="20"/>
                <w:color w:val="auto"/>
              </w:rPr>
            </w:pPr>
            <w:r>
              <w:rPr>
                <w:rFonts w:ascii="Arial" w:cs="Arial" w:eastAsia="Arial" w:hAnsi="Arial"/>
                <w:sz w:val="18"/>
                <w:szCs w:val="18"/>
                <w:color w:val="auto"/>
              </w:rPr>
              <w:t>A</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612-001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Ladders Arrangement &amp; Details</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585-001</w:t>
            </w:r>
          </w:p>
        </w:tc>
        <w:tc>
          <w:tcPr>
            <w:tcW w:w="3940" w:type="dxa"/>
            <w:vAlign w:val="bottom"/>
          </w:tcPr>
          <w:p>
            <w:pPr>
              <w:ind w:left="60"/>
              <w:spacing w:after="0"/>
              <w:rPr>
                <w:sz w:val="20"/>
                <w:szCs w:val="20"/>
                <w:color w:val="auto"/>
              </w:rPr>
            </w:pPr>
            <w:r>
              <w:rPr>
                <w:rFonts w:ascii="Arial" w:cs="Arial" w:eastAsia="Arial" w:hAnsi="Arial"/>
                <w:sz w:val="18"/>
                <w:szCs w:val="18"/>
                <w:color w:val="auto"/>
                <w:w w:val="98"/>
              </w:rPr>
              <w:t>Rescue Boat and Lifeboat Arrangement &amp; Details</w:t>
            </w:r>
          </w:p>
        </w:tc>
        <w:tc>
          <w:tcPr>
            <w:tcW w:w="5580" w:type="dxa"/>
            <w:vAlign w:val="bottom"/>
          </w:tcPr>
          <w:p>
            <w:pPr>
              <w:ind w:left="5140"/>
              <w:spacing w:after="0"/>
              <w:rPr>
                <w:sz w:val="20"/>
                <w:szCs w:val="20"/>
                <w:color w:val="auto"/>
              </w:rPr>
            </w:pPr>
            <w:r>
              <w:rPr>
                <w:rFonts w:ascii="Arial" w:cs="Arial" w:eastAsia="Arial" w:hAnsi="Arial"/>
                <w:sz w:val="18"/>
                <w:szCs w:val="18"/>
                <w:color w:val="auto"/>
              </w:rPr>
              <w:t>—</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611-001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Fender Installation Drawing</w:t>
            </w:r>
          </w:p>
        </w:tc>
        <w:tc>
          <w:tcPr>
            <w:tcW w:w="5580" w:type="dxa"/>
            <w:vAlign w:val="bottom"/>
            <w:shd w:val="clear" w:color="auto" w:fill="CCEEFF"/>
          </w:tcPr>
          <w:p>
            <w:pPr>
              <w:ind w:left="5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892-002</w:t>
            </w:r>
          </w:p>
        </w:tc>
        <w:tc>
          <w:tcPr>
            <w:tcW w:w="3940" w:type="dxa"/>
            <w:vAlign w:val="bottom"/>
          </w:tcPr>
          <w:p>
            <w:pPr>
              <w:ind w:left="60"/>
              <w:spacing w:after="0"/>
              <w:rPr>
                <w:sz w:val="20"/>
                <w:szCs w:val="20"/>
                <w:color w:val="auto"/>
              </w:rPr>
            </w:pPr>
            <w:r>
              <w:rPr>
                <w:rFonts w:ascii="Arial" w:cs="Arial" w:eastAsia="Arial" w:hAnsi="Arial"/>
                <w:sz w:val="18"/>
                <w:szCs w:val="18"/>
                <w:color w:val="auto"/>
              </w:rPr>
              <w:t>120VAC Receptacle System</w:t>
            </w:r>
          </w:p>
        </w:tc>
        <w:tc>
          <w:tcPr>
            <w:tcW w:w="5580" w:type="dxa"/>
            <w:vAlign w:val="bottom"/>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892-001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Lighting Layout</w:t>
            </w:r>
          </w:p>
        </w:tc>
        <w:tc>
          <w:tcPr>
            <w:tcW w:w="5580" w:type="dxa"/>
            <w:vAlign w:val="bottom"/>
            <w:shd w:val="clear" w:color="auto" w:fill="CCEEFF"/>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603-002</w:t>
            </w:r>
          </w:p>
        </w:tc>
        <w:tc>
          <w:tcPr>
            <w:tcW w:w="3940" w:type="dxa"/>
            <w:vAlign w:val="bottom"/>
          </w:tcPr>
          <w:p>
            <w:pPr>
              <w:ind w:left="60"/>
              <w:spacing w:after="0"/>
              <w:rPr>
                <w:sz w:val="20"/>
                <w:szCs w:val="20"/>
                <w:color w:val="auto"/>
              </w:rPr>
            </w:pPr>
            <w:r>
              <w:rPr>
                <w:rFonts w:ascii="Arial" w:cs="Arial" w:eastAsia="Arial" w:hAnsi="Arial"/>
                <w:sz w:val="18"/>
                <w:szCs w:val="18"/>
                <w:color w:val="auto"/>
              </w:rPr>
              <w:t>Moulded Line Convention</w:t>
            </w:r>
          </w:p>
        </w:tc>
        <w:tc>
          <w:tcPr>
            <w:tcW w:w="5580" w:type="dxa"/>
            <w:vAlign w:val="bottom"/>
          </w:tcPr>
          <w:p>
            <w:pPr>
              <w:jc w:val="center"/>
              <w:ind w:left="4870"/>
              <w:spacing w:after="0"/>
              <w:rPr>
                <w:sz w:val="20"/>
                <w:szCs w:val="20"/>
                <w:color w:val="auto"/>
              </w:rPr>
            </w:pPr>
            <w:r>
              <w:rPr>
                <w:rFonts w:ascii="Arial" w:cs="Arial" w:eastAsia="Arial" w:hAnsi="Arial"/>
                <w:sz w:val="18"/>
                <w:szCs w:val="18"/>
                <w:color w:val="auto"/>
                <w:w w:val="81"/>
              </w:rPr>
              <w:t>P2</w:t>
            </w:r>
          </w:p>
        </w:tc>
        <w:tc>
          <w:tcPr>
            <w:tcW w:w="960" w:type="dxa"/>
            <w:vAlign w:val="bottom"/>
          </w:tcPr>
          <w:p>
            <w:pPr>
              <w:ind w:left="200"/>
              <w:spacing w:after="0"/>
              <w:rPr>
                <w:sz w:val="20"/>
                <w:szCs w:val="20"/>
                <w:color w:val="auto"/>
              </w:rPr>
            </w:pPr>
            <w:r>
              <w:rPr>
                <w:rFonts w:ascii="Arial" w:cs="Arial" w:eastAsia="Arial" w:hAnsi="Arial"/>
                <w:sz w:val="18"/>
                <w:szCs w:val="18"/>
                <w:color w:val="auto"/>
              </w:rPr>
              <w:t>Oct-13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7" w:name="page218"/>
    <w:bookmarkEnd w:id="21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11260"/>
          </w:cols>
          <w:pgMar w:left="240" w:top="274" w:right="399" w:bottom="1440" w:gutter="0" w:footer="0" w:header="0"/>
        </w:sectPr>
      </w:pPr>
    </w:p>
    <w:bookmarkStart w:id="218" w:name="page219"/>
    <w:bookmarkEnd w:id="21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GLDD ATB DREDGE OWNER FURNISHED EQUIPMENT/MATERIALS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WI #</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QTY</w:t>
            </w:r>
          </w:p>
        </w:tc>
        <w:tc>
          <w:tcPr>
            <w:tcW w:w="8020" w:type="dxa"/>
            <w:vAlign w:val="bottom"/>
            <w:vMerge w:val="restart"/>
          </w:tcPr>
          <w:p>
            <w:pPr>
              <w:ind w:left="35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 YARD</w:t>
            </w:r>
          </w:p>
        </w:tc>
        <w:tc>
          <w:tcPr>
            <w:tcW w:w="0" w:type="dxa"/>
            <w:vAlign w:val="bottom"/>
          </w:tcPr>
          <w:p>
            <w:pPr>
              <w:spacing w:after="0"/>
              <w:rPr>
                <w:sz w:val="1"/>
                <w:szCs w:val="1"/>
                <w:color w:val="auto"/>
              </w:rPr>
            </w:pPr>
          </w:p>
        </w:tc>
      </w:tr>
      <w:tr>
        <w:trPr>
          <w:trHeight w:val="165"/>
        </w:trPr>
        <w:tc>
          <w:tcPr>
            <w:tcW w:w="5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3"/>
        </w:trPr>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20" w:type="dxa"/>
            <w:vAlign w:val="bottom"/>
            <w:tcBorders>
              <w:top w:val="single" w:sz="8" w:color="auto"/>
            </w:tcBorders>
            <w:shd w:val="clear" w:color="auto" w:fill="CCEEFF"/>
          </w:tcPr>
          <w:p>
            <w:pPr>
              <w:ind w:left="3540"/>
              <w:spacing w:after="0" w:line="202" w:lineRule="exact"/>
              <w:rPr>
                <w:sz w:val="20"/>
                <w:szCs w:val="20"/>
                <w:color w:val="auto"/>
              </w:rPr>
            </w:pPr>
            <w:r>
              <w:rPr>
                <w:rFonts w:ascii="Arial" w:cs="Arial" w:eastAsia="Arial" w:hAnsi="Arial"/>
                <w:sz w:val="18"/>
                <w:szCs w:val="18"/>
                <w:b w:val="1"/>
                <w:bCs w:val="1"/>
                <w:color w:val="auto"/>
              </w:rPr>
              <w:t>ATB BARGE ITEMS</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 w:type="dxa"/>
            <w:vAlign w:val="bottom"/>
            <w:gridSpan w:val="2"/>
          </w:tcPr>
          <w:p>
            <w:pPr>
              <w:spacing w:after="0" w:line="201" w:lineRule="exact"/>
              <w:rPr>
                <w:sz w:val="20"/>
                <w:szCs w:val="20"/>
                <w:color w:val="auto"/>
              </w:rPr>
            </w:pPr>
            <w:r>
              <w:rPr>
                <w:rFonts w:ascii="Arial" w:cs="Arial" w:eastAsia="Arial" w:hAnsi="Arial"/>
                <w:sz w:val="18"/>
                <w:szCs w:val="18"/>
                <w:color w:val="auto"/>
              </w:rPr>
              <w:t>10.00</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rPr>
              <w:t>A36 Steel Plate (1767.36 ST)</w:t>
            </w:r>
          </w:p>
        </w:tc>
        <w:tc>
          <w:tcPr>
            <w:tcW w:w="10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2"/>
              </w:rPr>
              <w:t>6-Jan-14 –</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28-Feb-14</w:t>
            </w:r>
          </w:p>
        </w:tc>
        <w:tc>
          <w:tcPr>
            <w:tcW w:w="0" w:type="dxa"/>
            <w:vAlign w:val="bottom"/>
          </w:tcPr>
          <w:p>
            <w:pPr>
              <w:spacing w:after="0"/>
              <w:rPr>
                <w:sz w:val="1"/>
                <w:szCs w:val="1"/>
                <w:color w:val="auto"/>
              </w:rPr>
            </w:pPr>
          </w:p>
        </w:tc>
      </w:tr>
      <w:tr>
        <w:trPr>
          <w:trHeight w:val="202"/>
        </w:trPr>
        <w:tc>
          <w:tcPr>
            <w:tcW w:w="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AH / DH Steel Plate (10.47 ST)</w:t>
            </w:r>
          </w:p>
        </w:tc>
        <w:tc>
          <w:tcPr>
            <w:tcW w:w="10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2"/>
              </w:rPr>
              <w:t>6-Jan-14 –</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28-Feb-14</w:t>
            </w:r>
          </w:p>
        </w:tc>
        <w:tc>
          <w:tcPr>
            <w:tcW w:w="0" w:type="dxa"/>
            <w:vAlign w:val="bottom"/>
          </w:tcPr>
          <w:p>
            <w:pPr>
              <w:spacing w:after="0"/>
              <w:rPr>
                <w:sz w:val="1"/>
                <w:szCs w:val="1"/>
                <w:color w:val="auto"/>
              </w:rPr>
            </w:pPr>
          </w:p>
        </w:tc>
      </w:tr>
      <w:tr>
        <w:trPr>
          <w:trHeight w:val="202"/>
        </w:trPr>
        <w:tc>
          <w:tcPr>
            <w:tcW w:w="540" w:type="dxa"/>
            <w:vAlign w:val="bottom"/>
            <w:gridSpan w:val="2"/>
          </w:tcPr>
          <w:p>
            <w:pPr>
              <w:spacing w:after="0" w:line="201" w:lineRule="exact"/>
              <w:rPr>
                <w:sz w:val="20"/>
                <w:szCs w:val="20"/>
                <w:color w:val="auto"/>
              </w:rPr>
            </w:pPr>
            <w:r>
              <w:rPr>
                <w:rFonts w:ascii="Arial" w:cs="Arial" w:eastAsia="Arial" w:hAnsi="Arial"/>
                <w:sz w:val="18"/>
                <w:szCs w:val="18"/>
                <w:color w:val="auto"/>
              </w:rPr>
              <w:t>10.00</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rPr>
              <w:t>Bulb Flat (Weight in A36 Steel Plate Above)</w:t>
            </w:r>
          </w:p>
        </w:tc>
        <w:tc>
          <w:tcPr>
            <w:tcW w:w="10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2"/>
              </w:rPr>
              <w:t>6-Jan-14 –</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28-Feb-14</w:t>
            </w:r>
          </w:p>
        </w:tc>
        <w:tc>
          <w:tcPr>
            <w:tcW w:w="0" w:type="dxa"/>
            <w:vAlign w:val="bottom"/>
          </w:tcPr>
          <w:p>
            <w:pPr>
              <w:spacing w:after="0"/>
              <w:rPr>
                <w:sz w:val="1"/>
                <w:szCs w:val="1"/>
                <w:color w:val="auto"/>
              </w:rPr>
            </w:pPr>
          </w:p>
        </w:tc>
      </w:tr>
      <w:tr>
        <w:trPr>
          <w:trHeight w:val="216"/>
        </w:trPr>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Taisei Coupler System Ladder Components</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1-Apr-14</w:t>
            </w: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10.15</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6 Each</w:t>
            </w:r>
          </w:p>
        </w:tc>
        <w:tc>
          <w:tcPr>
            <w:tcW w:w="8020" w:type="dxa"/>
            <w:vAlign w:val="bottom"/>
          </w:tcPr>
          <w:p>
            <w:pPr>
              <w:spacing w:after="0"/>
              <w:rPr>
                <w:sz w:val="20"/>
                <w:szCs w:val="20"/>
                <w:color w:val="auto"/>
              </w:rPr>
            </w:pPr>
            <w:r>
              <w:rPr>
                <w:rFonts w:ascii="Arial" w:cs="Arial" w:eastAsia="Arial" w:hAnsi="Arial"/>
                <w:sz w:val="18"/>
                <w:szCs w:val="18"/>
                <w:color w:val="auto"/>
              </w:rPr>
              <w:t>IMS Watertight Sliding Doors</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1-May-14</w:t>
            </w:r>
          </w:p>
        </w:tc>
        <w:tc>
          <w:tcPr>
            <w:tcW w:w="0" w:type="dxa"/>
            <w:vAlign w:val="bottom"/>
          </w:tcPr>
          <w:p>
            <w:pPr>
              <w:spacing w:after="0"/>
              <w:rPr>
                <w:sz w:val="1"/>
                <w:szCs w:val="1"/>
                <w:color w:val="auto"/>
              </w:rPr>
            </w:pPr>
          </w:p>
        </w:tc>
      </w:tr>
      <w:tr>
        <w:trPr>
          <w:trHeight w:val="216"/>
        </w:trPr>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16.00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 Each</w:t>
            </w: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Schottel TT-2 Bowthrusters</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1-Feb-15</w:t>
            </w:r>
          </w:p>
        </w:tc>
        <w:tc>
          <w:tcPr>
            <w:tcW w:w="0" w:type="dxa"/>
            <w:vAlign w:val="bottom"/>
          </w:tcPr>
          <w:p>
            <w:pPr>
              <w:spacing w:after="0"/>
              <w:rPr>
                <w:sz w:val="1"/>
                <w:szCs w:val="1"/>
                <w:color w:val="auto"/>
              </w:rPr>
            </w:pPr>
          </w:p>
        </w:tc>
      </w:tr>
      <w:tr>
        <w:trPr>
          <w:trHeight w:val="202"/>
        </w:trPr>
        <w:tc>
          <w:tcPr>
            <w:tcW w:w="540" w:type="dxa"/>
            <w:vAlign w:val="bottom"/>
            <w:gridSpan w:val="2"/>
          </w:tcPr>
          <w:p>
            <w:pPr>
              <w:spacing w:after="0" w:line="201" w:lineRule="exact"/>
              <w:rPr>
                <w:sz w:val="20"/>
                <w:szCs w:val="20"/>
                <w:color w:val="auto"/>
              </w:rPr>
            </w:pPr>
            <w:r>
              <w:rPr>
                <w:rFonts w:ascii="Arial" w:cs="Arial" w:eastAsia="Arial" w:hAnsi="Arial"/>
                <w:sz w:val="18"/>
                <w:szCs w:val="18"/>
                <w:color w:val="auto"/>
              </w:rPr>
              <w:t>16.01</w:t>
            </w:r>
          </w:p>
        </w:tc>
        <w:tc>
          <w:tcPr>
            <w:tcW w:w="7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 Each</w:t>
            </w:r>
          </w:p>
        </w:tc>
        <w:tc>
          <w:tcPr>
            <w:tcW w:w="8020" w:type="dxa"/>
            <w:vAlign w:val="bottom"/>
          </w:tcPr>
          <w:p>
            <w:pPr>
              <w:spacing w:after="0" w:line="201" w:lineRule="exact"/>
              <w:rPr>
                <w:sz w:val="20"/>
                <w:szCs w:val="20"/>
                <w:color w:val="auto"/>
              </w:rPr>
            </w:pPr>
            <w:r>
              <w:rPr>
                <w:rFonts w:ascii="Arial" w:cs="Arial" w:eastAsia="Arial" w:hAnsi="Arial"/>
                <w:sz w:val="18"/>
                <w:szCs w:val="18"/>
                <w:color w:val="auto"/>
              </w:rPr>
              <w:t>Bow Thruster Controls</w:t>
            </w:r>
          </w:p>
        </w:tc>
        <w:tc>
          <w:tcPr>
            <w:tcW w:w="120" w:type="dxa"/>
            <w:vAlign w:val="bottom"/>
          </w:tcPr>
          <w:p>
            <w:pPr>
              <w:spacing w:after="0"/>
              <w:rPr>
                <w:sz w:val="17"/>
                <w:szCs w:val="17"/>
                <w:color w:val="auto"/>
              </w:rPr>
            </w:pPr>
          </w:p>
        </w:tc>
        <w:tc>
          <w:tcPr>
            <w:tcW w:w="10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5"/>
              </w:rPr>
              <w:t>Inclusive of</w:t>
            </w: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1-Feb-15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Thrusters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16.02</w:t>
            </w:r>
          </w:p>
        </w:tc>
        <w:tc>
          <w:tcPr>
            <w:tcW w:w="7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 Each</w:t>
            </w: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Motorelli Motori Bowthruster Motors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5"/>
              </w:rPr>
              <w:t>Inclusive of</w:t>
            </w:r>
          </w:p>
        </w:tc>
        <w:tc>
          <w:tcPr>
            <w:tcW w:w="9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1-Feb-14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Electrical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Package</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19.02</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 Each</w:t>
            </w:r>
          </w:p>
        </w:tc>
        <w:tc>
          <w:tcPr>
            <w:tcW w:w="8020" w:type="dxa"/>
            <w:vAlign w:val="bottom"/>
          </w:tcPr>
          <w:p>
            <w:pPr>
              <w:spacing w:after="0"/>
              <w:rPr>
                <w:sz w:val="20"/>
                <w:szCs w:val="20"/>
                <w:color w:val="auto"/>
              </w:rPr>
            </w:pPr>
            <w:r>
              <w:rPr>
                <w:rFonts w:ascii="Arial" w:cs="Arial" w:eastAsia="Arial" w:hAnsi="Arial"/>
                <w:sz w:val="18"/>
                <w:szCs w:val="18"/>
                <w:color w:val="auto"/>
              </w:rPr>
              <w:t>Seahorse Systems MSD &amp; (2) Lift Station Pumps</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13-Jan-14</w:t>
            </w:r>
          </w:p>
        </w:tc>
        <w:tc>
          <w:tcPr>
            <w:tcW w:w="0" w:type="dxa"/>
            <w:vAlign w:val="bottom"/>
          </w:tcPr>
          <w:p>
            <w:pPr>
              <w:spacing w:after="0"/>
              <w:rPr>
                <w:sz w:val="1"/>
                <w:szCs w:val="1"/>
                <w:color w:val="auto"/>
              </w:rPr>
            </w:pPr>
          </w:p>
        </w:tc>
      </w:tr>
      <w:tr>
        <w:trPr>
          <w:trHeight w:val="216"/>
        </w:trPr>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 Each</w:t>
            </w: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Caterpillar C32 Auxiliary Generator w Shipped Loose Components</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13-Jan-14</w:t>
            </w: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22.01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 Each</w:t>
            </w:r>
          </w:p>
        </w:tc>
        <w:tc>
          <w:tcPr>
            <w:tcW w:w="8020" w:type="dxa"/>
            <w:vAlign w:val="bottom"/>
          </w:tcPr>
          <w:p>
            <w:pPr>
              <w:spacing w:after="0"/>
              <w:rPr>
                <w:sz w:val="20"/>
                <w:szCs w:val="20"/>
                <w:color w:val="auto"/>
              </w:rPr>
            </w:pPr>
            <w:r>
              <w:rPr>
                <w:rFonts w:ascii="Arial" w:cs="Arial" w:eastAsia="Arial" w:hAnsi="Arial"/>
                <w:sz w:val="18"/>
                <w:szCs w:val="18"/>
                <w:color w:val="auto"/>
              </w:rPr>
              <w:t>EMDSI Model ME20G7C-T3 Dredge Engines (Reference SS Proposal MJB061112-6)</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1-Jun-14</w:t>
            </w:r>
          </w:p>
        </w:tc>
        <w:tc>
          <w:tcPr>
            <w:tcW w:w="0" w:type="dxa"/>
            <w:vAlign w:val="bottom"/>
          </w:tcPr>
          <w:p>
            <w:pPr>
              <w:spacing w:after="0"/>
              <w:rPr>
                <w:sz w:val="1"/>
                <w:szCs w:val="1"/>
                <w:color w:val="auto"/>
              </w:rPr>
            </w:pPr>
          </w:p>
        </w:tc>
      </w:tr>
      <w:tr>
        <w:trPr>
          <w:trHeight w:val="216"/>
        </w:trPr>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22.02</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 Each</w:t>
            </w: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OCG SA401 Dredge Pump Gearbox</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1-Jun-14</w:t>
            </w: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22.03</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 Each</w:t>
            </w:r>
          </w:p>
        </w:tc>
        <w:tc>
          <w:tcPr>
            <w:tcW w:w="8020" w:type="dxa"/>
            <w:vAlign w:val="bottom"/>
          </w:tcPr>
          <w:p>
            <w:pPr>
              <w:spacing w:after="0"/>
              <w:rPr>
                <w:sz w:val="20"/>
                <w:szCs w:val="20"/>
                <w:color w:val="auto"/>
              </w:rPr>
            </w:pPr>
            <w:r>
              <w:rPr>
                <w:rFonts w:ascii="Arial" w:cs="Arial" w:eastAsia="Arial" w:hAnsi="Arial"/>
                <w:sz w:val="18"/>
                <w:szCs w:val="18"/>
                <w:color w:val="auto"/>
              </w:rPr>
              <w:t>Dredge Pump Couplings included with engine package (22.01)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1-Jun-14</w:t>
            </w:r>
          </w:p>
        </w:tc>
        <w:tc>
          <w:tcPr>
            <w:tcW w:w="0" w:type="dxa"/>
            <w:vAlign w:val="bottom"/>
          </w:tcPr>
          <w:p>
            <w:pPr>
              <w:spacing w:after="0"/>
              <w:rPr>
                <w:sz w:val="1"/>
                <w:szCs w:val="1"/>
                <w:color w:val="auto"/>
              </w:rPr>
            </w:pPr>
          </w:p>
        </w:tc>
      </w:tr>
      <w:tr>
        <w:trPr>
          <w:trHeight w:val="202"/>
        </w:trPr>
        <w:tc>
          <w:tcPr>
            <w:tcW w:w="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22.05</w:t>
            </w:r>
          </w:p>
        </w:tc>
        <w:tc>
          <w:tcPr>
            <w:tcW w:w="7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 Each</w:t>
            </w: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Maxim Silencers included with engine package (22.01)</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5"/>
              </w:rPr>
              <w:t>Inclusive of</w:t>
            </w:r>
          </w:p>
        </w:tc>
        <w:tc>
          <w:tcPr>
            <w:tcW w:w="9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1-Jun-14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EMD Engine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Package</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9" w:name="page220"/>
    <w:bookmarkEnd w:id="21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22.07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Hagler Systems / GIW 36x40 LSA 84 Dredge Pumps</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15-Dec-14</w:t>
            </w:r>
          </w:p>
        </w:tc>
      </w:tr>
      <w:tr>
        <w:trPr>
          <w:trHeight w:val="202"/>
        </w:trPr>
        <w:tc>
          <w:tcPr>
            <w:tcW w:w="5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8"/>
              </w:rPr>
              <w:t>26.01</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2</w:t>
            </w:r>
          </w:p>
        </w:tc>
        <w:tc>
          <w:tcPr>
            <w:tcW w:w="500" w:type="dxa"/>
            <w:vAlign w:val="bottom"/>
          </w:tcPr>
          <w:p>
            <w:pPr>
              <w:ind w:left="40"/>
              <w:spacing w:after="0" w:line="201" w:lineRule="exact"/>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line="201" w:lineRule="exact"/>
              <w:rPr>
                <w:sz w:val="20"/>
                <w:szCs w:val="20"/>
                <w:color w:val="auto"/>
              </w:rPr>
            </w:pPr>
            <w:r>
              <w:rPr>
                <w:rFonts w:ascii="Arial" w:cs="Arial" w:eastAsia="Arial" w:hAnsi="Arial"/>
                <w:sz w:val="18"/>
                <w:szCs w:val="18"/>
                <w:color w:val="auto"/>
              </w:rPr>
              <w:t>Motorelli Motori 1000kw Jet Pump Motors</w:t>
            </w:r>
          </w:p>
        </w:tc>
        <w:tc>
          <w:tcPr>
            <w:tcW w:w="2280" w:type="dxa"/>
            <w:vAlign w:val="bottom"/>
          </w:tcPr>
          <w:p>
            <w:pPr>
              <w:ind w:left="1320"/>
              <w:spacing w:after="0" w:line="201" w:lineRule="exact"/>
              <w:rPr>
                <w:sz w:val="20"/>
                <w:szCs w:val="20"/>
                <w:color w:val="auto"/>
              </w:rPr>
            </w:pPr>
            <w:r>
              <w:rPr>
                <w:rFonts w:ascii="Arial" w:cs="Arial" w:eastAsia="Arial" w:hAnsi="Arial"/>
                <w:sz w:val="18"/>
                <w:szCs w:val="18"/>
                <w:color w:val="auto"/>
              </w:rPr>
              <w:t>Inclusive of</w:t>
            </w: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1-Feb-14</w:t>
            </w: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280" w:type="dxa"/>
            <w:vAlign w:val="bottom"/>
          </w:tcPr>
          <w:p>
            <w:pPr>
              <w:ind w:left="1400"/>
              <w:spacing w:after="0"/>
              <w:rPr>
                <w:sz w:val="20"/>
                <w:szCs w:val="20"/>
                <w:color w:val="auto"/>
              </w:rPr>
            </w:pPr>
            <w:r>
              <w:rPr>
                <w:rFonts w:ascii="Arial" w:cs="Arial" w:eastAsia="Arial" w:hAnsi="Arial"/>
                <w:sz w:val="18"/>
                <w:szCs w:val="18"/>
                <w:color w:val="auto"/>
              </w:rPr>
              <w:t>Electrical</w:t>
            </w:r>
          </w:p>
        </w:tc>
        <w:tc>
          <w:tcPr>
            <w:tcW w:w="9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80" w:type="dxa"/>
            <w:vAlign w:val="bottom"/>
          </w:tcPr>
          <w:p>
            <w:pPr>
              <w:ind w:left="1460"/>
              <w:spacing w:after="0"/>
              <w:rPr>
                <w:sz w:val="20"/>
                <w:szCs w:val="20"/>
                <w:color w:val="auto"/>
              </w:rPr>
            </w:pPr>
            <w:r>
              <w:rPr>
                <w:rFonts w:ascii="Arial" w:cs="Arial" w:eastAsia="Arial" w:hAnsi="Arial"/>
                <w:sz w:val="18"/>
                <w:szCs w:val="18"/>
                <w:color w:val="auto"/>
              </w:rPr>
              <w:t>Package</w:t>
            </w:r>
          </w:p>
        </w:tc>
        <w:tc>
          <w:tcPr>
            <w:tcW w:w="960" w:type="dxa"/>
            <w:vAlign w:val="bottom"/>
          </w:tcPr>
          <w:p>
            <w:pPr>
              <w:spacing w:after="0"/>
              <w:rPr>
                <w:sz w:val="20"/>
                <w:szCs w:val="20"/>
                <w:color w:val="auto"/>
              </w:rPr>
            </w:pP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26.02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OCG SA201 Jet Pump Gearbox</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1-Jun-14</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26.03</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Jet Pump Couplings</w:t>
            </w:r>
          </w:p>
        </w:tc>
        <w:tc>
          <w:tcPr>
            <w:tcW w:w="2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1-Jun-14</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26.05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Hagler Systems / GIW 20x20 WBC 46 Jet Pumps</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1-Dec-14</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32.01</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BOSS 11T/107 Oily Water Separator (OWS)</w:t>
            </w:r>
          </w:p>
        </w:tc>
        <w:tc>
          <w:tcPr>
            <w:tcW w:w="2280" w:type="dxa"/>
            <w:vAlign w:val="bottom"/>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1-Feb-14</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34.01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Quincy Model 340 Air Compressors (Air Receivers Builder Furnished)</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6-Jan-14</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34.01</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Quincy Model D5120HP Air Compressor (Air Receiver Builder Furnished)</w:t>
            </w:r>
          </w:p>
        </w:tc>
        <w:tc>
          <w:tcPr>
            <w:tcW w:w="2280" w:type="dxa"/>
            <w:vAlign w:val="bottom"/>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6-Jan-14</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34.01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Hankinson Air Dryer</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6-Jan-14</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35.01</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Emerson Fuel Oil metering system</w:t>
            </w:r>
          </w:p>
        </w:tc>
        <w:tc>
          <w:tcPr>
            <w:tcW w:w="2280" w:type="dxa"/>
            <w:vAlign w:val="bottom"/>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38.01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Gimbal Davit Gantries</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1-Oct-15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38.01</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Gimbal Davit Cylinders</w:t>
            </w:r>
          </w:p>
        </w:tc>
        <w:tc>
          <w:tcPr>
            <w:tcW w:w="2280" w:type="dxa"/>
            <w:vAlign w:val="bottom"/>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1-Oct-15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38.01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Draghead Davit Gantries</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1-Oct-15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38.01</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Draghead Davit Cylinders</w:t>
            </w:r>
          </w:p>
        </w:tc>
        <w:tc>
          <w:tcPr>
            <w:tcW w:w="2280" w:type="dxa"/>
            <w:vAlign w:val="bottom"/>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1-Oct-15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38.01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Trunnion Davit Gantries with Service Frames</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1-Oct-15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38.01</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Trunnion Davit Cylinders</w:t>
            </w:r>
          </w:p>
        </w:tc>
        <w:tc>
          <w:tcPr>
            <w:tcW w:w="2280" w:type="dxa"/>
            <w:vAlign w:val="bottom"/>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1-Oct-15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38.02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Brusselle Dragarm Winches</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1-Apr-14</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38.02</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Swell Compensator Rams</w:t>
            </w:r>
          </w:p>
        </w:tc>
        <w:tc>
          <w:tcPr>
            <w:tcW w:w="2280" w:type="dxa"/>
            <w:vAlign w:val="bottom"/>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1-Aug-15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56.01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Shots, 2-5/8" Grade 2 Stud Link Anchor Chain with connecting hardware</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6-Jan-14</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56.01</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ind w:left="40"/>
              <w:spacing w:after="0"/>
              <w:rPr>
                <w:sz w:val="20"/>
                <w:szCs w:val="20"/>
                <w:color w:val="auto"/>
              </w:rPr>
            </w:pPr>
            <w:r>
              <w:rPr>
                <w:rFonts w:ascii="Arial" w:cs="Arial" w:eastAsia="Arial" w:hAnsi="Arial"/>
                <w:sz w:val="18"/>
                <w:szCs w:val="18"/>
                <w:color w:val="auto"/>
              </w:rPr>
              <w:t>Each</w:t>
            </w:r>
          </w:p>
        </w:tc>
        <w:tc>
          <w:tcPr>
            <w:tcW w:w="6860" w:type="dxa"/>
            <w:vAlign w:val="bottom"/>
          </w:tcPr>
          <w:p>
            <w:pPr>
              <w:ind w:left="100"/>
              <w:spacing w:after="0"/>
              <w:rPr>
                <w:sz w:val="20"/>
                <w:szCs w:val="20"/>
                <w:color w:val="auto"/>
              </w:rPr>
            </w:pPr>
            <w:r>
              <w:rPr>
                <w:rFonts w:ascii="Arial" w:cs="Arial" w:eastAsia="Arial" w:hAnsi="Arial"/>
                <w:sz w:val="18"/>
                <w:szCs w:val="18"/>
                <w:color w:val="auto"/>
              </w:rPr>
              <w:t>Steel Stockless AC-14 Type HHP Anchors</w:t>
            </w:r>
          </w:p>
        </w:tc>
        <w:tc>
          <w:tcPr>
            <w:tcW w:w="2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6-Jan-14</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56.02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Each</w:t>
            </w: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Coastal Marine Equipment 1W26231-126-00 Left Hand Anchor Windlass</w:t>
            </w:r>
          </w:p>
        </w:tc>
        <w:tc>
          <w:tcPr>
            <w:tcW w:w="22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1-Sep-15</w:t>
            </w:r>
          </w:p>
        </w:tc>
      </w:tr>
    </w:tbl>
    <w:p>
      <w:pPr>
        <w:sectPr>
          <w:pgSz w:w="11900" w:h="16838" w:orient="portrait"/>
          <w:cols w:equalWidth="0" w:num="1">
            <w:col w:w="11420"/>
          </w:cols>
          <w:pgMar w:left="240" w:top="274" w:right="239" w:bottom="1440" w:gutter="0" w:footer="0" w:header="0"/>
        </w:sectPr>
      </w:pPr>
    </w:p>
    <w:bookmarkStart w:id="220" w:name="page221"/>
    <w:bookmarkEnd w:id="22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56.02</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Coastal Marine Equipment 1W26231-126-00 Right Hand Anchor Windlass</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1-Sep-15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56.03</w:t>
            </w:r>
          </w:p>
        </w:tc>
        <w:tc>
          <w:tcPr>
            <w:tcW w:w="720" w:type="dxa"/>
            <w:vAlign w:val="bottom"/>
          </w:tcPr>
          <w:p>
            <w:pPr>
              <w:ind w:left="120"/>
              <w:spacing w:after="0"/>
              <w:rPr>
                <w:sz w:val="20"/>
                <w:szCs w:val="20"/>
                <w:color w:val="auto"/>
              </w:rPr>
            </w:pPr>
            <w:r>
              <w:rPr>
                <w:rFonts w:ascii="Arial" w:cs="Arial" w:eastAsia="Arial" w:hAnsi="Arial"/>
                <w:sz w:val="18"/>
                <w:szCs w:val="18"/>
                <w:color w:val="auto"/>
              </w:rPr>
              <w:t>2 Each</w:t>
            </w:r>
          </w:p>
        </w:tc>
        <w:tc>
          <w:tcPr>
            <w:tcW w:w="7520" w:type="dxa"/>
            <w:vAlign w:val="bottom"/>
          </w:tcPr>
          <w:p>
            <w:pPr>
              <w:ind w:left="120"/>
              <w:spacing w:after="0"/>
              <w:rPr>
                <w:sz w:val="20"/>
                <w:szCs w:val="20"/>
                <w:color w:val="auto"/>
              </w:rPr>
            </w:pPr>
            <w:r>
              <w:rPr>
                <w:rFonts w:ascii="Arial" w:cs="Arial" w:eastAsia="Arial" w:hAnsi="Arial"/>
                <w:sz w:val="18"/>
                <w:szCs w:val="18"/>
                <w:color w:val="auto"/>
              </w:rPr>
              <w:t>Coastal Marine Equipment C20-15-71-131 Deck Capstans</w:t>
            </w:r>
          </w:p>
        </w:tc>
        <w:tc>
          <w:tcPr>
            <w:tcW w:w="17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1-Sep-15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60.01</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Techcrane Deck Cranes w Extended Pedestal</w:t>
            </w: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1-Dec-14</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66.01</w:t>
            </w:r>
          </w:p>
        </w:tc>
        <w:tc>
          <w:tcPr>
            <w:tcW w:w="720" w:type="dxa"/>
            <w:vAlign w:val="bottom"/>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tcPr>
          <w:p>
            <w:pPr>
              <w:ind w:left="120"/>
              <w:spacing w:after="0"/>
              <w:rPr>
                <w:sz w:val="20"/>
                <w:szCs w:val="20"/>
                <w:color w:val="auto"/>
              </w:rPr>
            </w:pPr>
            <w:r>
              <w:rPr>
                <w:rFonts w:ascii="Arial" w:cs="Arial" w:eastAsia="Arial" w:hAnsi="Arial"/>
                <w:sz w:val="18"/>
                <w:szCs w:val="18"/>
                <w:color w:val="auto"/>
                <w:w w:val="98"/>
              </w:rPr>
              <w:t>Bosch Rexroth HPU, Valve Stands, Emergency Closing Devices, Swell Compensation System</w:t>
            </w: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1-May-14</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67.02</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Bottom Door Cylinders</w:t>
            </w: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1-Aug-15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67.03</w:t>
            </w:r>
          </w:p>
        </w:tc>
        <w:tc>
          <w:tcPr>
            <w:tcW w:w="720" w:type="dxa"/>
            <w:vAlign w:val="bottom"/>
          </w:tcPr>
          <w:p>
            <w:pPr>
              <w:ind w:left="120"/>
              <w:spacing w:after="0"/>
              <w:rPr>
                <w:sz w:val="20"/>
                <w:szCs w:val="20"/>
                <w:color w:val="auto"/>
              </w:rPr>
            </w:pPr>
            <w:r>
              <w:rPr>
                <w:rFonts w:ascii="Arial" w:cs="Arial" w:eastAsia="Arial" w:hAnsi="Arial"/>
                <w:sz w:val="18"/>
                <w:szCs w:val="18"/>
                <w:color w:val="auto"/>
              </w:rPr>
              <w:t>2 Each</w:t>
            </w:r>
          </w:p>
        </w:tc>
        <w:tc>
          <w:tcPr>
            <w:tcW w:w="7520" w:type="dxa"/>
            <w:vAlign w:val="bottom"/>
          </w:tcPr>
          <w:p>
            <w:pPr>
              <w:ind w:left="120"/>
              <w:spacing w:after="0"/>
              <w:rPr>
                <w:sz w:val="20"/>
                <w:szCs w:val="20"/>
                <w:color w:val="auto"/>
              </w:rPr>
            </w:pPr>
            <w:r>
              <w:rPr>
                <w:rFonts w:ascii="Arial" w:cs="Arial" w:eastAsia="Arial" w:hAnsi="Arial"/>
                <w:sz w:val="18"/>
                <w:szCs w:val="18"/>
                <w:color w:val="auto"/>
              </w:rPr>
              <w:t>Overflow Cylinders</w:t>
            </w: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1-Aug-15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67.03</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Hopper Overflow Assemblies</w:t>
            </w: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1-Apr-15</w:t>
            </w:r>
          </w:p>
        </w:tc>
      </w:tr>
      <w:tr>
        <w:trPr>
          <w:trHeight w:val="202"/>
        </w:trPr>
        <w:tc>
          <w:tcPr>
            <w:tcW w:w="5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8"/>
              </w:rPr>
              <w:t>67.04</w:t>
            </w:r>
          </w:p>
        </w:tc>
        <w:tc>
          <w:tcPr>
            <w:tcW w:w="720" w:type="dxa"/>
            <w:vAlign w:val="bottom"/>
          </w:tcPr>
          <w:p>
            <w:pPr>
              <w:ind w:left="120"/>
              <w:spacing w:after="0" w:line="201" w:lineRule="exact"/>
              <w:rPr>
                <w:sz w:val="20"/>
                <w:szCs w:val="20"/>
                <w:color w:val="auto"/>
              </w:rPr>
            </w:pPr>
            <w:r>
              <w:rPr>
                <w:rFonts w:ascii="Arial" w:cs="Arial" w:eastAsia="Arial" w:hAnsi="Arial"/>
                <w:sz w:val="18"/>
                <w:szCs w:val="18"/>
                <w:color w:val="auto"/>
              </w:rPr>
              <w:t>8 Each</w:t>
            </w:r>
          </w:p>
        </w:tc>
        <w:tc>
          <w:tcPr>
            <w:tcW w:w="7520" w:type="dxa"/>
            <w:vAlign w:val="bottom"/>
          </w:tcPr>
          <w:p>
            <w:pPr>
              <w:ind w:left="120"/>
              <w:spacing w:after="0" w:line="201" w:lineRule="exact"/>
              <w:rPr>
                <w:sz w:val="20"/>
                <w:szCs w:val="20"/>
                <w:color w:val="auto"/>
              </w:rPr>
            </w:pPr>
            <w:r>
              <w:rPr>
                <w:rFonts w:ascii="Arial" w:cs="Arial" w:eastAsia="Arial" w:hAnsi="Arial"/>
                <w:sz w:val="18"/>
                <w:szCs w:val="18"/>
                <w:color w:val="auto"/>
              </w:rPr>
              <w:t>Stainless Steel Sounding Winches</w:t>
            </w:r>
          </w:p>
        </w:tc>
        <w:tc>
          <w:tcPr>
            <w:tcW w:w="1700" w:type="dxa"/>
            <w:vAlign w:val="bottom"/>
          </w:tcPr>
          <w:p>
            <w:pPr>
              <w:jc w:val="center"/>
              <w:ind w:left="390"/>
              <w:spacing w:after="0" w:line="201" w:lineRule="exact"/>
              <w:rPr>
                <w:sz w:val="20"/>
                <w:szCs w:val="20"/>
                <w:color w:val="auto"/>
              </w:rPr>
            </w:pPr>
            <w:r>
              <w:rPr>
                <w:rFonts w:ascii="Arial" w:cs="Arial" w:eastAsia="Arial" w:hAnsi="Arial"/>
                <w:sz w:val="18"/>
                <w:szCs w:val="18"/>
                <w:color w:val="auto"/>
                <w:w w:val="95"/>
              </w:rPr>
              <w:t>Inclusive of</w:t>
            </w: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1-May-14</w:t>
            </w:r>
          </w:p>
        </w:tc>
      </w:tr>
      <w:tr>
        <w:trPr>
          <w:trHeight w:val="216"/>
        </w:trPr>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700" w:type="dxa"/>
            <w:vAlign w:val="bottom"/>
          </w:tcPr>
          <w:p>
            <w:pPr>
              <w:jc w:val="center"/>
              <w:ind w:left="390"/>
              <w:spacing w:after="0"/>
              <w:rPr>
                <w:sz w:val="20"/>
                <w:szCs w:val="20"/>
                <w:color w:val="auto"/>
              </w:rPr>
            </w:pPr>
            <w:r>
              <w:rPr>
                <w:rFonts w:ascii="Arial" w:cs="Arial" w:eastAsia="Arial" w:hAnsi="Arial"/>
                <w:sz w:val="18"/>
                <w:szCs w:val="18"/>
                <w:color w:val="auto"/>
                <w:w w:val="96"/>
              </w:rPr>
              <w:t>Bow</w:t>
            </w:r>
          </w:p>
        </w:tc>
        <w:tc>
          <w:tcPr>
            <w:tcW w:w="9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700" w:type="dxa"/>
            <w:vAlign w:val="bottom"/>
          </w:tcPr>
          <w:p>
            <w:pPr>
              <w:jc w:val="center"/>
              <w:ind w:left="390"/>
              <w:spacing w:after="0"/>
              <w:rPr>
                <w:sz w:val="20"/>
                <w:szCs w:val="20"/>
                <w:color w:val="auto"/>
              </w:rPr>
            </w:pPr>
            <w:r>
              <w:rPr>
                <w:rFonts w:ascii="Arial" w:cs="Arial" w:eastAsia="Arial" w:hAnsi="Arial"/>
                <w:sz w:val="18"/>
                <w:szCs w:val="18"/>
                <w:color w:val="auto"/>
                <w:w w:val="90"/>
              </w:rPr>
              <w:t>Connection</w:t>
            </w:r>
          </w:p>
        </w:tc>
        <w:tc>
          <w:tcPr>
            <w:tcW w:w="9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700" w:type="dxa"/>
            <w:vAlign w:val="bottom"/>
          </w:tcPr>
          <w:p>
            <w:pPr>
              <w:ind w:left="620"/>
              <w:spacing w:after="0"/>
              <w:rPr>
                <w:sz w:val="20"/>
                <w:szCs w:val="20"/>
                <w:color w:val="auto"/>
              </w:rPr>
            </w:pPr>
            <w:r>
              <w:rPr>
                <w:rFonts w:ascii="Arial" w:cs="Arial" w:eastAsia="Arial" w:hAnsi="Arial"/>
                <w:sz w:val="18"/>
                <w:szCs w:val="18"/>
                <w:color w:val="auto"/>
              </w:rPr>
              <w:t>Arrangement</w:t>
            </w:r>
          </w:p>
        </w:tc>
        <w:tc>
          <w:tcPr>
            <w:tcW w:w="960" w:type="dxa"/>
            <w:vAlign w:val="bottom"/>
          </w:tcPr>
          <w:p>
            <w:pPr>
              <w:spacing w:after="0"/>
              <w:rPr>
                <w:sz w:val="20"/>
                <w:szCs w:val="20"/>
                <w:color w:val="auto"/>
              </w:rPr>
            </w:pP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68.02</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Transformers</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68.02</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Switchboards</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68.02</w:t>
            </w:r>
          </w:p>
        </w:tc>
        <w:tc>
          <w:tcPr>
            <w:tcW w:w="720" w:type="dxa"/>
            <w:vAlign w:val="bottom"/>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tcPr>
          <w:p>
            <w:pPr>
              <w:ind w:left="120"/>
              <w:spacing w:after="0"/>
              <w:rPr>
                <w:sz w:val="20"/>
                <w:szCs w:val="20"/>
                <w:color w:val="auto"/>
              </w:rPr>
            </w:pPr>
            <w:r>
              <w:rPr>
                <w:rFonts w:ascii="Arial" w:cs="Arial" w:eastAsia="Arial" w:hAnsi="Arial"/>
                <w:sz w:val="18"/>
                <w:szCs w:val="18"/>
                <w:color w:val="auto"/>
              </w:rPr>
              <w:t>Shore Connection Box</w:t>
            </w:r>
          </w:p>
        </w:tc>
        <w:tc>
          <w:tcPr>
            <w:tcW w:w="17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68.03</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Variable Frequency Drives fior (2) Jet Pumps, (2) Bow Thrusters, (4) Hydraulic Pumps</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1-Jun-15</w:t>
            </w:r>
          </w:p>
        </w:tc>
      </w:tr>
      <w:tr>
        <w:trPr>
          <w:trHeight w:val="202"/>
        </w:trPr>
        <w:tc>
          <w:tcPr>
            <w:tcW w:w="5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8"/>
              </w:rPr>
              <w:t>68.12</w:t>
            </w:r>
          </w:p>
        </w:tc>
        <w:tc>
          <w:tcPr>
            <w:tcW w:w="720" w:type="dxa"/>
            <w:vAlign w:val="bottom"/>
          </w:tcPr>
          <w:p>
            <w:pPr>
              <w:ind w:left="120"/>
              <w:spacing w:after="0" w:line="201" w:lineRule="exact"/>
              <w:rPr>
                <w:sz w:val="20"/>
                <w:szCs w:val="20"/>
                <w:color w:val="auto"/>
              </w:rPr>
            </w:pPr>
            <w:r>
              <w:rPr>
                <w:rFonts w:ascii="Arial" w:cs="Arial" w:eastAsia="Arial" w:hAnsi="Arial"/>
                <w:sz w:val="18"/>
                <w:szCs w:val="18"/>
                <w:color w:val="auto"/>
              </w:rPr>
              <w:t>1 Each</w:t>
            </w:r>
          </w:p>
        </w:tc>
        <w:tc>
          <w:tcPr>
            <w:tcW w:w="7520" w:type="dxa"/>
            <w:vAlign w:val="bottom"/>
          </w:tcPr>
          <w:p>
            <w:pPr>
              <w:ind w:left="120"/>
              <w:spacing w:after="0" w:line="201" w:lineRule="exact"/>
              <w:rPr>
                <w:sz w:val="20"/>
                <w:szCs w:val="20"/>
                <w:color w:val="auto"/>
              </w:rPr>
            </w:pPr>
            <w:r>
              <w:rPr>
                <w:rFonts w:ascii="Arial" w:cs="Arial" w:eastAsia="Arial" w:hAnsi="Arial"/>
                <w:sz w:val="18"/>
                <w:szCs w:val="18"/>
                <w:color w:val="auto"/>
              </w:rPr>
              <w:t>Barge Console</w:t>
            </w:r>
          </w:p>
        </w:tc>
        <w:tc>
          <w:tcPr>
            <w:tcW w:w="1700" w:type="dxa"/>
            <w:vAlign w:val="bottom"/>
          </w:tcPr>
          <w:p>
            <w:pPr>
              <w:ind w:left="600"/>
              <w:spacing w:after="0" w:line="201" w:lineRule="exact"/>
              <w:rPr>
                <w:sz w:val="20"/>
                <w:szCs w:val="20"/>
                <w:color w:val="auto"/>
              </w:rPr>
            </w:pPr>
            <w:r>
              <w:rPr>
                <w:rFonts w:ascii="Arial" w:cs="Arial" w:eastAsia="Arial" w:hAnsi="Arial"/>
                <w:sz w:val="18"/>
                <w:szCs w:val="18"/>
                <w:color w:val="auto"/>
              </w:rPr>
              <w:t>Inclusive of</w:t>
            </w: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1-Jun-15</w:t>
            </w:r>
          </w:p>
        </w:tc>
      </w:tr>
      <w:tr>
        <w:trPr>
          <w:trHeight w:val="230"/>
        </w:trPr>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Tug System</w:t>
            </w:r>
          </w:p>
        </w:tc>
        <w:tc>
          <w:tcPr>
            <w:tcW w:w="960" w:type="dxa"/>
            <w:vAlign w:val="bottom"/>
          </w:tcPr>
          <w:p>
            <w:pPr>
              <w:spacing w:after="0"/>
              <w:rPr>
                <w:sz w:val="20"/>
                <w:szCs w:val="20"/>
                <w:color w:val="auto"/>
              </w:rPr>
            </w:pP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68.13</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Vingtor PA / GA System</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68.14</w:t>
            </w:r>
          </w:p>
        </w:tc>
        <w:tc>
          <w:tcPr>
            <w:tcW w:w="720" w:type="dxa"/>
            <w:vAlign w:val="bottom"/>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tcPr>
          <w:p>
            <w:pPr>
              <w:ind w:left="120"/>
              <w:spacing w:after="0"/>
              <w:rPr>
                <w:sz w:val="20"/>
                <w:szCs w:val="20"/>
                <w:color w:val="auto"/>
              </w:rPr>
            </w:pPr>
            <w:r>
              <w:rPr>
                <w:rFonts w:ascii="Arial" w:cs="Arial" w:eastAsia="Arial" w:hAnsi="Arial"/>
                <w:sz w:val="18"/>
                <w:szCs w:val="18"/>
                <w:color w:val="auto"/>
              </w:rPr>
              <w:t>Beier Machinery Alarm and Monitoring System</w:t>
            </w:r>
          </w:p>
        </w:tc>
        <w:tc>
          <w:tcPr>
            <w:tcW w:w="17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68.15</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Beier Vessel Security System</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68.16</w:t>
            </w:r>
          </w:p>
        </w:tc>
        <w:tc>
          <w:tcPr>
            <w:tcW w:w="720" w:type="dxa"/>
            <w:vAlign w:val="bottom"/>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tcPr>
          <w:p>
            <w:pPr>
              <w:ind w:left="120"/>
              <w:spacing w:after="0"/>
              <w:rPr>
                <w:sz w:val="20"/>
                <w:szCs w:val="20"/>
                <w:color w:val="auto"/>
              </w:rPr>
            </w:pPr>
            <w:r>
              <w:rPr>
                <w:rFonts w:ascii="Arial" w:cs="Arial" w:eastAsia="Arial" w:hAnsi="Arial"/>
                <w:sz w:val="18"/>
                <w:szCs w:val="18"/>
                <w:color w:val="auto"/>
              </w:rPr>
              <w:t>VOSTA Integrated Monitoring and Control System – IMC (Dredge)</w:t>
            </w: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68.16</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Dredge Maintenance Desk</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68.17</w:t>
            </w:r>
          </w:p>
        </w:tc>
        <w:tc>
          <w:tcPr>
            <w:tcW w:w="720" w:type="dxa"/>
            <w:vAlign w:val="bottom"/>
          </w:tcPr>
          <w:p>
            <w:pPr>
              <w:ind w:left="120"/>
              <w:spacing w:after="0"/>
              <w:rPr>
                <w:sz w:val="20"/>
                <w:szCs w:val="20"/>
                <w:color w:val="auto"/>
              </w:rPr>
            </w:pPr>
            <w:r>
              <w:rPr>
                <w:rFonts w:ascii="Arial" w:cs="Arial" w:eastAsia="Arial" w:hAnsi="Arial"/>
                <w:sz w:val="18"/>
                <w:szCs w:val="18"/>
                <w:color w:val="auto"/>
              </w:rPr>
              <w:t>1 Each</w:t>
            </w:r>
          </w:p>
        </w:tc>
        <w:tc>
          <w:tcPr>
            <w:tcW w:w="7520" w:type="dxa"/>
            <w:vAlign w:val="bottom"/>
          </w:tcPr>
          <w:p>
            <w:pPr>
              <w:ind w:left="120"/>
              <w:spacing w:after="0"/>
              <w:rPr>
                <w:sz w:val="20"/>
                <w:szCs w:val="20"/>
                <w:color w:val="auto"/>
              </w:rPr>
            </w:pPr>
            <w:r>
              <w:rPr>
                <w:rFonts w:ascii="Arial" w:cs="Arial" w:eastAsia="Arial" w:hAnsi="Arial"/>
                <w:sz w:val="18"/>
                <w:szCs w:val="18"/>
                <w:color w:val="auto"/>
              </w:rPr>
              <w:t>Set, Production Instrumentation (IMS System)</w:t>
            </w:r>
          </w:p>
        </w:tc>
        <w:tc>
          <w:tcPr>
            <w:tcW w:w="170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1-Nov-15</w:t>
            </w:r>
          </w:p>
        </w:tc>
      </w:tr>
      <w:tr>
        <w:trPr>
          <w:trHeight w:val="216"/>
        </w:trPr>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71.01</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Arm Pieces, Pivot Arms, and Gimbal Rings</w:t>
            </w: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1-Nov-15</w:t>
            </w:r>
          </w:p>
        </w:tc>
      </w:tr>
    </w:tbl>
    <w:p>
      <w:pPr>
        <w:sectPr>
          <w:pgSz w:w="11900" w:h="16838" w:orient="portrait"/>
          <w:cols w:equalWidth="0" w:num="1">
            <w:col w:w="11420"/>
          </w:cols>
          <w:pgMar w:left="240" w:top="274" w:right="239" w:bottom="1440" w:gutter="0" w:footer="0" w:header="0"/>
        </w:sectPr>
      </w:pPr>
    </w:p>
    <w:bookmarkStart w:id="221" w:name="page222"/>
    <w:bookmarkEnd w:id="221"/>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71.02</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Dragheads</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1-Nov-15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71.02</w:t>
            </w:r>
          </w:p>
        </w:tc>
        <w:tc>
          <w:tcPr>
            <w:tcW w:w="820" w:type="dxa"/>
            <w:vAlign w:val="bottom"/>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tcPr>
          <w:p>
            <w:pPr>
              <w:ind w:left="100"/>
              <w:spacing w:after="0"/>
              <w:rPr>
                <w:sz w:val="20"/>
                <w:szCs w:val="20"/>
                <w:color w:val="auto"/>
              </w:rPr>
            </w:pPr>
            <w:r>
              <w:rPr>
                <w:rFonts w:ascii="Arial" w:cs="Arial" w:eastAsia="Arial" w:hAnsi="Arial"/>
                <w:sz w:val="18"/>
                <w:szCs w:val="18"/>
                <w:color w:val="auto"/>
              </w:rPr>
              <w:t>Draghead Visors</w:t>
            </w:r>
          </w:p>
        </w:tc>
        <w:tc>
          <w:tcPr>
            <w:tcW w:w="1900" w:type="dxa"/>
            <w:vAlign w:val="bottom"/>
          </w:tcPr>
          <w:p>
            <w:pPr>
              <w:ind w:left="1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1-Nov-15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71.02</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Draghead Visor Cylinders</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1-Nov-15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71.03</w:t>
            </w:r>
          </w:p>
        </w:tc>
        <w:tc>
          <w:tcPr>
            <w:tcW w:w="820" w:type="dxa"/>
            <w:vAlign w:val="bottom"/>
          </w:tcPr>
          <w:p>
            <w:pPr>
              <w:ind w:left="120"/>
              <w:spacing w:after="0"/>
              <w:rPr>
                <w:sz w:val="20"/>
                <w:szCs w:val="20"/>
                <w:color w:val="auto"/>
              </w:rPr>
            </w:pPr>
            <w:r>
              <w:rPr>
                <w:rFonts w:ascii="Arial" w:cs="Arial" w:eastAsia="Arial" w:hAnsi="Arial"/>
                <w:sz w:val="18"/>
                <w:szCs w:val="18"/>
                <w:color w:val="auto"/>
              </w:rPr>
              <w:t>1 Each</w:t>
            </w:r>
          </w:p>
        </w:tc>
        <w:tc>
          <w:tcPr>
            <w:tcW w:w="7200" w:type="dxa"/>
            <w:vAlign w:val="bottom"/>
          </w:tcPr>
          <w:p>
            <w:pPr>
              <w:ind w:left="100"/>
              <w:spacing w:after="0"/>
              <w:rPr>
                <w:sz w:val="20"/>
                <w:szCs w:val="20"/>
                <w:color w:val="auto"/>
              </w:rPr>
            </w:pPr>
            <w:r>
              <w:rPr>
                <w:rFonts w:ascii="Arial" w:cs="Arial" w:eastAsia="Arial" w:hAnsi="Arial"/>
                <w:sz w:val="18"/>
                <w:szCs w:val="18"/>
                <w:color w:val="auto"/>
              </w:rPr>
              <w:t>FEDUR Suction Piping System</w:t>
            </w:r>
          </w:p>
        </w:tc>
        <w:tc>
          <w:tcPr>
            <w:tcW w:w="1900" w:type="dxa"/>
            <w:vAlign w:val="bottom"/>
          </w:tcPr>
          <w:p>
            <w:pPr>
              <w:ind w:left="1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1-Apr-14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71.03</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FEDUR Discharge Piping System</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1-Oct-14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71.04</w:t>
            </w:r>
          </w:p>
        </w:tc>
        <w:tc>
          <w:tcPr>
            <w:tcW w:w="820" w:type="dxa"/>
            <w:vAlign w:val="bottom"/>
          </w:tcPr>
          <w:p>
            <w:pPr>
              <w:ind w:left="120"/>
              <w:spacing w:after="0"/>
              <w:rPr>
                <w:sz w:val="20"/>
                <w:szCs w:val="20"/>
                <w:color w:val="auto"/>
              </w:rPr>
            </w:pPr>
            <w:r>
              <w:rPr>
                <w:rFonts w:ascii="Arial" w:cs="Arial" w:eastAsia="Arial" w:hAnsi="Arial"/>
                <w:sz w:val="18"/>
                <w:szCs w:val="18"/>
                <w:color w:val="auto"/>
              </w:rPr>
              <w:t>31 Each</w:t>
            </w:r>
          </w:p>
        </w:tc>
        <w:tc>
          <w:tcPr>
            <w:tcW w:w="7200" w:type="dxa"/>
            <w:vAlign w:val="bottom"/>
          </w:tcPr>
          <w:p>
            <w:pPr>
              <w:ind w:left="100"/>
              <w:spacing w:after="0"/>
              <w:rPr>
                <w:sz w:val="20"/>
                <w:szCs w:val="20"/>
                <w:color w:val="auto"/>
              </w:rPr>
            </w:pPr>
            <w:r>
              <w:rPr>
                <w:rFonts w:ascii="Arial" w:cs="Arial" w:eastAsia="Arial" w:hAnsi="Arial"/>
                <w:sz w:val="18"/>
                <w:szCs w:val="18"/>
                <w:color w:val="auto"/>
              </w:rPr>
              <w:t>Slurry Valves</w:t>
            </w:r>
          </w:p>
        </w:tc>
        <w:tc>
          <w:tcPr>
            <w:tcW w:w="1900" w:type="dxa"/>
            <w:vAlign w:val="bottom"/>
          </w:tcPr>
          <w:p>
            <w:pPr>
              <w:ind w:left="1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1-Jun-14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71.05</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 Fabriek Bow Connection Arrangement</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1-May-14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TBD</w:t>
            </w:r>
          </w:p>
        </w:tc>
        <w:tc>
          <w:tcPr>
            <w:tcW w:w="820" w:type="dxa"/>
            <w:vAlign w:val="bottom"/>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tcPr>
          <w:p>
            <w:pPr>
              <w:ind w:left="100"/>
              <w:spacing w:after="0"/>
              <w:rPr>
                <w:sz w:val="20"/>
                <w:szCs w:val="20"/>
                <w:color w:val="auto"/>
              </w:rPr>
            </w:pPr>
            <w:r>
              <w:rPr>
                <w:rFonts w:ascii="Arial" w:cs="Arial" w:eastAsia="Arial" w:hAnsi="Arial"/>
                <w:sz w:val="18"/>
                <w:szCs w:val="18"/>
                <w:color w:val="auto"/>
              </w:rPr>
              <w:t>Green Valve Cylinders</w:t>
            </w:r>
          </w:p>
        </w:tc>
        <w:tc>
          <w:tcPr>
            <w:tcW w:w="1900" w:type="dxa"/>
            <w:vAlign w:val="bottom"/>
          </w:tcPr>
          <w:p>
            <w:pPr>
              <w:ind w:left="1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1-Aug-15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81.01</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96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Jet Water Nozzles</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1-Nov-14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0" w:type="dxa"/>
            <w:vAlign w:val="bottom"/>
          </w:tcPr>
          <w:p>
            <w:pPr>
              <w:ind w:left="3600"/>
              <w:spacing w:after="0"/>
              <w:rPr>
                <w:sz w:val="20"/>
                <w:szCs w:val="20"/>
                <w:color w:val="auto"/>
              </w:rPr>
            </w:pPr>
            <w:r>
              <w:rPr>
                <w:rFonts w:ascii="Arial" w:cs="Arial" w:eastAsia="Arial" w:hAnsi="Arial"/>
                <w:sz w:val="18"/>
                <w:szCs w:val="18"/>
                <w:b w:val="1"/>
                <w:bCs w:val="1"/>
                <w:color w:val="auto"/>
              </w:rPr>
              <w:t>ATB TUG ITEMS</w:t>
            </w: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12.10</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EBI TC-10 Telescopic Boom Crane</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14.01</w:t>
            </w:r>
          </w:p>
        </w:tc>
        <w:tc>
          <w:tcPr>
            <w:tcW w:w="820" w:type="dxa"/>
            <w:vAlign w:val="bottom"/>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tcPr>
          <w:p>
            <w:pPr>
              <w:ind w:left="100"/>
              <w:spacing w:after="0"/>
              <w:rPr>
                <w:sz w:val="20"/>
                <w:szCs w:val="20"/>
                <w:color w:val="auto"/>
              </w:rPr>
            </w:pPr>
            <w:r>
              <w:rPr>
                <w:rFonts w:ascii="Arial" w:cs="Arial" w:eastAsia="Arial" w:hAnsi="Arial"/>
                <w:sz w:val="18"/>
                <w:szCs w:val="18"/>
                <w:color w:val="auto"/>
              </w:rPr>
              <w:t>MaK 12 M 32 C Main Engines</w:t>
            </w:r>
          </w:p>
        </w:tc>
        <w:tc>
          <w:tcPr>
            <w:tcW w:w="1900" w:type="dxa"/>
            <w:vAlign w:val="bottom"/>
          </w:tcPr>
          <w:p>
            <w:pPr>
              <w:ind w:left="1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20-Jan-14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14.01</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Main Engine HT Cooling – GEA PHE Plate Heat Exchangers</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TBD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1-Mar-14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14,01</w:t>
            </w:r>
          </w:p>
        </w:tc>
        <w:tc>
          <w:tcPr>
            <w:tcW w:w="820" w:type="dxa"/>
            <w:vAlign w:val="bottom"/>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tcPr>
          <w:p>
            <w:pPr>
              <w:ind w:left="100"/>
              <w:spacing w:after="0"/>
              <w:rPr>
                <w:sz w:val="20"/>
                <w:szCs w:val="20"/>
                <w:color w:val="auto"/>
              </w:rPr>
            </w:pPr>
            <w:r>
              <w:rPr>
                <w:rFonts w:ascii="Arial" w:cs="Arial" w:eastAsia="Arial" w:hAnsi="Arial"/>
                <w:sz w:val="18"/>
                <w:szCs w:val="18"/>
                <w:color w:val="auto"/>
              </w:rPr>
              <w:t>Main Engine LT Cooling – GEA PHE Plate Heat Exchangers Heat Exchangers</w:t>
            </w:r>
          </w:p>
        </w:tc>
        <w:tc>
          <w:tcPr>
            <w:tcW w:w="1900" w:type="dxa"/>
            <w:vAlign w:val="bottom"/>
          </w:tcPr>
          <w:p>
            <w:pPr>
              <w:ind w:left="1400"/>
              <w:spacing w:after="0"/>
              <w:rPr>
                <w:sz w:val="20"/>
                <w:szCs w:val="20"/>
                <w:color w:val="auto"/>
              </w:rPr>
            </w:pPr>
            <w:r>
              <w:rPr>
                <w:rFonts w:ascii="Arial" w:cs="Arial" w:eastAsia="Arial" w:hAnsi="Arial"/>
                <w:sz w:val="18"/>
                <w:szCs w:val="18"/>
                <w:color w:val="auto"/>
              </w:rPr>
              <w:t>TBD</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1-Mar-14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14.01</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Maxim Water Evaporators (Watermakers)</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1-Mar-14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14.01</w:t>
            </w:r>
          </w:p>
        </w:tc>
        <w:tc>
          <w:tcPr>
            <w:tcW w:w="820" w:type="dxa"/>
            <w:vAlign w:val="bottom"/>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tcPr>
          <w:p>
            <w:pPr>
              <w:ind w:left="100"/>
              <w:spacing w:after="0"/>
              <w:rPr>
                <w:sz w:val="20"/>
                <w:szCs w:val="20"/>
                <w:color w:val="auto"/>
              </w:rPr>
            </w:pPr>
            <w:r>
              <w:rPr>
                <w:rFonts w:ascii="Arial" w:cs="Arial" w:eastAsia="Arial" w:hAnsi="Arial"/>
                <w:sz w:val="18"/>
                <w:szCs w:val="18"/>
                <w:color w:val="auto"/>
              </w:rPr>
              <w:t>Starting Air Compressors</w:t>
            </w:r>
          </w:p>
        </w:tc>
        <w:tc>
          <w:tcPr>
            <w:tcW w:w="1900" w:type="dxa"/>
            <w:vAlign w:val="bottom"/>
          </w:tcPr>
          <w:p>
            <w:pPr>
              <w:ind w:left="1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1-Apr-15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14.02</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OCG Model SA-382-25 Reduction Gears</w:t>
            </w:r>
          </w:p>
        </w:tc>
        <w:tc>
          <w:tcPr>
            <w:tcW w:w="19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1-Aug-14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14.02</w:t>
            </w:r>
          </w:p>
        </w:tc>
        <w:tc>
          <w:tcPr>
            <w:tcW w:w="820" w:type="dxa"/>
            <w:vAlign w:val="bottom"/>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tcPr>
          <w:p>
            <w:pPr>
              <w:ind w:left="100"/>
              <w:spacing w:after="0"/>
              <w:rPr>
                <w:sz w:val="20"/>
                <w:szCs w:val="20"/>
                <w:color w:val="auto"/>
              </w:rPr>
            </w:pPr>
            <w:r>
              <w:rPr>
                <w:rFonts w:ascii="Arial" w:cs="Arial" w:eastAsia="Arial" w:hAnsi="Arial"/>
                <w:sz w:val="18"/>
                <w:szCs w:val="18"/>
                <w:color w:val="auto"/>
              </w:rPr>
              <w:t>Schottel Type SCP 109/4-XG Controllable Pitch Propeller Systems</w:t>
            </w:r>
          </w:p>
        </w:tc>
        <w:tc>
          <w:tcPr>
            <w:tcW w:w="1900" w:type="dxa"/>
            <w:vAlign w:val="bottom"/>
          </w:tcPr>
          <w:p>
            <w:pPr>
              <w:ind w:left="1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1-Aug-14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15.01</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Each</w:t>
            </w:r>
          </w:p>
        </w:tc>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Schottel Modified WAG 19A Nozzles</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1-Aug-14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15.01</w:t>
            </w:r>
          </w:p>
        </w:tc>
        <w:tc>
          <w:tcPr>
            <w:tcW w:w="820" w:type="dxa"/>
            <w:vAlign w:val="bottom"/>
          </w:tcPr>
          <w:p>
            <w:pPr>
              <w:ind w:left="120"/>
              <w:spacing w:after="0"/>
              <w:rPr>
                <w:sz w:val="20"/>
                <w:szCs w:val="20"/>
                <w:color w:val="auto"/>
              </w:rPr>
            </w:pPr>
            <w:r>
              <w:rPr>
                <w:rFonts w:ascii="Arial" w:cs="Arial" w:eastAsia="Arial" w:hAnsi="Arial"/>
                <w:sz w:val="18"/>
                <w:szCs w:val="18"/>
                <w:color w:val="auto"/>
              </w:rPr>
              <w:t>1 Each</w:t>
            </w:r>
          </w:p>
        </w:tc>
        <w:tc>
          <w:tcPr>
            <w:tcW w:w="7200" w:type="dxa"/>
            <w:vAlign w:val="bottom"/>
          </w:tcPr>
          <w:p>
            <w:pPr>
              <w:ind w:left="100"/>
              <w:spacing w:after="0"/>
              <w:rPr>
                <w:sz w:val="20"/>
                <w:szCs w:val="20"/>
                <w:color w:val="auto"/>
              </w:rPr>
            </w:pPr>
            <w:r>
              <w:rPr>
                <w:rFonts w:ascii="Arial" w:cs="Arial" w:eastAsia="Arial" w:hAnsi="Arial"/>
                <w:sz w:val="18"/>
                <w:szCs w:val="18"/>
                <w:color w:val="auto"/>
              </w:rPr>
              <w:t>Type 530 BRA 45-40-15-CC 2-piece Van Der Velden Steering System</w:t>
            </w:r>
          </w:p>
        </w:tc>
        <w:tc>
          <w:tcPr>
            <w:tcW w:w="1900" w:type="dxa"/>
            <w:vAlign w:val="bottom"/>
          </w:tcPr>
          <w:p>
            <w:pPr>
              <w:ind w:left="1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1-Aug-14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2" w:name="page223"/>
    <w:bookmarkEnd w:id="22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19.02</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Seahorse Systems MSD</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13-Jan-14</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20.01</w:t>
            </w:r>
          </w:p>
        </w:tc>
        <w:tc>
          <w:tcPr>
            <w:tcW w:w="620" w:type="dxa"/>
            <w:vAlign w:val="bottom"/>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tcPr>
          <w:p>
            <w:pPr>
              <w:ind w:left="60"/>
              <w:spacing w:after="0"/>
              <w:rPr>
                <w:sz w:val="20"/>
                <w:szCs w:val="20"/>
                <w:color w:val="auto"/>
              </w:rPr>
            </w:pPr>
            <w:r>
              <w:rPr>
                <w:rFonts w:ascii="Arial" w:cs="Arial" w:eastAsia="Arial" w:hAnsi="Arial"/>
                <w:sz w:val="18"/>
                <w:szCs w:val="18"/>
                <w:color w:val="auto"/>
              </w:rPr>
              <w:t>Caterpillar C32 Auxiliary Generator</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6-Sept-14</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20.01</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Caterpillar C18 Emergency Generator</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6-Sept-14</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35.05</w:t>
            </w:r>
          </w:p>
        </w:tc>
        <w:tc>
          <w:tcPr>
            <w:tcW w:w="620" w:type="dxa"/>
            <w:vAlign w:val="bottom"/>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tcPr>
          <w:p>
            <w:pPr>
              <w:ind w:left="60"/>
              <w:spacing w:after="0"/>
              <w:rPr>
                <w:sz w:val="20"/>
                <w:szCs w:val="20"/>
                <w:color w:val="auto"/>
              </w:rPr>
            </w:pPr>
            <w:r>
              <w:rPr>
                <w:rFonts w:ascii="Arial" w:cs="Arial" w:eastAsia="Arial" w:hAnsi="Arial"/>
                <w:sz w:val="18"/>
                <w:szCs w:val="18"/>
                <w:color w:val="auto"/>
              </w:rPr>
              <w:t>BOSS 11T/107 Oily Water Separator (OWS)</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1-Feb-14</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56.02</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Coastal Marine Equipment FWD Capstan CME C17-15- 61-131</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1-Sep-15</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56.02</w:t>
            </w:r>
          </w:p>
        </w:tc>
        <w:tc>
          <w:tcPr>
            <w:tcW w:w="620" w:type="dxa"/>
            <w:vAlign w:val="bottom"/>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tcPr>
          <w:p>
            <w:pPr>
              <w:ind w:left="60"/>
              <w:spacing w:after="0"/>
              <w:rPr>
                <w:sz w:val="20"/>
                <w:szCs w:val="20"/>
                <w:color w:val="auto"/>
              </w:rPr>
            </w:pPr>
            <w:r>
              <w:rPr>
                <w:rFonts w:ascii="Arial" w:cs="Arial" w:eastAsia="Arial" w:hAnsi="Arial"/>
                <w:sz w:val="18"/>
                <w:szCs w:val="18"/>
                <w:color w:val="auto"/>
              </w:rPr>
              <w:t>Coastal Marine Equipment AFT Capstan CME C95-30- 127-131</w:t>
            </w:r>
          </w:p>
        </w:tc>
        <w:tc>
          <w:tcPr>
            <w:tcW w:w="1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1-Sep-15</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56.03</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Taisei Coupler System</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1-Apr-14</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68.00</w:t>
            </w:r>
          </w:p>
        </w:tc>
        <w:tc>
          <w:tcPr>
            <w:tcW w:w="620" w:type="dxa"/>
            <w:vAlign w:val="bottom"/>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tcPr>
          <w:p>
            <w:pPr>
              <w:ind w:left="60"/>
              <w:spacing w:after="0"/>
              <w:rPr>
                <w:sz w:val="20"/>
                <w:szCs w:val="20"/>
                <w:color w:val="auto"/>
              </w:rPr>
            </w:pPr>
            <w:r>
              <w:rPr>
                <w:rFonts w:ascii="Arial" w:cs="Arial" w:eastAsia="Arial" w:hAnsi="Arial"/>
                <w:sz w:val="18"/>
                <w:szCs w:val="18"/>
                <w:color w:val="auto"/>
                <w:w w:val="99"/>
              </w:rPr>
              <w:t>L-3 50-60Hz Power Generation and Distribution System (DOES NOT INCLUDE 240VAC OR 120VAC)</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1-Jun-15</w:t>
            </w:r>
          </w:p>
        </w:tc>
      </w:tr>
      <w:tr>
        <w:trPr>
          <w:trHeight w:val="202"/>
        </w:trPr>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68.00</w:t>
            </w:r>
          </w:p>
        </w:tc>
        <w:tc>
          <w:tcPr>
            <w:tcW w:w="6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6"/>
              </w:rPr>
              <w:t>1 Each</w:t>
            </w:r>
          </w:p>
        </w:tc>
        <w:tc>
          <w:tcPr>
            <w:tcW w:w="81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L-3/SAM Integrated Monitoring and Control System (Dredge)</w:t>
            </w:r>
          </w:p>
        </w:tc>
        <w:tc>
          <w:tcPr>
            <w:tcW w:w="12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Inclusive</w:t>
            </w:r>
          </w:p>
        </w:tc>
        <w:tc>
          <w:tcPr>
            <w:tcW w:w="9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1-Jun-15</w:t>
            </w:r>
          </w:p>
        </w:tc>
      </w:tr>
      <w:tr>
        <w:trPr>
          <w:trHeight w:val="216"/>
        </w:trPr>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of Barge</w:t>
            </w:r>
          </w:p>
        </w:tc>
        <w:tc>
          <w:tcPr>
            <w:tcW w:w="940" w:type="dxa"/>
            <w:vAlign w:val="bottom"/>
            <w:shd w:val="clear" w:color="auto" w:fill="CCEEFF"/>
          </w:tcPr>
          <w:p>
            <w:pPr>
              <w:spacing w:after="0"/>
              <w:rPr>
                <w:sz w:val="18"/>
                <w:szCs w:val="18"/>
                <w:color w:val="auto"/>
              </w:rPr>
            </w:pPr>
          </w:p>
        </w:tc>
      </w:tr>
      <w:tr>
        <w:trPr>
          <w:trHeight w:val="230"/>
        </w:trPr>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160" w:type="dxa"/>
            <w:vAlign w:val="bottom"/>
            <w:shd w:val="clear" w:color="auto" w:fill="CCEEFF"/>
          </w:tcPr>
          <w:p>
            <w:pPr>
              <w:spacing w:after="0"/>
              <w:rPr>
                <w:sz w:val="20"/>
                <w:szCs w:val="20"/>
                <w:color w:val="auto"/>
              </w:rPr>
            </w:pP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System</w:t>
            </w:r>
          </w:p>
        </w:tc>
        <w:tc>
          <w:tcPr>
            <w:tcW w:w="940" w:type="dxa"/>
            <w:vAlign w:val="bottom"/>
            <w:shd w:val="clear" w:color="auto" w:fill="CCEEFF"/>
          </w:tcPr>
          <w:p>
            <w:pPr>
              <w:spacing w:after="0"/>
              <w:rPr>
                <w:sz w:val="20"/>
                <w:szCs w:val="20"/>
                <w:color w:val="auto"/>
              </w:rPr>
            </w:pP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4"/>
              </w:rPr>
              <w:t>68.11</w:t>
            </w:r>
          </w:p>
        </w:tc>
        <w:tc>
          <w:tcPr>
            <w:tcW w:w="620" w:type="dxa"/>
            <w:vAlign w:val="bottom"/>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tcPr>
          <w:p>
            <w:pPr>
              <w:ind w:left="60"/>
              <w:spacing w:after="0"/>
              <w:rPr>
                <w:sz w:val="20"/>
                <w:szCs w:val="20"/>
                <w:color w:val="auto"/>
              </w:rPr>
            </w:pPr>
            <w:r>
              <w:rPr>
                <w:rFonts w:ascii="Arial" w:cs="Arial" w:eastAsia="Arial" w:hAnsi="Arial"/>
                <w:sz w:val="18"/>
                <w:szCs w:val="18"/>
                <w:color w:val="auto"/>
              </w:rPr>
              <w:t>Beier Machinery Alarm and Monitoring System</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70.00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Beier Vessel Security System</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70.00</w:t>
            </w:r>
          </w:p>
        </w:tc>
        <w:tc>
          <w:tcPr>
            <w:tcW w:w="620" w:type="dxa"/>
            <w:vAlign w:val="bottom"/>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tcPr>
          <w:p>
            <w:pPr>
              <w:ind w:left="60"/>
              <w:spacing w:after="0"/>
              <w:rPr>
                <w:sz w:val="20"/>
                <w:szCs w:val="20"/>
                <w:color w:val="auto"/>
              </w:rPr>
            </w:pPr>
            <w:r>
              <w:rPr>
                <w:rFonts w:ascii="Arial" w:cs="Arial" w:eastAsia="Arial" w:hAnsi="Arial"/>
                <w:sz w:val="18"/>
                <w:szCs w:val="18"/>
                <w:color w:val="auto"/>
              </w:rPr>
              <w:t>Beier Navigation and Communication System</w:t>
            </w:r>
          </w:p>
        </w:tc>
        <w:tc>
          <w:tcPr>
            <w:tcW w:w="1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70.17</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Vingtor PA / GA System</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1-Jun-15</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88"/>
              </w:rPr>
              <w:t>76.00</w:t>
            </w:r>
          </w:p>
        </w:tc>
        <w:tc>
          <w:tcPr>
            <w:tcW w:w="620" w:type="dxa"/>
            <w:vAlign w:val="bottom"/>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tcPr>
          <w:p>
            <w:pPr>
              <w:ind w:left="60"/>
              <w:spacing w:after="0"/>
              <w:rPr>
                <w:sz w:val="20"/>
                <w:szCs w:val="20"/>
                <w:color w:val="auto"/>
              </w:rPr>
            </w:pPr>
            <w:r>
              <w:rPr>
                <w:rFonts w:ascii="Arial" w:cs="Arial" w:eastAsia="Arial" w:hAnsi="Arial"/>
                <w:sz w:val="18"/>
                <w:szCs w:val="18"/>
                <w:color w:val="auto"/>
              </w:rPr>
              <w:t>Ned Deck Marine Rescue Boat Davit</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15-Apr-14</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76.00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 Each</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FAST-RSQ RSQ-475A Rescue Boat</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15-Apr-14</w:t>
            </w:r>
          </w:p>
        </w:tc>
      </w:tr>
    </w:tbl>
    <w:p>
      <w:pPr>
        <w:sectPr>
          <w:pgSz w:w="11900" w:h="16838" w:orient="portrait"/>
          <w:cols w:equalWidth="0" w:num="1">
            <w:col w:w="11420"/>
          </w:cols>
          <w:pgMar w:left="240" w:top="274" w:right="239" w:bottom="1440" w:gutter="0" w:footer="0" w:header="0"/>
        </w:sectPr>
      </w:pPr>
    </w:p>
    <w:bookmarkStart w:id="223" w:name="page224"/>
    <w:bookmarkEnd w:id="223"/>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0" w:type="dxa"/>
            <w:vAlign w:val="bottom"/>
          </w:tcPr>
          <w:p>
            <w:pPr>
              <w:jc w:val="center"/>
              <w:ind w:right="3990"/>
              <w:spacing w:after="0"/>
              <w:rPr>
                <w:sz w:val="20"/>
                <w:szCs w:val="20"/>
                <w:color w:val="auto"/>
              </w:rPr>
            </w:pPr>
            <w:r>
              <w:rPr>
                <w:rFonts w:ascii="Arial" w:cs="Arial" w:eastAsia="Arial" w:hAnsi="Arial"/>
                <w:sz w:val="18"/>
                <w:szCs w:val="18"/>
                <w:b w:val="1"/>
                <w:bCs w:val="1"/>
                <w:color w:val="auto"/>
              </w:rPr>
              <w:t>EXHIBIT F-1</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46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rPr>
              <w:t>FORM OF MILESTONE CERTIFICATE</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4700" w:type="dxa"/>
            <w:vAlign w:val="bottom"/>
          </w:tcPr>
          <w:p>
            <w:pPr>
              <w:spacing w:after="0"/>
              <w:rPr>
                <w:sz w:val="20"/>
                <w:szCs w:val="20"/>
                <w:color w:val="auto"/>
              </w:rPr>
            </w:pPr>
            <w:r>
              <w:rPr>
                <w:rFonts w:ascii="Arial" w:cs="Arial" w:eastAsia="Arial" w:hAnsi="Arial"/>
                <w:sz w:val="18"/>
                <w:szCs w:val="18"/>
                <w:color w:val="auto"/>
                <w:w w:val="92"/>
              </w:rPr>
              <w:t>Pursuant to the Vessel Construction Agreement, dated January</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w w:val="90"/>
              </w:rPr>
              <w:t>, 2014, between Great Lakes Dredge &amp; Dock Corporation, as the Owner and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60" w:type="dxa"/>
            <w:vAlign w:val="bottom"/>
            <w:gridSpan w:val="2"/>
          </w:tcPr>
          <w:p>
            <w:pPr>
              <w:spacing w:after="0"/>
              <w:rPr>
                <w:sz w:val="20"/>
                <w:szCs w:val="20"/>
                <w:color w:val="auto"/>
              </w:rPr>
            </w:pPr>
            <w:r>
              <w:rPr>
                <w:rFonts w:ascii="Arial" w:cs="Arial" w:eastAsia="Arial" w:hAnsi="Arial"/>
                <w:sz w:val="18"/>
                <w:szCs w:val="18"/>
                <w:color w:val="auto"/>
                <w:w w:val="95"/>
              </w:rPr>
              <w:t>as the Builder, completion of the following Milestone upon Hull No.</w:t>
            </w:r>
          </w:p>
        </w:tc>
        <w:tc>
          <w:tcPr>
            <w:tcW w:w="5400" w:type="dxa"/>
            <w:vAlign w:val="bottom"/>
          </w:tcPr>
          <w:p>
            <w:pPr>
              <w:ind w:left="880"/>
              <w:spacing w:after="0"/>
              <w:rPr>
                <w:sz w:val="20"/>
                <w:szCs w:val="20"/>
                <w:color w:val="auto"/>
              </w:rPr>
            </w:pPr>
            <w:r>
              <w:rPr>
                <w:rFonts w:ascii="Arial" w:cs="Arial" w:eastAsia="Arial" w:hAnsi="Arial"/>
                <w:sz w:val="18"/>
                <w:szCs w:val="18"/>
                <w:color w:val="auto"/>
              </w:rPr>
              <w:t>is hereby certified:</w:t>
            </w:r>
          </w:p>
        </w:tc>
        <w:tc>
          <w:tcPr>
            <w:tcW w:w="9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Milestone Completed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Work completed up to this Milestone complies with the Contract Documents.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Subject to payment by the Owner of the amounts up to and including this Milestone, there are no liens upon said Vessels for labor, Materials or equipment covered by and up to the Interim Installment Payment for this Milestone for said Vessels.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24" w:name="page225"/>
    <w:bookmarkEnd w:id="22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F-2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OF BUILDER’S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4810760" cy="11061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107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80" w:type="dxa"/>
            <w:vAlign w:val="bottom"/>
            <w:gridSpan w:val="5"/>
          </w:tcPr>
          <w:p>
            <w:pPr>
              <w:ind w:left="15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GREAT LAKES DREDGE &amp; DOCK CO. INC.</w:t>
            </w: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2122 York Road</w:t>
            </w:r>
          </w:p>
        </w:tc>
        <w:tc>
          <w:tcPr>
            <w:tcW w:w="2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Oak Brook, Illinois 605523</w:t>
            </w:r>
          </w:p>
        </w:tc>
        <w:tc>
          <w:tcPr>
            <w:tcW w:w="23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20" w:type="dxa"/>
            <w:vAlign w:val="bottom"/>
            <w:gridSpan w:val="2"/>
          </w:tcPr>
          <w:p>
            <w:pPr>
              <w:spacing w:after="0"/>
              <w:rPr>
                <w:sz w:val="20"/>
                <w:szCs w:val="20"/>
                <w:color w:val="auto"/>
              </w:rPr>
            </w:pPr>
            <w:r>
              <w:rPr>
                <w:rFonts w:ascii="Arial" w:cs="Arial" w:eastAsia="Arial" w:hAnsi="Arial"/>
                <w:sz w:val="18"/>
                <w:szCs w:val="18"/>
                <w:color w:val="auto"/>
              </w:rPr>
              <w:t>Attention: Mr. Steven Becker</w:t>
            </w:r>
          </w:p>
        </w:tc>
        <w:tc>
          <w:tcPr>
            <w:tcW w:w="5080" w:type="dxa"/>
            <w:vAlign w:val="bottom"/>
            <w:gridSpan w:val="5"/>
          </w:tcPr>
          <w:p>
            <w:pPr>
              <w:ind w:left="1540"/>
              <w:spacing w:after="0"/>
              <w:rPr>
                <w:sz w:val="20"/>
                <w:szCs w:val="20"/>
                <w:color w:val="auto"/>
              </w:rPr>
            </w:pPr>
            <w:r>
              <w:rPr>
                <w:rFonts w:ascii="Arial" w:cs="Arial" w:eastAsia="Arial" w:hAnsi="Arial"/>
                <w:sz w:val="18"/>
                <w:szCs w:val="18"/>
                <w:color w:val="auto"/>
              </w:rPr>
              <w:t>Terms: Due Upon Receipt</w:t>
            </w: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RE: ESG Hull #xxx</w:t>
            </w: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80" w:type="dxa"/>
            <w:vAlign w:val="bottom"/>
            <w:gridSpan w:val="5"/>
          </w:tcPr>
          <w:p>
            <w:pPr>
              <w:ind w:left="220"/>
              <w:spacing w:after="0"/>
              <w:rPr>
                <w:sz w:val="20"/>
                <w:szCs w:val="20"/>
                <w:color w:val="auto"/>
              </w:rPr>
            </w:pPr>
            <w:r>
              <w:rPr>
                <w:rFonts w:ascii="Arial" w:cs="Arial" w:eastAsia="Arial" w:hAnsi="Arial"/>
                <w:sz w:val="18"/>
                <w:szCs w:val="18"/>
                <w:color w:val="auto"/>
              </w:rPr>
              <w:t>INVOICE NUMBER ####</w:t>
            </w:r>
          </w:p>
        </w:tc>
        <w:tc>
          <w:tcPr>
            <w:tcW w:w="0" w:type="dxa"/>
            <w:vAlign w:val="bottom"/>
          </w:tcPr>
          <w:p>
            <w:pPr>
              <w:spacing w:after="0"/>
              <w:rPr>
                <w:sz w:val="1"/>
                <w:szCs w:val="1"/>
                <w:color w:val="auto"/>
              </w:rPr>
            </w:pPr>
          </w:p>
        </w:tc>
      </w:tr>
      <w:tr>
        <w:trPr>
          <w:trHeight w:val="365"/>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Per Vessel Construction Contract - Exhibit Q-1</w:t>
            </w:r>
          </w:p>
        </w:tc>
        <w:tc>
          <w:tcPr>
            <w:tcW w:w="2380" w:type="dxa"/>
            <w:vAlign w:val="bottom"/>
            <w:tcBorders>
              <w:bottom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2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2680" w:type="dxa"/>
            <w:vAlign w:val="bottom"/>
          </w:tcPr>
          <w:p>
            <w:pPr>
              <w:spacing w:after="0"/>
              <w:rPr>
                <w:sz w:val="21"/>
                <w:szCs w:val="21"/>
                <w:color w:val="auto"/>
              </w:rPr>
            </w:pPr>
          </w:p>
        </w:tc>
        <w:tc>
          <w:tcPr>
            <w:tcW w:w="45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268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rPr>
              <w:t>10%-</w:t>
            </w:r>
          </w:p>
        </w:tc>
        <w:tc>
          <w:tcPr>
            <w:tcW w:w="4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840"/>
              <w:spacing w:after="0"/>
              <w:rPr>
                <w:sz w:val="20"/>
                <w:szCs w:val="20"/>
                <w:color w:val="auto"/>
              </w:rPr>
            </w:pPr>
            <w:r>
              <w:rPr>
                <w:rFonts w:ascii="Arial" w:cs="Arial" w:eastAsia="Arial" w:hAnsi="Arial"/>
                <w:sz w:val="18"/>
                <w:szCs w:val="18"/>
                <w:color w:val="auto"/>
              </w:rPr>
              <w:t>INVOICE TOTAL</w:t>
            </w:r>
          </w:p>
        </w:tc>
        <w:tc>
          <w:tcPr>
            <w:tcW w:w="45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240" w:top="274" w:right="399" w:bottom="1440" w:gutter="0" w:footer="0" w:header="0"/>
        </w:sectPr>
      </w:pPr>
    </w:p>
    <w:bookmarkStart w:id="225" w:name="page226"/>
    <w:bookmarkEnd w:id="22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20" w:type="dxa"/>
            <w:vAlign w:val="bottom"/>
          </w:tcPr>
          <w:p>
            <w:pPr>
              <w:jc w:val="center"/>
              <w:ind w:right="370"/>
              <w:spacing w:after="0"/>
              <w:rPr>
                <w:sz w:val="20"/>
                <w:szCs w:val="20"/>
                <w:color w:val="auto"/>
              </w:rPr>
            </w:pPr>
            <w:r>
              <w:rPr>
                <w:rFonts w:ascii="Arial" w:cs="Arial" w:eastAsia="Arial" w:hAnsi="Arial"/>
                <w:sz w:val="18"/>
                <w:szCs w:val="18"/>
                <w:b w:val="1"/>
                <w:bCs w:val="1"/>
                <w:color w:val="auto"/>
              </w:rPr>
              <w:t>EXHIBIT G-1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20" w:type="dxa"/>
            <w:vAlign w:val="bottom"/>
          </w:tcPr>
          <w:p>
            <w:pPr>
              <w:jc w:val="center"/>
              <w:ind w:right="370"/>
              <w:spacing w:after="0"/>
              <w:rPr>
                <w:sz w:val="20"/>
                <w:szCs w:val="20"/>
                <w:color w:val="auto"/>
              </w:rPr>
            </w:pPr>
            <w:r>
              <w:rPr>
                <w:rFonts w:ascii="Arial" w:cs="Arial" w:eastAsia="Arial" w:hAnsi="Arial"/>
                <w:sz w:val="18"/>
                <w:szCs w:val="18"/>
                <w:b w:val="1"/>
                <w:bCs w:val="1"/>
                <w:color w:val="auto"/>
              </w:rPr>
              <w:t>FORM OF BUILDER’S FINAL LIEN RELEASE AND WAIVER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w w:val="94"/>
              </w:rPr>
              <w:t>FOR AND SUBJECT TO VALUE RECEIVED</w:t>
            </w:r>
            <w:r>
              <w:rPr>
                <w:rFonts w:ascii="Arial" w:cs="Arial" w:eastAsia="Arial" w:hAnsi="Arial"/>
                <w:sz w:val="18"/>
                <w:szCs w:val="18"/>
                <w:color w:val="auto"/>
                <w:w w:val="94"/>
              </w:rPr>
              <w:t>, in payment of all Interim Installment Payments and the Final Payment for Hull No.</w:t>
            </w:r>
          </w:p>
        </w:tc>
        <w:tc>
          <w:tcPr>
            <w:tcW w:w="54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11420" w:type="dxa"/>
            <w:vAlign w:val="bottom"/>
            <w:gridSpan w:val="7"/>
          </w:tcPr>
          <w:p>
            <w:pPr>
              <w:spacing w:after="0"/>
              <w:rPr>
                <w:sz w:val="20"/>
                <w:szCs w:val="20"/>
                <w:color w:val="auto"/>
              </w:rPr>
            </w:pPr>
            <w:r>
              <w:rPr>
                <w:rFonts w:ascii="Arial" w:cs="Arial" w:eastAsia="Arial" w:hAnsi="Arial"/>
                <w:sz w:val="18"/>
                <w:szCs w:val="18"/>
                <w:color w:val="auto"/>
              </w:rPr>
              <w:t>(“Lienor” and “Builder”), hereby waives, releases and relinquishes any and all right to claim any lien or other right or privilege with respect to the</w:t>
            </w:r>
          </w:p>
        </w:tc>
      </w:tr>
      <w:tr>
        <w:trPr>
          <w:trHeight w:val="190"/>
        </w:trPr>
        <w:tc>
          <w:tcPr>
            <w:tcW w:w="1820" w:type="dxa"/>
            <w:vAlign w:val="bottom"/>
          </w:tcPr>
          <w:p>
            <w:pPr>
              <w:spacing w:after="0" w:line="190" w:lineRule="exact"/>
              <w:rPr>
                <w:sz w:val="20"/>
                <w:szCs w:val="20"/>
                <w:color w:val="auto"/>
              </w:rPr>
            </w:pPr>
            <w:r>
              <w:rPr>
                <w:rFonts w:ascii="Arial" w:cs="Arial" w:eastAsia="Arial" w:hAnsi="Arial"/>
                <w:sz w:val="18"/>
                <w:szCs w:val="18"/>
                <w:color w:val="auto"/>
                <w:w w:val="96"/>
              </w:rPr>
              <w:t>construction of Hull No.</w:t>
            </w:r>
          </w:p>
        </w:tc>
        <w:tc>
          <w:tcPr>
            <w:tcW w:w="360" w:type="dxa"/>
            <w:vAlign w:val="bottom"/>
            <w:tcBorders>
              <w:bottom w:val="single" w:sz="8" w:color="auto"/>
            </w:tcBorders>
          </w:tcPr>
          <w:p>
            <w:pPr>
              <w:spacing w:after="0"/>
              <w:rPr>
                <w:sz w:val="16"/>
                <w:szCs w:val="16"/>
                <w:color w:val="auto"/>
              </w:rPr>
            </w:pPr>
          </w:p>
        </w:tc>
        <w:tc>
          <w:tcPr>
            <w:tcW w:w="9240" w:type="dxa"/>
            <w:vAlign w:val="bottom"/>
            <w:gridSpan w:val="5"/>
          </w:tcPr>
          <w:p>
            <w:pPr>
              <w:ind w:left="40"/>
              <w:spacing w:after="0" w:line="190" w:lineRule="exact"/>
              <w:rPr>
                <w:sz w:val="20"/>
                <w:szCs w:val="20"/>
                <w:color w:val="auto"/>
              </w:rPr>
            </w:pPr>
            <w:r>
              <w:rPr>
                <w:rFonts w:ascii="Arial" w:cs="Arial" w:eastAsia="Arial" w:hAnsi="Arial"/>
                <w:sz w:val="18"/>
                <w:szCs w:val="18"/>
                <w:color w:val="auto"/>
                <w:w w:val="91"/>
              </w:rPr>
              <w:t>(the “Vessel”) constructed for Great Lakes Dredge &amp; Dock Co., LLC, the Owner at the facilities located at Panama City Florida</w:t>
            </w:r>
          </w:p>
        </w:tc>
      </w:tr>
    </w:tbl>
    <w:p>
      <w:pPr>
        <w:spacing w:after="0" w:line="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a Vessel Construction Agreement dated January , 2014, as amended between the Owner and the Builder for work done or material provided by Lienor to the Vessel.</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Lienor also warrants and affirms that all wages for labor, payroll taxes and insurance, invoices for materials, supplies, and services provided by others to Lienor including Material Subcontractors and Suppliers related to the work or materials furnished by Lienor to the Vessel through the date of the Waiver have been paid in full or will be paid in due course.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20"/>
                <w:szCs w:val="20"/>
                <w:color w:val="auto"/>
              </w:rPr>
            </w:pPr>
            <w:r>
              <w:rPr>
                <w:rFonts w:ascii="Arial" w:cs="Arial" w:eastAsia="Arial" w:hAnsi="Arial"/>
                <w:sz w:val="18"/>
                <w:szCs w:val="18"/>
                <w:b w:val="1"/>
                <w:bCs w:val="1"/>
                <w:color w:val="auto"/>
                <w:w w:val="92"/>
              </w:rPr>
              <w:t xml:space="preserve">IN WITNESS WHEREOF, </w:t>
            </w:r>
            <w:r>
              <w:rPr>
                <w:rFonts w:ascii="Arial" w:cs="Arial" w:eastAsia="Arial" w:hAnsi="Arial"/>
                <w:sz w:val="18"/>
                <w:szCs w:val="18"/>
                <w:color w:val="auto"/>
                <w:w w:val="92"/>
              </w:rPr>
              <w:t>Lienor has executed and delivered this Lien Release and Waiver as of</w:t>
            </w:r>
          </w:p>
        </w:tc>
        <w:tc>
          <w:tcPr>
            <w:tcW w:w="900" w:type="dxa"/>
            <w:vAlign w:val="bottom"/>
            <w:tcBorders>
              <w:bottom w:val="single" w:sz="8" w:color="auto"/>
            </w:tcBorders>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Lienor: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6" w:name="page227"/>
    <w:bookmarkEnd w:id="226"/>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G-2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SUBCONTRACTORS’ AND SUPPLIERS’ FINAL LIEN RELEASE AND WAIVER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w w:val="94"/>
              </w:rPr>
              <w:t xml:space="preserve">FOR VALUE RECEIVED, </w:t>
            </w:r>
            <w:r>
              <w:rPr>
                <w:rFonts w:ascii="Arial" w:cs="Arial" w:eastAsia="Arial" w:hAnsi="Arial"/>
                <w:sz w:val="18"/>
                <w:szCs w:val="18"/>
                <w:color w:val="auto"/>
                <w:w w:val="94"/>
              </w:rPr>
              <w:t>the receipt and sufficiency of which is hereby acknowledged,</w:t>
            </w:r>
          </w:p>
        </w:tc>
        <w:tc>
          <w:tcPr>
            <w:tcW w:w="90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
          </w:tcPr>
          <w:p>
            <w:pPr>
              <w:ind w:left="20"/>
              <w:spacing w:after="0"/>
              <w:rPr>
                <w:sz w:val="20"/>
                <w:szCs w:val="20"/>
                <w:color w:val="auto"/>
              </w:rPr>
            </w:pPr>
            <w:r>
              <w:rPr>
                <w:rFonts w:ascii="Arial" w:cs="Arial" w:eastAsia="Arial" w:hAnsi="Arial"/>
                <w:sz w:val="18"/>
                <w:szCs w:val="18"/>
                <w:color w:val="auto"/>
                <w:w w:val="90"/>
              </w:rPr>
              <w:t>(“Lienor”), hereby waives, releases and relinquishes</w:t>
            </w:r>
          </w:p>
        </w:tc>
      </w:tr>
      <w:tr>
        <w:trPr>
          <w:trHeight w:val="196"/>
        </w:trPr>
        <w:tc>
          <w:tcPr>
            <w:tcW w:w="7500" w:type="dxa"/>
            <w:vAlign w:val="bottom"/>
            <w:gridSpan w:val="6"/>
          </w:tcPr>
          <w:p>
            <w:pPr>
              <w:spacing w:after="0" w:line="196" w:lineRule="exact"/>
              <w:rPr>
                <w:sz w:val="20"/>
                <w:szCs w:val="20"/>
                <w:color w:val="auto"/>
              </w:rPr>
            </w:pPr>
            <w:r>
              <w:rPr>
                <w:rFonts w:ascii="Arial" w:cs="Arial" w:eastAsia="Arial" w:hAnsi="Arial"/>
                <w:sz w:val="18"/>
                <w:szCs w:val="18"/>
                <w:color w:val="auto"/>
                <w:w w:val="93"/>
              </w:rPr>
              <w:t>any and all right to claim any lien or other right or privilege with respect to the construction of Hull No.</w:t>
            </w: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60" w:type="dxa"/>
            <w:vAlign w:val="bottom"/>
          </w:tcPr>
          <w:p>
            <w:pPr>
              <w:ind w:left="60"/>
              <w:spacing w:after="0" w:line="196" w:lineRule="exact"/>
              <w:rPr>
                <w:sz w:val="20"/>
                <w:szCs w:val="20"/>
                <w:color w:val="auto"/>
              </w:rPr>
            </w:pPr>
            <w:r>
              <w:rPr>
                <w:rFonts w:ascii="Arial" w:cs="Arial" w:eastAsia="Arial" w:hAnsi="Arial"/>
                <w:sz w:val="18"/>
                <w:szCs w:val="18"/>
                <w:color w:val="auto"/>
                <w:w w:val="98"/>
              </w:rPr>
              <w:t>(the “Vessel”) constructed for Great</w:t>
            </w:r>
          </w:p>
        </w:tc>
      </w:tr>
      <w:tr>
        <w:trPr>
          <w:trHeight w:val="196"/>
        </w:trPr>
        <w:tc>
          <w:tcPr>
            <w:tcW w:w="3520" w:type="dxa"/>
            <w:vAlign w:val="bottom"/>
          </w:tcPr>
          <w:p>
            <w:pPr>
              <w:spacing w:after="0" w:line="196" w:lineRule="exact"/>
              <w:rPr>
                <w:sz w:val="20"/>
                <w:szCs w:val="20"/>
                <w:color w:val="auto"/>
              </w:rPr>
            </w:pPr>
            <w:r>
              <w:rPr>
                <w:rFonts w:ascii="Arial" w:cs="Arial" w:eastAsia="Arial" w:hAnsi="Arial"/>
                <w:sz w:val="18"/>
                <w:szCs w:val="18"/>
                <w:color w:val="auto"/>
                <w:w w:val="95"/>
              </w:rPr>
              <w:t>Lakes Dredge &amp; Dock Co., LLC (“Owner”) and</w:t>
            </w:r>
          </w:p>
        </w:tc>
        <w:tc>
          <w:tcPr>
            <w:tcW w:w="900" w:type="dxa"/>
            <w:vAlign w:val="bottom"/>
            <w:tcBorders>
              <w:bottom w:val="single" w:sz="8" w:color="auto"/>
            </w:tcBorders>
          </w:tcPr>
          <w:p>
            <w:pPr>
              <w:spacing w:after="0"/>
              <w:rPr>
                <w:sz w:val="17"/>
                <w:szCs w:val="17"/>
                <w:color w:val="auto"/>
              </w:rPr>
            </w:pPr>
          </w:p>
        </w:tc>
        <w:tc>
          <w:tcPr>
            <w:tcW w:w="280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4"/>
              </w:rPr>
              <w:t>(“Builder”), at the facilities located at</w:t>
            </w:r>
          </w:p>
        </w:tc>
        <w:tc>
          <w:tcPr>
            <w:tcW w:w="28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5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4"/>
              </w:rPr>
              <w:t>pursuant to a Vessel Construction Agreement</w:t>
            </w:r>
          </w:p>
        </w:tc>
      </w:tr>
    </w:tbl>
    <w:p>
      <w:pPr>
        <w:spacing w:after="0" w:line="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dated January , 2014, as amended between the Owner and the Builder for work done and/or material provided by Lienor to the Vessel listed on the attached schedule.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Lienor also warrants and affirms that all wages for labor, payroll taxes and insurance, invoices for materials, supplies, and services provided by others to Lienor related to the work or materials furnished by Lienor to the Vessel through the date of the release as listed on the Schedule attached hereto have been paid in full or will be paid in due course.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20"/>
                <w:szCs w:val="20"/>
                <w:color w:val="auto"/>
              </w:rPr>
            </w:pPr>
            <w:r>
              <w:rPr>
                <w:rFonts w:ascii="Arial" w:cs="Arial" w:eastAsia="Arial" w:hAnsi="Arial"/>
                <w:sz w:val="18"/>
                <w:szCs w:val="18"/>
                <w:b w:val="1"/>
                <w:bCs w:val="1"/>
                <w:color w:val="auto"/>
                <w:w w:val="92"/>
              </w:rPr>
              <w:t xml:space="preserve">IN WITNESS WHEREOF, </w:t>
            </w:r>
            <w:r>
              <w:rPr>
                <w:rFonts w:ascii="Arial" w:cs="Arial" w:eastAsia="Arial" w:hAnsi="Arial"/>
                <w:sz w:val="18"/>
                <w:szCs w:val="18"/>
                <w:color w:val="auto"/>
                <w:w w:val="92"/>
              </w:rPr>
              <w:t>Lienor has executed and delivered this Lien Release and Waiver as of</w:t>
            </w:r>
          </w:p>
        </w:tc>
        <w:tc>
          <w:tcPr>
            <w:tcW w:w="900" w:type="dxa"/>
            <w:vAlign w:val="bottom"/>
            <w:tcBorders>
              <w:bottom w:val="single" w:sz="8" w:color="auto"/>
            </w:tcBorders>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80"/>
          </w:cols>
          <w:pgMar w:left="240" w:top="274" w:right="379" w:bottom="1440" w:gutter="0" w:footer="0" w:header="0"/>
        </w:sectPr>
      </w:pPr>
    </w:p>
    <w:bookmarkStart w:id="227" w:name="page228"/>
    <w:bookmarkEnd w:id="227"/>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CERTIFICATE OF COMPLETION AND DELIVERY</w:t>
      </w:r>
    </w:p>
    <w:p>
      <w:pPr>
        <w:spacing w:after="0" w:line="229" w:lineRule="exact"/>
        <w:rPr>
          <w:sz w:val="20"/>
          <w:szCs w:val="20"/>
          <w:color w:val="auto"/>
        </w:rPr>
      </w:pPr>
    </w:p>
    <w:p>
      <w:pPr>
        <w:spacing w:after="0"/>
        <w:tabs>
          <w:tab w:leader="none" w:pos="6800" w:val="left"/>
          <w:tab w:leader="none" w:pos="11280" w:val="left"/>
        </w:tabs>
        <w:rPr>
          <w:sz w:val="20"/>
          <w:szCs w:val="20"/>
          <w:color w:val="auto"/>
        </w:rPr>
      </w:pPr>
      <w:r>
        <w:rPr>
          <w:rFonts w:ascii="Arial" w:cs="Arial" w:eastAsia="Arial" w:hAnsi="Arial"/>
          <w:sz w:val="18"/>
          <w:szCs w:val="18"/>
          <w:color w:val="auto"/>
        </w:rPr>
        <w:t>It is hereby certified that in accordance Vessel Construction Agreement, dated January</w:t>
      </w:r>
      <w:r>
        <w:rPr>
          <w:sz w:val="20"/>
          <w:szCs w:val="20"/>
          <w:color w:val="auto"/>
        </w:rPr>
        <w:tab/>
      </w:r>
      <w:r>
        <w:rPr>
          <w:rFonts w:ascii="Arial" w:cs="Arial" w:eastAsia="Arial" w:hAnsi="Arial"/>
          <w:sz w:val="18"/>
          <w:szCs w:val="18"/>
          <w:color w:val="auto"/>
        </w:rPr>
        <w:t>, 2014 the ATB Unit, identified by Hull Numbers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-10160</wp:posOffset>
            </wp:positionV>
            <wp:extent cx="3429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-10160</wp:posOffset>
            </wp:positionV>
            <wp:extent cx="571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120" w:firstLine="8"/>
        <w:spacing w:after="0" w:line="255" w:lineRule="auto"/>
        <w:tabs>
          <w:tab w:leader="none" w:pos="2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has been completed; (ii) that all trials and tests have been satisfactorily completed; and (iii) that the ATB Unit complies with the Contract Documents and is free from known defects in Builder’s materials and workmanship. The original copies of following documents have been or are hereby delivered to the Owner:</w:t>
      </w:r>
    </w:p>
    <w:p>
      <w:pPr>
        <w:spacing w:after="0" w:line="217"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For the Barge:</w:t>
      </w:r>
    </w:p>
    <w:p>
      <w:pPr>
        <w:spacing w:after="0" w:line="130" w:lineRule="exact"/>
        <w:rPr>
          <w:rFonts w:ascii="Arial" w:cs="Arial" w:eastAsia="Arial" w:hAnsi="Arial"/>
          <w:sz w:val="18"/>
          <w:szCs w:val="18"/>
          <w:color w:val="auto"/>
        </w:rPr>
      </w:pPr>
    </w:p>
    <w:p>
      <w:pPr>
        <w:ind w:left="1480" w:right="60" w:hanging="567"/>
        <w:spacing w:after="0" w:line="277" w:lineRule="auto"/>
        <w:tabs>
          <w:tab w:leader="none" w:pos="148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Builder shall obtain and furnish to the Owner the following fully satisfied and executed certificates (with assistance from the Owner as required):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Interim Class Society Certificate, for Unrestricted Service as an unmanned cargo barge;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Class Society Provisional Load Line Certificate for Oceans Service;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United States, International (ITC69), and Standard (Regulatory) Tonnage Certificates;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Builder’s Certificate CG-1261;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American Bureau of Shipping (ABS) or other applicable equipment certificates (Builder Furnished Equipment);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U.S. Coast Guard Certificate of Inspection.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92"/>
        </w:numPr>
        <w:rPr>
          <w:rFonts w:ascii="Arial" w:cs="Arial" w:eastAsia="Arial" w:hAnsi="Arial"/>
          <w:sz w:val="16"/>
          <w:szCs w:val="16"/>
          <w:color w:val="auto"/>
        </w:rPr>
      </w:pPr>
      <w:r>
        <w:rPr>
          <w:rFonts w:ascii="Arial" w:cs="Arial" w:eastAsia="Arial" w:hAnsi="Arial"/>
          <w:sz w:val="16"/>
          <w:szCs w:val="16"/>
          <w:color w:val="auto"/>
        </w:rPr>
        <w:t>Except as otherwise provided, the Builder shall obtain and furnish the following certificates (with assistance of the Owner as required):</w:t>
      </w:r>
    </w:p>
    <w:p>
      <w:pPr>
        <w:spacing w:after="0" w:line="153" w:lineRule="exact"/>
        <w:rPr>
          <w:rFonts w:ascii="Arial" w:cs="Arial" w:eastAsia="Arial" w:hAnsi="Arial"/>
          <w:sz w:val="16"/>
          <w:szCs w:val="16"/>
          <w:color w:val="auto"/>
        </w:rPr>
      </w:pPr>
    </w:p>
    <w:p>
      <w:pPr>
        <w:ind w:left="1920" w:right="160" w:hanging="440"/>
        <w:spacing w:after="0" w:line="259" w:lineRule="auto"/>
        <w:tabs>
          <w:tab w:leader="none" w:pos="19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Stability Certification (Owner’s Standard Format). Owner’s naval architect for the Barge and Tug shall produce an incline procedure/experiment and Stability Booklet, direct the inclining experiment in conjunction with the Builder, finalize the Stability Booklet and submit it along with the results of the inclining experiment to the Builder for submittal to ABS for its review and approval. Builder shall obtain from ABS an approved Stability Booklet;</w:t>
      </w:r>
    </w:p>
    <w:p>
      <w:pPr>
        <w:spacing w:after="0" w:line="92" w:lineRule="exact"/>
        <w:rPr>
          <w:rFonts w:ascii="Arial" w:cs="Arial" w:eastAsia="Arial" w:hAnsi="Arial"/>
          <w:sz w:val="18"/>
          <w:szCs w:val="18"/>
          <w:color w:val="auto"/>
        </w:rPr>
      </w:pPr>
    </w:p>
    <w:p>
      <w:pPr>
        <w:ind w:left="1920" w:hanging="440"/>
        <w:spacing w:after="0" w:line="279" w:lineRule="auto"/>
        <w:tabs>
          <w:tab w:leader="none" w:pos="1920" w:val="left"/>
        </w:tabs>
        <w:numPr>
          <w:ilvl w:val="3"/>
          <w:numId w:val="92"/>
        </w:numPr>
        <w:rPr>
          <w:rFonts w:ascii="Arial" w:cs="Arial" w:eastAsia="Arial" w:hAnsi="Arial"/>
          <w:sz w:val="17"/>
          <w:szCs w:val="17"/>
          <w:color w:val="auto"/>
        </w:rPr>
      </w:pPr>
      <w:r>
        <w:rPr>
          <w:rFonts w:ascii="Arial" w:cs="Arial" w:eastAsia="Arial" w:hAnsi="Arial"/>
          <w:sz w:val="17"/>
          <w:szCs w:val="17"/>
          <w:color w:val="auto"/>
        </w:rPr>
        <w:t>Deadweight Certificate. Owner’s naval architect for the Barge and Tug shall produce an incline procedure/experiment and Stability Booklet, direct the inclining experiment in conjunction with the Builder, finalize the Stability Booklet and submit it along with the results of the including experiment to the Builder for submittal to ABS for its review and approval. Builder shall obtain from ABS an approved Stability Booklet. Deadweight will be certified in the approved Stability Booklet;</w:t>
      </w:r>
    </w:p>
    <w:p>
      <w:pPr>
        <w:sectPr>
          <w:pgSz w:w="11900" w:h="16838" w:orient="portrait"/>
          <w:cols w:equalWidth="0" w:num="1">
            <w:col w:w="11380"/>
          </w:cols>
          <w:pgMar w:left="240" w:top="274" w:right="279" w:bottom="1440" w:gutter="0" w:footer="0" w:header="0"/>
        </w:sectPr>
      </w:pPr>
    </w:p>
    <w:bookmarkStart w:id="228" w:name="page229"/>
    <w:bookmarkEnd w:id="22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ind w:left="1920" w:hanging="440"/>
        <w:spacing w:after="0"/>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Certificate of Alternate Compliance;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Radiotelephony Certificate (FCC) - by Owner;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MARPOL Certificates and Publications;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International Oil Pollution Prevention Certificate (Builder supplied). All engine EIAPPs (Owner supplied);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SOPEP - by the Owner;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3"/>
          <w:numId w:val="93"/>
        </w:numPr>
        <w:rPr>
          <w:rFonts w:ascii="Arial" w:cs="Arial" w:eastAsia="Arial" w:hAnsi="Arial"/>
          <w:sz w:val="18"/>
          <w:szCs w:val="18"/>
          <w:color w:val="auto"/>
        </w:rPr>
      </w:pPr>
      <w:r>
        <w:rPr>
          <w:rFonts w:ascii="Arial" w:cs="Arial" w:eastAsia="Arial" w:hAnsi="Arial"/>
          <w:sz w:val="18"/>
          <w:szCs w:val="18"/>
          <w:color w:val="auto"/>
        </w:rPr>
        <w:t>Potable water certificate of fitness;</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3"/>
          <w:numId w:val="93"/>
        </w:numPr>
        <w:rPr>
          <w:rFonts w:ascii="Arial" w:cs="Arial" w:eastAsia="Arial" w:hAnsi="Arial"/>
          <w:sz w:val="18"/>
          <w:szCs w:val="18"/>
          <w:color w:val="auto"/>
        </w:rPr>
      </w:pPr>
      <w:r>
        <w:rPr>
          <w:rFonts w:ascii="Arial" w:cs="Arial" w:eastAsia="Arial" w:hAnsi="Arial"/>
          <w:sz w:val="18"/>
          <w:szCs w:val="18"/>
          <w:color w:val="auto"/>
        </w:rPr>
        <w:t>Pressure vessels certificates (as supplied by Owner or Builder);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3"/>
          <w:numId w:val="93"/>
        </w:numPr>
        <w:rPr>
          <w:rFonts w:ascii="Arial" w:cs="Arial" w:eastAsia="Arial" w:hAnsi="Arial"/>
          <w:sz w:val="18"/>
          <w:szCs w:val="18"/>
          <w:color w:val="auto"/>
        </w:rPr>
      </w:pPr>
      <w:r>
        <w:rPr>
          <w:rFonts w:ascii="Arial" w:cs="Arial" w:eastAsia="Arial" w:hAnsi="Arial"/>
          <w:sz w:val="18"/>
          <w:szCs w:val="18"/>
          <w:color w:val="auto"/>
        </w:rPr>
        <w:t>Machinery emissions certificates (Owner supplied);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3"/>
          <w:numId w:val="93"/>
        </w:numPr>
        <w:rPr>
          <w:rFonts w:ascii="Arial" w:cs="Arial" w:eastAsia="Arial" w:hAnsi="Arial"/>
          <w:sz w:val="18"/>
          <w:szCs w:val="18"/>
          <w:color w:val="auto"/>
        </w:rPr>
      </w:pPr>
      <w:r>
        <w:rPr>
          <w:rFonts w:ascii="Arial" w:cs="Arial" w:eastAsia="Arial" w:hAnsi="Arial"/>
          <w:sz w:val="18"/>
          <w:szCs w:val="18"/>
          <w:color w:val="auto"/>
        </w:rPr>
        <w:t>Procedures and arrangement manual (Owner supplied); and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3"/>
          <w:numId w:val="93"/>
        </w:numPr>
        <w:rPr>
          <w:rFonts w:ascii="Arial" w:cs="Arial" w:eastAsia="Arial" w:hAnsi="Arial"/>
          <w:sz w:val="18"/>
          <w:szCs w:val="18"/>
          <w:color w:val="auto"/>
        </w:rPr>
      </w:pPr>
      <w:r>
        <w:rPr>
          <w:rFonts w:ascii="Arial" w:cs="Arial" w:eastAsia="Arial" w:hAnsi="Arial"/>
          <w:sz w:val="18"/>
          <w:szCs w:val="18"/>
          <w:color w:val="auto"/>
        </w:rPr>
        <w:t>Loading Manual (Owner supplied).</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II.   For the Tug:</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otherwise provided the Builder shall obtain and furnish the following certificates to the Owner at Delivery (with assistance of the Owner as required):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International Load line Certificate;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 xml:space="preserve">Interim Class Society </w:t>
      </w:r>
      <w:r>
        <w:rPr>
          <w:rFonts w:ascii="Arial" w:cs="Arial" w:eastAsia="Arial" w:hAnsi="Arial"/>
          <w:sz w:val="1"/>
          <w:szCs w:val="1"/>
          <w:color w:val="auto"/>
        </w:rPr>
        <w:drawing>
          <wp:inline distT="0" distB="0" distL="0" distR="0">
            <wp:extent cx="68580" cy="6858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8"/>
          <w:szCs w:val="18"/>
          <w:color w:val="auto"/>
        </w:rPr>
        <w:t xml:space="preserve"> A1, </w:t>
      </w:r>
      <w:r>
        <w:rPr>
          <w:rFonts w:ascii="Arial" w:cs="Arial" w:eastAsia="Arial" w:hAnsi="Arial"/>
          <w:sz w:val="1"/>
          <w:szCs w:val="1"/>
          <w:color w:val="auto"/>
        </w:rPr>
        <w:drawing>
          <wp:inline distT="0" distB="0" distL="0" distR="0">
            <wp:extent cx="68580" cy="6858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8"/>
          <w:szCs w:val="18"/>
          <w:color w:val="auto"/>
        </w:rPr>
        <w:t xml:space="preserve"> AMS, ACCU, Ocean Towing Vessel Unlimited Service;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U.S. Coast Guard Inspected and Certified - Unlimited Ocean Towing Service;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USCG NVIC 1-78 for Automated Engine Rooms;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Panama Canal Tonnage Certificate;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SOLAS Safety Construction and Equipment Certificates;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SOLAS Cargo Ship Safety Construction Certificate;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SOLAS Cargo Ship Safety Equipment Certificate;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SOLAS Cargo Ship Safety Radio Certificate;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Navigation Lights Certificate;</w:t>
      </w:r>
    </w:p>
    <w:p>
      <w:pPr>
        <w:sectPr>
          <w:pgSz w:w="11900" w:h="16838" w:orient="portrait"/>
          <w:cols w:equalWidth="0" w:num="1">
            <w:col w:w="11260"/>
          </w:cols>
          <w:pgMar w:left="240" w:top="274" w:right="399" w:bottom="1440" w:gutter="0" w:footer="0" w:header="0"/>
        </w:sectPr>
      </w:pPr>
    </w:p>
    <w:bookmarkStart w:id="229" w:name="page230"/>
    <w:bookmarkEnd w:id="229"/>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8" w:lineRule="exact"/>
        <w:rPr>
          <w:sz w:val="20"/>
          <w:szCs w:val="20"/>
          <w:color w:val="auto"/>
        </w:rPr>
      </w:pPr>
    </w:p>
    <w:p>
      <w:pPr>
        <w:jc w:val="both"/>
        <w:ind w:left="1920" w:right="240" w:hanging="440"/>
        <w:spacing w:after="0" w:line="312" w:lineRule="auto"/>
        <w:tabs>
          <w:tab w:leader="none" w:pos="19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MARPOL Certificates (Conformance to MARPOL Annex I, II, IV, and VI-Oil, NLS, Sewage and Air by USCG/EPA). “Engine International Air Pollution Prevention (EIAPP) Certificate,” is Owner supplied. “International Oil Pollution Prevention (IOPP) Certificate” is Builder supplied. “International Air Pollution Prevention (IAPP) Certificate” is Owner supplied.</w:t>
      </w:r>
    </w:p>
    <w:p>
      <w:pPr>
        <w:spacing w:after="0" w:line="52" w:lineRule="exact"/>
        <w:rPr>
          <w:rFonts w:ascii="Arial" w:cs="Arial" w:eastAsia="Arial" w:hAnsi="Arial"/>
          <w:sz w:val="16"/>
          <w:szCs w:val="16"/>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ASME Certificates (for pressure vessels as required) – Form U-1A (as supplied by Owner or Builder);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Builder’s Certificate;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F.C.C. Radio Communication License (Owner to apply for);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International Admeasurement Certificate;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Stability Letter from Class Society under the Class Society/USCG MOU;</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Compass Adjustment Deviation Card;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Label Certificate for Marine Sanitation Device (Owner supplied);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Anchor Certificates;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Lifting Eyes to be marked with SWL;</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Padeyes and Lashing Points (test certificates);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Deadweight Certificate (Owner supplied);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Automation Test Procedure (Owner supplied);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Anti-foulant certificate;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GMDSS Certificate of Compliance;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Machinery space hoisting crane and all other lifting gear certifications (as supplied by Owner or Builder);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Pipe and Structural Steel Mill Certificates (as supplied by Owner or Builder);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Proof of US Public Health Compliance for food preparation and vermin prevention.</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above original certificates and documents for both the Tug and Barge have been mounted in frames onboard the Vessels by the Builder when so required by the issuing agency or Regulatory Authorities.</w:t>
      </w:r>
    </w:p>
    <w:p>
      <w:pPr>
        <w:spacing w:after="0" w:line="197" w:lineRule="exact"/>
        <w:rPr>
          <w:sz w:val="20"/>
          <w:szCs w:val="20"/>
          <w:color w:val="auto"/>
        </w:rPr>
      </w:pPr>
    </w:p>
    <w:p>
      <w:pPr>
        <w:spacing w:after="0"/>
        <w:tabs>
          <w:tab w:leader="none" w:pos="940" w:val="left"/>
          <w:tab w:leader="none" w:pos="2340" w:val="left"/>
          <w:tab w:leader="none" w:pos="2880" w:val="left"/>
        </w:tabs>
        <w:rPr>
          <w:sz w:val="20"/>
          <w:szCs w:val="20"/>
          <w:color w:val="auto"/>
        </w:rPr>
      </w:pPr>
      <w:r>
        <w:rPr>
          <w:rFonts w:ascii="Arial" w:cs="Arial" w:eastAsia="Arial" w:hAnsi="Arial"/>
          <w:sz w:val="18"/>
          <w:szCs w:val="18"/>
          <w:color w:val="auto"/>
        </w:rPr>
        <w:t>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-10160</wp:posOffset>
            </wp:positionV>
            <wp:extent cx="3429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-10160</wp:posOffset>
            </wp:positionV>
            <wp:extent cx="571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2718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30" w:name="page231"/>
    <w:bookmarkEnd w:id="23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5700" w:type="dxa"/>
            <w:vAlign w:val="bottom"/>
          </w:tcPr>
          <w:p>
            <w:pPr>
              <w:jc w:val="center"/>
              <w:ind w:left="210"/>
              <w:spacing w:after="0"/>
              <w:rPr>
                <w:sz w:val="20"/>
                <w:szCs w:val="20"/>
                <w:color w:val="auto"/>
              </w:rPr>
            </w:pPr>
            <w:r>
              <w:rPr>
                <w:rFonts w:ascii="Arial" w:cs="Arial" w:eastAsia="Arial" w:hAnsi="Arial"/>
                <w:sz w:val="18"/>
                <w:szCs w:val="18"/>
                <w:b w:val="1"/>
                <w:bCs w:val="1"/>
                <w:color w:val="auto"/>
              </w:rPr>
              <w:t>EXHIBIT I</w:t>
            </w: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4"/>
                <w:szCs w:val="24"/>
                <w:color w:val="auto"/>
              </w:rPr>
            </w:pPr>
          </w:p>
        </w:tc>
        <w:tc>
          <w:tcPr>
            <w:tcW w:w="5700" w:type="dxa"/>
            <w:vAlign w:val="bottom"/>
          </w:tcPr>
          <w:p>
            <w:pPr>
              <w:jc w:val="center"/>
              <w:ind w:left="190"/>
              <w:spacing w:after="0"/>
              <w:rPr>
                <w:sz w:val="20"/>
                <w:szCs w:val="20"/>
                <w:color w:val="auto"/>
              </w:rPr>
            </w:pPr>
            <w:r>
              <w:rPr>
                <w:rFonts w:ascii="Arial" w:cs="Arial" w:eastAsia="Arial" w:hAnsi="Arial"/>
                <w:sz w:val="18"/>
                <w:szCs w:val="18"/>
                <w:b w:val="1"/>
                <w:bCs w:val="1"/>
                <w:color w:val="auto"/>
              </w:rPr>
              <w:t>FORM OF CHANGE ORDER</w:t>
            </w: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4"/>
                <w:szCs w:val="24"/>
                <w:color w:val="auto"/>
              </w:rPr>
            </w:pPr>
          </w:p>
        </w:tc>
        <w:tc>
          <w:tcPr>
            <w:tcW w:w="570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Request for Variation Order</w:t>
            </w: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72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5700" w:type="dxa"/>
            <w:vAlign w:val="bottom"/>
          </w:tcPr>
          <w:p>
            <w:pPr>
              <w:spacing w:after="0"/>
              <w:rPr>
                <w:sz w:val="20"/>
                <w:szCs w:val="20"/>
                <w:color w:val="auto"/>
              </w:rPr>
            </w:pPr>
            <w:r>
              <w:rPr>
                <w:rFonts w:ascii="Arial" w:cs="Arial" w:eastAsia="Arial" w:hAnsi="Arial"/>
                <w:sz w:val="18"/>
                <w:szCs w:val="18"/>
                <w:color w:val="auto"/>
              </w:rPr>
              <w:t>Great Lakes Dredging &amp; Docking</w:t>
            </w:r>
          </w:p>
        </w:tc>
        <w:tc>
          <w:tcPr>
            <w:tcW w:w="2560" w:type="dxa"/>
            <w:vAlign w:val="bottom"/>
          </w:tcPr>
          <w:p>
            <w:pPr>
              <w:ind w:left="1880"/>
              <w:spacing w:after="0"/>
              <w:rPr>
                <w:sz w:val="20"/>
                <w:szCs w:val="20"/>
                <w:color w:val="auto"/>
              </w:rPr>
            </w:pPr>
            <w:r>
              <w:rPr>
                <w:rFonts w:ascii="Arial" w:cs="Arial" w:eastAsia="Arial" w:hAnsi="Arial"/>
                <w:sz w:val="18"/>
                <w:szCs w:val="18"/>
                <w:color w:val="auto"/>
              </w:rPr>
              <w:t>Date</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Arial" w:cs="Arial" w:eastAsia="Arial" w:hAnsi="Arial"/>
                <w:sz w:val="18"/>
                <w:szCs w:val="18"/>
                <w:b w:val="1"/>
                <w:bCs w:val="1"/>
                <w:color w:val="auto"/>
              </w:rPr>
              <w:t>System Name:</w:t>
            </w:r>
          </w:p>
        </w:tc>
        <w:tc>
          <w:tcPr>
            <w:tcW w:w="5700" w:type="dxa"/>
            <w:vAlign w:val="bottom"/>
            <w:tcBorders>
              <w:bottom w:val="single" w:sz="8" w:color="auto"/>
            </w:tcBorders>
          </w:tcPr>
          <w:p>
            <w:pPr>
              <w:spacing w:after="0"/>
              <w:rPr>
                <w:sz w:val="18"/>
                <w:szCs w:val="18"/>
                <w:color w:val="auto"/>
              </w:rPr>
            </w:pPr>
          </w:p>
        </w:tc>
        <w:tc>
          <w:tcPr>
            <w:tcW w:w="256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Hull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Requested By:</w:t>
            </w:r>
          </w:p>
        </w:tc>
        <w:tc>
          <w:tcPr>
            <w:tcW w:w="5700" w:type="dxa"/>
            <w:vAlign w:val="bottom"/>
          </w:tcPr>
          <w:p>
            <w:pPr>
              <w:spacing w:after="0"/>
              <w:rPr>
                <w:sz w:val="19"/>
                <w:szCs w:val="19"/>
                <w:color w:val="auto"/>
              </w:rPr>
            </w:pP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Change Order #</w:t>
            </w:r>
          </w:p>
        </w:tc>
        <w:tc>
          <w:tcPr>
            <w:tcW w:w="440" w:type="dxa"/>
            <w:vAlign w:val="bottom"/>
          </w:tcPr>
          <w:p>
            <w:pPr>
              <w:spacing w:after="0"/>
              <w:rPr>
                <w:sz w:val="20"/>
                <w:szCs w:val="20"/>
                <w:color w:val="auto"/>
              </w:rPr>
            </w:pPr>
            <w:r>
              <w:rPr>
                <w:rFonts w:ascii="Arial" w:cs="Arial" w:eastAsia="Arial" w:hAnsi="Arial"/>
                <w:sz w:val="18"/>
                <w:szCs w:val="18"/>
                <w:b w:val="1"/>
                <w:bCs w:val="1"/>
                <w:color w:val="auto"/>
              </w:rPr>
              <w:t>801</w:t>
            </w:r>
          </w:p>
        </w:tc>
        <w:tc>
          <w:tcPr>
            <w:tcW w:w="0" w:type="dxa"/>
            <w:vAlign w:val="bottom"/>
          </w:tcPr>
          <w:p>
            <w:pPr>
              <w:spacing w:after="0"/>
              <w:rPr>
                <w:sz w:val="1"/>
                <w:szCs w:val="1"/>
                <w:color w:val="auto"/>
              </w:rPr>
            </w:pPr>
          </w:p>
        </w:tc>
      </w:tr>
      <w:tr>
        <w:trPr>
          <w:trHeight w:val="198"/>
        </w:trPr>
        <w:tc>
          <w:tcPr>
            <w:tcW w:w="2720" w:type="dxa"/>
            <w:vAlign w:val="bottom"/>
            <w:vMerge w:val="continue"/>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20" w:type="dxa"/>
            <w:vAlign w:val="bottom"/>
          </w:tcPr>
          <w:p>
            <w:pPr>
              <w:spacing w:after="0"/>
              <w:rPr>
                <w:sz w:val="20"/>
                <w:szCs w:val="20"/>
                <w:color w:val="auto"/>
              </w:rPr>
            </w:pPr>
            <w:r>
              <w:rPr>
                <w:rFonts w:ascii="Arial" w:cs="Arial" w:eastAsia="Arial" w:hAnsi="Arial"/>
                <w:sz w:val="18"/>
                <w:szCs w:val="18"/>
                <w:b w:val="1"/>
                <w:bCs w:val="1"/>
                <w:color w:val="auto"/>
              </w:rPr>
              <w:t>Contractor</w:t>
            </w:r>
          </w:p>
        </w:tc>
        <w:tc>
          <w:tcPr>
            <w:tcW w:w="5700" w:type="dxa"/>
            <w:vAlign w:val="bottom"/>
          </w:tcPr>
          <w:p>
            <w:pPr>
              <w:spacing w:after="0"/>
              <w:rPr>
                <w:sz w:val="20"/>
                <w:szCs w:val="20"/>
                <w:color w:val="auto"/>
              </w:rPr>
            </w:pPr>
            <w:r>
              <w:rPr>
                <w:rFonts w:ascii="Arial" w:cs="Arial" w:eastAsia="Arial" w:hAnsi="Arial"/>
                <w:sz w:val="18"/>
                <w:szCs w:val="18"/>
                <w:color w:val="auto"/>
              </w:rPr>
              <w:t>Eastern Shipbuilding Group</w:t>
            </w: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Reason for Change:</w:t>
            </w:r>
          </w:p>
        </w:tc>
        <w:tc>
          <w:tcPr>
            <w:tcW w:w="5700" w:type="dxa"/>
            <w:vAlign w:val="bottom"/>
            <w:tcBorders>
              <w:bottom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Arial" w:cs="Arial" w:eastAsia="Arial" w:hAnsi="Arial"/>
                <w:sz w:val="18"/>
                <w:szCs w:val="18"/>
                <w:b w:val="1"/>
                <w:bCs w:val="1"/>
                <w:color w:val="auto"/>
              </w:rPr>
              <w:t>Present Condition:</w:t>
            </w:r>
          </w:p>
        </w:tc>
        <w:tc>
          <w:tcPr>
            <w:tcW w:w="5700" w:type="dxa"/>
            <w:vAlign w:val="bottom"/>
            <w:tcBorders>
              <w:bottom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Arial" w:cs="Arial" w:eastAsia="Arial" w:hAnsi="Arial"/>
                <w:sz w:val="18"/>
                <w:szCs w:val="18"/>
                <w:b w:val="1"/>
                <w:bCs w:val="1"/>
                <w:color w:val="auto"/>
              </w:rPr>
              <w:t>Proposed Change:</w:t>
            </w:r>
          </w:p>
        </w:tc>
        <w:tc>
          <w:tcPr>
            <w:tcW w:w="5700" w:type="dxa"/>
            <w:vAlign w:val="bottom"/>
            <w:tcBorders>
              <w:bottom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720" w:type="dxa"/>
            <w:vAlign w:val="bottom"/>
          </w:tcPr>
          <w:p>
            <w:pPr>
              <w:spacing w:after="0"/>
              <w:rPr>
                <w:sz w:val="20"/>
                <w:szCs w:val="20"/>
                <w:color w:val="auto"/>
              </w:rPr>
            </w:pPr>
            <w:r>
              <w:rPr>
                <w:rFonts w:ascii="Arial" w:cs="Arial" w:eastAsia="Arial" w:hAnsi="Arial"/>
                <w:sz w:val="18"/>
                <w:szCs w:val="18"/>
                <w:b w:val="1"/>
                <w:bCs w:val="1"/>
                <w:color w:val="auto"/>
              </w:rPr>
              <w:t>Cost Impact</w:t>
            </w:r>
          </w:p>
        </w:tc>
        <w:tc>
          <w:tcPr>
            <w:tcW w:w="5700" w:type="dxa"/>
            <w:vAlign w:val="bottom"/>
          </w:tcPr>
          <w:p>
            <w:pPr>
              <w:spacing w:after="0"/>
              <w:rPr>
                <w:sz w:val="20"/>
                <w:szCs w:val="20"/>
                <w:color w:val="auto"/>
              </w:rPr>
            </w:pPr>
            <w:r>
              <w:rPr>
                <w:rFonts w:ascii="Arial" w:cs="Arial" w:eastAsia="Arial" w:hAnsi="Arial"/>
                <w:sz w:val="18"/>
                <w:szCs w:val="18"/>
                <w:color w:val="auto"/>
              </w:rPr>
              <w:t>Description</w:t>
            </w:r>
          </w:p>
        </w:tc>
        <w:tc>
          <w:tcPr>
            <w:tcW w:w="2560" w:type="dxa"/>
            <w:vAlign w:val="bottom"/>
          </w:tcPr>
          <w:p>
            <w:pPr>
              <w:ind w:left="1880"/>
              <w:spacing w:after="0"/>
              <w:rPr>
                <w:sz w:val="20"/>
                <w:szCs w:val="20"/>
                <w:color w:val="auto"/>
              </w:rPr>
            </w:pPr>
            <w:r>
              <w:rPr>
                <w:rFonts w:ascii="Arial" w:cs="Arial" w:eastAsia="Arial" w:hAnsi="Arial"/>
                <w:sz w:val="18"/>
                <w:szCs w:val="18"/>
                <w:color w:val="auto"/>
              </w:rPr>
              <w:t>Hours</w:t>
            </w:r>
          </w:p>
        </w:tc>
        <w:tc>
          <w:tcPr>
            <w:tcW w:w="440" w:type="dxa"/>
            <w:vAlign w:val="bottom"/>
          </w:tcPr>
          <w:p>
            <w:pPr>
              <w:spacing w:after="0"/>
              <w:rPr>
                <w:sz w:val="20"/>
                <w:szCs w:val="20"/>
                <w:color w:val="auto"/>
              </w:rPr>
            </w:pPr>
            <w:r>
              <w:rPr>
                <w:rFonts w:ascii="Arial" w:cs="Arial" w:eastAsia="Arial" w:hAnsi="Arial"/>
                <w:sz w:val="18"/>
                <w:szCs w:val="18"/>
                <w:color w:val="auto"/>
              </w:rPr>
              <w:t>Cost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w w:val="93"/>
              </w:rPr>
              <w:t>$0.00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w w:val="93"/>
              </w:rPr>
              <w:t>$0.00</w:t>
            </w:r>
          </w:p>
        </w:tc>
        <w:tc>
          <w:tcPr>
            <w:tcW w:w="0" w:type="dxa"/>
            <w:vAlign w:val="bottom"/>
          </w:tcPr>
          <w:p>
            <w:pPr>
              <w:spacing w:after="0"/>
              <w:rPr>
                <w:sz w:val="1"/>
                <w:szCs w:val="1"/>
                <w:color w:val="auto"/>
              </w:rPr>
            </w:pPr>
          </w:p>
        </w:tc>
      </w:tr>
      <w:tr>
        <w:trPr>
          <w:trHeight w:val="220"/>
        </w:trPr>
        <w:tc>
          <w:tcPr>
            <w:tcW w:w="2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Price per vessel</w:t>
            </w: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20"/>
                <w:szCs w:val="20"/>
                <w:color w:val="auto"/>
              </w:rPr>
            </w:pPr>
            <w:r>
              <w:rPr>
                <w:rFonts w:ascii="Arial" w:cs="Arial" w:eastAsia="Arial" w:hAnsi="Arial"/>
                <w:sz w:val="18"/>
                <w:szCs w:val="18"/>
                <w:b w:val="1"/>
                <w:bCs w:val="1"/>
                <w:color w:val="auto"/>
                <w:w w:val="93"/>
              </w:rPr>
              <w:t>$0.00</w:t>
            </w:r>
          </w:p>
        </w:tc>
        <w:tc>
          <w:tcPr>
            <w:tcW w:w="0" w:type="dxa"/>
            <w:vAlign w:val="bottom"/>
          </w:tcPr>
          <w:p>
            <w:pPr>
              <w:spacing w:after="0"/>
              <w:rPr>
                <w:sz w:val="1"/>
                <w:szCs w:val="1"/>
                <w:color w:val="auto"/>
              </w:rPr>
            </w:pPr>
          </w:p>
        </w:tc>
      </w:tr>
      <w:tr>
        <w:trPr>
          <w:trHeight w:val="212"/>
        </w:trPr>
        <w:tc>
          <w:tcPr>
            <w:tcW w:w="2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Cost of Change</w:t>
            </w: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Schedule Impact</w:t>
            </w:r>
          </w:p>
        </w:tc>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6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20"/>
                <w:szCs w:val="20"/>
                <w:color w:val="auto"/>
              </w:rPr>
            </w:pPr>
            <w:r>
              <w:rPr>
                <w:rFonts w:ascii="Arial" w:cs="Arial" w:eastAsia="Arial" w:hAnsi="Arial"/>
                <w:sz w:val="18"/>
                <w:szCs w:val="18"/>
                <w:b w:val="1"/>
                <w:bCs w:val="1"/>
                <w:color w:val="auto"/>
                <w:w w:val="93"/>
              </w:rPr>
              <w:t>$0.00</w:t>
            </w:r>
          </w:p>
        </w:tc>
        <w:tc>
          <w:tcPr>
            <w:tcW w:w="0" w:type="dxa"/>
            <w:vAlign w:val="bottom"/>
          </w:tcPr>
          <w:p>
            <w:pPr>
              <w:spacing w:after="0"/>
              <w:rPr>
                <w:sz w:val="1"/>
                <w:szCs w:val="1"/>
                <w:color w:val="auto"/>
              </w:rPr>
            </w:pPr>
          </w:p>
        </w:tc>
      </w:tr>
      <w:tr>
        <w:trPr>
          <w:trHeight w:val="198"/>
        </w:trPr>
        <w:tc>
          <w:tcPr>
            <w:tcW w:w="2720" w:type="dxa"/>
            <w:vAlign w:val="bottom"/>
            <w:vMerge w:val="continue"/>
          </w:tcPr>
          <w:p>
            <w:pPr>
              <w:spacing w:after="0"/>
              <w:rPr>
                <w:sz w:val="17"/>
                <w:szCs w:val="17"/>
                <w:color w:val="auto"/>
              </w:rPr>
            </w:pPr>
          </w:p>
        </w:tc>
        <w:tc>
          <w:tcPr>
            <w:tcW w:w="570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w w:val="93"/>
              </w:rPr>
              <w:t>This form is to be used for all work that is performed beyond the scope of the contract specifications and</w:t>
            </w: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drawings.</w:t>
            </w:r>
          </w:p>
        </w:tc>
        <w:tc>
          <w:tcPr>
            <w:tcW w:w="5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VARIATION ORDER, ONCE FULLY EXECUTED BY THE OWNER’S DULY AUTHORIZED REPRESENTATIVE AND THE BUILDER’S DULY AUTHORIZED REPRESENTATIVE, SHALL CONSTITUTE A FULL AND FINAL RESOLUTION, SETTLEMENT AND ACCORD AND SATISFACTION WITH RESPECT TO ALL COSTS AND TIME ASSOCIATED WITH THE WORK DESCRIBED HEREIN. COSTS ARE DEFINED TO INCLUDE ALL DIRECT AND INDIRECT LABOR COSTS, ALL MATERIAL AND EQUIPMENT COSTS AND ALL IMPACT COSTS RELATED TO AND/OR OCCASIONED AS A CONSEQUENCE OF OR BY THE PERFORMANCE OF THIS WORK DESCRIBED HEREIN (INCLUDING ANY CLAIM FOR DELAY, DISRUPTION OR ANY OTHER INCIDENTAL CLAIM OF THE BUILDER), AS WELL AS TAXES, INSURANCE, BONDS, GENERAL CONDITIONS OVERHEAD AND PROFIT. ALL OTHER TERMS AND CONDITIONS OF THE AGREEMENT REMAIN IN FULL FORCE AND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-7620</wp:posOffset>
            </wp:positionV>
            <wp:extent cx="20859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-19050</wp:posOffset>
            </wp:positionV>
            <wp:extent cx="20859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Approved by (Shipyard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-19050</wp:posOffset>
            </wp:positionV>
            <wp:extent cx="11430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By Owner: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-7620</wp:posOffset>
            </wp:positionV>
            <wp:extent cx="1028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Denied By Owner: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-19050</wp:posOffset>
            </wp:positionV>
            <wp:extent cx="11715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1" w:name="page232"/>
    <w:bookmarkEnd w:id="23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J</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OF OWNER’S WARRANTY NOTIFICATION TO BUILDER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xml:space="preserve"> WARRANTY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960" w:right="260" w:hanging="944"/>
        <w:spacing w:after="0" w:line="277" w:lineRule="auto"/>
        <w:rPr>
          <w:sz w:val="20"/>
          <w:szCs w:val="20"/>
          <w:color w:val="auto"/>
        </w:rPr>
      </w:pPr>
      <w:r>
        <w:rPr>
          <w:rFonts w:ascii="Arial" w:cs="Arial" w:eastAsia="Arial" w:hAnsi="Arial"/>
          <w:sz w:val="18"/>
          <w:szCs w:val="18"/>
          <w:color w:val="auto"/>
        </w:rPr>
        <w:t>This is to advise that a warranty event covered under the Vessel Construction Agreement between Great Lakes Dredge &amp; Dock Co., LLC (“Owner”) and (“Builder”) has occurred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71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[Describe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Owner requests the following remedial 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[Describe Remedial 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Owner Representative]</w:t>
      </w:r>
    </w:p>
    <w:p>
      <w:pPr>
        <w:sectPr>
          <w:pgSz w:w="11900" w:h="16838" w:orient="portrait"/>
          <w:cols w:equalWidth="0" w:num="1">
            <w:col w:w="11260"/>
          </w:cols>
          <w:pgMar w:left="240" w:top="274" w:right="399" w:bottom="1440" w:gutter="0" w:footer="0" w:header="0"/>
        </w:sectPr>
      </w:pPr>
    </w:p>
    <w:bookmarkStart w:id="232" w:name="page233"/>
    <w:bookmarkEnd w:id="232"/>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K</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BUILDER’S PRELIMINARY SCHEDULE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Attached Schedule K-1 Tug (Rev. F)</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Attached Schedule K-2 Barge (Rev. H)</w:t>
      </w:r>
    </w:p>
    <w:p>
      <w:pPr>
        <w:sectPr>
          <w:pgSz w:w="11900" w:h="16838" w:orient="portrait"/>
          <w:cols w:equalWidth="0" w:num="1">
            <w:col w:w="11260"/>
          </w:cols>
          <w:pgMar w:left="240" w:top="274" w:right="399" w:bottom="1440" w:gutter="0" w:footer="0" w:header="0"/>
        </w:sectPr>
      </w:pPr>
    </w:p>
    <w:bookmarkStart w:id="233" w:name="page234"/>
    <w:bookmarkEnd w:id="233"/>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K-1</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60"/>
          </w:cols>
          <w:pgMar w:left="240" w:top="274" w:right="399" w:bottom="1440" w:gutter="0" w:footer="0" w:header="0"/>
        </w:sectPr>
      </w:pPr>
    </w:p>
    <w:bookmarkStart w:id="234" w:name="page235"/>
    <w:bookmarkEnd w:id="23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K-2</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60"/>
          </w:cols>
          <w:pgMar w:left="240" w:top="274" w:right="399" w:bottom="1440" w:gutter="0" w:footer="0" w:header="0"/>
        </w:sectPr>
      </w:pPr>
    </w:p>
    <w:bookmarkStart w:id="235" w:name="page236"/>
    <w:bookmarkEnd w:id="235"/>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40" w:type="dxa"/>
            <w:vAlign w:val="bottom"/>
            <w:gridSpan w:val="3"/>
          </w:tcPr>
          <w:p>
            <w:pPr>
              <w:jc w:val="center"/>
              <w:ind w:left="2410"/>
              <w:spacing w:after="0"/>
              <w:rPr>
                <w:sz w:val="20"/>
                <w:szCs w:val="20"/>
                <w:color w:val="auto"/>
              </w:rPr>
            </w:pPr>
            <w:r>
              <w:rPr>
                <w:rFonts w:ascii="Arial" w:cs="Arial" w:eastAsia="Arial" w:hAnsi="Arial"/>
                <w:sz w:val="18"/>
                <w:szCs w:val="18"/>
                <w:b w:val="1"/>
                <w:bCs w:val="1"/>
                <w:color w:val="auto"/>
              </w:rPr>
              <w:t>EXHIBIT L-1</w:t>
            </w: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0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rPr>
              <w:t>FORM OF BUILDER’S PARTIAL LIEN RELEASE AND WAIVER</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2"/>
        </w:trPr>
        <w:tc>
          <w:tcPr>
            <w:tcW w:w="7140" w:type="dxa"/>
            <w:vAlign w:val="bottom"/>
            <w:gridSpan w:val="7"/>
          </w:tcPr>
          <w:p>
            <w:pPr>
              <w:spacing w:after="0"/>
              <w:rPr>
                <w:sz w:val="20"/>
                <w:szCs w:val="20"/>
                <w:color w:val="auto"/>
              </w:rPr>
            </w:pPr>
            <w:r>
              <w:rPr>
                <w:rFonts w:ascii="Arial" w:cs="Arial" w:eastAsia="Arial" w:hAnsi="Arial"/>
                <w:sz w:val="18"/>
                <w:szCs w:val="18"/>
                <w:b w:val="1"/>
                <w:bCs w:val="1"/>
                <w:color w:val="auto"/>
                <w:w w:val="95"/>
              </w:rPr>
              <w:t>FOR AND SUBJECT TO VALUE RECEIVED</w:t>
            </w:r>
            <w:r>
              <w:rPr>
                <w:rFonts w:ascii="Arial" w:cs="Arial" w:eastAsia="Arial" w:hAnsi="Arial"/>
                <w:sz w:val="18"/>
                <w:szCs w:val="18"/>
                <w:color w:val="auto"/>
                <w:w w:val="95"/>
              </w:rPr>
              <w:t>, in payment of Interim Installment Payment No.</w:t>
            </w:r>
          </w:p>
        </w:tc>
        <w:tc>
          <w:tcPr>
            <w:tcW w:w="540" w:type="dxa"/>
            <w:vAlign w:val="bottom"/>
            <w:tcBorders>
              <w:bottom w:val="single" w:sz="8" w:color="auto"/>
            </w:tcBorders>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0"/>
              </w:rPr>
              <w:t>in the amount of $</w:t>
            </w: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Pr>
          <w:p>
            <w:pPr>
              <w:jc w:val="right"/>
              <w:ind w:right="770"/>
              <w:spacing w:after="0"/>
              <w:rPr>
                <w:sz w:val="20"/>
                <w:szCs w:val="20"/>
                <w:color w:val="auto"/>
              </w:rPr>
            </w:pPr>
            <w:r>
              <w:rPr>
                <w:rFonts w:ascii="Arial" w:cs="Arial" w:eastAsia="Arial" w:hAnsi="Arial"/>
                <w:sz w:val="18"/>
                <w:szCs w:val="18"/>
                <w:color w:val="auto"/>
              </w:rPr>
              <w:t>for Hull</w:t>
            </w: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2"/>
              </w:rPr>
              <w:t>No.</w:t>
            </w:r>
          </w:p>
        </w:tc>
        <w:tc>
          <w:tcPr>
            <w:tcW w:w="54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900" w:type="dxa"/>
            <w:vAlign w:val="bottom"/>
            <w:tcBorders>
              <w:bottom w:val="single" w:sz="8" w:color="auto"/>
            </w:tcBorders>
          </w:tcPr>
          <w:p>
            <w:pPr>
              <w:spacing w:after="0"/>
              <w:rPr>
                <w:sz w:val="17"/>
                <w:szCs w:val="17"/>
                <w:color w:val="auto"/>
              </w:rPr>
            </w:pPr>
          </w:p>
        </w:tc>
        <w:tc>
          <w:tcPr>
            <w:tcW w:w="9620" w:type="dxa"/>
            <w:vAlign w:val="bottom"/>
            <w:gridSpan w:val="8"/>
          </w:tcPr>
          <w:p>
            <w:pPr>
              <w:jc w:val="right"/>
              <w:spacing w:after="0" w:line="196" w:lineRule="exact"/>
              <w:rPr>
                <w:sz w:val="20"/>
                <w:szCs w:val="20"/>
                <w:color w:val="auto"/>
              </w:rPr>
            </w:pPr>
            <w:r>
              <w:rPr>
                <w:rFonts w:ascii="Arial" w:cs="Arial" w:eastAsia="Arial" w:hAnsi="Arial"/>
                <w:sz w:val="18"/>
                <w:szCs w:val="18"/>
                <w:color w:val="auto"/>
                <w:w w:val="92"/>
              </w:rPr>
              <w:t>(“Lienor” and “Builder”), hereby waives, releases and relinquishes any and all right to claim any lien or other right or privilege up to</w:t>
            </w:r>
          </w:p>
        </w:tc>
      </w:tr>
      <w:tr>
        <w:trPr>
          <w:trHeight w:val="196"/>
        </w:trPr>
        <w:tc>
          <w:tcPr>
            <w:tcW w:w="6580" w:type="dxa"/>
            <w:vAlign w:val="bottom"/>
            <w:gridSpan w:val="5"/>
          </w:tcPr>
          <w:p>
            <w:pPr>
              <w:spacing w:after="0" w:line="196" w:lineRule="exact"/>
              <w:rPr>
                <w:sz w:val="20"/>
                <w:szCs w:val="20"/>
                <w:color w:val="auto"/>
              </w:rPr>
            </w:pPr>
            <w:r>
              <w:rPr>
                <w:rFonts w:ascii="Arial" w:cs="Arial" w:eastAsia="Arial" w:hAnsi="Arial"/>
                <w:sz w:val="18"/>
                <w:szCs w:val="18"/>
                <w:color w:val="auto"/>
                <w:w w:val="92"/>
              </w:rPr>
              <w:t>and including this Interim Installment Payment with respect to the construction of Hull No.</w:t>
            </w:r>
          </w:p>
        </w:tc>
        <w:tc>
          <w:tcPr>
            <w:tcW w:w="5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1"/>
              </w:rPr>
              <w:t>(the “Vessel”) constructed for Great Lakes Dredge &amp; Dock</w:t>
            </w:r>
          </w:p>
        </w:tc>
      </w:tr>
      <w:tr>
        <w:trPr>
          <w:trHeight w:val="222"/>
        </w:trPr>
        <w:tc>
          <w:tcPr>
            <w:tcW w:w="9500" w:type="dxa"/>
            <w:vAlign w:val="bottom"/>
            <w:gridSpan w:val="10"/>
          </w:tcPr>
          <w:p>
            <w:pPr>
              <w:spacing w:after="0"/>
              <w:rPr>
                <w:sz w:val="20"/>
                <w:szCs w:val="20"/>
                <w:color w:val="auto"/>
              </w:rPr>
            </w:pPr>
            <w:r>
              <w:rPr>
                <w:rFonts w:ascii="Arial" w:cs="Arial" w:eastAsia="Arial" w:hAnsi="Arial"/>
                <w:sz w:val="18"/>
                <w:szCs w:val="18"/>
                <w:color w:val="auto"/>
                <w:w w:val="92"/>
              </w:rPr>
              <w:t>Co., LLC, the Owner at the facilities located at Panama City, Florida pursuant to a Vessel Construction Agreement dated January</w:t>
            </w:r>
          </w:p>
        </w:tc>
        <w:tc>
          <w:tcPr>
            <w:tcW w:w="1920" w:type="dxa"/>
            <w:vAlign w:val="bottom"/>
            <w:gridSpan w:val="2"/>
          </w:tcPr>
          <w:p>
            <w:pPr>
              <w:jc w:val="right"/>
              <w:ind w:right="250"/>
              <w:spacing w:after="0"/>
              <w:rPr>
                <w:sz w:val="20"/>
                <w:szCs w:val="20"/>
                <w:color w:val="auto"/>
              </w:rPr>
            </w:pPr>
            <w:r>
              <w:rPr>
                <w:rFonts w:ascii="Arial" w:cs="Arial" w:eastAsia="Arial" w:hAnsi="Arial"/>
                <w:sz w:val="18"/>
                <w:szCs w:val="18"/>
                <w:color w:val="auto"/>
                <w:w w:val="98"/>
              </w:rPr>
              <w:t>, 2014, as amended</w:t>
            </w:r>
          </w:p>
        </w:tc>
      </w:tr>
      <w:tr>
        <w:trPr>
          <w:trHeight w:val="230"/>
        </w:trPr>
        <w:tc>
          <w:tcPr>
            <w:tcW w:w="9500" w:type="dxa"/>
            <w:vAlign w:val="bottom"/>
            <w:gridSpan w:val="10"/>
          </w:tcPr>
          <w:p>
            <w:pPr>
              <w:spacing w:after="0"/>
              <w:rPr>
                <w:sz w:val="20"/>
                <w:szCs w:val="20"/>
                <w:color w:val="auto"/>
              </w:rPr>
            </w:pPr>
            <w:r>
              <w:rPr>
                <w:rFonts w:ascii="Arial" w:cs="Arial" w:eastAsia="Arial" w:hAnsi="Arial"/>
                <w:sz w:val="18"/>
                <w:szCs w:val="18"/>
                <w:color w:val="auto"/>
                <w:w w:val="96"/>
              </w:rPr>
              <w:t>between the Owner and the Builder for work done or material provided by Lienor to the Vessel as of the date of this release.</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Lienor also warrants and affirms that all wages for labor, payroll taxes and insurance, invoices for materials, supplies, and services provided by others to Lienor including Material Subcontractors and Suppliers related to the work or materials furnished by Lienor to the Vessel through the date of the Waiver have been paid in full or will be paid in due course.</w:t>
      </w:r>
    </w:p>
    <w:p>
      <w:pPr>
        <w:spacing w:after="0" w:line="177" w:lineRule="exact"/>
        <w:rPr>
          <w:sz w:val="20"/>
          <w:szCs w:val="20"/>
          <w:color w:val="auto"/>
        </w:rPr>
      </w:pPr>
    </w:p>
    <w:p>
      <w:pPr>
        <w:spacing w:after="0"/>
        <w:tabs>
          <w:tab w:leader="none" w:pos="8600" w:val="left"/>
          <w:tab w:leader="none" w:pos="932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Lienor has executed and delivered this Partial Lien Release and Waiver as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-7620</wp:posOffset>
            </wp:positionV>
            <wp:extent cx="5715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24523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Lienor: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14605</wp:posOffset>
            </wp:positionV>
            <wp:extent cx="24523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24523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6" w:name="page237"/>
    <w:bookmarkEnd w:id="236"/>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L-2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SUBCONTRACTORS’ AND SUPPLIERS’ PARTIAL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LIEN RELEASE AND WAIVER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4"/>
          </w:tcPr>
          <w:p>
            <w:pPr>
              <w:spacing w:after="0"/>
              <w:rPr>
                <w:sz w:val="20"/>
                <w:szCs w:val="20"/>
                <w:color w:val="auto"/>
              </w:rPr>
            </w:pPr>
            <w:r>
              <w:rPr>
                <w:rFonts w:ascii="Arial" w:cs="Arial" w:eastAsia="Arial" w:hAnsi="Arial"/>
                <w:sz w:val="18"/>
                <w:szCs w:val="18"/>
                <w:b w:val="1"/>
                <w:bCs w:val="1"/>
                <w:color w:val="auto"/>
                <w:w w:val="95"/>
              </w:rPr>
              <w:t>FOR VALUE AND PAYMENTS RECEIVED TO DATE</w:t>
            </w:r>
            <w:r>
              <w:rPr>
                <w:rFonts w:ascii="Arial" w:cs="Arial" w:eastAsia="Arial" w:hAnsi="Arial"/>
                <w:sz w:val="18"/>
                <w:szCs w:val="18"/>
                <w:color w:val="auto"/>
                <w:w w:val="95"/>
              </w:rPr>
              <w:t>, the receipt and sufficiency of which is hereby acknowledged,</w:t>
            </w:r>
          </w:p>
        </w:tc>
        <w:tc>
          <w:tcPr>
            <w:tcW w:w="900" w:type="dxa"/>
            <w:vAlign w:val="bottom"/>
            <w:tcBorders>
              <w:bottom w:val="single" w:sz="8" w:color="auto"/>
            </w:tcBorders>
            <w:gridSpan w:val="2"/>
          </w:tcPr>
          <w:p>
            <w:pPr>
              <w:spacing w:after="0"/>
              <w:rPr>
                <w:sz w:val="17"/>
                <w:szCs w:val="17"/>
                <w:color w:val="auto"/>
              </w:rPr>
            </w:pPr>
          </w:p>
        </w:tc>
        <w:tc>
          <w:tcPr>
            <w:tcW w:w="1620" w:type="dxa"/>
            <w:vAlign w:val="bottom"/>
            <w:gridSpan w:val="4"/>
          </w:tcPr>
          <w:p>
            <w:pPr>
              <w:ind w:left="40"/>
              <w:spacing w:after="0"/>
              <w:rPr>
                <w:sz w:val="20"/>
                <w:szCs w:val="20"/>
                <w:color w:val="auto"/>
              </w:rPr>
            </w:pPr>
            <w:r>
              <w:rPr>
                <w:rFonts w:ascii="Arial" w:cs="Arial" w:eastAsia="Arial" w:hAnsi="Arial"/>
                <w:sz w:val="18"/>
                <w:szCs w:val="18"/>
                <w:color w:val="auto"/>
              </w:rPr>
              <w:t>(“Lienor”), hereby</w:t>
            </w:r>
          </w:p>
        </w:tc>
      </w:tr>
      <w:tr>
        <w:trPr>
          <w:trHeight w:val="196"/>
        </w:trPr>
        <w:tc>
          <w:tcPr>
            <w:tcW w:w="9900" w:type="dxa"/>
            <w:vAlign w:val="bottom"/>
            <w:gridSpan w:val="7"/>
          </w:tcPr>
          <w:p>
            <w:pPr>
              <w:spacing w:after="0" w:line="196" w:lineRule="exact"/>
              <w:rPr>
                <w:sz w:val="20"/>
                <w:szCs w:val="20"/>
                <w:color w:val="auto"/>
              </w:rPr>
            </w:pPr>
            <w:r>
              <w:rPr>
                <w:rFonts w:ascii="Arial" w:cs="Arial" w:eastAsia="Arial" w:hAnsi="Arial"/>
                <w:sz w:val="18"/>
                <w:szCs w:val="18"/>
                <w:color w:val="auto"/>
                <w:w w:val="91"/>
              </w:rPr>
              <w:t>waives, releases and relinquishes any and all right to claim any lien or other right or privilege with respect to the construction of Hull No.</w:t>
            </w: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 w:type="dxa"/>
            <w:vAlign w:val="bottom"/>
          </w:tcPr>
          <w:p>
            <w:pPr>
              <w:ind w:left="60"/>
              <w:spacing w:after="0" w:line="196" w:lineRule="exact"/>
              <w:rPr>
                <w:sz w:val="20"/>
                <w:szCs w:val="20"/>
                <w:color w:val="auto"/>
              </w:rPr>
            </w:pPr>
            <w:r>
              <w:rPr>
                <w:rFonts w:ascii="Arial" w:cs="Arial" w:eastAsia="Arial" w:hAnsi="Arial"/>
                <w:sz w:val="18"/>
                <w:szCs w:val="18"/>
                <w:color w:val="auto"/>
              </w:rPr>
              <w:t>(the</w:t>
            </w: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w w:val="93"/>
              </w:rPr>
              <w:t>“Vessel”) constructed for Great Lakes Dredge &amp; Dock Co., LLC (“Owner”) and</w:t>
            </w:r>
          </w:p>
        </w:tc>
        <w:tc>
          <w:tcPr>
            <w:tcW w:w="900" w:type="dxa"/>
            <w:vAlign w:val="bottom"/>
            <w:tcBorders>
              <w:bottom w:val="single" w:sz="8" w:color="auto"/>
            </w:tcBorders>
          </w:tcPr>
          <w:p>
            <w:pPr>
              <w:spacing w:after="0"/>
              <w:rPr>
                <w:sz w:val="17"/>
                <w:szCs w:val="17"/>
                <w:color w:val="auto"/>
              </w:rPr>
            </w:pPr>
          </w:p>
        </w:tc>
        <w:tc>
          <w:tcPr>
            <w:tcW w:w="280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4"/>
              </w:rPr>
              <w:t>(“Builder”), at the facilities located at</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ind w:left="20"/>
              <w:spacing w:after="0" w:line="196" w:lineRule="exact"/>
              <w:rPr>
                <w:sz w:val="20"/>
                <w:szCs w:val="20"/>
                <w:color w:val="auto"/>
              </w:rPr>
            </w:pPr>
            <w:r>
              <w:rPr>
                <w:rFonts w:ascii="Arial" w:cs="Arial" w:eastAsia="Arial" w:hAnsi="Arial"/>
                <w:sz w:val="18"/>
                <w:szCs w:val="18"/>
                <w:color w:val="auto"/>
                <w:w w:val="87"/>
              </w:rPr>
              <w:t>pursuant to a</w:t>
            </w: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w w:val="94"/>
              </w:rPr>
              <w:t>Vessel Construction Agreement dated January</w:t>
            </w:r>
          </w:p>
        </w:tc>
        <w:tc>
          <w:tcPr>
            <w:tcW w:w="7880" w:type="dxa"/>
            <w:vAlign w:val="bottom"/>
            <w:gridSpan w:val="9"/>
          </w:tcPr>
          <w:p>
            <w:pPr>
              <w:ind w:left="220"/>
              <w:spacing w:after="0"/>
              <w:rPr>
                <w:sz w:val="20"/>
                <w:szCs w:val="20"/>
                <w:color w:val="auto"/>
              </w:rPr>
            </w:pPr>
            <w:r>
              <w:rPr>
                <w:rFonts w:ascii="Arial" w:cs="Arial" w:eastAsia="Arial" w:hAnsi="Arial"/>
                <w:sz w:val="18"/>
                <w:szCs w:val="18"/>
                <w:color w:val="auto"/>
                <w:w w:val="91"/>
              </w:rPr>
              <w:t>, 2014, as amended between the Owner and the Builder for work done and/or material provided by Lienor</w:t>
            </w:r>
          </w:p>
        </w:tc>
      </w:tr>
    </w:tbl>
    <w:p>
      <w:pPr>
        <w:ind w:right="140"/>
        <w:spacing w:after="0" w:line="255" w:lineRule="auto"/>
        <w:rPr>
          <w:sz w:val="20"/>
          <w:szCs w:val="20"/>
          <w:color w:val="auto"/>
        </w:rPr>
      </w:pPr>
      <w:r>
        <w:rPr>
          <w:rFonts w:ascii="Arial" w:cs="Arial" w:eastAsia="Arial" w:hAnsi="Arial"/>
          <w:sz w:val="18"/>
          <w:szCs w:val="18"/>
          <w:color w:val="auto"/>
        </w:rPr>
        <w:t>to the Vessel listed on the attached schedule. Lienor also warrants and affirms that all wages for labor, payroll taxes and insurance, invoices for materials, supplies, and services provided by others to Lienor related to the work or materials furnished by Lienor to the Vessel through the date of the release as listed on the attached Schedule have been paid in full or will be paid in due course.</w:t>
      </w:r>
    </w:p>
    <w:p>
      <w:pPr>
        <w:spacing w:after="0" w:line="186" w:lineRule="exact"/>
        <w:rPr>
          <w:sz w:val="20"/>
          <w:szCs w:val="20"/>
          <w:color w:val="auto"/>
        </w:rPr>
      </w:pPr>
    </w:p>
    <w:p>
      <w:pPr>
        <w:spacing w:after="0"/>
        <w:tabs>
          <w:tab w:leader="none" w:pos="8080" w:val="left"/>
          <w:tab w:leader="none" w:pos="880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Lienor has executed and delivered this Lien Release and Waiver as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-7620</wp:posOffset>
            </wp:positionV>
            <wp:extent cx="5715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LIENOR: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37" w:name="page238"/>
    <w:bookmarkEnd w:id="237"/>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20" w:type="dxa"/>
            <w:vAlign w:val="bottom"/>
          </w:tcPr>
          <w:p>
            <w:pPr>
              <w:jc w:val="center"/>
              <w:ind w:right="230"/>
              <w:spacing w:after="0"/>
              <w:rPr>
                <w:sz w:val="20"/>
                <w:szCs w:val="20"/>
                <w:color w:val="auto"/>
              </w:rPr>
            </w:pPr>
            <w:r>
              <w:rPr>
                <w:rFonts w:ascii="Arial" w:cs="Arial" w:eastAsia="Arial" w:hAnsi="Arial"/>
                <w:sz w:val="18"/>
                <w:szCs w:val="18"/>
                <w:b w:val="1"/>
                <w:bCs w:val="1"/>
                <w:color w:val="auto"/>
              </w:rPr>
              <w:t>EXHIBIT M</w:t>
            </w:r>
          </w:p>
        </w:tc>
      </w:tr>
      <w:tr>
        <w:trPr>
          <w:trHeight w:val="432"/>
        </w:trPr>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FORM OF PROTOCOL OF DELIVERY AND ACCEPTANCE</w:t>
            </w:r>
          </w:p>
        </w:tc>
      </w:tr>
      <w:tr>
        <w:trPr>
          <w:trHeight w:val="445"/>
        </w:trPr>
        <w:tc>
          <w:tcPr>
            <w:tcW w:w="1000" w:type="dxa"/>
            <w:vAlign w:val="bottom"/>
          </w:tcPr>
          <w:p>
            <w:pPr>
              <w:spacing w:after="0"/>
              <w:rPr>
                <w:sz w:val="20"/>
                <w:szCs w:val="20"/>
                <w:color w:val="auto"/>
              </w:rPr>
            </w:pPr>
            <w:r>
              <w:rPr>
                <w:rFonts w:ascii="Arial" w:cs="Arial" w:eastAsia="Arial" w:hAnsi="Arial"/>
                <w:sz w:val="18"/>
                <w:szCs w:val="18"/>
                <w:color w:val="auto"/>
              </w:rPr>
              <w:t>BUILDER:</w:t>
            </w:r>
          </w:p>
        </w:tc>
        <w:tc>
          <w:tcPr>
            <w:tcW w:w="7180" w:type="dxa"/>
            <w:vAlign w:val="bottom"/>
            <w:gridSpan w:val="6"/>
          </w:tcPr>
          <w:p>
            <w:pPr>
              <w:ind w:left="160"/>
              <w:spacing w:after="0"/>
              <w:rPr>
                <w:sz w:val="20"/>
                <w:szCs w:val="20"/>
                <w:color w:val="auto"/>
              </w:rPr>
            </w:pPr>
            <w:r>
              <w:rPr>
                <w:rFonts w:ascii="Arial" w:cs="Arial" w:eastAsia="Arial" w:hAnsi="Arial"/>
                <w:sz w:val="18"/>
                <w:szCs w:val="18"/>
                <w:color w:val="auto"/>
              </w:rPr>
              <w:t>_____________________________</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OWNER:</w:t>
            </w:r>
          </w:p>
        </w:tc>
        <w:tc>
          <w:tcPr>
            <w:tcW w:w="7180" w:type="dxa"/>
            <w:vAlign w:val="bottom"/>
            <w:gridSpan w:val="6"/>
          </w:tcPr>
          <w:p>
            <w:pPr>
              <w:ind w:left="160"/>
              <w:spacing w:after="0"/>
              <w:rPr>
                <w:sz w:val="20"/>
                <w:szCs w:val="20"/>
                <w:color w:val="auto"/>
              </w:rPr>
            </w:pPr>
            <w:r>
              <w:rPr>
                <w:rFonts w:ascii="Arial" w:cs="Arial" w:eastAsia="Arial" w:hAnsi="Arial"/>
                <w:sz w:val="18"/>
                <w:szCs w:val="18"/>
                <w:color w:val="auto"/>
              </w:rPr>
              <w:t>Great Lakes Dredge &amp; Dock Company, LLC</w:t>
            </w:r>
          </w:p>
        </w:tc>
      </w:tr>
      <w:tr>
        <w:trPr>
          <w:trHeight w:val="392"/>
        </w:trPr>
        <w:tc>
          <w:tcPr>
            <w:tcW w:w="1320" w:type="dxa"/>
            <w:vAlign w:val="bottom"/>
            <w:gridSpan w:val="2"/>
          </w:tcPr>
          <w:p>
            <w:pPr>
              <w:spacing w:after="0"/>
              <w:rPr>
                <w:sz w:val="20"/>
                <w:szCs w:val="20"/>
                <w:color w:val="auto"/>
              </w:rPr>
            </w:pPr>
            <w:r>
              <w:rPr>
                <w:rFonts w:ascii="Arial" w:cs="Arial" w:eastAsia="Arial" w:hAnsi="Arial"/>
                <w:sz w:val="18"/>
                <w:szCs w:val="18"/>
                <w:color w:val="auto"/>
                <w:w w:val="90"/>
              </w:rPr>
              <w:t>Name of Vessel: “</w:t>
            </w:r>
          </w:p>
        </w:tc>
        <w:tc>
          <w:tcPr>
            <w:tcW w:w="9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 (Hull No.</w:t>
            </w:r>
          </w:p>
        </w:tc>
        <w:tc>
          <w:tcPr>
            <w:tcW w:w="420" w:type="dxa"/>
            <w:vAlign w:val="bottom"/>
          </w:tcPr>
          <w:p>
            <w:pPr>
              <w:spacing w:after="0"/>
              <w:rPr>
                <w:sz w:val="24"/>
                <w:szCs w:val="24"/>
                <w:color w:val="auto"/>
              </w:rPr>
            </w:pPr>
          </w:p>
        </w:tc>
        <w:tc>
          <w:tcPr>
            <w:tcW w:w="4620" w:type="dxa"/>
            <w:vAlign w:val="bottom"/>
          </w:tcPr>
          <w:p>
            <w:pPr>
              <w:ind w:left="60"/>
              <w:spacing w:after="0"/>
              <w:rPr>
                <w:sz w:val="20"/>
                <w:szCs w:val="20"/>
                <w:color w:val="auto"/>
              </w:rPr>
            </w:pPr>
            <w:r>
              <w:rPr>
                <w:rFonts w:ascii="Arial" w:cs="Arial" w:eastAsia="Arial" w:hAnsi="Arial"/>
                <w:sz w:val="18"/>
                <w:szCs w:val="18"/>
                <w:color w:val="auto"/>
              </w:rPr>
              <w:t>under the Vessel Construction Agreement)</w:t>
            </w: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SPARES, STORES ABOARD AT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14605</wp:posOffset>
            </wp:positionV>
            <wp:extent cx="46310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EXCEPTIONS</w:t>
      </w:r>
      <w:r>
        <w:rPr>
          <w:rFonts w:ascii="Arial" w:cs="Arial" w:eastAsia="Arial" w:hAnsi="Arial"/>
          <w:sz w:val="18"/>
          <w:szCs w:val="18"/>
          <w:color w:val="auto"/>
        </w:rPr>
        <w:t>: (Check one) See attached list None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EXCEPT </w:t>
      </w:r>
      <w:r>
        <w:rPr>
          <w:rFonts w:ascii="Arial" w:cs="Arial" w:eastAsia="Arial" w:hAnsi="Arial"/>
          <w:sz w:val="16"/>
          <w:szCs w:val="16"/>
          <w:color w:val="auto"/>
        </w:rPr>
        <w:t>for the items noted on the attached list, if any, and subject to the Builder’s warranty of title and warranties as to materials and workmanship as set</w:t>
      </w:r>
    </w:p>
    <w:p>
      <w:pPr>
        <w:spacing w:after="0" w:line="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forth in the Vessel Construction Agreement dated as of , 2013 between the Builder and the Owner (the “Agreement”), the above referenced ATB Unit and its equipment are hereby delivered by the Builder and accepted by the Owner and deemed to be in compliance with the Agreement. The Builder hereby acknowledges its continuing duties and responsibilities relating to the ATB Unit with respect to the Builder’s warranty of title and warranties as to materials and workmanship, as provided in the Agreement. The Builder further acknowledges its ongoing obligation to correct all exceptions listed on the attached list, if any. The Owner hereby assumes risk of loss of or damage to the ATB Unit occurring after the execution of this Protocol, subject to the Builder’s obligations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-715645</wp:posOffset>
            </wp:positionV>
            <wp:extent cx="571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DATE OF ACCEPTANCE:</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TIME OF ACCEPTANCE:</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PLACE OF ACCEPTANCE:</w:t>
            </w:r>
          </w:p>
        </w:tc>
        <w:tc>
          <w:tcPr>
            <w:tcW w:w="9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Great Lakes Dredge &amp; Dock Co., LLC</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____________________</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5120" w:type="dxa"/>
            <w:vAlign w:val="bottom"/>
            <w:tcBorders>
              <w:bottom w:val="single" w:sz="8" w:color="auto"/>
            </w:tcBorders>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w w:val="92"/>
              </w:rPr>
              <w:t>By:</w:t>
            </w:r>
          </w:p>
        </w:tc>
        <w:tc>
          <w:tcPr>
            <w:tcW w:w="5120" w:type="dxa"/>
            <w:vAlign w:val="bottom"/>
            <w:tcBorders>
              <w:bottom w:val="single" w:sz="8" w:color="auto"/>
            </w:tcBorders>
          </w:tcPr>
          <w:p>
            <w:pPr>
              <w:spacing w:after="0"/>
              <w:rPr>
                <w:sz w:val="24"/>
                <w:szCs w:val="24"/>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Its:</w:t>
            </w:r>
          </w:p>
        </w:tc>
        <w:tc>
          <w:tcPr>
            <w:tcW w:w="5120" w:type="dxa"/>
            <w:vAlign w:val="bottom"/>
            <w:tcBorders>
              <w:bottom w:val="single" w:sz="8" w:color="auto"/>
            </w:tcBorders>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w w:val="99"/>
              </w:rPr>
              <w:t>Its:</w:t>
            </w: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38" w:name="page239"/>
    <w:bookmarkEnd w:id="23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11260"/>
          </w:cols>
          <w:pgMar w:left="240" w:top="274" w:right="399" w:bottom="1440" w:gutter="0" w:footer="0" w:header="0"/>
        </w:sectPr>
      </w:pPr>
    </w:p>
    <w:bookmarkStart w:id="239" w:name="page240"/>
    <w:bookmarkEnd w:id="239"/>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O</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Reserved</w:t>
      </w:r>
    </w:p>
    <w:p>
      <w:pPr>
        <w:sectPr>
          <w:pgSz w:w="11900" w:h="16838" w:orient="portrait"/>
          <w:cols w:equalWidth="0" w:num="1">
            <w:col w:w="11260"/>
          </w:cols>
          <w:pgMar w:left="240" w:top="274" w:right="399" w:bottom="1440" w:gutter="0" w:footer="0" w:header="0"/>
        </w:sectPr>
      </w:pPr>
    </w:p>
    <w:bookmarkStart w:id="240" w:name="page241"/>
    <w:bookmarkEnd w:id="240"/>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P</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SHIPYARD CONTRACT DEFICIENCY REPORT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Vessel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wp:posOffset>
            </wp:positionV>
            <wp:extent cx="47510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5"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Report Number:</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wp:posOffset>
            </wp:positionV>
            <wp:extent cx="47510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6458585</wp:posOffset>
            </wp:positionH>
            <wp:positionV relativeFrom="paragraph">
              <wp:posOffset>-10160</wp:posOffset>
            </wp:positionV>
            <wp:extent cx="571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References:</w:t>
      </w:r>
    </w:p>
    <w:p>
      <w:pPr>
        <w:spacing w:after="0" w:line="252" w:lineRule="exact"/>
        <w:rPr>
          <w:sz w:val="20"/>
          <w:szCs w:val="20"/>
          <w:color w:val="auto"/>
        </w:rPr>
      </w:pPr>
    </w:p>
    <w:p>
      <w:pPr>
        <w:ind w:left="200" w:hanging="192"/>
        <w:spacing w:after="0"/>
        <w:tabs>
          <w:tab w:leader="none" w:pos="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Contract/Specification Reference:</w:t>
      </w:r>
    </w:p>
    <w:p>
      <w:pPr>
        <w:spacing w:after="0" w:line="279" w:lineRule="exact"/>
        <w:rPr>
          <w:rFonts w:ascii="Arial" w:cs="Arial" w:eastAsia="Arial" w:hAnsi="Arial"/>
          <w:sz w:val="18"/>
          <w:szCs w:val="18"/>
          <w:color w:val="auto"/>
        </w:rPr>
      </w:pPr>
    </w:p>
    <w:p>
      <w:pPr>
        <w:ind w:left="200" w:hanging="192"/>
        <w:spacing w:after="0"/>
        <w:tabs>
          <w:tab w:leader="none" w:pos="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Drawing Reference:</w:t>
      </w:r>
    </w:p>
    <w:p>
      <w:pPr>
        <w:spacing w:after="0" w:line="265" w:lineRule="exact"/>
        <w:rPr>
          <w:rFonts w:ascii="Arial" w:cs="Arial" w:eastAsia="Arial" w:hAnsi="Arial"/>
          <w:sz w:val="18"/>
          <w:szCs w:val="18"/>
          <w:color w:val="auto"/>
        </w:rPr>
      </w:pPr>
    </w:p>
    <w:p>
      <w:pPr>
        <w:ind w:left="200" w:hanging="192"/>
        <w:spacing w:after="0"/>
        <w:tabs>
          <w:tab w:leader="none" w:pos="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-584835</wp:posOffset>
            </wp:positionV>
            <wp:extent cx="52139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-284480</wp:posOffset>
            </wp:positionV>
            <wp:extent cx="60115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14605</wp:posOffset>
            </wp:positionV>
            <wp:extent cx="62261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Contract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57886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Impact of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14605</wp:posOffset>
            </wp:positionV>
            <wp:extent cx="60115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(i.e., Will delay completion xx days, safety hazard, inability to complete contract line item,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Recommended Corrective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-10160</wp:posOffset>
            </wp:positionV>
            <wp:extent cx="55435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4355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w:t>
      </w:r>
    </w:p>
    <w:p>
      <w:pPr>
        <w:spacing w:after="0" w:line="200" w:lineRule="exact"/>
        <w:rPr>
          <w:sz w:val="20"/>
          <w:szCs w:val="20"/>
          <w:color w:val="auto"/>
        </w:rPr>
      </w:pPr>
    </w:p>
    <w:p>
      <w:pPr>
        <w:spacing w:after="0" w:line="25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Owner Representative</w:t>
      </w:r>
      <w:r>
        <w:rPr>
          <w:sz w:val="20"/>
          <w:szCs w:val="20"/>
          <w:color w:val="auto"/>
        </w:rPr>
        <w:tab/>
      </w:r>
      <w:r>
        <w:rPr>
          <w:rFonts w:ascii="Arial" w:cs="Arial" w:eastAsia="Arial" w:hAnsi="Arial"/>
          <w:sz w:val="16"/>
          <w:szCs w:val="16"/>
          <w:color w:val="auto"/>
        </w:rPr>
        <w:t>Shipyard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241" w:name="page242"/>
    <w:bookmarkEnd w:id="241"/>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Q</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INTERIM INSTALLMENT AND MILESTONE SCHEDULE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Contract Price shall be paid by the Owner to the Builder in installments as follows:</w:t>
      </w:r>
    </w:p>
    <w:p>
      <w:pPr>
        <w:spacing w:after="0" w:line="131" w:lineRule="exact"/>
        <w:rPr>
          <w:sz w:val="20"/>
          <w:szCs w:val="20"/>
          <w:color w:val="auto"/>
        </w:rPr>
      </w:pPr>
    </w:p>
    <w:p>
      <w:pPr>
        <w:ind w:left="460" w:hanging="452"/>
        <w:spacing w:after="0" w:line="277"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First Interim Installment as set forth in Exhibits Q-1 and Q-2 within 2 Working Days of execution of the legally binding Agreement between the Owner and the Builder.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Additional Installments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set forth in Q-1 and Q-2.</w:t>
      </w:r>
    </w:p>
    <w:p>
      <w:pPr>
        <w:spacing w:after="0" w:line="131"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Payment Terms: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and all payments under this Agreement shall be made in United States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and all payments under this Agreement shall be made via Wire Transfer to the following:</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to Builder:</w:t>
      </w:r>
    </w:p>
    <w:p>
      <w:pPr>
        <w:spacing w:after="0" w:line="130" w:lineRule="exact"/>
        <w:rPr>
          <w:rFonts w:ascii="Arial" w:cs="Arial" w:eastAsia="Arial" w:hAnsi="Arial"/>
          <w:sz w:val="18"/>
          <w:szCs w:val="18"/>
          <w:color w:val="auto"/>
        </w:rPr>
      </w:pPr>
    </w:p>
    <w:p>
      <w:pPr>
        <w:ind w:left="2640" w:right="7060" w:hanging="710"/>
        <w:spacing w:after="0" w:line="269" w:lineRule="auto"/>
        <w:rPr>
          <w:rFonts w:ascii="Arial" w:cs="Arial" w:eastAsia="Arial" w:hAnsi="Arial"/>
          <w:sz w:val="18"/>
          <w:szCs w:val="18"/>
          <w:color w:val="auto"/>
        </w:rPr>
      </w:pPr>
      <w:r>
        <w:rPr>
          <w:rFonts w:ascii="Arial" w:cs="Arial" w:eastAsia="Arial" w:hAnsi="Arial"/>
          <w:sz w:val="17"/>
          <w:szCs w:val="17"/>
          <w:color w:val="auto"/>
        </w:rPr>
        <w:t>Eastern Shipbuilding Group, Inc. Account Number: [*] Regions Bank Birmingham, AL</w:t>
      </w:r>
    </w:p>
    <w:p>
      <w:pPr>
        <w:spacing w:after="0" w:line="2" w:lineRule="exact"/>
        <w:rPr>
          <w:rFonts w:ascii="Arial" w:cs="Arial" w:eastAsia="Arial" w:hAnsi="Arial"/>
          <w:sz w:val="18"/>
          <w:szCs w:val="18"/>
          <w:color w:val="auto"/>
        </w:rPr>
      </w:pPr>
    </w:p>
    <w:p>
      <w:pPr>
        <w:ind w:left="26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920" w:hanging="440"/>
        <w:spacing w:after="0"/>
        <w:tabs>
          <w:tab w:leader="none" w:pos="19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to the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-773430</wp:posOffset>
            </wp:positionV>
            <wp:extent cx="11430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-499110</wp:posOffset>
            </wp:positionV>
            <wp:extent cx="571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Great Lakes Dredge &amp; Dock Company,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Bank of America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242" w:name="page243"/>
    <w:bookmarkEnd w:id="24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Q-1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TUG MILESTONE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Progress Payment Schedule for: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ESG Hull #252 Contract for One (1) ATB Tug GL302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Payment #</w:t>
            </w:r>
          </w:p>
        </w:tc>
        <w:tc>
          <w:tcPr>
            <w:tcW w:w="9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ATB Tug Payment Description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 %</w:t>
            </w:r>
          </w:p>
        </w:tc>
      </w:tr>
      <w:tr>
        <w:trPr>
          <w:trHeight w:val="189"/>
        </w:trPr>
        <w:tc>
          <w:tcPr>
            <w:tcW w:w="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1</w:t>
            </w:r>
          </w:p>
        </w:tc>
        <w:tc>
          <w:tcPr>
            <w:tcW w:w="440" w:type="dxa"/>
            <w:vAlign w:val="bottom"/>
          </w:tcPr>
          <w:p>
            <w:pPr>
              <w:spacing w:after="0"/>
              <w:rPr>
                <w:sz w:val="16"/>
                <w:szCs w:val="16"/>
                <w:color w:val="auto"/>
              </w:rPr>
            </w:pPr>
          </w:p>
        </w:tc>
        <w:tc>
          <w:tcPr>
            <w:tcW w:w="92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Upon Contract Signing</w:t>
            </w:r>
          </w:p>
        </w:tc>
        <w:tc>
          <w:tcPr>
            <w:tcW w:w="440" w:type="dxa"/>
            <w:vAlign w:val="bottom"/>
          </w:tcPr>
          <w:p>
            <w:pPr>
              <w:spacing w:after="0"/>
              <w:rPr>
                <w:sz w:val="16"/>
                <w:szCs w:val="16"/>
                <w:color w:val="auto"/>
              </w:rPr>
            </w:pPr>
          </w:p>
        </w:tc>
        <w:tc>
          <w:tcPr>
            <w:tcW w:w="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Sixty (60) Days After Contract Signing</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Upon Initial Order of Steel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Upon Initial Cutting of Steel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Upon Completion of Plating of First Hull Module</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Upon Completion of Plating of All Hull Modules</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Upon Completion of Hull Welding</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Upon Installation of Rudders, Shafting and Propellers</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Upon Launch of Vessel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Upon Initial Startup of OFE Main Engines</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Upon Vessel Delivery – Panama City, FL.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274" w:right="239" w:bottom="1440" w:gutter="0" w:footer="0" w:header="0"/>
        </w:sectPr>
      </w:pPr>
    </w:p>
    <w:bookmarkStart w:id="243" w:name="page244"/>
    <w:bookmarkEnd w:id="243"/>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Q-2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BARGE MILESTONE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Progress Payment Schedule for: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ESG Hull#253 Contract for One (1) ATB Dredge Barge GL151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Payment #</w:t>
            </w:r>
          </w:p>
        </w:tc>
        <w:tc>
          <w:tcPr>
            <w:tcW w:w="9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ATB Dredge Barge Description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 %</w:t>
            </w:r>
          </w:p>
        </w:tc>
      </w:tr>
      <w:tr>
        <w:trPr>
          <w:trHeight w:val="189"/>
        </w:trPr>
        <w:tc>
          <w:tcPr>
            <w:tcW w:w="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1</w:t>
            </w:r>
          </w:p>
        </w:tc>
        <w:tc>
          <w:tcPr>
            <w:tcW w:w="440" w:type="dxa"/>
            <w:vAlign w:val="bottom"/>
          </w:tcPr>
          <w:p>
            <w:pPr>
              <w:spacing w:after="0"/>
              <w:rPr>
                <w:sz w:val="16"/>
                <w:szCs w:val="16"/>
                <w:color w:val="auto"/>
              </w:rPr>
            </w:pPr>
          </w:p>
        </w:tc>
        <w:tc>
          <w:tcPr>
            <w:tcW w:w="92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Upon Contract Signing</w:t>
            </w:r>
          </w:p>
        </w:tc>
        <w:tc>
          <w:tcPr>
            <w:tcW w:w="440" w:type="dxa"/>
            <w:vAlign w:val="bottom"/>
          </w:tcPr>
          <w:p>
            <w:pPr>
              <w:spacing w:after="0"/>
              <w:rPr>
                <w:sz w:val="16"/>
                <w:szCs w:val="16"/>
                <w:color w:val="auto"/>
              </w:rPr>
            </w:pPr>
          </w:p>
        </w:tc>
        <w:tc>
          <w:tcPr>
            <w:tcW w:w="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Sixty (60) Days After Contract Signing</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Upon Initial Order of Steel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Upon Initial Cutting of Steel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Upon Completion of Plating of First Hull Module</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Upon Substantial Completion of Lofting &amp; Pipe Spooling</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Upon Completion of Plating of All Hull Modules</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Upon Completion of Hull Welding</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Upon Completion of Welding Superstructure</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40" w:type="dxa"/>
            <w:vAlign w:val="bottom"/>
          </w:tcPr>
          <w:p>
            <w:pPr>
              <w:spacing w:after="0"/>
              <w:rPr>
                <w:sz w:val="18"/>
                <w:szCs w:val="18"/>
                <w:color w:val="auto"/>
              </w:rPr>
            </w:pPr>
          </w:p>
        </w:tc>
        <w:tc>
          <w:tcPr>
            <w:tcW w:w="966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Upon Launch of Vessel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440" w:type="dxa"/>
            <w:vAlign w:val="bottom"/>
          </w:tcPr>
          <w:p>
            <w:pPr>
              <w:spacing w:after="0"/>
              <w:rPr>
                <w:sz w:val="18"/>
                <w:szCs w:val="18"/>
                <w:color w:val="auto"/>
              </w:rPr>
            </w:pPr>
          </w:p>
        </w:tc>
        <w:tc>
          <w:tcPr>
            <w:tcW w:w="96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Upon Vessel Delivery – Panama City, FL.</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274" w:right="239"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Exhibit 12.1</w:t>
            </w:r>
          </w:p>
        </w:tc>
        <w:tc>
          <w:tcPr>
            <w:tcW w:w="0" w:type="dxa"/>
            <w:vAlign w:val="bottom"/>
          </w:tcPr>
          <w:p>
            <w:pPr>
              <w:spacing w:after="0"/>
              <w:rPr>
                <w:sz w:val="1"/>
                <w:szCs w:val="1"/>
                <w:color w:val="auto"/>
              </w:rPr>
            </w:pPr>
          </w:p>
        </w:tc>
      </w:tr>
      <w:tr>
        <w:trPr>
          <w:trHeight w:val="418"/>
        </w:trPr>
        <w:tc>
          <w:tcPr>
            <w:tcW w:w="4120" w:type="dxa"/>
            <w:vAlign w:val="bottom"/>
          </w:tcPr>
          <w:p>
            <w:pPr>
              <w:spacing w:after="0"/>
              <w:rPr>
                <w:sz w:val="24"/>
                <w:szCs w:val="24"/>
                <w:color w:val="auto"/>
              </w:rPr>
            </w:pPr>
          </w:p>
        </w:tc>
        <w:tc>
          <w:tcPr>
            <w:tcW w:w="35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Ratio of Earnings to Fixed Charges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54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Great Lakes Dredge &amp; Dock Corporation</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54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(dollars in thousands)</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120" w:type="dxa"/>
            <w:vAlign w:val="bottom"/>
          </w:tcPr>
          <w:p>
            <w:pPr>
              <w:spacing w:after="0"/>
              <w:rPr>
                <w:sz w:val="24"/>
                <w:szCs w:val="24"/>
                <w:color w:val="auto"/>
              </w:rPr>
            </w:pPr>
          </w:p>
        </w:tc>
        <w:tc>
          <w:tcPr>
            <w:tcW w:w="31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Pretax income (loss) from continuing operations (1)</w:t>
            </w:r>
          </w:p>
        </w:tc>
        <w:tc>
          <w:tcPr>
            <w:tcW w:w="2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$34,137</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$57,138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$26,679</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$11,590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Fixed charges</w:t>
            </w:r>
          </w:p>
        </w:tc>
        <w:tc>
          <w:tcPr>
            <w:tcW w:w="3540" w:type="dxa"/>
            <w:vAlign w:val="bottom"/>
            <w:gridSpan w:val="3"/>
          </w:tcPr>
          <w:p>
            <w:pPr>
              <w:jc w:val="right"/>
              <w:ind w:right="420"/>
              <w:spacing w:after="0"/>
              <w:rPr>
                <w:sz w:val="20"/>
                <w:szCs w:val="20"/>
                <w:color w:val="auto"/>
              </w:rPr>
            </w:pPr>
            <w:r>
              <w:rPr>
                <w:rFonts w:ascii="Arial" w:cs="Arial" w:eastAsia="Arial" w:hAnsi="Arial"/>
                <w:sz w:val="18"/>
                <w:szCs w:val="18"/>
                <w:color w:val="auto"/>
              </w:rPr>
              <w:t>24,228</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21,046</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28,795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27,594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28,556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Distributed income of equity investees</w:t>
            </w:r>
          </w:p>
        </w:tc>
        <w:tc>
          <w:tcPr>
            <w:tcW w:w="25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58,824</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78,150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55,474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39,184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57,143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2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Interest expense and amortized deferred financing costs</w:t>
            </w:r>
          </w:p>
        </w:tc>
        <w:tc>
          <w:tcPr>
            <w:tcW w:w="3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$16,283</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$13,559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$21,374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$20,920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$21,941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Estimated interest expense in operating leases</w:t>
            </w:r>
          </w:p>
        </w:tc>
        <w:tc>
          <w:tcPr>
            <w:tcW w:w="3540" w:type="dxa"/>
            <w:vAlign w:val="bottom"/>
            <w:gridSpan w:val="3"/>
          </w:tcPr>
          <w:p>
            <w:pPr>
              <w:jc w:val="right"/>
              <w:ind w:right="420"/>
              <w:spacing w:after="0"/>
              <w:rPr>
                <w:sz w:val="20"/>
                <w:szCs w:val="20"/>
                <w:color w:val="auto"/>
              </w:rPr>
            </w:pPr>
            <w:r>
              <w:rPr>
                <w:rFonts w:ascii="Arial" w:cs="Arial" w:eastAsia="Arial" w:hAnsi="Arial"/>
                <w:sz w:val="18"/>
                <w:szCs w:val="18"/>
                <w:color w:val="auto"/>
              </w:rPr>
              <w:t>7,945</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7,487</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7,421</w:t>
            </w:r>
          </w:p>
        </w:tc>
        <w:tc>
          <w:tcPr>
            <w:tcW w:w="600" w:type="dxa"/>
            <w:vAlign w:val="bottom"/>
          </w:tcPr>
          <w:p>
            <w:pPr>
              <w:jc w:val="right"/>
              <w:spacing w:after="0"/>
              <w:rPr>
                <w:sz w:val="20"/>
                <w:szCs w:val="20"/>
                <w:color w:val="auto"/>
              </w:rPr>
            </w:pPr>
            <w:r>
              <w:rPr>
                <w:rFonts w:ascii="Arial" w:cs="Arial" w:eastAsia="Arial" w:hAnsi="Arial"/>
                <w:sz w:val="18"/>
                <w:szCs w:val="18"/>
                <w:color w:val="auto"/>
              </w:rPr>
              <w:t>6,674</w:t>
            </w: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Preference security dividend requirements</w:t>
            </w:r>
          </w:p>
        </w:tc>
        <w:tc>
          <w:tcPr>
            <w:tcW w:w="2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fixed charges</w:t>
            </w:r>
          </w:p>
        </w:tc>
        <w:tc>
          <w:tcPr>
            <w:tcW w:w="2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24,228</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21,046</w:t>
            </w: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28,795</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27,594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80" w:right="2640" w:hanging="5572"/>
        <w:spacing w:after="0" w:line="449" w:lineRule="auto"/>
        <w:tabs>
          <w:tab w:leader="none" w:pos="45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Before adjustment for noncontrolling interests in consolidated subsidiaries and income (loss) from equity investees. 112</w:t>
      </w:r>
    </w:p>
    <w:p>
      <w:pPr>
        <w:sectPr>
          <w:pgSz w:w="11900" w:h="16838" w:orient="portrait"/>
          <w:cols w:equalWidth="0" w:num="1">
            <w:col w:w="11420"/>
          </w:cols>
          <w:pgMar w:left="240" w:top="121" w:right="2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20" w:type="dxa"/>
            <w:vAlign w:val="bottom"/>
            <w:gridSpan w:val="2"/>
          </w:tcPr>
          <w:p>
            <w:pPr>
              <w:ind w:left="86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2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399"/>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8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w w:val="94"/>
              </w:rPr>
              <w:t>Jurisdiction of Incorporation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Lakes Dredge &amp; Dock Company, LLC</w:t>
            </w:r>
          </w:p>
        </w:tc>
        <w:tc>
          <w:tcPr>
            <w:tcW w:w="5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gridSpan w:val="3"/>
          </w:tcPr>
          <w:p>
            <w:pPr>
              <w:spacing w:after="0"/>
              <w:rPr>
                <w:sz w:val="20"/>
                <w:szCs w:val="20"/>
                <w:color w:val="auto"/>
              </w:rPr>
            </w:pPr>
            <w:r>
              <w:rPr>
                <w:rFonts w:ascii="Arial" w:cs="Arial" w:eastAsia="Arial" w:hAnsi="Arial"/>
                <w:sz w:val="18"/>
                <w:szCs w:val="18"/>
                <w:color w:val="auto"/>
              </w:rPr>
              <w:t>Dawson Marine Services Company</w:t>
            </w:r>
          </w:p>
        </w:tc>
        <w:tc>
          <w:tcPr>
            <w:tcW w:w="58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Great Lakes Dredge &amp; Dock Environmental, Inc.</w:t>
            </w:r>
          </w:p>
        </w:tc>
        <w:tc>
          <w:tcPr>
            <w:tcW w:w="5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gridSpan w:val="3"/>
          </w:tcPr>
          <w:p>
            <w:pPr>
              <w:spacing w:after="0"/>
              <w:rPr>
                <w:sz w:val="20"/>
                <w:szCs w:val="20"/>
                <w:color w:val="auto"/>
              </w:rPr>
            </w:pPr>
            <w:r>
              <w:rPr>
                <w:rFonts w:ascii="Arial" w:cs="Arial" w:eastAsia="Arial" w:hAnsi="Arial"/>
                <w:sz w:val="18"/>
                <w:szCs w:val="18"/>
                <w:color w:val="auto"/>
              </w:rPr>
              <w:t>Fifty-Three Dredging Corporation</w:t>
            </w:r>
          </w:p>
        </w:tc>
        <w:tc>
          <w:tcPr>
            <w:tcW w:w="58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Lakes Dredge &amp; Dock Australia Pty Ltd.</w:t>
            </w:r>
          </w:p>
        </w:tc>
        <w:tc>
          <w:tcPr>
            <w:tcW w:w="5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gridSpan w:val="3"/>
          </w:tcPr>
          <w:p>
            <w:pPr>
              <w:spacing w:after="0"/>
              <w:rPr>
                <w:sz w:val="20"/>
                <w:szCs w:val="20"/>
                <w:color w:val="auto"/>
              </w:rPr>
            </w:pPr>
            <w:r>
              <w:rPr>
                <w:rFonts w:ascii="Arial" w:cs="Arial" w:eastAsia="Arial" w:hAnsi="Arial"/>
                <w:sz w:val="18"/>
                <w:szCs w:val="18"/>
                <w:color w:val="auto"/>
              </w:rPr>
              <w:t>Great Lakes Dredge &amp; Dock Co Brasil Ltda.</w:t>
            </w:r>
          </w:p>
        </w:tc>
        <w:tc>
          <w:tcPr>
            <w:tcW w:w="58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Lakes Dredge &amp; Dock India Private Ltd.</w:t>
            </w:r>
          </w:p>
        </w:tc>
        <w:tc>
          <w:tcPr>
            <w:tcW w:w="5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gridSpan w:val="3"/>
          </w:tcPr>
          <w:p>
            <w:pPr>
              <w:spacing w:after="0"/>
              <w:rPr>
                <w:sz w:val="20"/>
                <w:szCs w:val="20"/>
                <w:color w:val="auto"/>
              </w:rPr>
            </w:pPr>
            <w:r>
              <w:rPr>
                <w:rFonts w:ascii="Arial" w:cs="Arial" w:eastAsia="Arial" w:hAnsi="Arial"/>
                <w:sz w:val="18"/>
                <w:szCs w:val="18"/>
                <w:color w:val="auto"/>
              </w:rPr>
              <w:t>Lydon Dredging &amp; Construction Co. Ltd.</w:t>
            </w:r>
          </w:p>
        </w:tc>
        <w:tc>
          <w:tcPr>
            <w:tcW w:w="58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Lakes Dredge &amp; Dock (Bahamas) Ltd.</w:t>
            </w:r>
          </w:p>
        </w:tc>
        <w:tc>
          <w:tcPr>
            <w:tcW w:w="5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Bahamas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gridSpan w:val="3"/>
          </w:tcPr>
          <w:p>
            <w:pPr>
              <w:spacing w:after="0"/>
              <w:rPr>
                <w:sz w:val="20"/>
                <w:szCs w:val="20"/>
                <w:color w:val="auto"/>
              </w:rPr>
            </w:pPr>
            <w:r>
              <w:rPr>
                <w:rFonts w:ascii="Arial" w:cs="Arial" w:eastAsia="Arial" w:hAnsi="Arial"/>
                <w:sz w:val="18"/>
                <w:szCs w:val="18"/>
                <w:color w:val="auto"/>
              </w:rPr>
              <w:t>GLDD Mexicana, S. de R.L. de C.V.</w:t>
            </w:r>
          </w:p>
        </w:tc>
        <w:tc>
          <w:tcPr>
            <w:tcW w:w="58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NASDI Holdings Corporation</w:t>
            </w:r>
          </w:p>
        </w:tc>
        <w:tc>
          <w:tcPr>
            <w:tcW w:w="5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gridSpan w:val="3"/>
          </w:tcPr>
          <w:p>
            <w:pPr>
              <w:spacing w:after="0"/>
              <w:rPr>
                <w:sz w:val="20"/>
                <w:szCs w:val="20"/>
                <w:color w:val="auto"/>
              </w:rPr>
            </w:pPr>
            <w:r>
              <w:rPr>
                <w:rFonts w:ascii="Arial" w:cs="Arial" w:eastAsia="Arial" w:hAnsi="Arial"/>
                <w:sz w:val="18"/>
                <w:szCs w:val="18"/>
                <w:color w:val="auto"/>
              </w:rPr>
              <w:t>NASDI, LLC</w:t>
            </w:r>
          </w:p>
        </w:tc>
        <w:tc>
          <w:tcPr>
            <w:tcW w:w="58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 Contracting Services, LLC</w:t>
            </w:r>
          </w:p>
        </w:tc>
        <w:tc>
          <w:tcPr>
            <w:tcW w:w="5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gridSpan w:val="3"/>
          </w:tcPr>
          <w:p>
            <w:pPr>
              <w:spacing w:after="0"/>
              <w:rPr>
                <w:sz w:val="20"/>
                <w:szCs w:val="20"/>
                <w:color w:val="auto"/>
              </w:rPr>
            </w:pPr>
            <w:r>
              <w:rPr>
                <w:rFonts w:ascii="Arial" w:cs="Arial" w:eastAsia="Arial" w:hAnsi="Arial"/>
                <w:sz w:val="18"/>
                <w:szCs w:val="18"/>
                <w:color w:val="auto"/>
              </w:rPr>
              <w:t>Yankee Environmental Services, LLC</w:t>
            </w:r>
          </w:p>
        </w:tc>
        <w:tc>
          <w:tcPr>
            <w:tcW w:w="58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800" w:type="dxa"/>
            <w:vAlign w:val="bottom"/>
          </w:tcPr>
          <w:p>
            <w:pPr>
              <w:jc w:val="right"/>
              <w:ind w:right="3690"/>
              <w:spacing w:after="0"/>
              <w:rPr>
                <w:sz w:val="20"/>
                <w:szCs w:val="20"/>
                <w:color w:val="auto"/>
              </w:rPr>
            </w:pPr>
            <w:r>
              <w:rPr>
                <w:rFonts w:ascii="Arial" w:cs="Arial" w:eastAsia="Arial" w:hAnsi="Arial"/>
                <w:sz w:val="18"/>
                <w:szCs w:val="18"/>
                <w:color w:val="auto"/>
              </w:rPr>
              <w:t>113</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333-153207 on Form S-3 and Registration Statement Nos. 333-150067 and 333-185350 on Form S-8 of our reports dated March 11, 2014, relating to the consolidated financial statements and financial statement schedule of Great Lakes Dredge &amp; Dock Corporation and subsidiaries (the “Company”), and the effectiveness of the Company’s internal control over financial reporting, appearing in this Annual Report on Form 10-K of Great Lakes Dredge &amp; Dock Corporation for the year ended December 31,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31"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S. Steckel, certify that:</w:t>
      </w:r>
    </w:p>
    <w:p>
      <w:pPr>
        <w:spacing w:after="0" w:line="23"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6"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S. Steckel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Annual Report of Great Lakes Dredge &amp; Dock Corporation (the “Company”) on Form 10-K for the year ended December 31, 2013,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2013, as filed with the Securities and Exchange Commission on the date hereof (the “Report”), I, William S. Steckel, Senior Vice President and Chief Financial Officer of the Company, certify pursuant to 18 U.S.C. Section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1)"/>
      <w:numFmt w:val="decimal"/>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1)"/>
      <w:numFmt w:val="lowerLetter"/>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1."/>
      <w:numFmt w:val="decimal"/>
      <w:start w:val="3"/>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2"/>
    </w:lvl>
  </w:abstractNum>
  <w:abstractNum w:abstractNumId="27">
    <w:nsid w:val="1DBABF00"/>
    <w:multiLevelType w:val="hybridMultilevel"/>
    <w:lvl w:ilvl="0">
      <w:lvlJc w:val="left"/>
      <w:lvlText w:val="%1."/>
      <w:numFmt w:val="decimal"/>
      <w:start w:val="3"/>
    </w:lvl>
  </w:abstractNum>
  <w:abstractNum w:abstractNumId="28">
    <w:nsid w:val="4AD084E9"/>
    <w:multiLevelType w:val="hybridMultilevel"/>
    <w:lvl w:ilvl="0">
      <w:lvlJc w:val="left"/>
      <w:lvlText w:val="%1."/>
      <w:numFmt w:val="decimal"/>
      <w:start w:val="4"/>
    </w:lvl>
  </w:abstractNum>
  <w:abstractNum w:abstractNumId="29">
    <w:nsid w:val="1F48EAA1"/>
    <w:multiLevelType w:val="hybridMultilevel"/>
    <w:lvl w:ilvl="0">
      <w:lvlJc w:val="left"/>
      <w:lvlText w:val="%1."/>
      <w:numFmt w:val="decimal"/>
      <w:start w:val="5"/>
    </w:lvl>
  </w:abstractNum>
  <w:abstractNum w:abstractNumId="30">
    <w:nsid w:val="1381823A"/>
    <w:multiLevelType w:val="hybridMultilevel"/>
    <w:lvl w:ilvl="0">
      <w:lvlJc w:val="left"/>
      <w:lvlText w:val="%1."/>
      <w:numFmt w:val="decimal"/>
      <w:start w:val="6"/>
    </w:lvl>
  </w:abstractNum>
  <w:abstractNum w:abstractNumId="31">
    <w:nsid w:val="5DB70AE5"/>
    <w:multiLevelType w:val="hybridMultilevel"/>
    <w:lvl w:ilvl="0">
      <w:lvlJc w:val="left"/>
      <w:lvlText w:val="%1."/>
      <w:numFmt w:val="decimal"/>
      <w:start w:val="7"/>
    </w:lvl>
  </w:abstractNum>
  <w:abstractNum w:abstractNumId="32">
    <w:nsid w:val="100F8FCA"/>
    <w:multiLevelType w:val="hybridMultilevel"/>
    <w:lvl w:ilvl="0">
      <w:lvlJc w:val="left"/>
      <w:lvlText w:val="%1."/>
      <w:numFmt w:val="decimal"/>
      <w:start w:val="8"/>
    </w:lvl>
  </w:abstractNum>
  <w:abstractNum w:abstractNumId="33">
    <w:nsid w:val="6590700B"/>
    <w:multiLevelType w:val="hybridMultilevel"/>
    <w:lvl w:ilvl="0">
      <w:lvlJc w:val="left"/>
      <w:lvlText w:val="%1."/>
      <w:numFmt w:val="decimal"/>
      <w:start w:val="9"/>
    </w:lvl>
  </w:abstractNum>
  <w:abstractNum w:abstractNumId="34">
    <w:nsid w:val="15014ACB"/>
    <w:multiLevelType w:val="hybridMultilevel"/>
    <w:lvl w:ilvl="0">
      <w:lvlJc w:val="left"/>
      <w:lvlText w:val="%1."/>
      <w:numFmt w:val="decimal"/>
      <w:start w:val="10"/>
    </w:lvl>
  </w:abstractNum>
  <w:abstractNum w:abstractNumId="35">
    <w:nsid w:val="5F5E7FD0"/>
    <w:multiLevelType w:val="hybridMultilevel"/>
    <w:lvl w:ilvl="0">
      <w:lvlJc w:val="left"/>
      <w:lvlText w:val="%1."/>
      <w:numFmt w:val="decimal"/>
      <w:start w:val="11"/>
    </w:lvl>
  </w:abstractNum>
  <w:abstractNum w:abstractNumId="36">
    <w:nsid w:val="98A3148"/>
    <w:multiLevelType w:val="hybridMultilevel"/>
    <w:lvl w:ilvl="0">
      <w:lvlJc w:val="left"/>
      <w:lvlText w:val="%1."/>
      <w:numFmt w:val="decimal"/>
      <w:start w:val="12"/>
    </w:lvl>
  </w:abstractNum>
  <w:abstractNum w:abstractNumId="37">
    <w:nsid w:val="799D0247"/>
    <w:multiLevelType w:val="hybridMultilevel"/>
    <w:lvl w:ilvl="0">
      <w:lvlJc w:val="left"/>
      <w:lvlText w:val="%1."/>
      <w:numFmt w:val="decimal"/>
      <w:start w:val="13"/>
    </w:lvl>
  </w:abstractNum>
  <w:abstractNum w:abstractNumId="38">
    <w:nsid w:val="6B94764"/>
    <w:multiLevelType w:val="hybridMultilevel"/>
    <w:lvl w:ilvl="0">
      <w:lvlJc w:val="left"/>
      <w:lvlText w:val="%1."/>
      <w:numFmt w:val="decimal"/>
      <w:start w:val="14"/>
    </w:lvl>
  </w:abstractNum>
  <w:abstractNum w:abstractNumId="39">
    <w:nsid w:val="42C296BD"/>
    <w:multiLevelType w:val="hybridMultilevel"/>
    <w:lvl w:ilvl="0">
      <w:lvlJc w:val="left"/>
      <w:lvlText w:val="%1."/>
      <w:numFmt w:val="decimal"/>
      <w:start w:val="15"/>
    </w:lvl>
  </w:abstractNum>
  <w:abstractNum w:abstractNumId="40">
    <w:nsid w:val="168E121F"/>
    <w:multiLevelType w:val="hybridMultilevel"/>
    <w:lvl w:ilvl="0">
      <w:lvlJc w:val="left"/>
      <w:lvlText w:val="%1."/>
      <w:numFmt w:val="decimal"/>
      <w:start w:val="16"/>
    </w:lvl>
  </w:abstractNum>
  <w:abstractNum w:abstractNumId="41">
    <w:nsid w:val="1EBA5D23"/>
    <w:multiLevelType w:val="hybridMultilevel"/>
    <w:lvl w:ilvl="0">
      <w:lvlJc w:val="left"/>
      <w:lvlText w:val="(%1)"/>
      <w:numFmt w:val="lowerRoman"/>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2"/>
    </w:lvl>
  </w:abstractNum>
  <w:abstractNum w:abstractNumId="44">
    <w:nsid w:val="540A471C"/>
    <w:multiLevelType w:val="hybridMultilevel"/>
    <w:lvl w:ilvl="0">
      <w:lvlJc w:val="left"/>
      <w:lvlText w:val="(%1)"/>
      <w:numFmt w:val="decimal"/>
      <w:start w:val="28"/>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lowerRoman"/>
      <w:start w:val="2"/>
    </w:lvl>
  </w:abstractNum>
  <w:abstractNum w:abstractNumId="49">
    <w:nsid w:val="11447B73"/>
    <w:multiLevelType w:val="hybridMultilevel"/>
    <w:lvl w:ilvl="0">
      <w:lvlJc w:val="left"/>
      <w:lvlText w:val="(%1)"/>
      <w:numFmt w:val="lowerLetter"/>
      <w:start w:val="1"/>
    </w:lvl>
  </w:abstractNum>
  <w:abstractNum w:abstractNumId="50">
    <w:nsid w:val="42963E5A"/>
    <w:multiLevelType w:val="hybridMultilevel"/>
    <w:lvl w:ilvl="0">
      <w:lvlJc w:val="left"/>
      <w:lvlText w:val="(%1)"/>
      <w:numFmt w:val="decimal"/>
      <w:start w:val="17"/>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lowerLetter"/>
      <w:start w:val="5"/>
    </w:lvl>
    <w:lvl w:ilvl="1">
      <w:lvlJc w:val="left"/>
      <w:lvlText w:val="-"/>
      <w:numFmt w:val="bullet"/>
      <w:start w:val="1"/>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1"/>
    </w:lvl>
  </w:abstractNum>
  <w:abstractNum w:abstractNumId="55">
    <w:nsid w:val="68EB2F63"/>
    <w:multiLevelType w:val="hybridMultilevel"/>
    <w:lvl w:ilvl="0">
      <w:lvlJc w:val="left"/>
      <w:lvlText w:val="(%1)"/>
      <w:numFmt w:val="lowerLetter"/>
      <w:start w:val="1"/>
    </w:lvl>
    <w:lvl w:ilvl="1">
      <w:lvlJc w:val="left"/>
      <w:lvlText w:val="-"/>
      <w:numFmt w:val="bullet"/>
      <w:start w:val="1"/>
    </w:lvl>
  </w:abstractNum>
  <w:abstractNum w:abstractNumId="56">
    <w:nsid w:val="4962813B"/>
    <w:multiLevelType w:val="hybridMultilevel"/>
    <w:lvl w:ilvl="0">
      <w:lvlJc w:val="left"/>
      <w:lvlText w:val="(%1)"/>
      <w:numFmt w:val="lowerLetter"/>
      <w:start w:val="4"/>
    </w:lvl>
  </w:abstractNum>
  <w:abstractNum w:abstractNumId="57">
    <w:nsid w:val="60B6DF70"/>
    <w:multiLevelType w:val="hybridMultilevel"/>
    <w:lvl w:ilvl="0">
      <w:lvlJc w:val="left"/>
      <w:lvlText w:val="(%1)"/>
      <w:numFmt w:val="lowerLetter"/>
      <w:start w:val="1"/>
    </w:lvl>
    <w:lvl w:ilvl="1">
      <w:lvlJc w:val="left"/>
      <w:lvlText w:val="-"/>
      <w:numFmt w:val="bullet"/>
      <w:start w:val="1"/>
    </w:lvl>
  </w:abstractNum>
  <w:abstractNum w:abstractNumId="58">
    <w:nsid w:val="6A5EE64"/>
    <w:multiLevelType w:val="hybridMultilevel"/>
    <w:lvl w:ilvl="0">
      <w:lvlJc w:val="left"/>
      <w:lvlText w:val="(%1)"/>
      <w:numFmt w:val="lowerLetter"/>
      <w:start w:val="3"/>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Letter"/>
      <w:start w:val="1"/>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decimal"/>
      <w:start w:val="10"/>
    </w:lvl>
  </w:abstractNum>
  <w:abstractNum w:abstractNumId="64">
    <w:nsid w:val="7FB7E0AA"/>
    <w:multiLevelType w:val="hybridMultilevel"/>
    <w:lvl w:ilvl="0">
      <w:lvlJc w:val="left"/>
      <w:lvlText w:val="%1"/>
      <w:numFmt w:val="decimal"/>
      <w:start w:val="1"/>
    </w:lvl>
    <w:lvl w:ilvl="1">
      <w:lvlJc w:val="left"/>
      <w:lvlText w:val="(%2)"/>
      <w:numFmt w:val="lowerLetter"/>
      <w:start w:val="1"/>
    </w:lvl>
  </w:abstractNum>
  <w:abstractNum w:abstractNumId="65">
    <w:nsid w:val="6EB5BD4"/>
    <w:multiLevelType w:val="hybridMultilevel"/>
    <w:lvl w:ilvl="0">
      <w:lvlJc w:val="left"/>
      <w:lvlText w:val="(%1)"/>
      <w:numFmt w:val="decimal"/>
      <w:start w:val="3"/>
    </w:lvl>
    <w:lvl w:ilvl="1">
      <w:lvlJc w:val="left"/>
      <w:lvlText w:val="(%2)"/>
      <w:numFmt w:val="lowerLetter"/>
      <w:start w:val="3"/>
    </w:lvl>
  </w:abstractNum>
  <w:abstractNum w:abstractNumId="66">
    <w:nsid w:val="6F6DD9AC"/>
    <w:multiLevelType w:val="hybridMultilevel"/>
    <w:lvl w:ilvl="0">
      <w:lvlJc w:val="left"/>
      <w:lvlText w:val="(%1)"/>
      <w:numFmt w:val="decimal"/>
      <w:start w:val="10"/>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6"/>
    </w:lvl>
  </w:abstractNum>
  <w:abstractNum w:abstractNumId="69">
    <w:nsid w:val="76272110"/>
    <w:multiLevelType w:val="hybridMultilevel"/>
    <w:lvl w:ilvl="0">
      <w:lvlJc w:val="left"/>
      <w:lvlText w:val="(%1)"/>
      <w:numFmt w:val="decimal"/>
      <w:start w:val="20"/>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decimal"/>
      <w:start w:val="150"/>
    </w:lvl>
  </w:abstractNum>
  <w:abstractNum w:abstractNumId="72">
    <w:nsid w:val="14E17E33"/>
    <w:multiLevelType w:val="hybridMultilevel"/>
    <w:lvl w:ilvl="0">
      <w:lvlJc w:val="left"/>
      <w:lvlText w:val="(%1)"/>
      <w:numFmt w:val="decimal"/>
      <w:start w:val="180"/>
    </w:lvl>
  </w:abstractNum>
  <w:abstractNum w:abstractNumId="73">
    <w:nsid w:val="3222E7CD"/>
    <w:multiLevelType w:val="hybridMultilevel"/>
    <w:lvl w:ilvl="0">
      <w:lvlJc w:val="left"/>
      <w:lvlText w:val="(%1)"/>
      <w:numFmt w:val="lowerLetter"/>
      <w:start w:val="1"/>
    </w:lvl>
    <w:lvl w:ilvl="1">
      <w:lvlJc w:val="left"/>
      <w:lvlText w:val="%2."/>
      <w:numFmt w:val="lowerRoman"/>
      <w:start w:val="1"/>
    </w:lvl>
  </w:abstractNum>
  <w:abstractNum w:abstractNumId="74">
    <w:nsid w:val="74DE0EE3"/>
    <w:multiLevelType w:val="hybridMultilevel"/>
    <w:lvl w:ilvl="0">
      <w:lvlJc w:val="left"/>
      <w:lvlText w:val="%1"/>
      <w:numFmt w:val="lowerLetter"/>
      <w:start w:val="1"/>
    </w:lvl>
    <w:lvl w:ilvl="1">
      <w:lvlJc w:val="left"/>
      <w:lvlText w:val="%2."/>
      <w:numFmt w:val="lowerRoman"/>
      <w:start w:val="2"/>
    </w:lvl>
  </w:abstractNum>
  <w:abstractNum w:abstractNumId="75">
    <w:nsid w:val="68EBC550"/>
    <w:multiLevelType w:val="hybridMultilevel"/>
    <w:lvl w:ilvl="0">
      <w:lvlJc w:val="left"/>
      <w:lvlText w:val="(%1)"/>
      <w:numFmt w:val="lowerLetter"/>
      <w:start w:val="5"/>
    </w:lvl>
    <w:lvl w:ilvl="1">
      <w:lvlJc w:val="left"/>
      <w:lvlText w:val="%2"/>
      <w:numFmt w:val="lowerRoman"/>
      <w:start w:val="1"/>
    </w:lvl>
  </w:abstractNum>
  <w:abstractNum w:abstractNumId="76">
    <w:nsid w:val="2DF6D648"/>
    <w:multiLevelType w:val="hybridMultilevel"/>
    <w:lvl w:ilvl="0">
      <w:lvlJc w:val="left"/>
      <w:lvlText w:val="(%1)"/>
      <w:numFmt w:val="lowerRoman"/>
      <w:start w:val="1"/>
    </w:lvl>
  </w:abstractNum>
  <w:abstractNum w:abstractNumId="77">
    <w:nsid w:val="46B7D447"/>
    <w:multiLevelType w:val="hybridMultilevel"/>
    <w:lvl w:ilvl="0">
      <w:lvlJc w:val="left"/>
      <w:lvlText w:val="%1"/>
      <w:numFmt w:val="upperLetter"/>
      <w:start w:val="1"/>
    </w:lvl>
    <w:lvl w:ilvl="1">
      <w:lvlJc w:val="left"/>
      <w:lvlText w:val="(%2)"/>
      <w:numFmt w:val="lowerRoman"/>
      <w:start w:val="2"/>
    </w:lvl>
  </w:abstractNum>
  <w:abstractNum w:abstractNumId="78">
    <w:nsid w:val="4A2AC315"/>
    <w:multiLevelType w:val="hybridMultilevel"/>
    <w:lvl w:ilvl="0">
      <w:lvlJc w:val="left"/>
      <w:lvlText w:val="%1."/>
      <w:numFmt w:val="upperLetter"/>
      <w:start w:val="1"/>
    </w:lvl>
    <w:lvl w:ilvl="1">
      <w:lvlJc w:val="left"/>
      <w:lvlText w:val="%2"/>
      <w:numFmt w:val="lowerRoman"/>
      <w:start w:val="1"/>
    </w:lvl>
  </w:abstractNum>
  <w:abstractNum w:abstractNumId="79">
    <w:nsid w:val="39EE015C"/>
    <w:multiLevelType w:val="hybridMultilevel"/>
    <w:lvl w:ilvl="0">
      <w:lvlJc w:val="left"/>
      <w:lvlText w:val="(%1)"/>
      <w:numFmt w:val="decimal"/>
      <w:start w:val="20"/>
    </w:lvl>
  </w:abstractNum>
  <w:abstractNum w:abstractNumId="80">
    <w:nsid w:val="57FC4FBB"/>
    <w:multiLevelType w:val="hybridMultilevel"/>
    <w:lvl w:ilvl="0">
      <w:lvlJc w:val="left"/>
      <w:lvlText w:val="(%1)"/>
      <w:numFmt w:val="decimal"/>
      <w:start w:val="60"/>
    </w:lvl>
  </w:abstractNum>
  <w:abstractNum w:abstractNumId="81">
    <w:nsid w:val="CC1016F"/>
    <w:multiLevelType w:val="hybridMultilevel"/>
    <w:lvl w:ilvl="0">
      <w:lvlJc w:val="left"/>
      <w:lvlText w:val="(%1)"/>
      <w:numFmt w:val="decimal"/>
      <w:start w:val="120"/>
    </w:lvl>
  </w:abstractNum>
  <w:abstractNum w:abstractNumId="82">
    <w:nsid w:val="43F18422"/>
    <w:multiLevelType w:val="hybridMultilevel"/>
    <w:lvl w:ilvl="0">
      <w:lvlJc w:val="left"/>
      <w:lvlText w:val="(%1)"/>
      <w:numFmt w:val="lowerLetter"/>
      <w:start w:val="6"/>
    </w:lvl>
  </w:abstractNum>
  <w:abstractNum w:abstractNumId="83">
    <w:nsid w:val="60EF0119"/>
    <w:multiLevelType w:val="hybridMultilevel"/>
    <w:lvl w:ilvl="0">
      <w:lvlJc w:val="left"/>
      <w:lvlText w:val="(%1)"/>
      <w:numFmt w:val="decimal"/>
      <w:start w:val="45"/>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lowerLetter"/>
      <w:start w:val="1"/>
    </w:lvl>
  </w:abstractNum>
  <w:abstractNum w:abstractNumId="87">
    <w:nsid w:val="7055A5F5"/>
    <w:multiLevelType w:val="hybridMultilevel"/>
    <w:lvl w:ilvl="0">
      <w:lvlJc w:val="left"/>
      <w:lvlText w:val="(%1)"/>
      <w:numFmt w:val="lowerRoman"/>
      <w:start w:val="2"/>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1)"/>
      <w:numFmt w:val="lowerRoman"/>
      <w:start w:val="1"/>
    </w:lvl>
    <w:lvl w:ilvl="1">
      <w:lvlJc w:val="left"/>
      <w:lvlText w:val="%2."/>
      <w:numFmt w:val="upperLetter"/>
      <w:start w:val="9"/>
    </w:lvl>
    <w:lvl w:ilvl="2">
      <w:lvlJc w:val="left"/>
      <w:lvlText w:val="%3."/>
      <w:numFmt w:val="upperLetter"/>
      <w:start w:val="1"/>
    </w:lvl>
    <w:lvl w:ilvl="3">
      <w:lvlJc w:val="left"/>
      <w:lvlText w:val="%4."/>
      <w:numFmt w:val="decimal"/>
      <w:start w:val="1"/>
    </w:lvl>
  </w:abstractNum>
  <w:abstractNum w:abstractNumId="92">
    <w:nsid w:val="6AA78F7F"/>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lvl w:ilvl="3">
      <w:lvlJc w:val="left"/>
      <w:lvlText w:val="%4."/>
      <w:numFmt w:val="lowerLetter"/>
      <w:start w:val="1"/>
    </w:lvl>
  </w:abstractNum>
  <w:abstractNum w:abstractNumId="93">
    <w:nsid w:val="7672BD23"/>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94">
    <w:nsid w:val="6FC75AF8"/>
    <w:multiLevelType w:val="hybridMultilevel"/>
    <w:lvl w:ilvl="0">
      <w:lvlJc w:val="left"/>
      <w:lvlText w:val="%1"/>
      <w:numFmt w:val="upperLetter"/>
      <w:start w:val="1"/>
    </w:lvl>
    <w:lvl w:ilvl="1">
      <w:lvlJc w:val="left"/>
      <w:lvlText w:val="%2."/>
      <w:numFmt w:val="decimal"/>
      <w:start w:val="11"/>
    </w:lvl>
  </w:abstractNum>
  <w:abstractNum w:abstractNumId="95">
    <w:nsid w:val="6A5F7029"/>
    <w:multiLevelType w:val="hybridMultilevel"/>
    <w:lvl w:ilvl="0">
      <w:lvlJc w:val="left"/>
      <w:lvlText w:val="%1."/>
      <w:numFmt w:val="upperLetter"/>
      <w:start w:val="61"/>
    </w:lvl>
    <w:lvl w:ilvl="1">
      <w:lvlJc w:val="left"/>
      <w:lvlText w:val="%2"/>
      <w:numFmt w:val="decimal"/>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2019-12-07T14:10:45Z</dcterms:created>
  <dcterms:modified xsi:type="dcterms:W3CDTF">2019-12-07T14:10:45Z</dcterms:modified>
</cp:coreProperties>
</file>