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1" w:lineRule="exact"/>
        <w:rPr>
          <w:sz w:val="24"/>
          <w:szCs w:val="24"/>
          <w:color w:val="auto"/>
        </w:rPr>
      </w:pPr>
    </w:p>
    <w:p>
      <w:pPr>
        <w:ind w:left="720" w:hanging="550"/>
        <w:spacing w:after="0"/>
        <w:tabs>
          <w:tab w:leader="none" w:pos="7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29"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8" w:lineRule="exact"/>
        <w:rPr>
          <w:sz w:val="24"/>
          <w:szCs w:val="24"/>
          <w:color w:val="auto"/>
        </w:rPr>
      </w:pPr>
    </w:p>
    <w:p>
      <w:pPr>
        <w:ind w:left="720" w:hanging="550"/>
        <w:spacing w:after="0"/>
        <w:tabs>
          <w:tab w:leader="none" w:pos="7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9" w:lineRule="exact"/>
        <w:rPr>
          <w:rFonts w:ascii="MS PGothic" w:cs="MS PGothic" w:eastAsia="MS PGothic" w:hAnsi="MS PGothic"/>
          <w:sz w:val="21"/>
          <w:szCs w:val="21"/>
          <w:color w:val="auto"/>
        </w:rPr>
      </w:pPr>
    </w:p>
    <w:p>
      <w:pPr>
        <w:ind w:left="5760"/>
        <w:spacing w:after="0"/>
        <w:rPr>
          <w:rFonts w:ascii="MS PGothic" w:cs="MS PGothic" w:eastAsia="MS PGothic" w:hAnsi="MS PGothic"/>
          <w:sz w:val="21"/>
          <w:szCs w:val="21"/>
          <w:color w:val="auto"/>
        </w:rPr>
      </w:pPr>
      <w:r>
        <w:rPr>
          <w:rFonts w:ascii="Times New Roman" w:cs="Times New Roman" w:eastAsia="Times New Roman" w:hAnsi="Times New Roman"/>
          <w:sz w:val="22"/>
          <w:szCs w:val="22"/>
          <w:b w:val="1"/>
          <w:bCs w:val="1"/>
          <w:color w:val="auto"/>
        </w:rPr>
        <w:t>1934</w:t>
      </w:r>
    </w:p>
    <w:p>
      <w:pPr>
        <w:spacing w:after="0" w:line="39"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105410</wp:posOffset>
            </wp:positionV>
            <wp:extent cx="771525" cy="771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Great Lakes Dredge &amp; Dock Corporation</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73025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8"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20" w:type="dxa"/>
            <w:vAlign w:val="bottom"/>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20-5336063</w:t>
            </w:r>
          </w:p>
        </w:tc>
      </w:tr>
      <w:tr>
        <w:trPr>
          <w:trHeight w:val="149"/>
        </w:trPr>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20" w:type="dxa"/>
            <w:vAlign w:val="bottom"/>
          </w:tcPr>
          <w:p>
            <w:pPr>
              <w:jc w:val="center"/>
              <w:ind w:left="392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20" w:type="dxa"/>
            <w:vAlign w:val="bottom"/>
          </w:tcPr>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9"/>
        </w:trPr>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2122 York Road, Oak Brook, IL</w:t>
            </w:r>
          </w:p>
        </w:tc>
        <w:tc>
          <w:tcPr>
            <w:tcW w:w="5120" w:type="dxa"/>
            <w:vAlign w:val="bottom"/>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60523</w:t>
            </w:r>
          </w:p>
        </w:tc>
      </w:tr>
      <w:tr>
        <w:trPr>
          <w:trHeight w:val="190"/>
        </w:trPr>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20" w:type="dxa"/>
            <w:vAlign w:val="bottom"/>
          </w:tcPr>
          <w:p>
            <w:pPr>
              <w:jc w:val="center"/>
              <w:ind w:left="39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2480" w:type="dxa"/>
            <w:vAlign w:val="bottom"/>
          </w:tcPr>
          <w:p>
            <w:pPr>
              <w:spacing w:after="0"/>
              <w:rPr>
                <w:sz w:val="21"/>
                <w:szCs w:val="21"/>
                <w:color w:val="auto"/>
              </w:rPr>
            </w:pPr>
          </w:p>
        </w:tc>
        <w:tc>
          <w:tcPr>
            <w:tcW w:w="5120" w:type="dxa"/>
            <w:vAlign w:val="bottom"/>
          </w:tcPr>
          <w:p>
            <w:pPr>
              <w:jc w:val="right"/>
              <w:ind w:right="2820"/>
              <w:spacing w:after="0"/>
              <w:rPr>
                <w:sz w:val="20"/>
                <w:szCs w:val="20"/>
                <w:color w:val="auto"/>
              </w:rPr>
            </w:pPr>
            <w:r>
              <w:rPr>
                <w:rFonts w:ascii="Times New Roman" w:cs="Times New Roman" w:eastAsia="Times New Roman" w:hAnsi="Times New Roman"/>
                <w:sz w:val="18"/>
                <w:szCs w:val="18"/>
                <w:b w:val="1"/>
                <w:bCs w:val="1"/>
                <w:color w:val="auto"/>
              </w:rPr>
              <w:t>(630) 574-3000</w:t>
            </w:r>
          </w:p>
        </w:tc>
      </w:tr>
      <w:tr>
        <w:trPr>
          <w:trHeight w:val="190"/>
        </w:trPr>
        <w:tc>
          <w:tcPr>
            <w:tcW w:w="2480" w:type="dxa"/>
            <w:vAlign w:val="bottom"/>
          </w:tcPr>
          <w:p>
            <w:pPr>
              <w:spacing w:after="0"/>
              <w:rPr>
                <w:sz w:val="16"/>
                <w:szCs w:val="16"/>
                <w:color w:val="auto"/>
              </w:rPr>
            </w:pPr>
          </w:p>
        </w:tc>
        <w:tc>
          <w:tcPr>
            <w:tcW w:w="5120" w:type="dxa"/>
            <w:vAlign w:val="bottom"/>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49530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20" w:lineRule="exact"/>
        <w:rPr>
          <w:sz w:val="24"/>
          <w:szCs w:val="24"/>
          <w:color w:val="auto"/>
        </w:rPr>
      </w:pPr>
    </w:p>
    <w:p>
      <w:pPr>
        <w:ind w:right="20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Indicate by check mark whether the registrant has every Interactive Data File required to be submitted pursuant to Rule 405 of Regulation S-T</w:t>
      </w:r>
    </w:p>
    <w:p>
      <w:pPr>
        <w:spacing w:after="0" w:line="22" w:lineRule="exact"/>
        <w:rPr>
          <w:sz w:val="24"/>
          <w:szCs w:val="24"/>
          <w:color w:val="auto"/>
        </w:rPr>
      </w:pPr>
    </w:p>
    <w:p>
      <w:pPr>
        <w:jc w:val="center"/>
        <w:ind w:right="60"/>
        <w:spacing w:after="0" w:line="207" w:lineRule="exact"/>
        <w:tabs>
          <w:tab w:leader="none" w:pos="140" w:val="left"/>
          <w:tab w:leader="none" w:pos="160" w:val="left"/>
        </w:tabs>
        <w:rPr>
          <w:sz w:val="20"/>
          <w:szCs w:val="20"/>
          <w:color w:val="auto"/>
        </w:rPr>
      </w:pPr>
      <w:r>
        <w:rPr>
          <w:rFonts w:ascii="Times New Roman" w:cs="Times New Roman" w:eastAsia="Times New Roman" w:hAnsi="Times New Roman"/>
          <w:sz w:val="18"/>
          <w:szCs w:val="18"/>
          <w:color w:val="auto"/>
        </w:rPr>
        <w:t>(§232.405 of this chapter) during the preceding 12 months (or for such shorter period that the registrant was required to submit such files).</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jc w:val="both"/>
        <w:ind w:firstLine="518"/>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9" w:lineRule="exact"/>
        <w:rPr>
          <w:sz w:val="24"/>
          <w:szCs w:val="24"/>
          <w:color w:val="auto"/>
        </w:rPr>
      </w:pPr>
    </w:p>
    <w:p>
      <w:pPr>
        <w:ind w:right="120" w:firstLine="51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9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97" w:lineRule="exact"/>
        <w:rPr>
          <w:sz w:val="24"/>
          <w:szCs w:val="24"/>
          <w:color w:val="auto"/>
        </w:rPr>
      </w:pPr>
    </w:p>
    <w:tbl>
      <w:tblPr>
        <w:tblLayout w:type="fixed"/>
        <w:tblInd w:w="84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74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77"/>
        </w:trPr>
        <w:tc>
          <w:tcPr>
            <w:tcW w:w="34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780" w:type="dxa"/>
            <w:vAlign w:val="bottom"/>
          </w:tcPr>
          <w:p>
            <w:pPr>
              <w:spacing w:after="0"/>
              <w:rPr>
                <w:sz w:val="24"/>
                <w:szCs w:val="24"/>
                <w:color w:val="auto"/>
              </w:rPr>
            </w:pPr>
          </w:p>
        </w:tc>
        <w:tc>
          <w:tcPr>
            <w:tcW w:w="20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GLDD</w:t>
            </w:r>
          </w:p>
        </w:tc>
        <w:tc>
          <w:tcPr>
            <w:tcW w:w="64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Stock Market, LLC</w:t>
            </w:r>
          </w:p>
        </w:tc>
      </w:tr>
    </w:tbl>
    <w:p>
      <w:pPr>
        <w:spacing w:after="0" w:line="90"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April 26, 2019, 63,367,995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219075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38" w:right="2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91"/>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Financial Information (Unaudited)</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Financial Statements</w:t>
              </w:r>
            </w:hyperlink>
          </w:p>
        </w:tc>
        <w:tc>
          <w:tcPr>
            <w:tcW w:w="1660" w:type="dxa"/>
            <w:vAlign w:val="bottom"/>
            <w:tcBorders>
              <w:top w:val="single" w:sz="8" w:color="0000EE"/>
            </w:tcBorders>
            <w:gridSpan w:val="5"/>
          </w:tcPr>
          <w:p>
            <w:pPr>
              <w:spacing w:after="0"/>
              <w:rPr>
                <w:sz w:val="24"/>
                <w:szCs w:val="24"/>
                <w:color w:val="auto"/>
              </w:rPr>
            </w:pPr>
          </w:p>
        </w:tc>
        <w:tc>
          <w:tcPr>
            <w:tcW w:w="63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4"/>
                <w:szCs w:val="24"/>
                <w:color w:val="auto"/>
              </w:rPr>
            </w:pPr>
          </w:p>
        </w:tc>
        <w:tc>
          <w:tcPr>
            <w:tcW w:w="60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at March 31, 2019 and December 31, 2018</w:t>
              </w:r>
            </w:hyperlink>
          </w:p>
        </w:tc>
        <w:tc>
          <w:tcPr>
            <w:tcW w:w="34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2019 and 2018</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0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Income (Loss) for the Three Months ended March 31, 2019 and 2018</w:t>
              </w:r>
            </w:hyperlink>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Equity for the Three Months Ended March 31, 2019 and 2018</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Three Months Ended March 31, 2019 and 2018</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040" w:type="dxa"/>
            <w:vAlign w:val="bottom"/>
          </w:tcPr>
          <w:p>
            <w:pPr>
              <w:spacing w:after="0"/>
              <w:rPr>
                <w:sz w:val="24"/>
                <w:szCs w:val="24"/>
                <w:color w:val="auto"/>
              </w:rPr>
            </w:pPr>
          </w:p>
        </w:tc>
        <w:tc>
          <w:tcPr>
            <w:tcW w:w="770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Notes to Condensed Consolidated Financial Statements</w:t>
              </w:r>
            </w:hyperlink>
          </w:p>
        </w:tc>
        <w:tc>
          <w:tcPr>
            <w:tcW w:w="178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76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1040" w:type="dxa"/>
            <w:vAlign w:val="bottom"/>
          </w:tcPr>
          <w:p>
            <w:pPr>
              <w:spacing w:after="0"/>
              <w:rPr>
                <w:sz w:val="24"/>
                <w:szCs w:val="24"/>
                <w:color w:val="auto"/>
              </w:rPr>
            </w:pPr>
          </w:p>
        </w:tc>
        <w:tc>
          <w:tcPr>
            <w:tcW w:w="9480" w:type="dxa"/>
            <w:vAlign w:val="bottom"/>
            <w:gridSpan w:val="21"/>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Part II 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Legal Proceedings</w:t>
              </w:r>
            </w:hyperlink>
          </w:p>
        </w:tc>
        <w:tc>
          <w:tcPr>
            <w:tcW w:w="746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Unregistered Sales of Equity Securities and Use of Proceeds</w:t>
              </w:r>
            </w:hyperlink>
          </w:p>
        </w:tc>
        <w:tc>
          <w:tcPr>
            <w:tcW w:w="51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Mine Safety Disclosures</w:t>
              </w:r>
            </w:hyperlink>
          </w:p>
        </w:tc>
        <w:tc>
          <w:tcPr>
            <w:tcW w:w="770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gridSpan w:val="21"/>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Exhibits</w:t>
              </w:r>
            </w:hyperlink>
          </w:p>
        </w:tc>
        <w:tc>
          <w:tcPr>
            <w:tcW w:w="81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20" w:type="dxa"/>
            <w:vAlign w:val="bottom"/>
            <w:gridSpan w:val="1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8"/>
        </w:trPr>
        <w:tc>
          <w:tcPr>
            <w:tcW w:w="10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8"/>
              </w:rPr>
            </w:pPr>
            <w:hyperlink w:anchor="page30">
              <w:r>
                <w:rPr>
                  <w:rFonts w:ascii="Times New Roman" w:cs="Times New Roman" w:eastAsia="Times New Roman" w:hAnsi="Times New Roman"/>
                  <w:sz w:val="18"/>
                  <w:szCs w:val="18"/>
                  <w:b w:val="1"/>
                  <w:bCs w:val="1"/>
                  <w:color w:val="0000EE"/>
                  <w:w w:val="98"/>
                </w:rPr>
                <w:t>Signature</w:t>
              </w:r>
            </w:hyperlink>
          </w:p>
        </w:tc>
        <w:tc>
          <w:tcPr>
            <w:tcW w:w="872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8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122,986</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receivable—net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Assets held for sale</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206,698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369,863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AND OTHER INTANGIBLE ASSETS—Net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INVENTORIES—Noncurrent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73,051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515,343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stock—$.0001 par value; 90,000 authorized, 63,600 and 62,830 shares issued; 63,323 and</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62,552 shares outstanding at March 31, 2019 and December 31, 2018, respectively.</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Treasury stock, at cost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296,774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(55,001)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(74,971)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Borders>
              <w:top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239,277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214,928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851,851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260" w:type="dxa"/>
            <w:vAlign w:val="bottom"/>
            <w:gridSpan w:val="3"/>
          </w:tcPr>
          <w:p>
            <w:pPr>
              <w:jc w:val="center"/>
              <w:ind w:left="3030"/>
              <w:spacing w:after="0"/>
              <w:rPr>
                <w:sz w:val="20"/>
                <w:szCs w:val="20"/>
                <w:color w:val="auto"/>
              </w:rPr>
            </w:pPr>
            <w:r>
              <w:rPr>
                <w:rFonts w:ascii="Times New Roman" w:cs="Times New Roman" w:eastAsia="Times New Roman" w:hAnsi="Times New Roman"/>
                <w:sz w:val="18"/>
                <w:szCs w:val="18"/>
                <w:color w:val="auto"/>
                <w:w w:val="99"/>
              </w:rPr>
              <w:t>See notes to unaudited condensed consolidated financial statements.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7700" w:type="dxa"/>
            <w:vAlign w:val="bottom"/>
            <w:gridSpan w:val="2"/>
          </w:tcPr>
          <w:p>
            <w:pPr>
              <w:jc w:val="right"/>
              <w:ind w:right="185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8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-3175</wp:posOffset>
            </wp:positionV>
            <wp:extent cx="22726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4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2280" w:type="dxa"/>
            <w:vAlign w:val="bottom"/>
            <w:gridSpan w:val="2"/>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192,637</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3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142,760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(7,551)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27,394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continuing operations</w:t>
            </w:r>
          </w:p>
        </w:tc>
        <w:tc>
          <w:tcPr>
            <w:tcW w:w="2280" w:type="dxa"/>
            <w:vAlign w:val="bottom"/>
            <w:gridSpan w:val="2"/>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 attributable to discontinued operations, net of tax</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continuing operations</w:t>
            </w:r>
          </w:p>
        </w:tc>
        <w:tc>
          <w:tcPr>
            <w:tcW w:w="2280" w:type="dxa"/>
            <w:vAlign w:val="bottom"/>
            <w:gridSpan w:val="2"/>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spacing w:after="0"/>
              <w:rPr>
                <w:sz w:val="19"/>
                <w:szCs w:val="19"/>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loss per share attributable to discontinued operations, net of tax</w:t>
            </w: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300" w:type="dxa"/>
            <w:vAlign w:val="bottom"/>
          </w:tcPr>
          <w:p>
            <w:pPr>
              <w:spacing w:after="0"/>
              <w:rPr>
                <w:sz w:val="19"/>
                <w:szCs w:val="19"/>
                <w:color w:val="auto"/>
              </w:rPr>
            </w:pPr>
          </w:p>
        </w:tc>
        <w:tc>
          <w:tcPr>
            <w:tcW w:w="980" w:type="dxa"/>
            <w:vAlign w:val="bottom"/>
            <w:tcBorders>
              <w:top w:val="single" w:sz="8" w:color="auto"/>
            </w:tcBorders>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0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4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86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adjustment—net of tax (1)</w:t>
            </w: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hedges—net of tax (2)</w:t>
            </w:r>
          </w:p>
        </w:tc>
        <w:tc>
          <w:tcPr>
            <w:tcW w:w="18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income—net of tax</w:t>
            </w:r>
          </w:p>
        </w:tc>
        <w:tc>
          <w:tcPr>
            <w:tcW w:w="18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provision of $(535) for the three months ended March 31, 2018.</w:t>
      </w:r>
    </w:p>
    <w:p>
      <w:pPr>
        <w:spacing w:after="0" w:line="225" w:lineRule="exact"/>
        <w:rPr>
          <w:rFonts w:ascii="Times New Roman" w:cs="Times New Roman" w:eastAsia="Times New Roman" w:hAnsi="Times New Roman"/>
          <w:sz w:val="18"/>
          <w:szCs w:val="18"/>
          <w:color w:val="auto"/>
        </w:rPr>
      </w:pPr>
    </w:p>
    <w:p>
      <w:pPr>
        <w:ind w:left="3260" w:right="1000" w:hanging="3252"/>
        <w:spacing w:after="0" w:line="532" w:lineRule="auto"/>
        <w:tabs>
          <w:tab w:leader="none" w:pos="5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income tax benefit of $971 and income tax provision of ($260) for the three months ended March 31, 2019 and 2018, respectively. 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Great Lakes Dredge &amp; Dock Corporation and Subsidiaries</w:t>
      </w: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w:t>
      </w:r>
    </w:p>
    <w:p>
      <w:pPr>
        <w:sectPr>
          <w:pgSz w:w="11900" w:h="16838" w:orient="portrait"/>
          <w:cols w:equalWidth="0" w:num="1">
            <w:col w:w="11360"/>
          </w:cols>
          <w:pgMar w:left="240" w:top="333"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BALANCE—January 1, 2019</w:t>
      </w:r>
    </w:p>
    <w:p>
      <w:pPr>
        <w:spacing w:after="0" w:line="163" w:lineRule="exact"/>
        <w:rPr>
          <w:sz w:val="20"/>
          <w:szCs w:val="20"/>
          <w:color w:val="auto"/>
        </w:rPr>
      </w:pPr>
    </w:p>
    <w:p>
      <w:pPr>
        <w:ind w:left="260"/>
        <w:spacing w:after="0" w:line="253" w:lineRule="auto"/>
        <w:rPr>
          <w:sz w:val="20"/>
          <w:szCs w:val="20"/>
          <w:color w:val="auto"/>
        </w:rPr>
      </w:pPr>
      <w:r>
        <w:rPr>
          <w:rFonts w:ascii="Times New Roman" w:cs="Times New Roman" w:eastAsia="Times New Roman" w:hAnsi="Times New Roman"/>
          <w:sz w:val="14"/>
          <w:szCs w:val="14"/>
          <w:color w:val="auto"/>
        </w:rPr>
        <w:t>Cumulative effect of recent accounting pronouncements Share-based compensation</w:t>
      </w:r>
    </w:p>
    <w:p>
      <w:pPr>
        <w:spacing w:after="0" w:line="1" w:lineRule="exact"/>
        <w:rPr>
          <w:sz w:val="20"/>
          <w:szCs w:val="20"/>
          <w:color w:val="auto"/>
        </w:rPr>
      </w:pPr>
    </w:p>
    <w:p>
      <w:pPr>
        <w:ind w:left="260" w:right="220"/>
        <w:spacing w:after="0" w:line="231" w:lineRule="auto"/>
        <w:rPr>
          <w:sz w:val="20"/>
          <w:szCs w:val="20"/>
          <w:color w:val="auto"/>
        </w:rPr>
      </w:pPr>
      <w:r>
        <w:rPr>
          <w:rFonts w:ascii="Times New Roman" w:cs="Times New Roman" w:eastAsia="Times New Roman" w:hAnsi="Times New Roman"/>
          <w:sz w:val="14"/>
          <w:szCs w:val="14"/>
          <w:color w:val="auto"/>
        </w:rPr>
        <w:t>Vesting of restricted stock units, including impact of shares withheld for taxes</w:t>
      </w:r>
    </w:p>
    <w:p>
      <w:pPr>
        <w:spacing w:after="0" w:line="1" w:lineRule="exact"/>
        <w:rPr>
          <w:sz w:val="20"/>
          <w:szCs w:val="20"/>
          <w:color w:val="auto"/>
        </w:rPr>
      </w:pPr>
    </w:p>
    <w:p>
      <w:pPr>
        <w:ind w:left="260" w:right="20"/>
        <w:spacing w:after="0" w:line="231" w:lineRule="auto"/>
        <w:rPr>
          <w:sz w:val="20"/>
          <w:szCs w:val="20"/>
          <w:color w:val="auto"/>
        </w:rPr>
      </w:pPr>
      <w:r>
        <w:rPr>
          <w:rFonts w:ascii="Times New Roman" w:cs="Times New Roman" w:eastAsia="Times New Roman" w:hAnsi="Times New Roman"/>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comprehensive income—net of tax</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BALANCE—January 1, 2018</w:t>
      </w:r>
    </w:p>
    <w:p>
      <w:pPr>
        <w:spacing w:after="0" w:line="163" w:lineRule="exact"/>
        <w:rPr>
          <w:sz w:val="20"/>
          <w:szCs w:val="20"/>
          <w:color w:val="auto"/>
        </w:rPr>
      </w:pPr>
    </w:p>
    <w:p>
      <w:pPr>
        <w:ind w:left="260"/>
        <w:spacing w:after="0" w:line="253" w:lineRule="auto"/>
        <w:rPr>
          <w:sz w:val="20"/>
          <w:szCs w:val="20"/>
          <w:color w:val="auto"/>
        </w:rPr>
      </w:pPr>
      <w:r>
        <w:rPr>
          <w:rFonts w:ascii="Times New Roman" w:cs="Times New Roman" w:eastAsia="Times New Roman" w:hAnsi="Times New Roman"/>
          <w:sz w:val="14"/>
          <w:szCs w:val="14"/>
          <w:color w:val="auto"/>
        </w:rPr>
        <w:t>Cumulative effect of recent accounting pronouncements Share-based compensation</w:t>
      </w:r>
    </w:p>
    <w:p>
      <w:pPr>
        <w:spacing w:after="0" w:line="1" w:lineRule="exact"/>
        <w:rPr>
          <w:sz w:val="20"/>
          <w:szCs w:val="20"/>
          <w:color w:val="auto"/>
        </w:rPr>
      </w:pPr>
    </w:p>
    <w:p>
      <w:pPr>
        <w:ind w:left="260" w:right="220"/>
        <w:spacing w:after="0" w:line="231" w:lineRule="auto"/>
        <w:rPr>
          <w:sz w:val="20"/>
          <w:szCs w:val="20"/>
          <w:color w:val="auto"/>
        </w:rPr>
      </w:pPr>
      <w:r>
        <w:rPr>
          <w:rFonts w:ascii="Times New Roman" w:cs="Times New Roman" w:eastAsia="Times New Roman" w:hAnsi="Times New Roman"/>
          <w:sz w:val="14"/>
          <w:szCs w:val="14"/>
          <w:color w:val="auto"/>
        </w:rPr>
        <w:t>Vesting of restricted stock units, including impact of shares withheld for taxes</w:t>
      </w:r>
    </w:p>
    <w:p>
      <w:pPr>
        <w:spacing w:after="0" w:line="1" w:lineRule="exact"/>
        <w:rPr>
          <w:sz w:val="20"/>
          <w:szCs w:val="20"/>
          <w:color w:val="auto"/>
        </w:rPr>
      </w:pPr>
    </w:p>
    <w:p>
      <w:pPr>
        <w:ind w:left="260" w:right="20"/>
        <w:spacing w:after="0" w:line="231" w:lineRule="auto"/>
        <w:rPr>
          <w:sz w:val="20"/>
          <w:szCs w:val="20"/>
          <w:color w:val="auto"/>
        </w:rPr>
      </w:pPr>
      <w:r>
        <w:rPr>
          <w:rFonts w:ascii="Times New Roman" w:cs="Times New Roman" w:eastAsia="Times New Roman" w:hAnsi="Times New Roman"/>
          <w:sz w:val="14"/>
          <w:szCs w:val="14"/>
          <w:color w:val="auto"/>
        </w:rPr>
        <w:t>Exercise of options and purchases from employee stock plans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loss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comprehensive income—net of tax</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BALANCE—March 31, 2018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4"/>
                <w:szCs w:val="14"/>
                <w:color w:val="auto"/>
              </w:rPr>
            </w:pPr>
          </w:p>
        </w:tc>
        <w:tc>
          <w:tcPr>
            <w:tcW w:w="740" w:type="dxa"/>
            <w:vAlign w:val="bottom"/>
            <w:gridSpan w:val="4"/>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80" w:type="dxa"/>
            <w:vAlign w:val="bottom"/>
          </w:tcPr>
          <w:p>
            <w:pPr>
              <w:spacing w:after="0"/>
              <w:rPr>
                <w:sz w:val="14"/>
                <w:szCs w:val="14"/>
                <w:color w:val="auto"/>
              </w:rPr>
            </w:pPr>
          </w:p>
        </w:tc>
        <w:tc>
          <w:tcPr>
            <w:tcW w:w="60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4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rPr>
                <w:sz w:val="14"/>
                <w:szCs w:val="14"/>
                <w:color w:val="auto"/>
              </w:rPr>
            </w:pPr>
          </w:p>
        </w:tc>
      </w:tr>
      <w:tr>
        <w:trPr>
          <w:trHeight w:val="309"/>
        </w:trPr>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62,830</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color w:val="auto"/>
              </w:rPr>
              <w:t>(278)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295,135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(74,971)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(3,809)</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214,928</w:t>
            </w:r>
          </w:p>
        </w:tc>
        <w:tc>
          <w:tcPr>
            <w:tcW w:w="40" w:type="dxa"/>
            <w:vAlign w:val="bottom"/>
          </w:tcPr>
          <w:p>
            <w:pPr>
              <w:spacing w:after="0"/>
              <w:rPr>
                <w:sz w:val="24"/>
                <w:szCs w:val="24"/>
                <w:color w:val="auto"/>
              </w:rPr>
            </w:pPr>
          </w:p>
        </w:tc>
      </w:tr>
      <w:tr>
        <w:trPr>
          <w:trHeight w:val="298"/>
        </w:trPr>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2,802</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2,802</w:t>
            </w:r>
          </w:p>
        </w:tc>
        <w:tc>
          <w:tcPr>
            <w:tcW w:w="40" w:type="dxa"/>
            <w:vAlign w:val="bottom"/>
          </w:tcPr>
          <w:p>
            <w:pPr>
              <w:spacing w:after="0"/>
              <w:rPr>
                <w:sz w:val="24"/>
                <w:szCs w:val="24"/>
                <w:color w:val="auto"/>
              </w:rPr>
            </w:pPr>
          </w:p>
        </w:tc>
      </w:tr>
      <w:tr>
        <w:trPr>
          <w:trHeight w:val="188"/>
        </w:trPr>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2,201</w:t>
            </w:r>
          </w:p>
        </w:tc>
        <w:tc>
          <w:tcPr>
            <w:tcW w:w="40" w:type="dxa"/>
            <w:vAlign w:val="bottom"/>
          </w:tcPr>
          <w:p>
            <w:pPr>
              <w:spacing w:after="0"/>
              <w:rPr>
                <w:sz w:val="16"/>
                <w:szCs w:val="16"/>
                <w:color w:val="auto"/>
              </w:rPr>
            </w:pPr>
          </w:p>
        </w:tc>
      </w:tr>
      <w:tr>
        <w:trPr>
          <w:trHeight w:val="230"/>
        </w:trPr>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(2,188)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(2,188)</w:t>
            </w:r>
          </w:p>
        </w:tc>
      </w:tr>
      <w:tr>
        <w:trPr>
          <w:trHeight w:val="311"/>
        </w:trPr>
        <w:tc>
          <w:tcPr>
            <w:tcW w:w="6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1,626</w:t>
            </w:r>
          </w:p>
        </w:tc>
        <w:tc>
          <w:tcPr>
            <w:tcW w:w="40" w:type="dxa"/>
            <w:vAlign w:val="bottom"/>
          </w:tcPr>
          <w:p>
            <w:pPr>
              <w:spacing w:after="0"/>
              <w:rPr>
                <w:sz w:val="24"/>
                <w:szCs w:val="24"/>
                <w:color w:val="auto"/>
              </w:rPr>
            </w:pPr>
          </w:p>
        </w:tc>
      </w:tr>
      <w:tr>
        <w:trPr>
          <w:trHeight w:val="217"/>
        </w:trPr>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17,168</w:t>
            </w:r>
          </w:p>
        </w:tc>
        <w:tc>
          <w:tcPr>
            <w:tcW w:w="40" w:type="dxa"/>
            <w:vAlign w:val="bottom"/>
          </w:tcPr>
          <w:p>
            <w:pPr>
              <w:spacing w:after="0"/>
              <w:rPr>
                <w:sz w:val="18"/>
                <w:szCs w:val="18"/>
                <w:color w:val="auto"/>
              </w:rPr>
            </w:pPr>
          </w:p>
        </w:tc>
      </w:tr>
      <w:tr>
        <w:trPr>
          <w:trHeight w:val="171"/>
        </w:trPr>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2,740</w:t>
            </w:r>
          </w:p>
        </w:tc>
        <w:tc>
          <w:tcPr>
            <w:tcW w:w="40" w:type="dxa"/>
            <w:vAlign w:val="bottom"/>
          </w:tcPr>
          <w:p>
            <w:pPr>
              <w:spacing w:after="0"/>
              <w:rPr>
                <w:sz w:val="14"/>
                <w:szCs w:val="14"/>
                <w:color w:val="auto"/>
              </w:rPr>
            </w:pPr>
          </w:p>
        </w:tc>
      </w:tr>
      <w:tr>
        <w:trPr>
          <w:trHeight w:val="156"/>
        </w:trPr>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63,600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(278)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(1,433</w:t>
            </w: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296,774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(55,001)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(1,069)</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239,277</w:t>
            </w:r>
          </w:p>
        </w:tc>
        <w:tc>
          <w:tcPr>
            <w:tcW w:w="4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14"/>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2"/>
        </w:trPr>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Common</w:t>
            </w:r>
          </w:p>
        </w:tc>
        <w:tc>
          <w:tcPr>
            <w:tcW w:w="160" w:type="dxa"/>
            <w:vAlign w:val="bottom"/>
          </w:tcPr>
          <w:p>
            <w:pPr>
              <w:spacing w:after="0"/>
              <w:rPr>
                <w:sz w:val="14"/>
                <w:szCs w:val="14"/>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4"/>
                <w:szCs w:val="14"/>
                <w:color w:val="auto"/>
              </w:rPr>
            </w:pPr>
          </w:p>
        </w:tc>
        <w:tc>
          <w:tcPr>
            <w:tcW w:w="860" w:type="dxa"/>
            <w:vAlign w:val="bottom"/>
            <w:gridSpan w:val="4"/>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840" w:type="dxa"/>
            <w:vAlign w:val="bottom"/>
            <w:gridSpan w:val="5"/>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2"/>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5"/>
              </w:rPr>
              <w:t>Income (loss)</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gridSpan w:val="2"/>
          </w:tcPr>
          <w:p>
            <w:pPr>
              <w:spacing w:after="0"/>
              <w:rPr>
                <w:sz w:val="14"/>
                <w:szCs w:val="14"/>
                <w:color w:val="auto"/>
              </w:rPr>
            </w:pPr>
          </w:p>
        </w:tc>
      </w:tr>
      <w:tr>
        <w:trPr>
          <w:trHeight w:val="309"/>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61,897</w:t>
            </w:r>
          </w:p>
        </w:tc>
        <w:tc>
          <w:tcPr>
            <w:tcW w:w="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color w:val="auto"/>
              </w:rPr>
              <w:t>(278)</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24"/>
                <w:szCs w:val="24"/>
                <w:color w:val="auto"/>
              </w:rPr>
            </w:pPr>
          </w:p>
        </w:tc>
        <w:tc>
          <w:tcPr>
            <w:tcW w:w="5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289,821</w:t>
            </w:r>
          </w:p>
        </w:tc>
        <w:tc>
          <w:tcPr>
            <w:tcW w:w="1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(67,101)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221,296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8"/>
        </w:trPr>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(1,577)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(1,577)</w:t>
            </w:r>
          </w:p>
        </w:tc>
      </w:tr>
      <w:tr>
        <w:trPr>
          <w:trHeight w:val="188"/>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(936)</w:t>
            </w:r>
          </w:p>
        </w:tc>
      </w:tr>
      <w:tr>
        <w:trPr>
          <w:trHeight w:val="311"/>
        </w:trPr>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7"/>
        </w:trPr>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(9,321)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(9,321)</w:t>
            </w:r>
          </w:p>
        </w:tc>
      </w:tr>
      <w:tr>
        <w:trPr>
          <w:trHeight w:val="171"/>
        </w:trPr>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6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62,485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(1,433</w:t>
            </w:r>
          </w:p>
        </w:tc>
        <w:tc>
          <w:tcPr>
            <w:tcW w:w="120" w:type="dxa"/>
            <w:vAlign w:val="bottom"/>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290,298</w:t>
            </w:r>
          </w:p>
        </w:tc>
        <w:tc>
          <w:tcPr>
            <w:tcW w:w="1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(77,999)</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630</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211,502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-3043555</wp:posOffset>
            </wp:positionV>
            <wp:extent cx="72466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-2837815</wp:posOffset>
            </wp:positionV>
            <wp:extent cx="72466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-2632075</wp:posOffset>
            </wp:positionV>
            <wp:extent cx="72466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-2237740</wp:posOffset>
            </wp:positionV>
            <wp:extent cx="72466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-2032000</wp:posOffset>
            </wp:positionV>
            <wp:extent cx="72466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2001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-1148715</wp:posOffset>
            </wp:positionV>
            <wp:extent cx="72466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-942975</wp:posOffset>
            </wp:positionV>
            <wp:extent cx="72466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-736600</wp:posOffset>
            </wp:positionV>
            <wp:extent cx="7246620" cy="197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-342265</wp:posOffset>
            </wp:positionV>
            <wp:extent cx="72466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-136525</wp:posOffset>
            </wp:positionV>
            <wp:extent cx="7246620"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220"/>
            <w:col w:w="7660"/>
          </w:cols>
          <w:pgMar w:left="240" w:top="333" w:right="299" w:bottom="1440" w:gutter="0" w:footer="0" w:header="0"/>
          <w:type w:val="continuous"/>
        </w:sectPr>
      </w:pPr>
    </w:p>
    <w:p>
      <w:pPr>
        <w:spacing w:after="0" w:line="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7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730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20" w:type="dxa"/>
            <w:vAlign w:val="bottom"/>
            <w:gridSpan w:val="2"/>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60" w:type="dxa"/>
            <w:vAlign w:val="bottom"/>
          </w:tcPr>
          <w:p>
            <w:pPr>
              <w:spacing w:after="0"/>
              <w:rPr>
                <w:sz w:val="19"/>
                <w:szCs w:val="19"/>
                <w:color w:val="auto"/>
              </w:rPr>
            </w:pPr>
          </w:p>
        </w:tc>
        <w:tc>
          <w:tcPr>
            <w:tcW w:w="70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(9,321)</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(2,314)</w:t>
            </w:r>
          </w:p>
        </w:tc>
        <w:tc>
          <w:tcPr>
            <w:tcW w:w="20" w:type="dxa"/>
            <w:vAlign w:val="bottom"/>
          </w:tcPr>
          <w:p>
            <w:pPr>
              <w:spacing w:after="0"/>
              <w:rPr>
                <w:sz w:val="19"/>
                <w:szCs w:val="19"/>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560" w:type="dxa"/>
            <w:vAlign w:val="bottom"/>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provided by operating activities: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(3,740)</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non-cash restructuring items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foreign currency gain</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(29,325)</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26,077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(5,094)</w:t>
            </w:r>
          </w:p>
        </w:tc>
        <w:tc>
          <w:tcPr>
            <w:tcW w:w="20" w:type="dxa"/>
            <w:vAlign w:val="bottom"/>
          </w:tcPr>
          <w:p>
            <w:pPr>
              <w:spacing w:after="0"/>
              <w:rPr>
                <w:sz w:val="19"/>
                <w:szCs w:val="19"/>
                <w:color w:val="auto"/>
              </w:rPr>
            </w:pPr>
          </w:p>
        </w:tc>
      </w:tr>
      <w:tr>
        <w:trPr>
          <w:trHeight w:val="230"/>
        </w:trPr>
        <w:tc>
          <w:tcPr>
            <w:tcW w:w="73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Billings in excess of contract revenues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(2,714)</w:t>
            </w:r>
          </w:p>
        </w:tc>
        <w:tc>
          <w:tcPr>
            <w:tcW w:w="20" w:type="dxa"/>
            <w:vAlign w:val="bottom"/>
          </w:tcPr>
          <w:p>
            <w:pPr>
              <w:spacing w:after="0"/>
              <w:rPr>
                <w:sz w:val="19"/>
                <w:szCs w:val="19"/>
                <w:color w:val="auto"/>
              </w:rPr>
            </w:pPr>
          </w:p>
        </w:tc>
      </w:tr>
      <w:tr>
        <w:trPr>
          <w:trHeight w:val="230"/>
        </w:trPr>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(4,506)</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flows provided by operating activities from continuing operations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105,792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used in operating activities of discontinued operations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108,460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(7,704)</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(7,513)</w:t>
            </w:r>
          </w:p>
        </w:tc>
        <w:tc>
          <w:tcPr>
            <w:tcW w:w="20" w:type="dxa"/>
            <w:vAlign w:val="bottom"/>
          </w:tcPr>
          <w:p>
            <w:pPr>
              <w:spacing w:after="0"/>
              <w:rPr>
                <w:sz w:val="19"/>
                <w:szCs w:val="19"/>
                <w:color w:val="auto"/>
              </w:rPr>
            </w:pPr>
          </w:p>
        </w:tc>
      </w:tr>
      <w:tr>
        <w:trPr>
          <w:trHeight w:val="230"/>
        </w:trPr>
        <w:tc>
          <w:tcPr>
            <w:tcW w:w="7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dispositions of property and equipment</w:t>
            </w:r>
          </w:p>
        </w:tc>
        <w:tc>
          <w:tcPr>
            <w:tcW w:w="5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flows used in investing activities of continuing operations</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used in investing activities of discontinued operations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23"/>
        </w:trPr>
        <w:tc>
          <w:tcPr>
            <w:tcW w:w="73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5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730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3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3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60" w:type="dxa"/>
            <w:vAlign w:val="bottom"/>
            <w:gridSpan w:val="2"/>
            <w:vMerge w:val="continue"/>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debt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Taxes paid on settlement of vested share awards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options and purchases from employee stock plans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loans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revolving loans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(11,500)</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flows used in financing activities of continuing operations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(12,062)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cash flows used in financing activities of discontinued operations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(12,315)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currency exchange rates on cash and cash equivalents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300" w:type="dxa"/>
            <w:vAlign w:val="bottom"/>
          </w:tcPr>
          <w:p>
            <w:pPr>
              <w:spacing w:after="0"/>
              <w:rPr>
                <w:sz w:val="22"/>
                <w:szCs w:val="22"/>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122,986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60" w:type="dxa"/>
            <w:vAlign w:val="bottom"/>
            <w:gridSpan w:val="2"/>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122,986</w:t>
            </w:r>
          </w:p>
        </w:tc>
        <w:tc>
          <w:tcPr>
            <w:tcW w:w="160" w:type="dxa"/>
            <w:vAlign w:val="bottom"/>
          </w:tcPr>
          <w:p>
            <w:pPr>
              <w:spacing w:after="0"/>
              <w:rPr>
                <w:sz w:val="19"/>
                <w:szCs w:val="19"/>
                <w:color w:val="auto"/>
              </w:rPr>
            </w:pPr>
          </w:p>
        </w:tc>
        <w:tc>
          <w:tcPr>
            <w:tcW w:w="700" w:type="dxa"/>
            <w:vAlign w:val="bottom"/>
            <w:gridSpan w:val="2"/>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3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122,986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(refunded) paid for income taxes</w:t>
            </w:r>
          </w:p>
        </w:tc>
        <w:tc>
          <w:tcPr>
            <w:tcW w:w="22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gridSpan w:val="2"/>
            <w:vMerge w:val="continue"/>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purchased but not yet paid</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Repayments of debt with proceeds from sale-leaseback transactions</w:t>
            </w: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gridSpan w:val="2"/>
            <w:vMerge w:val="continue"/>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GREAT LAKES DREDGE &amp; DOCK CORPORATION AND SUBSIDIARIES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 or as otherwise noted)</w:t>
      </w:r>
    </w:p>
    <w:p>
      <w:pPr>
        <w:spacing w:after="0" w:line="230"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2018.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March 31, 2019, and its results of operations for the three months ended March 31, 2019 and 2018 and cash flows for the three months ended March 31, 2019 and 2018 have been included.</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The Company adopted Accounting Standard Update No. 2016-02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and subsequently issued other Accounting Standard Updates related to the Accounting Standards Codification Topic 842 (collectively, “ASC 842”) on January 1, 2019. The Financial Accounting Standards Board (“FASB”) issued ASC 842 to increase the transparency and comparability among organizations by recognizing lease assets and lease liabilities on the balance sheet and disclosing key information about leasing arrangements. The Company adopted ASC 842 using the package of practical expedients that allowed entities to retain the classification of lease contracts existing as of the date of adoption. Additionally, the Company has elected to combine lease and non-lease components, such as common area maintenance costs, in calculating the operating lease assets and operating lease liabilities for all asset groups except for the Company’s dredges. Further, the Company adopted ASC 842 using the transition method under which entities initially applied ASC 842 at the adoption date and recognized a cumulative-effect adjustment to the opening balance of retained earnings in the period of adoption. Under this method, the comparative periods presented in the financial statements prior to the adoption date were not adjusted to apply ASC 842. Upon the adoption of ASC 842, the Company recorded a cumulative net adjustment of $2,802 to the beginning retained earnings balance.</w:t>
      </w:r>
    </w:p>
    <w:p>
      <w:pPr>
        <w:spacing w:after="0" w:line="18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one operating segment which is also the Company’s reportable segment and reporting unit of which the Company tests goodwill for impairment. The historical environmental &amp; infrastructure segment has been retrospectively presented as discontinued operations and assets and liabilities held for sale and is no longer reflected in continuing operations. The Company performed its most recent annual test of impairment as of July 1, 2018 with no indication of impairment as of the test date. The Company will perform its next scheduled annual test of goodwill in the third quarter of 2019 should no triggering events occur which would require a test prior to the next annual test.</w:t>
      </w:r>
    </w:p>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 Update No. 2017-04 (“ASU 2017-04”), </w:t>
      </w:r>
      <w:r>
        <w:rPr>
          <w:rFonts w:ascii="Times New Roman" w:cs="Times New Roman" w:eastAsia="Times New Roman" w:hAnsi="Times New Roman"/>
          <w:sz w:val="18"/>
          <w:szCs w:val="18"/>
          <w:i w:val="1"/>
          <w:iCs w:val="1"/>
          <w:color w:val="auto"/>
        </w:rPr>
        <w:t>Intangibles—Goodwill and Other (Topic 350): Simplifying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Test for Goodwill Impairment</w:t>
      </w:r>
      <w:r>
        <w:rPr>
          <w:rFonts w:ascii="Times New Roman" w:cs="Times New Roman" w:eastAsia="Times New Roman" w:hAnsi="Times New Roman"/>
          <w:sz w:val="18"/>
          <w:szCs w:val="18"/>
          <w:color w:val="auto"/>
        </w:rPr>
        <w:t>. The amendment removes the requirement to compare the implied fair value of goodwill with its carrying amount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step 2 of the goodwill impairment test. The guidance is effective for fiscal years beginning after December 15, 2019. The Company does not anticipate that the adoption of ASU 2017-04 will have a material effect on the Company’s consolidated financial statements.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9" w:name="page10"/>
    <w:bookmarkEnd w:id="9"/>
    <w:p>
      <w:pPr>
        <w:ind w:left="1040" w:hanging="519"/>
        <w:spacing w:after="0"/>
        <w:tabs>
          <w:tab w:leader="none" w:pos="10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for basic and diluted earnings (loss) per share are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4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 from continuing operations — basic</w:t>
            </w:r>
          </w:p>
        </w:tc>
        <w:tc>
          <w:tcPr>
            <w:tcW w:w="1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from continuing operations — diluted</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2018 the following amounts of stock options (“NQSO”) and restricted stock units (“RSU”) were excluded from the diluted weighted-average common shares outstanding as the Company incurred a loss during the period:</w:t>
      </w:r>
    </w:p>
    <w:p>
      <w:pPr>
        <w:spacing w:after="0" w:line="236" w:lineRule="exact"/>
        <w:rPr>
          <w:sz w:val="20"/>
          <w:szCs w:val="20"/>
          <w:color w:val="auto"/>
        </w:rPr>
      </w:pPr>
    </w:p>
    <w:tbl>
      <w:tblPr>
        <w:tblLayout w:type="fixed"/>
        <w:tblInd w:w="212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10"/>
        </w:trPr>
        <w:tc>
          <w:tcPr>
            <w:tcW w:w="5320" w:type="dxa"/>
            <w:vAlign w:val="bottom"/>
            <w:tcBorders>
              <w:bottom w:val="single" w:sz="8" w:color="CFF0FC"/>
            </w:tcBorders>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8"/>
                <w:szCs w:val="18"/>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the following amounts of NQSOs and RSUs were excluded from the calculation of diluted earnings per share based on the application of the treasury stock method, as such NQSOs and RSUs were determined to be anti-dilutive:</w:t>
      </w:r>
    </w:p>
    <w:p>
      <w:pPr>
        <w:spacing w:after="0" w:line="236"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(shares in thousands)</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608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stock options and restricted stock units</w:t>
            </w: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shd w:val="clear" w:color="auto" w:fill="CFF0FC"/>
          </w:tcPr>
          <w:p>
            <w:pPr>
              <w:spacing w:after="0"/>
              <w:rPr>
                <w:sz w:val="19"/>
                <w:szCs w:val="19"/>
                <w:color w:val="auto"/>
              </w:rPr>
            </w:pPr>
          </w:p>
        </w:tc>
      </w:tr>
    </w:tbl>
    <w:p>
      <w:pPr>
        <w:spacing w:after="0" w:line="234" w:lineRule="exact"/>
        <w:rPr>
          <w:sz w:val="20"/>
          <w:szCs w:val="20"/>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leases certain operating equipment and office facilities. Leases with an initial term greater than twelve months are recorded on the Company’s balance sheet as an operating lease asset and operating lease liability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w:t>
      </w:r>
    </w:p>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lease costs are recorded in cost of contract revenues and general and administrative expenses. For the three months ended March 31, 2019, lease costs are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2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1"/>
                <w:szCs w:val="11"/>
                <w:color w:val="auto"/>
                <w:w w:val="71"/>
              </w:rPr>
              <w:t>$</w:t>
            </w: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maturity analysis of its operating lease liabilities, recorded on the balance sheet, as of March 31, 2019 is as follows: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jc w:val="right"/>
              <w:ind w:right="4190"/>
              <w:spacing w:after="0"/>
              <w:rPr>
                <w:sz w:val="20"/>
                <w:szCs w:val="20"/>
                <w:color w:val="auto"/>
              </w:rPr>
            </w:pPr>
            <w:r>
              <w:rPr>
                <w:rFonts w:ascii="Times New Roman" w:cs="Times New Roman" w:eastAsia="Times New Roman" w:hAnsi="Times New Roman"/>
                <w:sz w:val="18"/>
                <w:szCs w:val="18"/>
                <w:color w:val="auto"/>
              </w:rPr>
              <w:t>2019</w:t>
            </w:r>
          </w:p>
        </w:tc>
        <w:tc>
          <w:tcPr>
            <w:tcW w:w="1380" w:type="dxa"/>
            <w:vAlign w:val="bottom"/>
          </w:tcPr>
          <w:p>
            <w:pPr>
              <w:jc w:val="right"/>
              <w:ind w:right="121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jc w:val="right"/>
              <w:ind w:right="4190"/>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jc w:val="right"/>
              <w:ind w:right="419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Minimum lease payments</w:t>
            </w:r>
          </w:p>
        </w:tc>
        <w:tc>
          <w:tcPr>
            <w:tcW w:w="1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138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Present value of minimum operating lease payments</w:t>
            </w:r>
          </w:p>
        </w:tc>
        <w:tc>
          <w:tcPr>
            <w:tcW w:w="1380" w:type="dxa"/>
            <w:vAlign w:val="bottom"/>
            <w:tcBorders>
              <w:bottom w:val="single" w:sz="8" w:color="auto"/>
            </w:tcBorders>
          </w:tcPr>
          <w:p>
            <w:pPr>
              <w:jc w:val="right"/>
              <w:ind w:right="121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w w:val="99"/>
              </w:rPr>
              <w:t>Future minimum operating lease payments at December 31, 2018, were as follows:</w:t>
            </w:r>
          </w:p>
        </w:tc>
        <w:tc>
          <w:tcPr>
            <w:tcW w:w="1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4720" w:type="dxa"/>
            <w:vAlign w:val="bottom"/>
            <w:shd w:val="clear" w:color="auto" w:fill="CFF0FC"/>
          </w:tcPr>
          <w:p>
            <w:pPr>
              <w:jc w:val="right"/>
              <w:ind w:right="4190"/>
              <w:spacing w:after="0"/>
              <w:rPr>
                <w:sz w:val="20"/>
                <w:szCs w:val="20"/>
                <w:color w:val="auto"/>
              </w:rPr>
            </w:pPr>
            <w:r>
              <w:rPr>
                <w:rFonts w:ascii="Times New Roman" w:cs="Times New Roman" w:eastAsia="Times New Roman" w:hAnsi="Times New Roman"/>
                <w:sz w:val="18"/>
                <w:szCs w:val="18"/>
                <w:color w:val="auto"/>
              </w:rPr>
              <w:t>2019</w:t>
            </w:r>
          </w:p>
        </w:tc>
        <w:tc>
          <w:tcPr>
            <w:tcW w:w="1380" w:type="dxa"/>
            <w:vAlign w:val="bottom"/>
            <w:shd w:val="clear" w:color="auto" w:fill="CFF0FC"/>
          </w:tcPr>
          <w:p>
            <w:pPr>
              <w:jc w:val="right"/>
              <w:ind w:right="121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2020</w:t>
            </w:r>
          </w:p>
        </w:tc>
        <w:tc>
          <w:tcPr>
            <w:tcW w:w="1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jc w:val="right"/>
              <w:ind w:right="4190"/>
              <w:spacing w:after="0"/>
              <w:rPr>
                <w:sz w:val="20"/>
                <w:szCs w:val="20"/>
                <w:color w:val="auto"/>
              </w:rPr>
            </w:pPr>
            <w:r>
              <w:rPr>
                <w:rFonts w:ascii="Times New Roman" w:cs="Times New Roman" w:eastAsia="Times New Roman" w:hAnsi="Times New Roman"/>
                <w:sz w:val="18"/>
                <w:szCs w:val="18"/>
                <w:color w:val="auto"/>
              </w:rPr>
              <w:t>2021</w:t>
            </w:r>
          </w:p>
        </w:tc>
        <w:tc>
          <w:tcPr>
            <w:tcW w:w="13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18,430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Pr>
          <w:p>
            <w:pPr>
              <w:jc w:val="right"/>
              <w:ind w:right="4190"/>
              <w:spacing w:after="0"/>
              <w:rPr>
                <w:sz w:val="20"/>
                <w:szCs w:val="20"/>
                <w:color w:val="auto"/>
              </w:rPr>
            </w:pPr>
            <w:r>
              <w:rPr>
                <w:rFonts w:ascii="Times New Roman" w:cs="Times New Roman" w:eastAsia="Times New Roman" w:hAnsi="Times New Roman"/>
                <w:sz w:val="18"/>
                <w:szCs w:val="18"/>
                <w:color w:val="auto"/>
              </w:rPr>
              <w:t>2022</w:t>
            </w:r>
          </w:p>
        </w:tc>
        <w:tc>
          <w:tcPr>
            <w:tcW w:w="13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shd w:val="clear" w:color="auto" w:fill="CFF0FC"/>
          </w:tcPr>
          <w:p>
            <w:pPr>
              <w:jc w:val="right"/>
              <w:ind w:right="4190"/>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minimum operating lease payments</w:t>
            </w:r>
          </w:p>
        </w:tc>
        <w:tc>
          <w:tcPr>
            <w:tcW w:w="1380" w:type="dxa"/>
            <w:vAlign w:val="bottom"/>
            <w:tcBorders>
              <w:bottom w:val="single" w:sz="8" w:color="auto"/>
            </w:tcBorders>
            <w:shd w:val="clear" w:color="auto" w:fill="CFF0FC"/>
          </w:tcPr>
          <w:p>
            <w:pPr>
              <w:jc w:val="right"/>
              <w:ind w:right="1215"/>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98,623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80"/>
        <w:spacing w:after="0" w:line="257"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used our incremental borrowing rate based on the information available at commencement date in determining the present value of lease payments. At the date of adoption, the Company used the incremental borrowing rate as of December 31, 2018, for operating leases that commenced prior to that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the Company’s leases as of March 31, 2019 is as follows:</w:t>
      </w:r>
    </w:p>
    <w:p>
      <w:pPr>
        <w:spacing w:after="0" w:line="28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3300" w:type="dxa"/>
            <w:vAlign w:val="bottom"/>
            <w:gridSpan w:val="2"/>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during the three months ended March 31, 2019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tcPr>
          <w:p>
            <w:pPr>
              <w:spacing w:after="0"/>
              <w:rPr>
                <w:sz w:val="14"/>
                <w:szCs w:val="14"/>
                <w:color w:val="auto"/>
              </w:rPr>
            </w:pPr>
          </w:p>
        </w:tc>
      </w:tr>
      <w:tr>
        <w:trPr>
          <w:trHeight w:val="173"/>
        </w:trPr>
        <w:tc>
          <w:tcPr>
            <w:tcW w:w="17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00" w:type="dxa"/>
            <w:vAlign w:val="bottom"/>
            <w:tcBorders>
              <w:top w:val="single" w:sz="8" w:color="auto"/>
            </w:tcBorders>
            <w:shd w:val="clear" w:color="auto" w:fill="CFF0FC"/>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2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11"/>
        </w:trPr>
        <w:tc>
          <w:tcPr>
            <w:tcW w:w="17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 obtaining new operating</w:t>
            </w:r>
          </w:p>
        </w:tc>
        <w:tc>
          <w:tcPr>
            <w:tcW w:w="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64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lease assets</w:t>
            </w:r>
          </w:p>
        </w:tc>
        <w:tc>
          <w:tcPr>
            <w:tcW w:w="50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648"/>
        </w:trPr>
        <w:tc>
          <w:tcPr>
            <w:tcW w:w="64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49" w:right="219" w:bottom="1440" w:gutter="0" w:footer="0" w:header="0"/>
        </w:sectPr>
      </w:pPr>
    </w:p>
    <w:bookmarkStart w:id="11" w:name="page12"/>
    <w:bookmarkEnd w:id="11"/>
    <w:p>
      <w:pPr>
        <w:ind w:left="1040" w:hanging="519"/>
        <w:spacing w:after="0"/>
        <w:tabs>
          <w:tab w:leader="none" w:pos="10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at March 31, 2019 and December 31, 2018 are as follows: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reserves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employee benefits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Fuel hedge contracts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Income and other taxes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30, 2016, the Company, Great Lakes Dredge &amp; Dock Company, LLC, NASDI Holdings, LLC, Great Lakes Dredge &amp; Dock Environmental, Inc., Great Lakes Environmental &amp; Infrastructure Solutions, LLC and Great Lakes Environmental &amp; Infrastructure, LLC (collectively, the “Credit Parties”) entered into a revolving credit and security agreement, as subsequently amended, (the “Credit Agreement”) with certain financial institutions from time to time party thereto as lenders, PNC Bank, National Association, as Agent, PNC Capital Markets, CIBC Bank USA, Suntrust Robinson Humphrey, Inc., Capital One, National Association and Bank of America, N.A., as Joint Lead Arrangers and Joint Bookrunners, Texas Capital Bank, National Association, as Syndication Agent and Woodforest National Bank, as Documentation Agent. The Credit Agreement, which replaced the Company’s former revolving credit agreement, provides for a senior secured revolving credit facility in an aggregate principal amount of up to $250,000, subfacilities for the issuance of standby letters of credit up to a $250,000 sublimit and swingline loans up to a $25,000 sublimit. The maximum borrowing capacity under the Credit Agreement is determined by a formula and may fluctuate depending on the value of the collateral included in such formula at the time of determination. The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spacing w:after="0" w:line="19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more than 1.10 to 1.00. The Company is required to maintain this ratio if its availability under the Credit Agreement falls below $31,250 for five consecutive days or $25,000 for one day. The Credit Parties are also restricted in the amount of capital expenditures they may make in each fiscal year. The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Credit Agreement will be unconditionally guaranteed, on a joint and several basis, by each existing and subsequently acquired or formed material direct and indirect domestic subsidiary of the Company. Borrowings under the Credit Agreement were or will be used to refinance existing indebtedness under the Company’s former revolving credit agreement, refinance existing indebtedness under the Company’s former term loan agreement, pay fees and expenses related to the Credit Agreement, finance acquisitions permitted under the Credit Agreement, finance ongoing working capital, and for other general corporate purposes. The Credit Agreement matures on December 30, 2019.</w:t>
      </w:r>
    </w:p>
    <w:p>
      <w:pPr>
        <w:spacing w:after="0" w:line="19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secured by substantially all of the assets of the Credit Parties. The outstanding obligations thereunder shall be secured by a valid first priority perfected lien on substantially all of the vessels of the Credit Parties and a valid perfected lien on all domestic accounts receivable and substantially all other assets of the Credit Parties, subject to the permitted liens and interests of other parties (including the Company’s surety bonding provider).</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74" w:right="279" w:bottom="1440" w:gutter="0" w:footer="0" w:header="0"/>
        </w:sectPr>
      </w:pPr>
    </w:p>
    <w:bookmarkStart w:id="12" w:name="page13"/>
    <w:bookmarkEnd w:id="12"/>
    <w:p>
      <w:pPr>
        <w:ind w:right="40"/>
        <w:spacing w:after="0" w:line="255" w:lineRule="auto"/>
        <w:rPr>
          <w:sz w:val="20"/>
          <w:szCs w:val="20"/>
          <w:color w:val="auto"/>
        </w:rPr>
      </w:pPr>
      <w:r>
        <w:rPr>
          <w:rFonts w:ascii="Times New Roman" w:cs="Times New Roman" w:eastAsia="Times New Roman" w:hAnsi="Times New Roman"/>
          <w:sz w:val="18"/>
          <w:szCs w:val="18"/>
          <w:color w:val="auto"/>
        </w:rPr>
        <w:t>Interest on the senior secured revolving credit facility of the Credit Agreement is equal to either a Base Rate option or LIBOR option, at the Company’s election. The Base Rate option is (1) the base commercial lending rate of PNC Bank, National Association, as publicly announced plus (2)(a) an interest margin of 2.0% or (b) after the date on which a borrowing base certificate is required to be delivered under Section 9.2 of the Credit Agreement (commencing with the fiscal quarter ending December 31, 2017, the “Adjustment Date”), an interest margin ranging between 1.5% and 2.0% depending on the quarterly average undrawn availability on the senior secured revolving credit facility. The LIBOR option is the sum of (1) LIBOR and (2)(a) an interest margin of 3.0% or (b) after the Adjustment Date, an interest rate margin ranging between 2.5% to 3.0% per annum depending on the quarterly average undrawn availability on the senior secured revolving credit facility. The Credit Agreement is subject to an unused fee ranging from 0.25% to 0.375% per annum depending on the amount of average daily outstandings under the senior secured revolving credit facility.</w:t>
      </w:r>
    </w:p>
    <w:p>
      <w:pPr>
        <w:spacing w:after="0" w:line="21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had no borrowings on the revolver, $37,748 of letters of credit outstanding and $206,008 of availability under the Credit Agreement. The availability under the Credit Agreement is suppressed by $6,244 as of March 31, 2019 as a result of certain limitations set forth in the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 and subsidiary guarantors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2017, the Company issued $325,000 of 8.000% senior notes (“8% Senior Notes”) due May 15, 2022. The interest is paid semi-annually.</w:t>
      </w:r>
    </w:p>
    <w:p>
      <w:pPr>
        <w:spacing w:after="0" w:line="22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213"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60" w:type="dxa"/>
            <w:vAlign w:val="bottom"/>
            <w:tcBorders>
              <w:bottom w:val="single" w:sz="8" w:color="auto"/>
            </w:tcBorders>
            <w:gridSpan w:val="7"/>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6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At March 31, 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vMerge w:val="continue"/>
          </w:tcPr>
          <w:p>
            <w:pPr>
              <w:spacing w:after="0"/>
              <w:rPr>
                <w:sz w:val="15"/>
                <w:szCs w:val="15"/>
                <w:color w:val="auto"/>
              </w:rPr>
            </w:pPr>
          </w:p>
        </w:tc>
        <w:tc>
          <w:tcPr>
            <w:tcW w:w="4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Fuel hedge contracts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20" w:type="dxa"/>
            <w:vAlign w:val="bottom"/>
          </w:tcPr>
          <w:p>
            <w:pPr>
              <w:spacing w:after="0"/>
              <w:rPr>
                <w:sz w:val="11"/>
                <w:szCs w:val="11"/>
                <w:color w:val="auto"/>
              </w:rPr>
            </w:pPr>
          </w:p>
        </w:tc>
        <w:tc>
          <w:tcPr>
            <w:tcW w:w="14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12"/>
                <w:szCs w:val="12"/>
                <w:color w:val="auto"/>
              </w:rPr>
            </w:pPr>
          </w:p>
        </w:tc>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At December 31, 2018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vMerge w:val="continue"/>
          </w:tcPr>
          <w:p>
            <w:pPr>
              <w:spacing w:after="0"/>
              <w:rPr>
                <w:sz w:val="15"/>
                <w:szCs w:val="15"/>
                <w:color w:val="auto"/>
              </w:rPr>
            </w:pPr>
          </w:p>
        </w:tc>
        <w:tc>
          <w:tcPr>
            <w:tcW w:w="4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Fuel hedge contracts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20" w:type="dxa"/>
            <w:vAlign w:val="bottom"/>
          </w:tcPr>
          <w:p>
            <w:pPr>
              <w:spacing w:after="0"/>
              <w:rPr>
                <w:sz w:val="24"/>
                <w:szCs w:val="24"/>
                <w:color w:val="auto"/>
              </w:rPr>
            </w:pPr>
          </w:p>
        </w:tc>
        <w:tc>
          <w:tcPr>
            <w:tcW w:w="1040" w:type="dxa"/>
            <w:vAlign w:val="bottom"/>
            <w:gridSpan w:val="2"/>
          </w:tcPr>
          <w:p>
            <w:pPr>
              <w:jc w:val="right"/>
              <w:ind w:right="88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Fuel hedge contracts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goal is to hedge approximately 80% of the fuel requirements for work in domestic backlog.</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of March 31, 2019, the Company was party to various swap arrangements to hedge the price of a portion of its diesel fuel purchase requirements for work in its backlog to be performed through March 2020. As of March 31, 2019, there were 11.2 million gallons remaining on these contracts which represent approximately 80% of the Company’s forecasted domestic fuel purchases through March 2020. Under these swap agreements, the Company will pay fixed prices ranging from $1.91 to $2.34 per gallon.</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March 31, 2019 and December 31, 2018, the fair value assets of the fuel hedge contracts were estimated to be $999 and $4,710, respectively, and are recorded in accrued expenses. For fuel hedge contracts considered to be highly effective, the losses reclassified to earnings from changes in fair value of derivatives, net of cash settlements and taxes, for the three months ended March 31, 2019 were $891. The remaining gains and losses included in accumulated other comprehensive loss at March 31, 2019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8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fuel hedge contracts outstanding as of March 31, 2019 and December 31, 2018 is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left="248"/>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Liability derivatives:</w:t>
            </w:r>
          </w:p>
        </w:tc>
        <w:tc>
          <w:tcPr>
            <w:tcW w:w="25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0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Derivatives designated as hedging</w:t>
            </w:r>
          </w:p>
        </w:tc>
        <w:tc>
          <w:tcPr>
            <w:tcW w:w="48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instruments</w:t>
            </w:r>
          </w:p>
        </w:tc>
        <w:tc>
          <w:tcPr>
            <w:tcW w:w="48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Fuel hedge contracts</w:t>
            </w:r>
          </w:p>
        </w:tc>
        <w:tc>
          <w:tcPr>
            <w:tcW w:w="25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1280" w:type="dxa"/>
            <w:vAlign w:val="bottom"/>
            <w:gridSpan w:val="2"/>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999</w:t>
            </w:r>
          </w:p>
        </w:tc>
        <w:tc>
          <w:tcPr>
            <w:tcW w:w="240" w:type="dxa"/>
            <w:vAlign w:val="bottom"/>
          </w:tcPr>
          <w:p>
            <w:pPr>
              <w:spacing w:after="0"/>
              <w:rPr>
                <w:sz w:val="19"/>
                <w:szCs w:val="19"/>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components of the accumulated balances of other comprehensive income (loss)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6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1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Cumulative translation adjustments—net of tax</w:t>
            </w:r>
          </w:p>
        </w:tc>
        <w:tc>
          <w:tcPr>
            <w:tcW w:w="6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Reclassification of derivative (gains) losses to earnings—net of tax</w:t>
            </w:r>
          </w:p>
        </w:tc>
        <w:tc>
          <w:tcPr>
            <w:tcW w:w="6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derivatives—net of tax</w:t>
            </w: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flow derivative hedges—net of tax</w:t>
            </w:r>
          </w:p>
        </w:tc>
        <w:tc>
          <w:tcPr>
            <w:tcW w:w="6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640" w:type="dxa"/>
            <w:vAlign w:val="bottom"/>
          </w:tcPr>
          <w:p>
            <w:pPr>
              <w:spacing w:after="0"/>
              <w:rPr>
                <w:sz w:val="19"/>
                <w:szCs w:val="19"/>
                <w:color w:val="auto"/>
              </w:rPr>
            </w:pPr>
          </w:p>
        </w:tc>
        <w:tc>
          <w:tcPr>
            <w:tcW w:w="108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4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58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Adjustments reclassified from accumulated balances of other comprehensive income (loss) to earnings are as follows: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tcBorders>
              <w:top w:val="single" w:sz="8" w:color="CFF0FC"/>
            </w:tcBorders>
            <w:shd w:val="clear" w:color="auto" w:fill="CFF0FC"/>
          </w:tcPr>
          <w:p>
            <w:pPr>
              <w:spacing w:after="0"/>
              <w:rPr>
                <w:sz w:val="19"/>
                <w:szCs w:val="19"/>
                <w:color w:val="auto"/>
              </w:rPr>
            </w:pPr>
          </w:p>
        </w:tc>
        <w:tc>
          <w:tcPr>
            <w:tcW w:w="4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Fuel hedge contracts</w:t>
            </w:r>
          </w:p>
        </w:tc>
        <w:tc>
          <w:tcPr>
            <w:tcW w:w="4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3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80" w:type="dxa"/>
            <w:vAlign w:val="bottom"/>
          </w:tcPr>
          <w:p>
            <w:pPr>
              <w:spacing w:after="0"/>
              <w:rPr>
                <w:sz w:val="19"/>
                <w:szCs w:val="19"/>
                <w:color w:val="auto"/>
              </w:rPr>
            </w:pP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(992)</w:t>
            </w:r>
          </w:p>
        </w:tc>
      </w:tr>
      <w:tr>
        <w:trPr>
          <w:trHeight w:val="230"/>
        </w:trPr>
        <w:tc>
          <w:tcPr>
            <w:tcW w:w="20" w:type="dxa"/>
            <w:vAlign w:val="bottom"/>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45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1"/>
              </w:rPr>
              <w:t>(732)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2018, the Company substantially completed the closeout of its Brazil operations. This liquidation resulted in the reversal of the Company’s cumulative translation adjustment. Adjustments reclassified from accumulated balances of other comprehensive income (loss) to earnings are as follows: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3"/>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Cumulative translation</w:t>
            </w:r>
          </w:p>
        </w:tc>
        <w:tc>
          <w:tcPr>
            <w:tcW w:w="56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05"/>
        </w:trPr>
        <w:tc>
          <w:tcPr>
            <w:tcW w:w="20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w:t>
            </w:r>
          </w:p>
        </w:tc>
        <w:tc>
          <w:tcPr>
            <w:tcW w:w="56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562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March 31, 2019 (see Note 5, Long-term debt). The 8% Senior Notes are senior unsecured obligations of the Company and its subsidiaries that guarantee the 8% Senior Notes. The fair value of the senior notes was $340,438 at March 31, 2019,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85"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granted 490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$2,000 and $851 for the three months ended March 31, 2019 and 2018, respectively.</w:t>
      </w:r>
    </w:p>
    <w:p>
      <w:pPr>
        <w:spacing w:after="0" w:line="176" w:lineRule="exact"/>
        <w:rPr>
          <w:sz w:val="20"/>
          <w:szCs w:val="20"/>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March 31, 2019, the Company had $575,189 of remaining performance obligations, which the Company refers to as total backlog. Approximately 66% of the Company’s backlog will be completed in 2019 with the remaining balance expected to be completed by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presents our revenue disaggregated by several categories.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Domestically, our work generally is performed in coastal waterways and deep water ports. The U.S. dredging market consists of four primary types of work: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coastal protection, maintenance and rivers &amp; lakes. Foreign projects typically involve capital work.</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p>
      <w:pPr>
        <w:spacing w:after="0" w:line="259"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3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2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3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Dredging:</w:t>
            </w:r>
          </w:p>
        </w:tc>
        <w:tc>
          <w:tcPr>
            <w:tcW w:w="1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Capital—U.S.</w:t>
            </w:r>
          </w:p>
        </w:tc>
        <w:tc>
          <w:tcPr>
            <w:tcW w:w="186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92,744</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76,952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Capital—foreign</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Coastal protection</w:t>
            </w:r>
          </w:p>
        </w:tc>
        <w:tc>
          <w:tcPr>
            <w:tcW w:w="1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33,743</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Rivers &amp; lakes</w:t>
            </w:r>
          </w:p>
        </w:tc>
        <w:tc>
          <w:tcPr>
            <w:tcW w:w="15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28,172</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0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192,637</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revenues by type of customer, for the periods indicated, were as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3"/>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9"/>
                <w:szCs w:val="19"/>
                <w:color w:val="auto"/>
              </w:rPr>
            </w:pPr>
          </w:p>
        </w:tc>
      </w:tr>
      <w:tr>
        <w:trPr>
          <w:trHeight w:val="223"/>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government</w:t>
            </w:r>
          </w:p>
        </w:tc>
        <w:tc>
          <w:tcPr>
            <w:tcW w:w="15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170,155</w:t>
            </w:r>
          </w:p>
        </w:tc>
        <w:tc>
          <w:tcPr>
            <w:tcW w:w="2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76,694</w:t>
            </w:r>
          </w:p>
        </w:tc>
        <w:tc>
          <w:tcPr>
            <w:tcW w:w="60" w:type="dxa"/>
            <w:vAlign w:val="bottom"/>
          </w:tcPr>
          <w:p>
            <w:pPr>
              <w:spacing w:after="0"/>
              <w:rPr>
                <w:sz w:val="19"/>
                <w:szCs w:val="19"/>
                <w:color w:val="auto"/>
              </w:rPr>
            </w:pPr>
          </w:p>
        </w:tc>
      </w:tr>
      <w:tr>
        <w:trPr>
          <w:trHeight w:val="230"/>
        </w:trPr>
        <w:tc>
          <w:tcPr>
            <w:tcW w:w="3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 and local government</w:t>
            </w:r>
          </w:p>
        </w:tc>
        <w:tc>
          <w:tcPr>
            <w:tcW w:w="1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14,103</w:t>
            </w: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60" w:type="dxa"/>
            <w:vAlign w:val="bottom"/>
            <w:shd w:val="clear" w:color="auto" w:fill="CFF0FC"/>
          </w:tcPr>
          <w:p>
            <w:pPr>
              <w:spacing w:after="0"/>
              <w:rPr>
                <w:sz w:val="19"/>
                <w:szCs w:val="19"/>
                <w:color w:val="auto"/>
              </w:rPr>
            </w:pPr>
          </w:p>
        </w:tc>
      </w:tr>
      <w:tr>
        <w:trPr>
          <w:trHeight w:val="230"/>
        </w:trPr>
        <w:tc>
          <w:tcPr>
            <w:tcW w:w="3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Private</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60" w:type="dxa"/>
            <w:vAlign w:val="bottom"/>
          </w:tcPr>
          <w:p>
            <w:pPr>
              <w:spacing w:after="0"/>
              <w:rPr>
                <w:sz w:val="19"/>
                <w:szCs w:val="19"/>
                <w:color w:val="auto"/>
              </w:rPr>
            </w:pPr>
          </w:p>
        </w:tc>
      </w:tr>
      <w:tr>
        <w:trPr>
          <w:trHeight w:val="230"/>
        </w:trPr>
        <w:tc>
          <w:tcPr>
            <w:tcW w:w="3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2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60" w:type="dxa"/>
            <w:vAlign w:val="bottom"/>
            <w:shd w:val="clear" w:color="auto" w:fill="CFF0FC"/>
          </w:tcPr>
          <w:p>
            <w:pPr>
              <w:spacing w:after="0"/>
              <w:rPr>
                <w:sz w:val="19"/>
                <w:szCs w:val="19"/>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8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192,637</w:t>
            </w:r>
          </w:p>
        </w:tc>
        <w:tc>
          <w:tcPr>
            <w:tcW w:w="2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6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at March 31, 2019 and December 31, 2018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3140" w:type="dxa"/>
            <w:vAlign w:val="bottom"/>
            <w:tcBorders>
              <w:bottom w:val="single" w:sz="8" w:color="CFF0FC"/>
            </w:tcBorders>
          </w:tcPr>
          <w:p>
            <w:pPr>
              <w:spacing w:after="0"/>
              <w:rPr>
                <w:sz w:val="15"/>
                <w:szCs w:val="15"/>
                <w:color w:val="auto"/>
              </w:rPr>
            </w:pPr>
          </w:p>
        </w:tc>
        <w:tc>
          <w:tcPr>
            <w:tcW w:w="23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Completed contracts</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Contracts in progress</w:t>
            </w: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Retainage</w:t>
            </w:r>
          </w:p>
        </w:tc>
        <w:tc>
          <w:tcPr>
            <w:tcW w:w="2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Total accounts receivable—net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34,494</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64,779</w:t>
            </w: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0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components of contracts in progress at March 31, 2019 and December 31, 2018 are as follows:</w:t>
      </w:r>
    </w:p>
    <w:p>
      <w:pPr>
        <w:spacing w:after="0" w:line="300"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415,987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Amounts billed</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(401,038)</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(416,956)</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contracts in progress</w:t>
            </w: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earnings in excess of billings for completed contracts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contract revenues in excess of billings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contract revenues in excess of billings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 revenues in excess of billings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Billings in excess of costs and earnings:</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Amounts billed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(477,464)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Costs and earnings for contracts in progress</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423,609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billings in excess of contract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Revenue recognized for the three months ended March 31, 2019, that was included in the billings in excess of contract revenues balance at the beginning of the year was $16,125.</w:t>
      </w:r>
    </w:p>
    <w:p>
      <w:pPr>
        <w:spacing w:after="0" w:line="16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March 31, 2019 and December 31, 2018, costs to fulfill a contract with a customer recognized as an asset were $11,318 and $13,129, respectively, and are recorded in other current assets and other noncurrent assets. These costs relate to pre-contract and pre-construction activities. During the three months ended March 31, 2019 and 2018, the company amortized $2,751 and $2,497 respectively, of pre-construction costs.</w:t>
      </w:r>
    </w:p>
    <w:p>
      <w:pPr>
        <w:spacing w:after="0" w:line="172"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charges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2017, a strategic review was begun to improve the Company's financial results in both domestic and international operations enabling debt reduction, improvements in return on capital and the continued renewal of our extensive fleet with new and efficient dredges to best serve our domestic and international clients. Management executed a plan to reduce general and administrative and overhead expenses, retire certain underperforming and underutilized assets, write-off pre-contract costs on a project that was never formally awarded and that the Company no longer intends to pursue and closeout the Company’s Brazil operations. The cumulative amounts incurred to date for restructuring charges, including amounts presented in discontinued operations, include severance of $3,549, asset retirements of $32,309, pre-contract costs of $6,441 and closeout costs of $4,194. Restructuring activities were substantially completed in 2018.</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 recognized for the above actions for the year ended March 31, 2018 are summarized as follows:</w:t>
      </w:r>
    </w:p>
    <w:p>
      <w:pPr>
        <w:spacing w:after="0" w:line="300" w:lineRule="exact"/>
        <w:rPr>
          <w:sz w:val="20"/>
          <w:szCs w:val="20"/>
          <w:color w:val="auto"/>
        </w:rPr>
      </w:pPr>
    </w:p>
    <w:tbl>
      <w:tblPr>
        <w:tblLayout w:type="fixed"/>
        <w:tblInd w:w="228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13"/>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45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Costs of contract revenues—depreciation</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80" w:type="dxa"/>
            <w:vAlign w:val="bottom"/>
          </w:tcPr>
          <w:p>
            <w:pPr>
              <w:spacing w:after="0"/>
              <w:rPr>
                <w:sz w:val="24"/>
                <w:szCs w:val="24"/>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revenues—other</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8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sale of assets—net</w:t>
            </w: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Borders>
              <w:bottom w:val="single" w:sz="8" w:color="CFF0FC"/>
            </w:tcBorders>
          </w:tcPr>
          <w:p>
            <w:pPr>
              <w:spacing w:after="0"/>
              <w:rPr>
                <w:sz w:val="19"/>
                <w:szCs w:val="19"/>
                <w:color w:val="auto"/>
              </w:rPr>
            </w:pPr>
          </w:p>
        </w:tc>
      </w:tr>
      <w:tr>
        <w:trPr>
          <w:trHeight w:val="223"/>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6,274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had accrued severance expense of $76 and $662 at March 31, 2019 and December 31, 2018, respectively, which are expected to be settled in 2019. Accrued severance is included in accrued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7" w:name="page18"/>
    <w:bookmarkEnd w:id="17"/>
    <w:p>
      <w:pPr>
        <w:ind w:left="1040" w:hanging="519"/>
        <w:spacing w:after="0"/>
        <w:tabs>
          <w:tab w:leader="none" w:pos="10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commitments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March 31, 2019, the Company had outstanding performance bonds with a notional amount of approximately $1,291,106 of which $110,126 relates to projects from the Company’s historical environmental &amp; infrastructure businesses. The revenue value remaining in backlog related to these projects totaled approximately $505,995.</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the Company had to increase the borrowings on its revolving credit facility. As the outstanding letters of credit previously reduced our availability under the revolving credit facility, this draw down on our letter of credit does not impact our liquidity or capital availability.</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Pursuant to the terms of sale of our historical demolition business, the Company received an indemnification from the buyer for losses resulting from the bonding arrangement. The Company intends to aggressively pursue enforcement of the indemnification provisions if the buyer of the historical demolition business is found to be in default of its obligations. The Company cannot estimate the amount or range of recoveries related to the indemnification or resolution of the Company’s responsibilities under the surety bond. The surety bond claim impact has been included in discontinued operations.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other contingencies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Various legal actions, claims, assessments and other contingencies arising in the ordinary course of business are pending against the Company and certain of its subsidiaries.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8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April 23, 2014, the Company completed the sale of NASDI, LLC (“NASDI”) and Yankee Environmental Services, LLC (“Yankee”), which together comprised the Company’s historical demolition business, to a privately owned demolition company. Legal actions brought by the Company to enforce the buyer’s obligations under the sale agreement are described below.</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January 14, 2015, the Company and our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 and intends to vigorously defend against the counterclaims.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8" w:name="page19"/>
    <w:bookmarkEnd w:id="18"/>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negotiating a Consent Order with the Florida Department of Environmental Protection regarding alleged impacts to a seagrass habitat in connection with a project in Charlotte County, Florida. The Company estimates the range of potential loss related to this matter as between $200 and $250.</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September 2018, the EPA Region 4 informed the Company of the EPA’s intent to file an administrative complaint against the Company relating to a project the Company performed at PortMiami from 2013-2015, although no complaint has been filed to date. The EPA is alleging violations of Section 103 of the Marine Protection, Research, and Sanctuaries Act (“MPRSA”) and failure to report violations of the MPRSA. In December 2018, EPA proposed a tolling agreement to provide additional time for EPA to assess the case and possible resolution. EPA and Great Lakes negotiated and executed a tolling agreement that suspends the running of any statute of limitations until May 15, 2019. The Company disagrees with the EPA on whether a violation occurred and, if a violation did occur, the appropriate penalty calculation, and we will defend ourselves vigorously. 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81"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dispositions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3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Businesses or asset groups are reported as discontinued operations when the Company commits to a plan to divest the business or group and the sale of the business or asset group is deemed probable within the next twelve months. Further, the disposal must represent a strategic shift that has (or will have) a major effect on the Company’s operations and financial results. In the fourth quarter of 2018, the management team proposed, and the Board of Directors approved, a plan to sell the Company’s historical environmental &amp; infrastructure business. The Company has retained a financial advisor to assist with the process and expects to finalize disposition of the environmental &amp; infrastructure business in the first half of 2019. The disposal group of the historical environmental &amp; infrastructure business has therefore been classified as discontinued operations and assets and liabilities held for sale for all periods presented.</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Included in assets held for sale as of March 31, 2019 are provisions of $14,425 to reduce the net assets of the historical environmental &amp; infrastructure business to fair value less costs to sell. Fair values were determined using expected sales terms and an evaluation of working capital. The loss on disposition of assets held for sale is subject to change prior to completion of the disposition and could differ materially from the Company’s estimate.</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 the extent the Company incurs liabilities for exit costs, including severance, other employee benefit costs and operating lease obligations, the liabilities will be measured at fair value and recorded when incurred.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business have been reported in discontinued operations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8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360" w:type="dxa"/>
            <w:vAlign w:val="bottom"/>
            <w:tcBorders>
              <w:bottom w:val="single" w:sz="8" w:color="auto"/>
            </w:tcBorders>
          </w:tcPr>
          <w:p>
            <w:pPr>
              <w:jc w:val="right"/>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7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shd w:val="clear" w:color="auto" w:fill="CFF0FC"/>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w:t>
            </w:r>
          </w:p>
        </w:tc>
        <w:tc>
          <w:tcPr>
            <w:tcW w:w="3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 from discontinued operations</w:t>
            </w:r>
          </w:p>
        </w:tc>
        <w:tc>
          <w:tcPr>
            <w:tcW w:w="1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(4,193)</w:t>
            </w:r>
          </w:p>
        </w:tc>
        <w:tc>
          <w:tcPr>
            <w:tcW w:w="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assets held for sale</w:t>
            </w:r>
          </w:p>
        </w:tc>
        <w:tc>
          <w:tcPr>
            <w:tcW w:w="13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36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major classes of assets and liabilities of businesses reported as discontinued operations are shown below: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6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268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4200" w:type="dxa"/>
            <w:vAlign w:val="bottom"/>
            <w:gridSpan w:val="2"/>
            <w:shd w:val="clear" w:color="auto" w:fill="CFF0FC"/>
          </w:tcPr>
          <w:p>
            <w:pPr>
              <w:jc w:val="right"/>
              <w:ind w:right="13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revenues in excess of billings</w:t>
            </w:r>
          </w:p>
        </w:tc>
        <w:tc>
          <w:tcPr>
            <w:tcW w:w="2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68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Assets held for sale</w:t>
            </w:r>
          </w:p>
        </w:tc>
        <w:tc>
          <w:tcPr>
            <w:tcW w:w="2680" w:type="dxa"/>
            <w:vAlign w:val="bottom"/>
            <w:tcBorders>
              <w:bottom w:val="single" w:sz="8" w:color="CFF0FC"/>
            </w:tcBorders>
          </w:tcPr>
          <w:p>
            <w:pPr>
              <w:spacing w:after="0"/>
              <w:rPr>
                <w:sz w:val="22"/>
                <w:szCs w:val="22"/>
                <w:color w:val="auto"/>
              </w:rPr>
            </w:pPr>
          </w:p>
        </w:tc>
        <w:tc>
          <w:tcPr>
            <w:tcW w:w="1520" w:type="dxa"/>
            <w:vAlign w:val="bottom"/>
            <w:tcBorders>
              <w:bottom w:val="single" w:sz="8" w:color="auto"/>
            </w:tcBorders>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15,751</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equipment—net</w:t>
            </w:r>
          </w:p>
        </w:tc>
        <w:tc>
          <w:tcPr>
            <w:tcW w:w="2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6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assets—net</w:t>
            </w:r>
          </w:p>
        </w:tc>
        <w:tc>
          <w:tcPr>
            <w:tcW w:w="26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for loss on disposal</w:t>
            </w:r>
          </w:p>
        </w:tc>
        <w:tc>
          <w:tcPr>
            <w:tcW w:w="26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7"/>
              </w:rPr>
              <w:t>(14,425)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Assets held for sale—noncurrent</w:t>
            </w:r>
          </w:p>
        </w:tc>
        <w:tc>
          <w:tcPr>
            <w:tcW w:w="26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260" w:type="dxa"/>
            <w:vAlign w:val="bottom"/>
            <w:gridSpan w:val="2"/>
            <w:vMerge w:val="continue"/>
          </w:tcPr>
          <w:p>
            <w:pPr>
              <w:spacing w:after="0"/>
              <w:rPr>
                <w:sz w:val="24"/>
                <w:szCs w:val="24"/>
                <w:color w:val="auto"/>
              </w:rPr>
            </w:pPr>
          </w:p>
        </w:tc>
        <w:tc>
          <w:tcPr>
            <w:tcW w:w="2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0" w:type="dxa"/>
            <w:vAlign w:val="bottom"/>
            <w:gridSpan w:val="2"/>
          </w:tcPr>
          <w:p>
            <w:pPr>
              <w:jc w:val="right"/>
              <w:ind w:right="133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80" w:type="dxa"/>
            <w:vAlign w:val="bottom"/>
          </w:tcPr>
          <w:p>
            <w:pPr>
              <w:spacing w:after="0"/>
              <w:rPr>
                <w:sz w:val="20"/>
                <w:szCs w:val="20"/>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6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80" w:type="dxa"/>
            <w:vAlign w:val="bottom"/>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4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680" w:type="dxa"/>
            <w:vAlign w:val="bottom"/>
            <w:tcBorders>
              <w:bottom w:val="single" w:sz="8" w:color="CFF0FC"/>
            </w:tcBorders>
          </w:tcPr>
          <w:p>
            <w:pPr>
              <w:spacing w:after="0"/>
              <w:rPr>
                <w:sz w:val="22"/>
                <w:szCs w:val="22"/>
                <w:color w:val="auto"/>
              </w:rPr>
            </w:pPr>
          </w:p>
        </w:tc>
        <w:tc>
          <w:tcPr>
            <w:tcW w:w="1520" w:type="dxa"/>
            <w:vAlign w:val="bottom"/>
            <w:tcBorders>
              <w:bottom w:val="single" w:sz="8" w:color="auto"/>
            </w:tcBorders>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13,940</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shd w:val="clear" w:color="auto" w:fill="CFF0FC"/>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26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Liabilities held for sale—noncurrent</w:t>
            </w:r>
          </w:p>
        </w:tc>
        <w:tc>
          <w:tcPr>
            <w:tcW w:w="26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3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8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20</w:t>
            </w: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0" w:name="page21"/>
    <w:bookmarkEnd w:id="2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2018, and in other securities filings by Great Lakes with the SEC.</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 is the largest provider of dredging services in the United States. In addition, the Company is the only U.S. dredging service provider with significant international operations. The mobility of the Company’s fleet enables the Company to move equipment in response to changes in demand for dredging services.</w:t>
      </w:r>
    </w:p>
    <w:p>
      <w:pPr>
        <w:spacing w:after="0" w:line="17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42% over the prior three years, including 62%, 50%, 18% and 33% of the domestic capital, coastal protection, maintenance and rivers &amp; lakes sectors, respectively.</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largest domestic dredging customer is the U.S. Army Corps of Engineers (the “Corps”), which has responsibility for federally funded projects related to navigation and flood control of U.S. waterways. In the first three months of 2019, the Company’s dredging revenues earned from contracts with federal government agencies, including the Corps as well as other federal entities such as the U.S. Coast Guard and the U.S. Navy were approximately 88% of dredging revenues, above the Company’s prior three year average of 68%.</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fourth quarter of 2018, the management team proposed, and the board of directors approved, a plan to sell the Company’s historical environmental &amp; infrastructure business. The Company has retained a financial advisor to assist with the process and expects to finalize disposition of the environmental &amp; infrastructure business in the first half of 2019. The historical environmental &amp; infrastructure segment has been retrospectively presented as discontinued operations and assets and liabilities held for sale and is no longer reflected in continuing operations. Refer to Note 11, Business dispositions, to our condensed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one operating segment which is also the Company’s one reportable segment and reporting unit.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 Company’s vessels dry-dock every two to three years or every five years, depending on the vessel type and also on an as-needed basis for occasional unscheduled repairs. The planned dry docking of certain vessels will begin to have an impact on the Company’s results beginning in the second quarter of 2019 and continuing into the third quarter of 2019.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net income (loss) and Adjusted EBITDA from continuing operations, as defined below, as a percentage of contract revenues for the three months ended March 31, 2019 and 2018:</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1660" w:type="dxa"/>
            <w:vAlign w:val="bottom"/>
            <w:tcBorders>
              <w:bottom w:val="single" w:sz="8" w:color="auto"/>
            </w:tcBorders>
            <w:gridSpan w:val="3"/>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Contract revenues</w:t>
            </w:r>
          </w:p>
        </w:tc>
        <w:tc>
          <w:tcPr>
            <w:tcW w:w="108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40" w:type="dxa"/>
            <w:vAlign w:val="bottom"/>
            <w:gridSpan w:val="2"/>
            <w:vMerge w:val="continue"/>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of contract revenues</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assets—net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top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expense—net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5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Adjusted EBITDA from continuing operations, as provided herein, represents net income (loss),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(in thousands)</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2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(3,380)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20,548</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Adjusted for:</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expense—net</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12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20" w:type="dxa"/>
            <w:vAlign w:val="bottom"/>
            <w:shd w:val="clear" w:color="auto" w:fill="CFF0FC"/>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Adjusted EBITDA from continuing operations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Company’s contract revenues by type of work, for the periods indicated, were as follows:</w:t>
            </w:r>
          </w:p>
        </w:tc>
        <w:tc>
          <w:tcPr>
            <w:tcW w:w="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5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(in thousands)</w:t>
            </w:r>
          </w:p>
        </w:tc>
        <w:tc>
          <w:tcPr>
            <w:tcW w:w="1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20" w:type="dxa"/>
            <w:vAlign w:val="bottom"/>
            <w:tcBorders>
              <w:bottom w:val="single" w:sz="8" w:color="CFF0FC"/>
            </w:tcBorders>
            <w:gridSpan w:val="2"/>
            <w:vMerge w:val="continue"/>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gridSpan w:val="3"/>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Dredging:</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Capital—U.S.</w:t>
            </w:r>
          </w:p>
        </w:tc>
        <w:tc>
          <w:tcPr>
            <w:tcW w:w="13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92,744</w:t>
            </w:r>
          </w:p>
        </w:tc>
        <w:tc>
          <w:tcPr>
            <w:tcW w:w="5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76,952</w:t>
            </w:r>
          </w:p>
        </w:tc>
        <w:tc>
          <w:tcPr>
            <w:tcW w:w="240" w:type="dxa"/>
            <w:vAlign w:val="bottom"/>
          </w:tcPr>
          <w:p>
            <w:pPr>
              <w:spacing w:after="0"/>
              <w:rPr>
                <w:sz w:val="19"/>
                <w:szCs w:val="19"/>
                <w:color w:val="auto"/>
              </w:rPr>
            </w:pPr>
          </w:p>
        </w:tc>
        <w:tc>
          <w:tcPr>
            <w:tcW w:w="15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Capital—foreign</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2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Coastal protection</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41,861</w:t>
            </w:r>
          </w:p>
        </w:tc>
        <w:tc>
          <w:tcPr>
            <w:tcW w:w="240" w:type="dxa"/>
            <w:vAlign w:val="bottom"/>
          </w:tcPr>
          <w:p>
            <w:pPr>
              <w:spacing w:after="0"/>
              <w:rPr>
                <w:sz w:val="19"/>
                <w:szCs w:val="19"/>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Maintenance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24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280.0%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Rivers &amp; lakes</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28,172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192,637</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133,623</w:t>
            </w:r>
          </w:p>
        </w:tc>
        <w:tc>
          <w:tcPr>
            <w:tcW w:w="2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N/M = Not meaningful due to magnitude</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2019, total revenue was $192.6 million, up from revenue of $133.6 million for the same period in the prior year, representing an increase of $59.0 million or 44%. For the three months ended March 31, 2019, the Company experienced an increase in domestic capital, maintenance, rivers &amp; lakes and foreign revenues. These increases were partially offset by a decrease in coastal protection revenues as compared to the same period in the prior year.</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Domestic capital dredging for the three months ended March 31, 2019 was $92.7 million compared to $77.0 million for the same period in 2018, representing an increase of $15.7 million, or 20%. For the three months ended March 31, 2019, the higher domestic capital dredging revenues were primarily driven by revenue earned from deepening projects in Charleston, Tampa, and Jacksonville as well as a greater amount of revenue earned on a deepening project on the Delaware River during the current year as compared to the same period in the prior year. This increase was partially offset by a greater amount of revenue earned on coastal restoration projects and the Savannah Harbor deepening project during the first quarter of 2018.</w:t>
      </w:r>
    </w:p>
    <w:p>
      <w:pPr>
        <w:spacing w:after="0" w:line="18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Foreign capital projects typically involve land reclamations, channel deepening and port infrastructure development. For the three months ended March 31, 2019, foreign capital revenue was $8.3 million which is $2.8 million, or 51%, higher than revenue of $5.5 million during the first three months of 2018. The increase in revenue for the three months ended March 31, 2019 was driven by revenue earned on a project in Bahrain that commenced during the first quarter of 2019. During the first quarter of 2018, the Company substantially completed the closeout of its Brazil operations.</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Coastal protection projects involve moving sand from the ocean floor to shoreline locations where erosion threatens shoreline assets. Coastal protection revenue for the three months ended March 31, 2019 was $33.7 million, down $8.2 million or 19%, from $41.9 million for the first three months of 2018. The decrease in coastal protection revenue for the three months ended March 31, 2019 was mostly attributable to a greater amount of revenue earned on projects in South Carolina in the same period in the prior year. Additionally, revenue for the first quarter of 2018 included projects in Florida and Georgia that did not repeat during the current year period. This decrease was partially offset by revenue earned on a project in North Carolina that commenced during the first quarter of 2019 and a greater amount of revenue earned during the current year on projects in New Jersey and New York as compared to the same period in 2018.</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8" w:right="239" w:bottom="1440" w:gutter="0" w:footer="0" w:header="0"/>
        </w:sectPr>
      </w:pPr>
    </w:p>
    <w:bookmarkStart w:id="23" w:name="page24"/>
    <w:bookmarkEnd w:id="23"/>
    <w:p>
      <w:pPr>
        <w:ind w:right="20"/>
        <w:spacing w:after="0" w:line="255" w:lineRule="auto"/>
        <w:rPr>
          <w:sz w:val="20"/>
          <w:szCs w:val="20"/>
          <w:color w:val="auto"/>
        </w:rPr>
      </w:pPr>
      <w:r>
        <w:rPr>
          <w:rFonts w:ascii="Times New Roman" w:cs="Times New Roman" w:eastAsia="Times New Roman" w:hAnsi="Times New Roman"/>
          <w:sz w:val="18"/>
          <w:szCs w:val="18"/>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first three months of 2019 was $29.6 million, an increase of $21.8 million, or 280%, compared to $7.8 million for the comparable period in the prior year. The increase in maintenance dredging revenues for the first three months of 2019 was mostly attributable to revenue earned on projects in Georgia, Florida and Mississippi. This increase was partially offset by a greater amount of revenue earned on projects in Maryland compared to the same period in the prior year and revenue earned on projects in Delaware and Virginia during the first quarter of 2018 that did not repeat during the current year.</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Rivers &amp; lakes dredging and related operations typically consist of lake and river dredging, inland levee and construction dredging, environmental restoration and habitat improvement and other marine construction projects. Rivers &amp; lakes revenue for the three months ended March 31, 2019 was $28.2 million, up $26.7 million, from $1.5 million in the first three months of 2018. The increase in rivers &amp; lakes revenue for the three months ended March 31, 2019 was mostly attributable to revenue earned during the first quarter of 2019 on a large flood mitigation project in Texas as a result of Hurricane Harvey, as well as revenue earned on a project in Louisiana.</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Consolidated gross profit for the three months ended March 31, 2019 was $49.9 million, up $35.8 million, or 254%, compared to $14.1 million in the same period of the prior year. Gross profit margin for the three months ended March 31, 2019 was up to 25.9% from 10.6% in the first three months of 2018. The higher gross profit experienced in the first quarter of 2019 was driven by strong performance on the Company’s domestic capital, maintenance and rivers &amp; lakes projects when compared to the prior year period. Lower plants costs resulting from the retirement of certain underperforming and underutilized assets, and greater fixed cost coverage also contributed to the increased profit during the current year. The three months ended March 31, 2018 included $4.3 million of restructuring charges related to asset retirements and the closeout of the Company’s Brazil operations.</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2019 and 2018 totaled $14.8 million and $13.1 million, respectively. The $1.7 million increase in general and administrative expenses for the first three months of 2019 was attributable to a $2.2 million increase in payroll and benefits expense related to incentive compensation as a result of improved gross profit, as noted above. This increase in expense was offset by a $0.7 million decrease in legal and professional fees during the first quarter of 2019 as compared to the same period in the prior year.</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Operating income for the three months ended March 31, 2019 was $34.8 million up $33.5 million, from operating income of $1.2 million in the same prior year period. The change in operating income for the first quarter of 2019 was a result of higher gross profit partially offset by higher general and administrative expense compared to the same period in the prior year, as described above.</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interest expense for the three months ended March 31, 2019 was $7.6 million, down $1.1 million, or 13%, from interest expense of $8.7 million for the same period in the prior year. The decrease in interest expense for the three months ended March 31, 2019 was attributable to a decrease of $1.1 million in interest expense associated with the Company’s senior secured revolving credit facility as compared to the same period in the prior year. All other interest expense incurred by the Company was mostly in line with the same period in the prior year.</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2018, the Company had an income tax provision of $6.8 million and an income tax benefit of $2.5 million, respectively. The effective tax rate for the three months ended March 31, 2019 was 25.0%, mostly in line with the effective tax rate of 26.1% for the same period of 2018.</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Net income from continuing operations for the three months ended March 31, 2019 was $20.5 million up $27.5 million, from a net loss from continuing operations of $7.0 million for the same period in the prior year. Diluted earnings (loss) per share attributable to continuing operations were $0.32 and ($0.11) for the three months ended March 31, 2019 and 2018, respectively. The change in net income from continuing operations for the three months ended March 31, 2019 was driven by the increase in operating income and decrease in interest expense during the current year, as described above. Further, the prior year was negatively impacted by a $2.0 million charge to other income (expense) for the reversal of a cumulative translation adjustment related to the closeout of the Company’s Brazil operations during the first quarter of 2018. These items were partially offset by an increase in the income tax provision, as noted above, during the first three months of 2019 when compared to the same period in the prior year.</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Adjusted EBITDA from continuing operations (as defined on page 22) for the three months ended March 31, 2019 was $43.9 million, up $30.2 million, or 220%, from Adjusted EBITDA from continuing operations of $13.7 million for the same prior year period. The change in Adjusted EBITDA from continuing operations during the first three months of 2019 was attributable to higher gross profit, excluding depreciation, and a positive change related to the $2.0 million charge to other income (expense), as described above. These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positive factors were partially offset by higher general &amp; administrative expenses incurred during the first quarter of 2019, as described above.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Bidding activity and backlog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by type of work, the Company’s backlog as of the dates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Backlog (in thousands)</w:t>
            </w:r>
          </w:p>
        </w:tc>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r>
      <w:tr>
        <w:trPr>
          <w:trHeight w:val="22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Dredging:</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 U.S.</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376,114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447,139</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383,132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 foreign</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64,827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Coastal protection</w:t>
            </w:r>
          </w:p>
        </w:tc>
        <w:tc>
          <w:tcPr>
            <w:tcW w:w="1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Rivers &amp; lakes</w:t>
            </w:r>
          </w:p>
        </w:tc>
        <w:tc>
          <w:tcPr>
            <w:tcW w:w="19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22,666</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80" w:type="dxa"/>
            <w:vAlign w:val="bottom"/>
            <w:shd w:val="clear" w:color="auto" w:fill="CFF0FC"/>
          </w:tcPr>
          <w:p>
            <w:pPr>
              <w:spacing w:after="0"/>
              <w:rPr>
                <w:sz w:val="19"/>
                <w:szCs w:val="19"/>
                <w:color w:val="auto"/>
              </w:rPr>
            </w:pPr>
          </w:p>
        </w:tc>
      </w:tr>
      <w:tr>
        <w:trPr>
          <w:trHeight w:val="22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19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575,189</w:t>
            </w: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707,091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474,888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79% of the Company’s March 31, 2019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domestic dredging bid market for the three months ended March 31, 2019 was $218.8 million, a decrease of $113.8 million, compared to the first three months of 2018. Total domestic dredging bid market for the current year period included awards for a coastal protection project in New York, hopper maintenance work on the West Coast and a capital project related to the Wilmington Harbor expansion. The bid market for the three months ended March 31, 2019 decreased compared to the prior year due to a greater number of larger capital projects let to bid in the prior year, which included the Boston Harbor deepening project, and rivers &amp; lakes projects. This was partially offset by slightly higher maintenance and coastal protection projects awarded in the quarter ended March 31, 2019. For the contracts awarded in the current year, the Company won 32%, or $20.1 million, of the coastal protection projects, no domestic capital projects, 14%, or $15.0 million, of the maintenance projects and no rivers &amp; lakes projects through March 31, 2019. The Company won 16% of the overall domestic bid market for the first three months of 2019, which is below the Company’s prior three year average of 42%. Variability in contract wins from quarter to quarter is not unusual and one quarter’s win rate is generally not indicative of the win rate the Company is likely to achieve for a full year.</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contracted dredging backlog was $575.2 million at March 31, 2019 compared to $707.1 million of backlog at December 31, 2018. These amounts do not reflect approximately $101.7 million of domestic low bids pending formal award and additional phases (“options”) pending on projects currently in backlog at March 31, 2019. At December 31, 2018 the amount of domestic low bids and options pending award was $115.6 million.</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Domestic capital dredging backlog at March 31, 2019 was $71.0 million lower than at December 31, 2018. For the three months ended March 31, 2019, the Company continued to earn revenue on a coastal restoration project in Mississippi, and deepening projects in Charleston, Tampa, and Jacksonville as well as on a deepening project on the Delaware River which were in backlog at December 31, 2018. The Company expects additional phases of multiple large deepening and other capital projects to bid in the second half of 2019. The projects coming into the pipeline include additional phases of work in Charleston, Savannah, Corpus Christi and Mississippi as well as new projects in Virginia, Texas and Louisiana. Further, several liquefied natural gas petro chemical and crude oil projects are creating the need for port development in support of energy exports. The Company expects several of these private client projects to be bid in 2019.</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Foreign capital dredging backlog at March 31, 2019 was $8.3 million lower than at December 31, 2018. During the first three months of 2019, the Company continued to earn revenue on a project in the Middle East which was in backlog at December 31, 2018. During 2018, the Company relocated two of its dredges to our domestic fleet from their previous positions in the international market to meet increased demand in the U.S. market.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5" w:name="page26"/>
    <w:bookmarkEnd w:id="25"/>
    <w:p>
      <w:pPr>
        <w:ind w:right="20"/>
        <w:spacing w:after="0" w:line="253" w:lineRule="auto"/>
        <w:rPr>
          <w:sz w:val="20"/>
          <w:szCs w:val="20"/>
          <w:color w:val="auto"/>
        </w:rPr>
      </w:pPr>
      <w:r>
        <w:rPr>
          <w:rFonts w:ascii="Times New Roman" w:cs="Times New Roman" w:eastAsia="Times New Roman" w:hAnsi="Times New Roman"/>
          <w:sz w:val="18"/>
          <w:szCs w:val="18"/>
          <w:color w:val="auto"/>
        </w:rPr>
        <w:t>Coastal protection dredging backlog at March 31, 2019 was $6.0 million lower than at December 31, 2018. In the first three months of 2019, the Company was awarded a $20 million coastal protection project in North Carolina. During the first three months of 2019, the Company continued to earn revenue on coastal protection projects in New York and South Carolina which were in backlog at December 31, 2018. Coastal protection and storm impacts continue to provide the major impetus for coastal project investment at federal and state levels. With continued funding available for projects in the Northeast from the Superstorm Sandy supplemental appropriations, the Company expects to continue to see an increase in projects let for bid in the coastal protection market. As a result of the extreme storm systems in prior years involving Hurricanes Harvey, Irma, and Maria, the U.S. Senate Committee on Appropriations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the fourth quarter of 2018, Congress passed an additional $1.7 billion of supplemental appropriations for disaster relief funding as a result of Hurricane Florence.</w:t>
      </w:r>
    </w:p>
    <w:p>
      <w:pPr>
        <w:spacing w:after="0" w:line="19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Maintenance dredging backlog was down $19.6 million from December 31, 2018. During the first three months of 2019, the Company was awarded a $10.3 million maintenance project in South Carolina and a $4.7 million project on the Mississippi River. During the first three months of 2019, the Company continued to earn revenue on projects in the South Atlantic, Georgia, and Florida which were in backlog at December 31, 2018. In March 2018, Congress approved and the President signed an omnibus spending bill through fiscal year 2018. The spending bill continues the increases in the budget for the Corps and exceeds the increase in Harbor Maintenance Trust Fund (“HMTF”) spending for maintenance dredging as required by the 2014 Water Resources and Development Act. During the fourth quarter of 2018, the President signed America’s Water Infrastructure Act of 2018/Water Resources Development Act (“WRDA 2018”) into law. Similar to past versions of the bill, WRDA 2018 language calls for full use of the HMTF for its intended purpose of maintaining future access to the waterways and ports that support our nation’s economy. Further, WRDA 2018 ensures that Harbor Maintenance Tax (“HMT”) funding targets will increase by three percent over the prior year, even if the HMT revenue estimates decrease, to continue annual progress towards full use of the HMT by 2025. Through the increased appropriation of HMTF monies, the Company anticipates an increase in harbor projects to be let for bid throughout 2019 and beyond. Congress has improved spending from the HMTF by providing the Corps with record annual budgets including 94% utilization of the HMTF in FY 2018 and 91% proposed in the FY 2019 budget which was above its commitment.</w:t>
      </w:r>
    </w:p>
    <w:p>
      <w:pPr>
        <w:spacing w:after="0" w:line="19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Rivers &amp; lakes backlog at March 31, 2019 was down by $26.9 million from backlog at December 31, 2018. For the three months ended March 31, 2019, the Company continued to earn revenue on a large project in Texas and a project in Louisiana which were in backlog at December 31,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cash provided by operating activities of continuing operations for the three months ended March 31, 2019 and 2018 totaled $105.8 million and $5.0 million, respectively. Normal increases or decreases in the level of working capital relative to the level of operational activity impact cash flow from operating activities. The increase in cash provided by operating activities of continuing operations in the first three months of 2019 compared to the same period in the prior year was driven by billings and collections on large projects during the first quarter of 2019 as well as a greater investment in working capital during the prior year period. Further, this increase was also driven by an increase of $27.6 million in net income from continuing operations in the first quarter of 2019 compared to the same period in the prior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cash flows used in investing activities for the first three months of 2019 and 2018 totaled $7.6 million and $2.5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Investing activities primarily relate to normal course upgrades and capital maintenance of the Company’s dredging fleet. During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2018, the Company received $4.5 million in cash proceeds from a sale-leaseback of a dredge.</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cash flows used in financing activities for the three months ended March 31, 2019 and 2018 totaled $12.1 million and $4.8 million, respectively. The increase in cash used in financing activities primarily relates to changes in the net repayments on Company’s revolving credit facility in the current period of $11.5 million compared to $4.0 million in the same period in the prior year.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May 2017, the Company issued $325 million in aggregate principal amount of its 8% Senior Notes due May 15, 2022. Interest on the 8% Senior Notes is payable semi-annually in arrears on May 15 and November 15 of each year, beginning on November 15, 2017. The 8% Senior Notes are senior unsecured obligations of the Company and will be guaranteed on a senior unsecured basis by the guarantors and any other subsidiary guarantors that from time to time become parties to the indenture. The terms of the indenture will,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contingencies and liquidity matters</w:t>
      </w:r>
    </w:p>
    <w:p>
      <w:pPr>
        <w:spacing w:after="0" w:line="229" w:lineRule="exact"/>
        <w:rPr>
          <w:sz w:val="20"/>
          <w:szCs w:val="20"/>
          <w:color w:val="auto"/>
        </w:rPr>
      </w:pPr>
    </w:p>
    <w:p>
      <w:pPr>
        <w:jc w:val="both"/>
        <w:ind w:right="780"/>
        <w:spacing w:after="0" w:line="266" w:lineRule="auto"/>
        <w:rPr>
          <w:sz w:val="20"/>
          <w:szCs w:val="20"/>
          <w:color w:val="auto"/>
        </w:rPr>
      </w:pPr>
      <w:r>
        <w:rPr>
          <w:rFonts w:ascii="Times New Roman" w:cs="Times New Roman" w:eastAsia="Times New Roman" w:hAnsi="Times New Roman"/>
          <w:sz w:val="18"/>
          <w:szCs w:val="18"/>
          <w:color w:val="auto"/>
        </w:rPr>
        <w:t>Refer to Note 5, Long-term debt, in the Notes to Condensed Consolidated Financial Statements for discussion of the Company’s Credit Agreement. Additionally, refer to Note 10, Commitments and contingencies, in the Notes to Condensed Consolidated Financial Statements for discussion of the Company’s surety agreements.</w:t>
      </w:r>
    </w:p>
    <w:p>
      <w:pPr>
        <w:spacing w:after="0" w:line="176"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believes its cash and cash equivalents, its anticipated cash flows from operations and availability under its revolving credit facility and any future revolving credit facility yet to be negotiated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Credit Agreement and bonding agreement, depends on its future operating performance and cash flows, which in turn, are subject to prevailing economic conditions and to financial, business and other factors, some of which are beyond the Company’s control.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preparing its consolidated financial statements, the Company follows GAAP, which is described in Note 1, Basis of presentation, to the Company’s December 31, 2018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2018.</w:t>
      </w:r>
    </w:p>
    <w:p>
      <w:pPr>
        <w:spacing w:after="0" w:line="22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risk of the Company’s financial instruments as of March 31, 2019 has not materially changed since December 31, 2018. The market risk profile of the Company on December 31, 2018 is disclosed in Item 7A. “Quantitative and Qualitative Disclosures about Market Risk” of the Company’s Annual Report on Form 10-K for the year ended December 31, 2018.</w:t>
      </w:r>
    </w:p>
    <w:p>
      <w:pPr>
        <w:spacing w:after="0" w:line="21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March 31, 2019.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8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Chief Executive Officer and Chief Financial Officer concluded that our disclosure controls and procedures were effective as of March 31, 2019 in providing such a reasonable assurance.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 over financial reporting.</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 13a-15(f) under the Exchange Act) during the fiscal quarter ended March 31, 2019 that have materially affected, or are reasonably likely to materially affect, our internal control over financial reporting.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7" w:name="page28"/>
    <w:bookmarkEnd w:id="2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Commitments and contingencies, in the Notes to Condensed Consolidated Financial Statements.</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during the three months ended March 31, 2019 to the risk factors previously disclosed in Item 1A. “Risk Factors” in the Company’s Annual Report on Form 10-K for the year ended December 31, 2018.</w:t>
      </w:r>
    </w:p>
    <w:p>
      <w:pPr>
        <w:spacing w:after="0" w:line="15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3"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 w:type="dxa"/>
            <w:vAlign w:val="bottom"/>
          </w:tcPr>
          <w:p>
            <w:pPr>
              <w:spacing w:after="0"/>
              <w:rPr>
                <w:sz w:val="20"/>
                <w:szCs w:val="20"/>
                <w:color w:val="auto"/>
              </w:rPr>
            </w:pPr>
          </w:p>
        </w:tc>
        <w:tc>
          <w:tcPr>
            <w:tcW w:w="1050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675"/>
        </w:trPr>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gridSpan w:val="5"/>
          </w:tcPr>
          <w:p>
            <w:pPr>
              <w:ind w:left="216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385"/>
        </w:trPr>
        <w:tc>
          <w:tcPr>
            <w:tcW w:w="320" w:type="dxa"/>
            <w:vAlign w:val="bottom"/>
          </w:tcPr>
          <w:p>
            <w:pPr>
              <w:spacing w:after="0"/>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gridSpan w:val="7"/>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Restricted Stock Unit Award Notice pursuant to the Great Lakes Dredge &amp; Dock Corporation 2017 Long-Term Incentive Plan. *†</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5"/>
        </w:trPr>
        <w:tc>
          <w:tcPr>
            <w:tcW w:w="320" w:type="dxa"/>
            <w:vAlign w:val="bottom"/>
            <w:tcBorders>
              <w:bottom w:val="single" w:sz="8" w:color="0000EE"/>
            </w:tcBorders>
          </w:tcPr>
          <w:p>
            <w:pPr>
              <w:spacing w:after="0"/>
              <w:rPr>
                <w:rFonts w:ascii="Times New Roman" w:cs="Times New Roman" w:eastAsia="Times New Roman" w:hAnsi="Times New Roman"/>
                <w:sz w:val="18"/>
                <w:szCs w:val="18"/>
                <w:color w:val="0000EE"/>
                <w:w w:val="95"/>
              </w:rPr>
            </w:pPr>
            <w:hyperlink w:anchor="page3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Performance-Based Restricted Stock Unit Award Notice pursuant to the Great Lakes Dredge &amp; Dock Corporation 2017 Long-Term Incentive</w:t>
              </w:r>
            </w:hyperlink>
          </w:p>
        </w:tc>
        <w:tc>
          <w:tcPr>
            <w:tcW w:w="320" w:type="dxa"/>
            <w:vAlign w:val="bottom"/>
          </w:tcPr>
          <w:p>
            <w:pPr>
              <w:spacing w:after="0"/>
              <w:rPr>
                <w:sz w:val="24"/>
                <w:szCs w:val="24"/>
                <w:color w:val="auto"/>
              </w:rPr>
            </w:pPr>
          </w:p>
        </w:tc>
      </w:tr>
      <w:tr>
        <w:trPr>
          <w:trHeight w:val="196"/>
        </w:trPr>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500" w:type="dxa"/>
            <w:vAlign w:val="bottom"/>
            <w:gridSpan w:val="7"/>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Plan. *†</w:t>
              </w:r>
            </w:hyperlink>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r>
      <w:tr>
        <w:trPr>
          <w:trHeight w:val="345"/>
        </w:trPr>
        <w:tc>
          <w:tcPr>
            <w:tcW w:w="320" w:type="dxa"/>
            <w:vAlign w:val="bottom"/>
          </w:tcPr>
          <w:p>
            <w:pPr>
              <w:spacing w:after="0"/>
              <w:rPr>
                <w:rFonts w:ascii="Times New Roman" w:cs="Times New Roman" w:eastAsia="Times New Roman" w:hAnsi="Times New Roman"/>
                <w:sz w:val="18"/>
                <w:szCs w:val="18"/>
                <w:color w:val="0000EE"/>
                <w:w w:val="95"/>
              </w:rPr>
            </w:pPr>
            <w:hyperlink w:anchor="page48">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1</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gridSpan w:val="7"/>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Certification Pursuant to Rules 13a-14 and 15d-14 under the Securities Exchange Act of 1934, as Adopted Pursuant to Section 302 of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Sarbanes-Oxley Act of 2002. *</w:t>
              </w:r>
            </w:hyperlink>
          </w:p>
        </w:tc>
        <w:tc>
          <w:tcPr>
            <w:tcW w:w="620" w:type="dxa"/>
            <w:vAlign w:val="bottom"/>
            <w:gridSpan w:val="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r>
      <w:tr>
        <w:trPr>
          <w:trHeight w:val="345"/>
        </w:trPr>
        <w:tc>
          <w:tcPr>
            <w:tcW w:w="320" w:type="dxa"/>
            <w:vAlign w:val="bottom"/>
          </w:tcPr>
          <w:p>
            <w:pPr>
              <w:spacing w:after="0"/>
              <w:rPr>
                <w:rFonts w:ascii="Times New Roman" w:cs="Times New Roman" w:eastAsia="Times New Roman" w:hAnsi="Times New Roman"/>
                <w:sz w:val="18"/>
                <w:szCs w:val="18"/>
                <w:color w:val="0000EE"/>
                <w:w w:val="95"/>
              </w:rPr>
            </w:pPr>
            <w:hyperlink w:anchor="page49">
              <w:r>
                <w:rPr>
                  <w:rFonts w:ascii="Times New Roman" w:cs="Times New Roman" w:eastAsia="Times New Roman" w:hAnsi="Times New Roman"/>
                  <w:sz w:val="18"/>
                  <w:szCs w:val="18"/>
                  <w:color w:val="0000EE"/>
                  <w:w w:val="95"/>
                </w:rPr>
                <w:t>31.</w:t>
              </w:r>
              <w:r>
                <w:rPr>
                  <w:rFonts w:ascii="Times New Roman" w:cs="Times New Roman" w:eastAsia="Times New Roman" w:hAnsi="Times New Roman"/>
                  <w:sz w:val="18"/>
                  <w:szCs w:val="18"/>
                  <w:u w:val="single" w:color="auto"/>
                  <w:color w:val="0000EE"/>
                  <w:w w:val="95"/>
                </w:rPr>
                <w:t>2</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gridSpan w:val="7"/>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Certification Pursuant to Rules 13a-14 and 15d-14 under the Securities Exchange Act of 1934, as Adopted Pursuant to Section 302 of the</w:t>
              </w:r>
            </w:hyperlink>
          </w:p>
        </w:tc>
      </w:tr>
      <w:tr>
        <w:trPr>
          <w:trHeight w:val="196"/>
        </w:trPr>
        <w:tc>
          <w:tcPr>
            <w:tcW w:w="3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Sarbanes-Oxley Act of 2002. *</w:t>
              </w:r>
            </w:hyperlink>
          </w:p>
        </w:tc>
        <w:tc>
          <w:tcPr>
            <w:tcW w:w="620" w:type="dxa"/>
            <w:vAlign w:val="bottom"/>
            <w:gridSpan w:val="2"/>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r>
      <w:tr>
        <w:trPr>
          <w:trHeight w:val="345"/>
        </w:trPr>
        <w:tc>
          <w:tcPr>
            <w:tcW w:w="320" w:type="dxa"/>
            <w:vAlign w:val="bottom"/>
          </w:tcPr>
          <w:p>
            <w:pPr>
              <w:spacing w:after="0"/>
              <w:rPr>
                <w:rFonts w:ascii="Times New Roman" w:cs="Times New Roman" w:eastAsia="Times New Roman" w:hAnsi="Times New Roman"/>
                <w:sz w:val="18"/>
                <w:szCs w:val="18"/>
                <w:color w:val="0000EE"/>
                <w:w w:val="95"/>
              </w:rPr>
            </w:pPr>
            <w:hyperlink w:anchor="page50">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1</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gridSpan w:val="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Certification Pursuant to 18 U.S.C. Section 1350, as Adopted Pursuant to Section 906 of the Sarbanes-Oxley Act of 2002. **</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0" w:type="dxa"/>
            <w:vAlign w:val="bottom"/>
            <w:gridSpan w:val="3"/>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r>
      <w:tr>
        <w:trPr>
          <w:trHeight w:val="345"/>
        </w:trPr>
        <w:tc>
          <w:tcPr>
            <w:tcW w:w="320" w:type="dxa"/>
            <w:vAlign w:val="bottom"/>
          </w:tcPr>
          <w:p>
            <w:pPr>
              <w:spacing w:after="0"/>
              <w:rPr>
                <w:rFonts w:ascii="Times New Roman" w:cs="Times New Roman" w:eastAsia="Times New Roman" w:hAnsi="Times New Roman"/>
                <w:sz w:val="18"/>
                <w:szCs w:val="18"/>
                <w:color w:val="0000EE"/>
                <w:w w:val="95"/>
              </w:rPr>
            </w:pPr>
            <w:hyperlink w:anchor="page51">
              <w:r>
                <w:rPr>
                  <w:rFonts w:ascii="Times New Roman" w:cs="Times New Roman" w:eastAsia="Times New Roman" w:hAnsi="Times New Roman"/>
                  <w:sz w:val="18"/>
                  <w:szCs w:val="18"/>
                  <w:color w:val="0000EE"/>
                  <w:w w:val="95"/>
                </w:rPr>
                <w:t>32.</w:t>
              </w:r>
              <w:r>
                <w:rPr>
                  <w:rFonts w:ascii="Times New Roman" w:cs="Times New Roman" w:eastAsia="Times New Roman" w:hAnsi="Times New Roman"/>
                  <w:sz w:val="18"/>
                  <w:szCs w:val="18"/>
                  <w:u w:val="single" w:color="auto"/>
                  <w:color w:val="0000EE"/>
                  <w:w w:val="95"/>
                </w:rPr>
                <w:t>2</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500" w:type="dxa"/>
            <w:vAlign w:val="bottom"/>
            <w:gridSpan w:val="7"/>
          </w:tcPr>
          <w:p>
            <w:pPr>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Certification Pursuant to 18 U.S.C. Section 1350, as Adopted Pursuant to Section 906 of the Sarbanes-Oxley Act of 2002. **</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0" w:type="dxa"/>
            <w:vAlign w:val="bottom"/>
            <w:gridSpan w:val="3"/>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r>
      <w:tr>
        <w:trPr>
          <w:trHeight w:val="38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w:t>
            </w:r>
          </w:p>
        </w:tc>
      </w:tr>
      <w:tr>
        <w:trPr>
          <w:trHeight w:val="36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w:t>
            </w:r>
          </w:p>
        </w:tc>
      </w:tr>
      <w:tr>
        <w:trPr>
          <w:trHeight w:val="36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w:t>
            </w:r>
          </w:p>
        </w:tc>
      </w:tr>
      <w:tr>
        <w:trPr>
          <w:trHeight w:val="36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w:t>
            </w:r>
          </w:p>
        </w:tc>
      </w:tr>
      <w:tr>
        <w:trPr>
          <w:trHeight w:val="36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w:t>
            </w:r>
          </w:p>
        </w:tc>
      </w:tr>
      <w:tr>
        <w:trPr>
          <w:trHeight w:val="36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Great Lakes Dredge &amp; Dock Corporation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840"/>
        <w:spacing w:after="0"/>
        <w:tabs>
          <w:tab w:leader="none" w:pos="84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2"/>
          <w:szCs w:val="12"/>
          <w:color w:val="auto"/>
        </w:rPr>
        <w:t>ARINKO</w:t>
      </w:r>
    </w:p>
    <w:p>
      <w:pPr>
        <w:spacing w:after="0" w:line="27"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4"/>
          <w:szCs w:val="14"/>
          <w:b w:val="1"/>
          <w:bCs w:val="1"/>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-101600</wp:posOffset>
            </wp:positionV>
            <wp:extent cx="27101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jc w:val="center"/>
        <w:ind w:left="7160"/>
        <w:spacing w:after="0" w:line="224" w:lineRule="auto"/>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spacing w:after="0" w:line="1"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2"/>
          <w:szCs w:val="12"/>
          <w:b w:val="1"/>
          <w:bCs w:val="1"/>
          <w:color w:val="auto"/>
        </w:rPr>
        <w:t>(Principal Financial and Accounting Officer and Duly Authorized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2019</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3"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[TIME-BASED RSU AGMT]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REAT</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AKES</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REDGE</w:t>
      </w:r>
      <w:r>
        <w:rPr>
          <w:rFonts w:ascii="Times New Roman" w:cs="Times New Roman" w:eastAsia="Times New Roman" w:hAnsi="Times New Roman"/>
          <w:sz w:val="22"/>
          <w:szCs w:val="22"/>
          <w:b w:val="1"/>
          <w:bCs w:val="1"/>
          <w:color w:val="auto"/>
        </w:rPr>
        <w:t xml:space="preserve"> &amp; D</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2017 L</w:t>
      </w:r>
      <w:r>
        <w:rPr>
          <w:rFonts w:ascii="Times New Roman" w:cs="Times New Roman" w:eastAsia="Times New Roman" w:hAnsi="Times New Roman"/>
          <w:sz w:val="14"/>
          <w:szCs w:val="14"/>
          <w:b w:val="1"/>
          <w:bCs w:val="1"/>
          <w:color w:val="auto"/>
        </w:rPr>
        <w:t>ONG</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 Name]</w:t>
      </w:r>
    </w:p>
    <w:p>
      <w:pPr>
        <w:spacing w:after="0" w:line="18"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22"/>
          <w:szCs w:val="22"/>
          <w:color w:val="auto"/>
        </w:rPr>
        <w:t>You have been awarded a restricted stock unit award with respect to shares of common stock of Great Lakes Dredge &amp; Dock Corporation,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pursuant to the terms and conditions of the Great Lakes Dredge &amp; Dock Corporation 2017 Long-Term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Restricted Stock Unit Award Agreement (together with this Award Notice,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The Restricted Stock Unit Award Agreement is attached hereto and the Plan and the Restricted Stock Unit Award Agreement are available on Fidelity Investment’s website at </w:t>
      </w:r>
      <w:r>
        <w:rPr>
          <w:rFonts w:ascii="Times New Roman" w:cs="Times New Roman" w:eastAsia="Times New Roman" w:hAnsi="Times New Roman"/>
          <w:sz w:val="22"/>
          <w:szCs w:val="22"/>
          <w:b w:val="1"/>
          <w:bCs w:val="1"/>
          <w:color w:val="auto"/>
        </w:rPr>
        <w:t>www.netbenefits.fidelity.com</w:t>
      </w:r>
      <w:r>
        <w:rPr>
          <w:rFonts w:ascii="Times New Roman" w:cs="Times New Roman" w:eastAsia="Times New Roman" w:hAnsi="Times New Roman"/>
          <w:sz w:val="22"/>
          <w:szCs w:val="22"/>
          <w:color w:val="auto"/>
        </w:rPr>
        <w:t>. Capitalized terms not defined herein shall have the meanings specified in the Plan or the Agreement.</w:t>
      </w:r>
    </w:p>
    <w:p>
      <w:pPr>
        <w:spacing w:after="0" w:line="173" w:lineRule="exact"/>
        <w:rPr>
          <w:sz w:val="20"/>
          <w:szCs w:val="20"/>
          <w:color w:val="auto"/>
        </w:rPr>
      </w:pPr>
    </w:p>
    <w:p>
      <w:pPr>
        <w:ind w:left="3280" w:hanging="3281"/>
        <w:spacing w:after="0" w:line="262" w:lineRule="auto"/>
        <w:tabs>
          <w:tab w:leader="none" w:pos="3260" w:val="left"/>
        </w:tabs>
        <w:rPr>
          <w:sz w:val="20"/>
          <w:szCs w:val="20"/>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You have been awarded a restricted stock unit award with respect to [</w:t>
      </w:r>
      <w:r>
        <w:rPr>
          <w:rFonts w:ascii="Times New Roman" w:cs="Times New Roman" w:eastAsia="Times New Roman" w:hAnsi="Times New Roman"/>
          <w:sz w:val="22"/>
          <w:szCs w:val="22"/>
          <w:i w:val="1"/>
          <w:iCs w:val="1"/>
          <w:color w:val="auto"/>
        </w:rPr>
        <w:t>Insert number of shares</w:t>
      </w:r>
      <w:r>
        <w:rPr>
          <w:rFonts w:ascii="Times New Roman" w:cs="Times New Roman" w:eastAsia="Times New Roman" w:hAnsi="Times New Roman"/>
          <w:sz w:val="22"/>
          <w:szCs w:val="22"/>
          <w:color w:val="auto"/>
        </w:rPr>
        <w:t>] shares of Common Stock, subject to adjustment as provided in the Plan.</w:t>
      </w:r>
    </w:p>
    <w:p>
      <w:pPr>
        <w:spacing w:after="0" w:line="150"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Grant Date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980" w:right="180" w:hanging="2970"/>
        <w:spacing w:after="0" w:line="239" w:lineRule="auto"/>
        <w:tabs>
          <w:tab w:leader="none" w:pos="2960" w:val="left"/>
        </w:tabs>
        <w:rPr>
          <w:sz w:val="20"/>
          <w:szCs w:val="20"/>
          <w:color w:val="auto"/>
        </w:rPr>
      </w:pPr>
      <w:r>
        <w:rPr>
          <w:rFonts w:ascii="Times New Roman" w:cs="Times New Roman" w:eastAsia="Times New Roman" w:hAnsi="Times New Roman"/>
          <w:sz w:val="22"/>
          <w:szCs w:val="22"/>
          <w:u w:val="single" w:color="auto"/>
          <w:color w:val="auto"/>
        </w:rPr>
        <w:t>Vesting Schedule</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Except as otherwise provided in the Plan, the Agreement or any other agreement between the Corporation or any of its Affiliates and Holder, the Award shall vest [</w:t>
      </w:r>
      <w:r>
        <w:rPr>
          <w:rFonts w:ascii="Times New Roman" w:cs="Times New Roman" w:eastAsia="Times New Roman" w:hAnsi="Times New Roman"/>
          <w:sz w:val="22"/>
          <w:szCs w:val="22"/>
          <w:i w:val="1"/>
          <w:iCs w:val="1"/>
          <w:color w:val="auto"/>
        </w:rPr>
        <w:t>Insert Vesting Conditions</w:t>
      </w:r>
      <w:r>
        <w:rPr>
          <w:rFonts w:ascii="Times New Roman" w:cs="Times New Roman" w:eastAsia="Times New Roman" w:hAnsi="Times New Roman"/>
          <w:sz w:val="22"/>
          <w:szCs w:val="22"/>
          <w:color w:val="auto"/>
        </w:rPr>
        <w:t>] subject thereto on the Grant Date, in each case, provided the Holder remains continuously employed by the Corporation through such date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GREAT LAKES DREDGE &amp; DOCK</w:t>
      </w:r>
    </w:p>
    <w:p>
      <w:pPr>
        <w:spacing w:after="0" w:line="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CORPORATION</w:t>
      </w:r>
    </w:p>
    <w:p>
      <w:pPr>
        <w:spacing w:after="0" w:line="209" w:lineRule="exact"/>
        <w:rPr>
          <w:sz w:val="20"/>
          <w:szCs w:val="20"/>
          <w:color w:val="auto"/>
        </w:rPr>
      </w:pPr>
    </w:p>
    <w:tbl>
      <w:tblPr>
        <w:tblLayout w:type="fixed"/>
        <w:tblInd w:w="5720" w:type="dxa"/>
        <w:tblCellMar>
          <w:top w:w="0" w:type="dxa"/>
          <w:left w:w="0" w:type="dxa"/>
          <w:bottom w:w="0" w:type="dxa"/>
          <w:right w:w="0" w:type="dxa"/>
        </w:tblCellMar>
      </w:tblP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Lasse J. Petterson</w:t>
            </w:r>
          </w:p>
        </w:tc>
      </w:tr>
      <w:tr>
        <w:trPr>
          <w:trHeight w:val="209"/>
        </w:trPr>
        <w:tc>
          <w:tcPr>
            <w:tcW w:w="740" w:type="dxa"/>
            <w:vAlign w:val="bottom"/>
          </w:tcPr>
          <w:p>
            <w:pPr>
              <w:spacing w:after="0"/>
              <w:rPr>
                <w:sz w:val="18"/>
                <w:szCs w:val="18"/>
                <w:color w:val="auto"/>
              </w:rPr>
            </w:pPr>
          </w:p>
        </w:tc>
        <w:tc>
          <w:tcPr>
            <w:tcW w:w="49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Lasse J. Petterson</w:t>
            </w:r>
          </w:p>
        </w:tc>
      </w:tr>
      <w:tr>
        <w:trPr>
          <w:trHeight w:val="283"/>
        </w:trPr>
        <w:tc>
          <w:tcPr>
            <w:tcW w:w="74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Acknowledgment, Acceptance and Agreement:</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By accepting this grant on Fidelity Investment’s website, I hereby accept the Restricted Stock Units granted to me and acknowledge and agree to be bound by the terms and conditions of this Award Notice, the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__Participant Name___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«Participant_Name»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__Electronic Signature</w:t>
            </w:r>
          </w:p>
        </w:tc>
        <w:tc>
          <w:tcPr>
            <w:tcW w:w="2720" w:type="dxa"/>
            <w:vAlign w:val="bottom"/>
          </w:tcPr>
          <w:p>
            <w:pPr>
              <w:spacing w:after="0"/>
              <w:rPr>
                <w:sz w:val="23"/>
                <w:szCs w:val="23"/>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Date</w:t>
            </w:r>
          </w:p>
        </w:tc>
        <w:tc>
          <w:tcPr>
            <w:tcW w:w="5140" w:type="dxa"/>
            <w:vAlign w:val="bottom"/>
            <w:gridSpan w:val="4"/>
          </w:tcPr>
          <w:p>
            <w:pPr>
              <w:ind w:left="560"/>
              <w:spacing w:after="0"/>
              <w:rPr>
                <w:sz w:val="20"/>
                <w:szCs w:val="20"/>
                <w:color w:val="auto"/>
              </w:rPr>
            </w:pPr>
            <w:r>
              <w:rPr>
                <w:rFonts w:ascii="Times New Roman" w:cs="Times New Roman" w:eastAsia="Times New Roman" w:hAnsi="Times New Roman"/>
                <w:sz w:val="22"/>
                <w:szCs w:val="22"/>
                <w:color w:val="auto"/>
              </w:rPr>
              <w:t>Acceptance Date</w:t>
            </w:r>
          </w:p>
        </w:tc>
      </w:tr>
      <w:tr>
        <w:trPr>
          <w:trHeight w:val="263"/>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«Electronic_Signature»</w:t>
            </w:r>
          </w:p>
        </w:tc>
        <w:tc>
          <w:tcPr>
            <w:tcW w:w="2720" w:type="dxa"/>
            <w:vAlign w:val="bottom"/>
            <w:tcBorders>
              <w:top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80" w:type="dxa"/>
            <w:vAlign w:val="bottom"/>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440"/>
        </w:trPr>
        <w:tc>
          <w:tcPr>
            <w:tcW w:w="27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71" w:right="21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REAT</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AKES</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REDGE</w:t>
      </w:r>
      <w:r>
        <w:rPr>
          <w:rFonts w:ascii="Times New Roman" w:cs="Times New Roman" w:eastAsia="Times New Roman" w:hAnsi="Times New Roman"/>
          <w:sz w:val="22"/>
          <w:szCs w:val="22"/>
          <w:b w:val="1"/>
          <w:bCs w:val="1"/>
          <w:color w:val="auto"/>
        </w:rPr>
        <w:t xml:space="preserve"> &amp; D</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2017 L</w:t>
      </w:r>
      <w:r>
        <w:rPr>
          <w:rFonts w:ascii="Times New Roman" w:cs="Times New Roman" w:eastAsia="Times New Roman" w:hAnsi="Times New Roman"/>
          <w:sz w:val="14"/>
          <w:szCs w:val="14"/>
          <w:b w:val="1"/>
          <w:bCs w:val="1"/>
          <w:color w:val="auto"/>
        </w:rPr>
        <w:t>ONG</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right="220" w:firstLine="1755"/>
        <w:spacing w:after="0" w:line="235" w:lineRule="auto"/>
        <w:rPr>
          <w:sz w:val="20"/>
          <w:szCs w:val="20"/>
          <w:color w:val="auto"/>
        </w:rPr>
      </w:pPr>
      <w:r>
        <w:rPr>
          <w:rFonts w:ascii="Times New Roman" w:cs="Times New Roman" w:eastAsia="Times New Roman" w:hAnsi="Times New Roman"/>
          <w:sz w:val="22"/>
          <w:szCs w:val="22"/>
          <w:color w:val="auto"/>
        </w:rPr>
        <w:t>Great Lakes Dredge and Dock Corporation,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hereby grants to the individual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named in the award notice attached hereto (the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as of the date set forth in the Award Notice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pursuant to the provisions of the Great Lakes Dredge &amp; Dock Corporation 2017 Long-Term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 restricted stock unit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with respect to the number of shares of the Corporation’s Common Stock, par value $0.0001 per share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set forth in the Award Notice, upon and subject to the restrictions, terms and conditions set forth in the Plan and this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not defined herein shall have the meanings specified in the Plan.</w:t>
      </w:r>
    </w:p>
    <w:p>
      <w:pPr>
        <w:spacing w:after="0" w:line="184" w:lineRule="exact"/>
        <w:rPr>
          <w:sz w:val="20"/>
          <w:szCs w:val="20"/>
          <w:color w:val="auto"/>
        </w:rPr>
      </w:pPr>
    </w:p>
    <w:p>
      <w:pPr>
        <w:ind w:right="220" w:firstLine="1763"/>
        <w:spacing w:after="0" w:line="239" w:lineRule="auto"/>
        <w:tabs>
          <w:tab w:leader="none" w:pos="256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Subject to Acceptance of Agreement</w:t>
      </w:r>
      <w:r>
        <w:rPr>
          <w:rFonts w:ascii="Times New Roman" w:cs="Times New Roman" w:eastAsia="Times New Roman" w:hAnsi="Times New Roman"/>
          <w:sz w:val="22"/>
          <w:szCs w:val="22"/>
          <w:color w:val="auto"/>
        </w:rPr>
        <w:t>. The Award shall be null and void unless the Holder accepts this Agreement by executing the Award Notice in the space provided therefor and returning an original execution copy of the Award Notice to the Corporation (or electronically accepting this Agreement within the Holder’s stock plan account with the Corporation’s stock plan administrator according to the procedures then in effect).</w:t>
      </w:r>
    </w:p>
    <w:p>
      <w:pPr>
        <w:spacing w:after="0" w:line="180" w:lineRule="exact"/>
        <w:rPr>
          <w:rFonts w:ascii="Times New Roman" w:cs="Times New Roman" w:eastAsia="Times New Roman" w:hAnsi="Times New Roman"/>
          <w:sz w:val="22"/>
          <w:szCs w:val="22"/>
          <w:color w:val="auto"/>
        </w:rPr>
      </w:pPr>
    </w:p>
    <w:p>
      <w:pPr>
        <w:ind w:firstLine="1763"/>
        <w:spacing w:after="0" w:line="235" w:lineRule="auto"/>
        <w:tabs>
          <w:tab w:leader="none" w:pos="256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xml:space="preserve">. The Holder shall not be entitled to any privileges of ownership with respect to the shares of Stock subject to the Award unless and until, and only to the extent, such shares become vested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and the Holder becomes a stockholder of record with respect to such shares. As of each date on which the Corporation pays a cash dividend to record owners of shares of Stock (a “</w:t>
      </w:r>
      <w:r>
        <w:rPr>
          <w:rFonts w:ascii="Times New Roman" w:cs="Times New Roman" w:eastAsia="Times New Roman" w:hAnsi="Times New Roman"/>
          <w:sz w:val="22"/>
          <w:szCs w:val="22"/>
          <w:u w:val="single" w:color="auto"/>
          <w:color w:val="auto"/>
        </w:rPr>
        <w:t>Dividend Date</w:t>
      </w:r>
      <w:r>
        <w:rPr>
          <w:rFonts w:ascii="Times New Roman" w:cs="Times New Roman" w:eastAsia="Times New Roman" w:hAnsi="Times New Roman"/>
          <w:sz w:val="22"/>
          <w:szCs w:val="22"/>
          <w:color w:val="auto"/>
        </w:rPr>
        <w:t>”), then the number of shares subject to the Award shall increase by (i) the product of the total number of shares subject to the Award immediately prior to such Dividend Date multiplied by the dollar amount of the cash dividend paid per share of Stock by the Corporation on such Dividend Date, divided by (ii) the Fair Market Value of a share of Stock on such Dividend Date. Any such additional shares shall be subject to the same vesting conditions and payment terms set forth herein as the shares to which they relate.</w:t>
      </w:r>
    </w:p>
    <w:p>
      <w:pPr>
        <w:spacing w:after="0" w:line="179" w:lineRule="exact"/>
        <w:rPr>
          <w:rFonts w:ascii="Times New Roman" w:cs="Times New Roman" w:eastAsia="Times New Roman" w:hAnsi="Times New Roman"/>
          <w:sz w:val="22"/>
          <w:szCs w:val="22"/>
          <w:color w:val="auto"/>
        </w:rPr>
      </w:pPr>
    </w:p>
    <w:p>
      <w:pPr>
        <w:ind w:left="2580" w:hanging="817"/>
        <w:spacing w:after="0"/>
        <w:tabs>
          <w:tab w:leader="none" w:pos="25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 Period and 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20" w:right="100" w:firstLine="1721"/>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1"/>
          <w:szCs w:val="21"/>
          <w:u w:val="single" w:color="auto"/>
          <w:color w:val="auto"/>
        </w:rPr>
        <w:t>Vesting Conditions</w:t>
      </w:r>
      <w:r>
        <w:rPr>
          <w:rFonts w:ascii="Times New Roman" w:cs="Times New Roman" w:eastAsia="Times New Roman" w:hAnsi="Times New Roman"/>
          <w:sz w:val="21"/>
          <w:szCs w:val="21"/>
          <w:color w:val="auto"/>
        </w:rPr>
        <w:t>. The Award shall vest in accordance with the vesting schedule set forth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Award Notice, provided the Holder remains continuously employed by the Corporation through the applicable vesting date or as otherwise provided for in an agreement between the Holder and the Company. The period of time prior to the vesting shall be referred to herein as the “</w:t>
      </w:r>
      <w:r>
        <w:rPr>
          <w:rFonts w:ascii="Times New Roman" w:cs="Times New Roman" w:eastAsia="Times New Roman" w:hAnsi="Times New Roman"/>
          <w:sz w:val="21"/>
          <w:szCs w:val="21"/>
          <w:u w:val="single" w:color="auto"/>
          <w:color w:val="auto"/>
        </w:rPr>
        <w:t>Restriction Period</w:t>
      </w:r>
      <w:r>
        <w:rPr>
          <w:rFonts w:ascii="Times New Roman" w:cs="Times New Roman" w:eastAsia="Times New Roman" w:hAnsi="Times New Roman"/>
          <w:sz w:val="21"/>
          <w:szCs w:val="21"/>
          <w:color w:val="auto"/>
        </w:rPr>
        <w:t>.” In the event of the Holder’s termination, the portion of the Award that was not vested immediately prior to such termination, shall be immediately forfeited by the Holder and cancelled by the Company, except as otherwise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3" w:name="page34"/>
    <w:bookmarkEnd w:id="33"/>
    <w:p>
      <w:pPr>
        <w:ind w:left="1580"/>
        <w:spacing w:after="0"/>
        <w:tabs>
          <w:tab w:leader="none" w:pos="250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1"/>
          <w:szCs w:val="21"/>
          <w:u w:val="single" w:color="auto"/>
          <w:color w:val="auto"/>
        </w:rPr>
        <w:t>Termination of Employment</w:t>
      </w:r>
    </w:p>
    <w:p>
      <w:pPr>
        <w:spacing w:after="0" w:line="218" w:lineRule="exact"/>
        <w:rPr>
          <w:sz w:val="20"/>
          <w:szCs w:val="20"/>
          <w:color w:val="auto"/>
        </w:rPr>
      </w:pPr>
    </w:p>
    <w:p>
      <w:pPr>
        <w:ind w:left="-180" w:right="60" w:firstLine="1763"/>
        <w:spacing w:after="0" w:line="258" w:lineRule="auto"/>
        <w:tabs>
          <w:tab w:leader="none" w:pos="246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Upon the Holder’s Disability or death prior to the end of the Restriction Period, to the extent not previously forfeited, the Award shall be fully vested.</w:t>
      </w:r>
    </w:p>
    <w:p>
      <w:pPr>
        <w:spacing w:after="0" w:line="158" w:lineRule="exact"/>
        <w:rPr>
          <w:rFonts w:ascii="Times New Roman" w:cs="Times New Roman" w:eastAsia="Times New Roman" w:hAnsi="Times New Roman"/>
          <w:sz w:val="22"/>
          <w:szCs w:val="22"/>
          <w:color w:val="auto"/>
        </w:rPr>
      </w:pPr>
    </w:p>
    <w:p>
      <w:pPr>
        <w:jc w:val="both"/>
        <w:ind w:left="-180" w:firstLine="1763"/>
        <w:spacing w:after="0" w:line="239" w:lineRule="auto"/>
        <w:tabs>
          <w:tab w:leader="none" w:pos="247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Retirement</w:t>
      </w:r>
      <w:r>
        <w:rPr>
          <w:rFonts w:ascii="Times New Roman" w:cs="Times New Roman" w:eastAsia="Times New Roman" w:hAnsi="Times New Roman"/>
          <w:sz w:val="22"/>
          <w:szCs w:val="22"/>
          <w:color w:val="auto"/>
        </w:rPr>
        <w:t>. Subject to any employment or consulting agreement with the Holder that provides otherwise, if the Holder’s employment terminates due to Retirement, to the extent not previously forfeited, the Award shall continue to vest on the applicable Vesting Date. For avoidance of doubt, the Committee may elect to accelerate vesting of the Award due to a Change in Control or any other reason, in its sole and absolute discretion.</w:t>
      </w:r>
    </w:p>
    <w:p>
      <w:pPr>
        <w:spacing w:after="0" w:line="180" w:lineRule="exact"/>
        <w:rPr>
          <w:rFonts w:ascii="Times New Roman" w:cs="Times New Roman" w:eastAsia="Times New Roman" w:hAnsi="Times New Roman"/>
          <w:sz w:val="22"/>
          <w:szCs w:val="22"/>
          <w:color w:val="auto"/>
        </w:rPr>
      </w:pPr>
    </w:p>
    <w:p>
      <w:pPr>
        <w:ind w:left="-180" w:right="60" w:firstLine="1763"/>
        <w:spacing w:after="0" w:line="238" w:lineRule="auto"/>
        <w:tabs>
          <w:tab w:leader="none" w:pos="2517"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other than due to Retirement, Death or Disability</w:t>
      </w:r>
      <w:r>
        <w:rPr>
          <w:rFonts w:ascii="Times New Roman" w:cs="Times New Roman" w:eastAsia="Times New Roman" w:hAnsi="Times New Roman"/>
          <w:sz w:val="22"/>
          <w:szCs w:val="22"/>
          <w:color w:val="auto"/>
        </w:rPr>
        <w:t>. Subject to any employment or consulting agreement with the Holder that provides otherwise, if the Holder’s employment with the Corporation terminates prior to the end of the Restriction Period by reason of (i) the Corporation’s termination of the Holder’s employment for any reason other than death or Disability or (ii) the Holder’s resignation for any reason other than Retirement, then the Award shall be immediately forfeited by the Holder and cancelled by the Corporation.</w:t>
      </w:r>
    </w:p>
    <w:p>
      <w:pPr>
        <w:spacing w:after="0" w:line="177" w:lineRule="exact"/>
        <w:rPr>
          <w:sz w:val="20"/>
          <w:szCs w:val="20"/>
          <w:color w:val="auto"/>
        </w:rPr>
      </w:pPr>
    </w:p>
    <w:p>
      <w:pPr>
        <w:ind w:right="40" w:firstLine="1512"/>
        <w:spacing w:after="0" w:line="246"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Subject to any employment or consulting agreement with the Holder that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provides otherwise or the terms of the Plan relating to Replacement Awards, upon a Change in Control during the Restriction Period, the Committee may elect, in its sole discretion, to accelerate the vesting of some or all of the Award, provided, that no provision of this Agreement shall require the Committee to accelerate vesting pursuant to this sentence upon a Change in Control or any other event. In the event that the vesting of the Award is accelerated pursuant to this Section 3.3 or the terms of the Plan relating to Replacement Awards, then the Award shall be settled in cash within 70 days following the Change in Control; provided, however, if the Award is “non-qualified deferred compensation” subject to Section 409A of the Code and the “Change in Control” was not a “change in control event” within the meaning of Section 409A or to the extent such settlement would be prohibited under Section 409A of the Code, then the vested Award shall be settled in accordance with the normal vesting schedule or, if earlier, the Holder’s death, Disability or next Vesting Date for a termination due to Retirement.</w:t>
      </w:r>
    </w:p>
    <w:p>
      <w:pPr>
        <w:spacing w:after="0" w:line="172" w:lineRule="exact"/>
        <w:rPr>
          <w:sz w:val="20"/>
          <w:szCs w:val="20"/>
          <w:color w:val="auto"/>
        </w:rPr>
      </w:pPr>
    </w:p>
    <w:p>
      <w:pPr>
        <w:ind w:left="1560"/>
        <w:spacing w:after="0"/>
        <w:tabs>
          <w:tab w:leader="none" w:pos="24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180" w:right="20" w:firstLine="1763"/>
        <w:spacing w:after="0" w:line="244" w:lineRule="auto"/>
        <w:tabs>
          <w:tab w:leader="none" w:pos="246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the Holder becoming unable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73" w:lineRule="exact"/>
        <w:rPr>
          <w:rFonts w:ascii="Times New Roman" w:cs="Times New Roman" w:eastAsia="Times New Roman" w:hAnsi="Times New Roman"/>
          <w:sz w:val="22"/>
          <w:szCs w:val="22"/>
          <w:color w:val="auto"/>
        </w:rPr>
      </w:pPr>
    </w:p>
    <w:p>
      <w:pPr>
        <w:ind w:left="-180" w:firstLine="1763"/>
        <w:spacing w:after="0" w:line="236" w:lineRule="auto"/>
        <w:tabs>
          <w:tab w:leader="none" w:pos="247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shall mean an agreement between the Corporation or an Affiliate, in a form satisfactory to the Corporation or the Affiliate,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Holder’s termination due to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600710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420" w:top="328" w:right="259" w:bottom="1440" w:gutter="0" w:footer="0" w:header="0"/>
        </w:sectPr>
      </w:pPr>
    </w:p>
    <w:bookmarkStart w:id="34" w:name="page35"/>
    <w:bookmarkEnd w:id="34"/>
    <w:p>
      <w:pPr>
        <w:ind w:left="-1200" w:right="120" w:firstLine="1763"/>
        <w:spacing w:after="0" w:line="238" w:lineRule="auto"/>
        <w:tabs>
          <w:tab w:leader="none" w:pos="149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xml:space="preserve">” shall have the meaning set forth in any employment or consulting agreement between the Holder and the Corporation or an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(1) a uniform definition of Retirement is not used either within a single agreement or across multiple employment or consulting agreements between the Holder and the Corporation or an Affiliate, (2) there is no such agreement, or (3) such agreement does not define Retirement, Retirement shall mean a Holder’s termination of employment, other than for Cause, which meets all of the following criteria.</w:t>
      </w:r>
    </w:p>
    <w:p>
      <w:pPr>
        <w:spacing w:after="0" w:line="177" w:lineRule="exact"/>
        <w:rPr>
          <w:rFonts w:ascii="Times New Roman" w:cs="Times New Roman" w:eastAsia="Times New Roman" w:hAnsi="Times New Roman"/>
          <w:sz w:val="22"/>
          <w:szCs w:val="22"/>
          <w:color w:val="auto"/>
        </w:rPr>
      </w:pPr>
    </w:p>
    <w:p>
      <w:pPr>
        <w:ind w:left="1420" w:right="120" w:hanging="870"/>
        <w:spacing w:after="0" w:line="258" w:lineRule="auto"/>
        <w:tabs>
          <w:tab w:leader="none" w:pos="14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has reached a minimum age of 55 and has a minimum number of 5 continuous full years of service to the Corporation or an Affiliate.</w:t>
      </w:r>
    </w:p>
    <w:p>
      <w:pPr>
        <w:spacing w:after="0" w:line="158" w:lineRule="exact"/>
        <w:rPr>
          <w:rFonts w:ascii="Times New Roman" w:cs="Times New Roman" w:eastAsia="Times New Roman" w:hAnsi="Times New Roman"/>
          <w:sz w:val="22"/>
          <w:szCs w:val="22"/>
          <w:color w:val="auto"/>
        </w:rPr>
      </w:pPr>
    </w:p>
    <w:p>
      <w:pPr>
        <w:ind w:left="1420" w:right="120" w:hanging="870"/>
        <w:spacing w:after="0" w:line="238" w:lineRule="auto"/>
        <w:tabs>
          <w:tab w:leader="none" w:pos="14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(x) the continuous full years of service by the Holder to the Corporation or an Affiliate and (y) the attained age in full years of the Holder on the date of the Holder’s termination of employment total no less than 75 (the “</w:t>
      </w:r>
      <w:r>
        <w:rPr>
          <w:rFonts w:ascii="Times New Roman" w:cs="Times New Roman" w:eastAsia="Times New Roman" w:hAnsi="Times New Roman"/>
          <w:sz w:val="22"/>
          <w:szCs w:val="22"/>
          <w:u w:val="single" w:color="auto"/>
          <w:color w:val="auto"/>
        </w:rPr>
        <w:t>Rule of 75</w:t>
      </w:r>
      <w:r>
        <w:rPr>
          <w:rFonts w:ascii="Times New Roman" w:cs="Times New Roman" w:eastAsia="Times New Roman" w:hAnsi="Times New Roman"/>
          <w:sz w:val="22"/>
          <w:szCs w:val="22"/>
          <w:color w:val="auto"/>
        </w:rPr>
        <w:t>”). A leave of absence which is agreed to between the Corporation and the Holder in writing for medical reasons or for military service shall not constitute a break in Service for this purpose.</w:t>
      </w:r>
    </w:p>
    <w:p>
      <w:pPr>
        <w:spacing w:after="0" w:line="177" w:lineRule="exact"/>
        <w:rPr>
          <w:rFonts w:ascii="Times New Roman" w:cs="Times New Roman" w:eastAsia="Times New Roman" w:hAnsi="Times New Roman"/>
          <w:sz w:val="22"/>
          <w:szCs w:val="22"/>
          <w:color w:val="auto"/>
        </w:rPr>
      </w:pPr>
    </w:p>
    <w:p>
      <w:pPr>
        <w:ind w:left="1420" w:right="80" w:hanging="870"/>
        <w:spacing w:after="0" w:line="244" w:lineRule="auto"/>
        <w:tabs>
          <w:tab w:leader="none" w:pos="14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signs a Restrictive Covenant Agreement in anticipation of the Holder’s Retirement, in the form provided to the Holder by the Corporation if the Corporation requests that the Holder do so, within the timeframe given to the Holder to sign by the Corporation.</w:t>
      </w:r>
    </w:p>
    <w:p>
      <w:pPr>
        <w:spacing w:after="0" w:line="173" w:lineRule="exact"/>
        <w:rPr>
          <w:rFonts w:ascii="Times New Roman" w:cs="Times New Roman" w:eastAsia="Times New Roman" w:hAnsi="Times New Roman"/>
          <w:sz w:val="22"/>
          <w:szCs w:val="22"/>
          <w:color w:val="auto"/>
        </w:rPr>
      </w:pPr>
    </w:p>
    <w:p>
      <w:pPr>
        <w:ind w:left="1420" w:right="20" w:hanging="870"/>
        <w:spacing w:after="0" w:line="239" w:lineRule="auto"/>
        <w:tabs>
          <w:tab w:leader="none" w:pos="14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gives his or her direct supervisor, or in the case of the Chief Executive Officer, the Board, at least four months’ prior written notice of his or her Retirement. The Holder shall cease to be eligible for participation in the long term incentive program following provision of notice pursuant to this sub-section.</w:t>
      </w:r>
    </w:p>
    <w:p>
      <w:pPr>
        <w:spacing w:after="0" w:line="181" w:lineRule="exact"/>
        <w:rPr>
          <w:sz w:val="20"/>
          <w:szCs w:val="20"/>
          <w:color w:val="auto"/>
        </w:rPr>
      </w:pPr>
    </w:p>
    <w:p>
      <w:pPr>
        <w:ind w:left="-1200" w:right="140" w:firstLine="1763"/>
        <w:spacing w:after="0" w:line="234" w:lineRule="auto"/>
        <w:tabs>
          <w:tab w:leader="none" w:pos="136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or Delivery of Shares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and except as otherwise provided for herein, within 70 days after each Vesting Date (or, if earlier, a qualifying termination of employment or Change in Control, to the extent either event constitutes a settlement date for the Award), the Corporation shall issue or deliver, subject to the conditions of this Agreement, the vested shares of Stock to the Holder. Such issuance or delivery shall be evidenced by the appropriate entry on the books of the Corporation or of a duly authorized transfer agent of the Corporation. The Corporation shall pay all original issue or transfer taxes and all fees and expenses incident to such issuance or delivery, except as otherwise provided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Prior to the issuance to the Holder of the shares of Stock subject to the Award, the Holder shall have no direct or secured claim in any specific assets of the Corporation or in such shares of Stock, and will have the status of a general unsecured creditor of the Corporation.</w:t>
      </w:r>
    </w:p>
    <w:p>
      <w:pPr>
        <w:spacing w:after="0" w:line="184" w:lineRule="exact"/>
        <w:rPr>
          <w:rFonts w:ascii="Times New Roman" w:cs="Times New Roman" w:eastAsia="Times New Roman" w:hAnsi="Times New Roman"/>
          <w:sz w:val="22"/>
          <w:szCs w:val="22"/>
          <w:color w:val="auto"/>
        </w:rPr>
      </w:pPr>
    </w:p>
    <w:p>
      <w:pPr>
        <w:jc w:val="both"/>
        <w:ind w:left="-1200" w:firstLine="1763"/>
        <w:spacing w:after="0" w:line="238" w:lineRule="auto"/>
        <w:tabs>
          <w:tab w:leader="none" w:pos="136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This award and any payment or shares of Stock delivered pursuant to this award may be subject to forfeiture, recovery by the Corporation or other action pursuant to any clawback or recoupment policy which the Corporation may adopt from time to time, including without limitation any such policy which the Corporation may be required to adopt under Section 304 of the Sarbanes-Oxley Act of 2002, the Dodd-Frank Wall Street Reform and Consumer Protection Act and implementing rules and regulations thereunder, or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597535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35" w:name="page36"/>
    <w:bookmarkEnd w:id="35"/>
    <w:p>
      <w:pPr>
        <w:ind w:left="2580" w:hanging="817"/>
        <w:spacing w:after="0"/>
        <w:tabs>
          <w:tab w:leader="none" w:pos="25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 and Investment Representation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755"/>
        <w:spacing w:after="0" w:line="251"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1"/>
          <w:szCs w:val="21"/>
          <w:u w:val="single" w:color="auto"/>
          <w:color w:val="auto"/>
        </w:rPr>
        <w:t>Nontransferability of Award</w:t>
      </w:r>
      <w:r>
        <w:rPr>
          <w:rFonts w:ascii="Times New Roman" w:cs="Times New Roman" w:eastAsia="Times New Roman" w:hAnsi="Times New Roman"/>
          <w:sz w:val="21"/>
          <w:szCs w:val="21"/>
          <w:color w:val="auto"/>
        </w:rPr>
        <w:t>. The Award may not be transferred by the Holder other than by will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laws of descent and distribution.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hereunder shall immediately become null and void.</w:t>
      </w:r>
    </w:p>
    <w:p>
      <w:pPr>
        <w:spacing w:after="0" w:line="169" w:lineRule="exact"/>
        <w:rPr>
          <w:sz w:val="20"/>
          <w:szCs w:val="20"/>
          <w:color w:val="auto"/>
        </w:rPr>
      </w:pPr>
    </w:p>
    <w:p>
      <w:pPr>
        <w:ind w:right="40" w:firstLine="1931"/>
        <w:spacing w:after="0" w:line="24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1"/>
          <w:szCs w:val="21"/>
          <w:u w:val="single" w:color="auto"/>
          <w:color w:val="auto"/>
        </w:rPr>
        <w:t>Investment Representation</w:t>
      </w:r>
      <w:r>
        <w:rPr>
          <w:rFonts w:ascii="Times New Roman" w:cs="Times New Roman" w:eastAsia="Times New Roman" w:hAnsi="Times New Roman"/>
          <w:sz w:val="21"/>
          <w:szCs w:val="21"/>
          <w:color w:val="auto"/>
        </w:rPr>
        <w:t>. The Holder hereby covenants that (a) any sale of any share of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acquired upon the vesting of the Award shall be made either pursuant to an effective registration statement under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and any applicable state securities laws, or pursuant to an exemption from registration under the Securities Act and such state securities laws and (b) the Holder shall comply with all regulations and requirements of any regulatory authority having control of or supervision over the issuance of the shares and, in connection therewith, shall execute any documents which the Committee shall in its sole discretion deem necessary or advisable.</w:t>
      </w:r>
    </w:p>
    <w:p>
      <w:pPr>
        <w:spacing w:after="0" w:line="171" w:lineRule="exact"/>
        <w:rPr>
          <w:sz w:val="20"/>
          <w:szCs w:val="20"/>
          <w:color w:val="auto"/>
        </w:rPr>
      </w:pPr>
    </w:p>
    <w:p>
      <w:pPr>
        <w:ind w:left="2580" w:hanging="817"/>
        <w:spacing w:after="0"/>
        <w:tabs>
          <w:tab w:leader="none" w:pos="25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Terms and Conditions of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tabs>
          <w:tab w:leader="none" w:pos="26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right="220" w:firstLine="1763"/>
        <w:spacing w:after="0" w:line="236" w:lineRule="auto"/>
        <w:tabs>
          <w:tab w:leader="none" w:pos="264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precedent to the delivery to the Holder of any shares of Stock upon vesting of the Award, the Holder shall, upon request by the Corporation, pay to the Corporation such amount of cash as the Corporation may be required, under all applicable federal, state, local or other laws or regulations, to withhold and pay over as income or other withholding taxes (the “</w:t>
      </w:r>
      <w:r>
        <w:rPr>
          <w:rFonts w:ascii="Times New Roman" w:cs="Times New Roman" w:eastAsia="Times New Roman" w:hAnsi="Times New Roman"/>
          <w:sz w:val="22"/>
          <w:szCs w:val="22"/>
          <w:u w:val="single" w:color="auto"/>
          <w:color w:val="auto"/>
        </w:rPr>
        <w:t>Required Tax Payments</w:t>
      </w:r>
      <w:r>
        <w:rPr>
          <w:rFonts w:ascii="Times New Roman" w:cs="Times New Roman" w:eastAsia="Times New Roman" w:hAnsi="Times New Roman"/>
          <w:sz w:val="22"/>
          <w:szCs w:val="22"/>
          <w:color w:val="auto"/>
        </w:rPr>
        <w:t>”) with respect to the Award. If the Holder shall fail to advance the Required Tax Payments after request by the Corporation, the Corporation may, in its discretion, deduct any Required Tax Payments from any amount then or thereafter payable by the Corporation to the Holder or withhold shares of Stock.</w:t>
      </w:r>
    </w:p>
    <w:p>
      <w:pPr>
        <w:spacing w:after="0" w:line="182" w:lineRule="exact"/>
        <w:rPr>
          <w:rFonts w:ascii="Times New Roman" w:cs="Times New Roman" w:eastAsia="Times New Roman" w:hAnsi="Times New Roman"/>
          <w:sz w:val="22"/>
          <w:szCs w:val="22"/>
          <w:color w:val="auto"/>
        </w:rPr>
      </w:pPr>
    </w:p>
    <w:p>
      <w:pPr>
        <w:ind w:firstLine="1763"/>
        <w:spacing w:after="0" w:line="234" w:lineRule="auto"/>
        <w:tabs>
          <w:tab w:leader="none" w:pos="265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may elect to satisfy his or her obligation to advance the Required Tax Payments by any of the following means: (1) a cash payment to the Corporation; (2) delivery to the Corporation (either actual delivery or by attestation procedures established by the Corporation) of previously owned whole shares of Stock having a Fair Market Value, determined as of the date the obligation to withhold or pay taxes first arises in connection with the Award (the “</w:t>
      </w:r>
      <w:r>
        <w:rPr>
          <w:rFonts w:ascii="Times New Roman" w:cs="Times New Roman" w:eastAsia="Times New Roman" w:hAnsi="Times New Roman"/>
          <w:sz w:val="22"/>
          <w:szCs w:val="22"/>
          <w:u w:val="single" w:color="auto"/>
          <w:color w:val="auto"/>
        </w:rPr>
        <w:t>Tax Date</w:t>
      </w:r>
      <w:r>
        <w:rPr>
          <w:rFonts w:ascii="Times New Roman" w:cs="Times New Roman" w:eastAsia="Times New Roman" w:hAnsi="Times New Roman"/>
          <w:sz w:val="22"/>
          <w:szCs w:val="22"/>
          <w:color w:val="auto"/>
        </w:rPr>
        <w:t>”), equal to the Required Tax Payments; (3) authorizing the Corporation to withhold from the shares otherwise to be delivered to the Holder pursuant to the Award, a number of whole Shares having a Fair Market Value, determined as of the Tax Date, equal to the Required Tax Payments; or (4) any combination of (1), (2) and (3). Shares to be delivered or withheld may not have a Fair Market Value in excess of the minimum amount of the Required Tax Payments. Any fraction of a share which would be required to satisfy such an obligation shall be disregarded and the remaining amount due shall be paid in cash by the Holder. No shares shall be delivered until the Required Tax Payments have been satisfied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36" w:name="page37"/>
    <w:bookmarkEnd w:id="36"/>
    <w:p>
      <w:pPr>
        <w:ind w:right="300" w:firstLine="1755"/>
        <w:spacing w:after="0" w:line="248"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u w:val="single" w:color="auto"/>
          <w:color w:val="auto"/>
        </w:rPr>
        <w:t>Compliance with Applicable Law</w:t>
      </w:r>
      <w:r>
        <w:rPr>
          <w:rFonts w:ascii="Times New Roman" w:cs="Times New Roman" w:eastAsia="Times New Roman" w:hAnsi="Times New Roman"/>
          <w:sz w:val="21"/>
          <w:szCs w:val="21"/>
          <w:color w:val="auto"/>
        </w:rPr>
        <w:t>. The Award is subject to the condition that if the listing,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registration or qualification of the shares of Stock subject to the Award upon any securities exchange or under any law, or the consent or approval of any governmental body, or the taking of any other action is necessary or desirable as a condition of, or in connection with, the delivery of shares hereunder, the shares of Stock subject to the Award shall not be delivered, in whole or in part, unless such listing, registration, qualification, consent, approval or other action shall have been effected or obtained, free of any conditions not acceptable to the Corporation. The Corporation agrees to use reasonable efforts to effect or obtain any such listing, registration, qualification, consent, approval or other action.</w:t>
      </w:r>
    </w:p>
    <w:p>
      <w:pPr>
        <w:spacing w:after="0" w:line="171" w:lineRule="exact"/>
        <w:rPr>
          <w:sz w:val="20"/>
          <w:szCs w:val="20"/>
          <w:color w:val="auto"/>
        </w:rPr>
      </w:pPr>
    </w:p>
    <w:p>
      <w:pPr>
        <w:ind w:right="20" w:firstLine="1755"/>
        <w:spacing w:after="0" w:line="25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1"/>
          <w:szCs w:val="21"/>
          <w:u w:val="single" w:color="auto"/>
          <w:color w:val="auto"/>
        </w:rPr>
        <w:t>Award Confers No Rights to Continued Employment</w:t>
      </w:r>
      <w:r>
        <w:rPr>
          <w:rFonts w:ascii="Times New Roman" w:cs="Times New Roman" w:eastAsia="Times New Roman" w:hAnsi="Times New Roman"/>
          <w:sz w:val="21"/>
          <w:szCs w:val="21"/>
          <w:color w:val="auto"/>
        </w:rPr>
        <w:t>. In no event shall the granting of the Award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its acceptance by the Holder, or any provision of the Agreement or the Plan, give or be deemed to give the Holder any right to continued employment by the Corporation or any Affiliate or affect in any manner the right of the Corporation or any Affiliate to terminate the employment of any person at any time.</w:t>
      </w:r>
    </w:p>
    <w:p>
      <w:pPr>
        <w:spacing w:after="0" w:line="162" w:lineRule="exact"/>
        <w:rPr>
          <w:sz w:val="20"/>
          <w:szCs w:val="20"/>
          <w:color w:val="auto"/>
        </w:rPr>
      </w:pPr>
    </w:p>
    <w:p>
      <w:pPr>
        <w:jc w:val="both"/>
        <w:ind w:right="280"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1"/>
          <w:szCs w:val="21"/>
          <w:u w:val="single" w:color="auto"/>
          <w:color w:val="auto"/>
        </w:rPr>
        <w:t>Decisions of Board or Committee</w:t>
      </w:r>
      <w:r>
        <w:rPr>
          <w:rFonts w:ascii="Times New Roman" w:cs="Times New Roman" w:eastAsia="Times New Roman" w:hAnsi="Times New Roman"/>
          <w:sz w:val="21"/>
          <w:szCs w:val="21"/>
          <w:color w:val="auto"/>
        </w:rPr>
        <w:t>. The Board or the Committee shall have the right to resolve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questions which may arise in connection with the Award. Any interpretation, determination or other action made or taken by the Board or the Committee regarding the Plan or this Agreement shall be final, binding and conclusive.</w:t>
      </w:r>
    </w:p>
    <w:p>
      <w:pPr>
        <w:spacing w:after="0" w:line="155" w:lineRule="exact"/>
        <w:rPr>
          <w:sz w:val="20"/>
          <w:szCs w:val="20"/>
          <w:color w:val="auto"/>
        </w:rPr>
      </w:pPr>
    </w:p>
    <w:p>
      <w:pPr>
        <w:ind w:right="280"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Agreement shall be binding upon and inure to the benefit of any successor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successors of the Corporation and any person or persons who shall, upon the death of the Holder, acquire any rights hereunder in accordance with this Agreement or the Plan.</w:t>
      </w:r>
    </w:p>
    <w:p>
      <w:pPr>
        <w:spacing w:after="0" w:line="155" w:lineRule="exact"/>
        <w:rPr>
          <w:sz w:val="20"/>
          <w:szCs w:val="20"/>
          <w:color w:val="auto"/>
        </w:rPr>
      </w:pPr>
    </w:p>
    <w:p>
      <w:pPr>
        <w:ind w:right="200" w:firstLine="1755"/>
        <w:spacing w:after="0" w:line="247"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or other communications provided for in this Agreement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made, if to the Corporation, to Great Lakes Dredge &amp; Dock Corporation, Attn: Chief Legal Officer, 2122 York Road, Oak Brook, IL 60523, and if to the Holder, to the last known mailing address of the Holder contained in the records of the Corporation. All notices, requests or other communications provided for in this Agreement shall be made in writing either (a) by personal delivery,</w:t>
      </w:r>
    </w:p>
    <w:p>
      <w:pPr>
        <w:spacing w:after="0" w:line="2" w:lineRule="exact"/>
        <w:rPr>
          <w:sz w:val="20"/>
          <w:szCs w:val="20"/>
          <w:color w:val="auto"/>
        </w:rPr>
      </w:pPr>
    </w:p>
    <w:p>
      <w:pPr>
        <w:jc w:val="both"/>
        <w:ind w:right="180" w:firstLine="8"/>
        <w:spacing w:after="0" w:line="245" w:lineRule="auto"/>
        <w:tabs>
          <w:tab w:leader="none" w:pos="30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notice, request or other communication sent to the Corporation is not received during regular business hours, it shall be deemed to be received on the next succeeding business day of the Corporation.</w:t>
      </w:r>
    </w:p>
    <w:p>
      <w:pPr>
        <w:spacing w:after="0" w:line="175" w:lineRule="exact"/>
        <w:rPr>
          <w:sz w:val="20"/>
          <w:szCs w:val="20"/>
          <w:color w:val="auto"/>
        </w:rPr>
      </w:pPr>
    </w:p>
    <w:p>
      <w:pPr>
        <w:ind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the Award and all determinations made and actions taken pursuant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hereto and thereto, to the extent not governed by the laws of the United States, shall be governed by the laws of the State of Delaware and construed in accordance therewith without giving effect to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37" w:name="page38"/>
    <w:bookmarkEnd w:id="37"/>
    <w:p>
      <w:pPr>
        <w:ind w:right="60"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1"/>
          <w:szCs w:val="21"/>
          <w:u w:val="single" w:color="auto"/>
          <w:color w:val="auto"/>
        </w:rPr>
        <w:t>Agreement Subject to the Plan</w:t>
      </w:r>
      <w:r>
        <w:rPr>
          <w:rFonts w:ascii="Times New Roman" w:cs="Times New Roman" w:eastAsia="Times New Roman" w:hAnsi="Times New Roman"/>
          <w:sz w:val="21"/>
          <w:szCs w:val="21"/>
          <w:color w:val="auto"/>
        </w:rPr>
        <w:t>. This Agreement is subject to the provisions of the Plan and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interpreted in accordance therewith. In the event that the provisions of this Agreement and the Plan conflict, the Plan shall control. The Holder hereby acknowledges receipt of a copy of the Plan.</w:t>
      </w:r>
    </w:p>
    <w:p>
      <w:pPr>
        <w:spacing w:after="0" w:line="155" w:lineRule="exact"/>
        <w:rPr>
          <w:sz w:val="20"/>
          <w:szCs w:val="20"/>
          <w:color w:val="auto"/>
        </w:rPr>
      </w:pPr>
    </w:p>
    <w:p>
      <w:pPr>
        <w:ind w:right="40" w:firstLine="1755"/>
        <w:spacing w:after="0" w:line="255"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Plan constitute the entire agreement of the parties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respect to the subject matter hereof and supersede in their entirety all prior undertakings and agreements of the Corporation and the Holder with respect to the subject matter hereof, and may not be modified adversely to the Holder’s interest except by means of a writing signed by the Corporation and the Holder.</w:t>
      </w:r>
    </w:p>
    <w:p>
      <w:pPr>
        <w:spacing w:after="0" w:line="162" w:lineRule="exact"/>
        <w:rPr>
          <w:sz w:val="20"/>
          <w:szCs w:val="20"/>
          <w:color w:val="auto"/>
        </w:rPr>
      </w:pPr>
    </w:p>
    <w:p>
      <w:pPr>
        <w:jc w:val="both"/>
        <w:ind w:right="80"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1"/>
          <w:szCs w:val="21"/>
          <w:u w:val="single" w:color="auto"/>
          <w:color w:val="auto"/>
        </w:rPr>
        <w:t>Partial Invalidity</w:t>
      </w:r>
      <w:r>
        <w:rPr>
          <w:rFonts w:ascii="Times New Roman" w:cs="Times New Roman" w:eastAsia="Times New Roman" w:hAnsi="Times New Roman"/>
          <w:sz w:val="21"/>
          <w:szCs w:val="21"/>
          <w:color w:val="auto"/>
        </w:rPr>
        <w:t>. The invalidity or unenforceability of any particular provision of this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shall not affect the other provisions hereof and this Agreement shall be construed in all respects as if such invalid or unenforceable provision was omitted.</w:t>
      </w:r>
    </w:p>
    <w:p>
      <w:pPr>
        <w:spacing w:after="0" w:line="155" w:lineRule="exact"/>
        <w:rPr>
          <w:sz w:val="20"/>
          <w:szCs w:val="20"/>
          <w:color w:val="auto"/>
        </w:rPr>
      </w:pPr>
    </w:p>
    <w:p>
      <w:pPr>
        <w:ind w:right="260" w:firstLine="1755"/>
        <w:spacing w:after="0" w:line="255"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Corporation may amend the provisions of this Agreement at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amendment that would adversely affect the Holder’s rights under this Agreement shall be subject to the written consent of the Holder. No course of conduct or failure or delay in enforcing the provisions of this Agreement shall affect the validity, binding effect or enforceability of this Agreement.</w:t>
      </w:r>
    </w:p>
    <w:p>
      <w:pPr>
        <w:spacing w:after="0" w:line="162" w:lineRule="exact"/>
        <w:rPr>
          <w:sz w:val="20"/>
          <w:szCs w:val="20"/>
          <w:color w:val="auto"/>
        </w:rPr>
      </w:pPr>
    </w:p>
    <w:p>
      <w:pPr>
        <w:ind w:firstLine="1755"/>
        <w:spacing w:after="0" w:line="244"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1"/>
          <w:szCs w:val="21"/>
          <w:u w:val="single" w:color="auto"/>
          <w:color w:val="auto"/>
        </w:rPr>
        <w:t>Compliance With Section 409A of the Code</w:t>
      </w:r>
      <w:r>
        <w:rPr>
          <w:rFonts w:ascii="Times New Roman" w:cs="Times New Roman" w:eastAsia="Times New Roman" w:hAnsi="Times New Roman"/>
          <w:sz w:val="21"/>
          <w:szCs w:val="21"/>
          <w:color w:val="auto"/>
        </w:rPr>
        <w:t>. This Award is intended to be exempt from or comply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 Section 409A of the Code, and shall be interpreted and construed accordingly. To the extent this Agreement provides for the Award to become vested and be settled upon the Holder’s termination of employment, the applicable shares of Stock shall be transferred to the Holder or his or her beneficiary upon the Holder’s “separation from service,” within the meaning of Section 409A of the Code; provided that if the Holder is a “specified employee,” within the meaning of Section 409A of the Code, then to the extent the Award constitutes nonqualified deferred compensation, within the meaning of Section 409A of the Code, such shares of Stock shall be transferred to the Holder or his or her beneficiary upon the earlier to occur of (i) the six-month anniversary of such separation from service and (ii) the date of the Holder’s death; provided, further, if the Holder is subject to another employment agreement or written arrangement in effect prior to the date hereof that requires a different time or form of payment of the Award, then this Agreement shall be governed by such other prior employment agreement or written arrangement to the extent required to comply with Section 409A of the Code. In the event the Holder satisfies the age and service requirements for Retirement and is subject to an employment agreement or written arrangement that provides for accelerated vesting upon a termination of employment following a Change in Control, the Award shall be settled upon such termination of employment to the extent that the “Change in Control” constitutes a “change in control event” within the meaning of Section 409A and such termination of employment occurs within two years following such Change in Control, otherwise the vested Award shall be settled upon the earlier to occur of the next Vesting Date, death, or Disability.</w:t>
      </w:r>
    </w:p>
    <w:p>
      <w:pPr>
        <w:sectPr>
          <w:pgSz w:w="11900" w:h="16838" w:orient="portrait"/>
          <w:cols w:equalWidth="0" w:num="1">
            <w:col w:w="11400"/>
          </w:cols>
          <w:pgMar w:left="240" w:top="328" w:right="2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BIT </w:t>
      </w:r>
      <w:r>
        <w:rPr>
          <w:rFonts w:ascii="Times New Roman" w:cs="Times New Roman" w:eastAsia="Times New Roman" w:hAnsi="Times New Roman"/>
          <w:sz w:val="19"/>
          <w:szCs w:val="19"/>
          <w:b w:val="1"/>
          <w:bCs w:val="1"/>
          <w:color w:val="auto"/>
        </w:rPr>
        <w:t>[PERFORMANCE-BASED RSU AGMT – THREE YEAR FORM]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REAT</w:t>
      </w:r>
      <w:r>
        <w:rPr>
          <w:rFonts w:ascii="Times New Roman" w:cs="Times New Roman" w:eastAsia="Times New Roman" w:hAnsi="Times New Roman"/>
          <w:sz w:val="20"/>
          <w:szCs w:val="20"/>
          <w:b w:val="1"/>
          <w:bCs w:val="1"/>
          <w:color w:val="auto"/>
        </w:rPr>
        <w:t xml:space="preserve"> L</w:t>
      </w:r>
      <w:r>
        <w:rPr>
          <w:rFonts w:ascii="Times New Roman" w:cs="Times New Roman" w:eastAsia="Times New Roman" w:hAnsi="Times New Roman"/>
          <w:sz w:val="13"/>
          <w:szCs w:val="13"/>
          <w:b w:val="1"/>
          <w:bCs w:val="1"/>
          <w:color w:val="auto"/>
        </w:rPr>
        <w:t>AKES</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REDGE</w:t>
      </w:r>
      <w:r>
        <w:rPr>
          <w:rFonts w:ascii="Times New Roman" w:cs="Times New Roman" w:eastAsia="Times New Roman" w:hAnsi="Times New Roman"/>
          <w:sz w:val="20"/>
          <w:szCs w:val="20"/>
          <w:b w:val="1"/>
          <w:bCs w:val="1"/>
          <w:color w:val="auto"/>
        </w:rPr>
        <w:t xml:space="preserve"> &amp; D</w:t>
      </w:r>
      <w:r>
        <w:rPr>
          <w:rFonts w:ascii="Times New Roman" w:cs="Times New Roman" w:eastAsia="Times New Roman" w:hAnsi="Times New Roman"/>
          <w:sz w:val="13"/>
          <w:szCs w:val="13"/>
          <w:b w:val="1"/>
          <w:bCs w:val="1"/>
          <w:color w:val="auto"/>
        </w:rPr>
        <w:t>OCK</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2017 L</w:t>
      </w:r>
      <w:r>
        <w:rPr>
          <w:rFonts w:ascii="Times New Roman" w:cs="Times New Roman" w:eastAsia="Times New Roman" w:hAnsi="Times New Roman"/>
          <w:sz w:val="13"/>
          <w:szCs w:val="13"/>
          <w:b w:val="1"/>
          <w:bCs w:val="1"/>
          <w:color w:val="auto"/>
        </w:rPr>
        <w:t>ONG</w:t>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 Award Notice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 Name]</w:t>
      </w:r>
    </w:p>
    <w:p>
      <w:pPr>
        <w:spacing w:after="0" w:line="2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You have been awarded a performance-based restricted stock unit award with respect to shares of common stock of Great Lakes Dredge &amp; Dock Corporation, a Delaware corporation (the “</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pursuant to the terms and conditions of the Great Lakes Dredge &amp; Dock Corporation 2017 Long-Term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Performance-Based Restricted Stock Unit Award Agreement (together with this Award Notice,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The Performance-Based Restricted Stock Unit Award Agreement is attached hereto and the Plan and the Performance-Based Restricted Stock Unit Award Agreement are available on Fidelity Investment’s website at </w:t>
      </w:r>
      <w:r>
        <w:rPr>
          <w:rFonts w:ascii="Times New Roman" w:cs="Times New Roman" w:eastAsia="Times New Roman" w:hAnsi="Times New Roman"/>
          <w:sz w:val="20"/>
          <w:szCs w:val="20"/>
          <w:b w:val="1"/>
          <w:bCs w:val="1"/>
          <w:color w:val="auto"/>
        </w:rPr>
        <w:t>www.netbenefits.fidelity.com</w:t>
      </w:r>
      <w:r>
        <w:rPr>
          <w:rFonts w:ascii="Times New Roman" w:cs="Times New Roman" w:eastAsia="Times New Roman" w:hAnsi="Times New Roman"/>
          <w:sz w:val="20"/>
          <w:szCs w:val="20"/>
          <w:color w:val="auto"/>
        </w:rPr>
        <w:t>. Capitalized terms not defined herein shall have the meanings specified in the Plan or the Agreement.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Restricted Stock Units:</w:t>
            </w:r>
          </w:p>
        </w:tc>
        <w:tc>
          <w:tcPr>
            <w:tcW w:w="8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 xml:space="preserve">You have been awarded a performance-based restricted stock unit award with respect to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w:t>
            </w:r>
          </w:p>
        </w:tc>
      </w:tr>
      <w:tr>
        <w:trPr>
          <w:trHeight w:val="289"/>
        </w:trPr>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80" w:type="dxa"/>
            <w:vAlign w:val="bottom"/>
            <w:gridSpan w:val="4"/>
          </w:tcPr>
          <w:p>
            <w:pPr>
              <w:spacing w:after="0"/>
              <w:rPr>
                <w:sz w:val="20"/>
                <w:szCs w:val="20"/>
                <w:color w:val="auto"/>
              </w:rPr>
            </w:pPr>
            <w:r>
              <w:rPr>
                <w:rFonts w:ascii="Times New Roman" w:cs="Times New Roman" w:eastAsia="Times New Roman" w:hAnsi="Times New Roman"/>
                <w:sz w:val="22"/>
                <w:szCs w:val="22"/>
                <w:i w:val="1"/>
                <w:iCs w:val="1"/>
                <w:color w:val="auto"/>
              </w:rPr>
              <w:t>number of shares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19"/>
                <w:szCs w:val="19"/>
                <w:color w:val="auto"/>
              </w:rPr>
              <w:t>shares of Common Stock, at target, subject to adjustment as provided in the Plan.</w:t>
            </w:r>
          </w:p>
        </w:tc>
      </w:tr>
      <w:tr>
        <w:trPr>
          <w:trHeight w:val="393"/>
        </w:trPr>
        <w:tc>
          <w:tcPr>
            <w:tcW w:w="3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Grant Date:</w:t>
            </w:r>
          </w:p>
        </w:tc>
        <w:tc>
          <w:tcPr>
            <w:tcW w:w="80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Grant Date</w:t>
            </w:r>
            <w:r>
              <w:rPr>
                <w:rFonts w:ascii="Times New Roman" w:cs="Times New Roman" w:eastAsia="Times New Roman" w:hAnsi="Times New Roman"/>
                <w:sz w:val="22"/>
                <w:szCs w:val="22"/>
                <w:color w:val="auto"/>
              </w:rPr>
              <w:t>]</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39"/>
        </w:trPr>
        <w:tc>
          <w:tcPr>
            <w:tcW w:w="32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Vesting Schedule:</w:t>
            </w:r>
          </w:p>
        </w:tc>
        <w:tc>
          <w:tcPr>
            <w:tcW w:w="8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Except as otherwise provided in the Plan, the Agreement or any other agreement between the</w:t>
            </w:r>
          </w:p>
        </w:tc>
      </w:tr>
      <w:tr>
        <w:trPr>
          <w:trHeight w:val="219"/>
        </w:trPr>
        <w:tc>
          <w:tcPr>
            <w:tcW w:w="8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80" w:type="dxa"/>
            <w:vAlign w:val="bottom"/>
            <w:gridSpan w:val="4"/>
          </w:tcPr>
          <w:p>
            <w:pPr>
              <w:spacing w:after="0" w:line="219" w:lineRule="exact"/>
              <w:rPr>
                <w:sz w:val="20"/>
                <w:szCs w:val="20"/>
                <w:color w:val="auto"/>
              </w:rPr>
            </w:pPr>
            <w:r>
              <w:rPr>
                <w:rFonts w:ascii="Times New Roman" w:cs="Times New Roman" w:eastAsia="Times New Roman" w:hAnsi="Times New Roman"/>
                <w:sz w:val="20"/>
                <w:szCs w:val="20"/>
                <w:color w:val="auto"/>
                <w:w w:val="99"/>
              </w:rPr>
              <w:t>Corporation or any of its Affiliates and Holder, the Award shall vest based on the achievement of the</w:t>
            </w:r>
          </w:p>
        </w:tc>
      </w:tr>
      <w:tr>
        <w:trPr>
          <w:trHeight w:val="234"/>
        </w:trPr>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80" w:type="dxa"/>
            <w:vAlign w:val="bottom"/>
            <w:gridSpan w:val="4"/>
          </w:tcPr>
          <w:p>
            <w:pPr>
              <w:spacing w:after="0" w:line="234" w:lineRule="exact"/>
              <w:rPr>
                <w:sz w:val="20"/>
                <w:szCs w:val="20"/>
                <w:color w:val="auto"/>
              </w:rPr>
            </w:pPr>
            <w:r>
              <w:rPr>
                <w:rFonts w:ascii="Times New Roman" w:cs="Times New Roman" w:eastAsia="Times New Roman" w:hAnsi="Times New Roman"/>
                <w:sz w:val="20"/>
                <w:szCs w:val="20"/>
                <w:color w:val="auto"/>
              </w:rPr>
              <w:t xml:space="preserve">performance goals set forth in this Award Notice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Insert Vesting Conditions</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(each, a “Vesting</w:t>
            </w: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80" w:type="dxa"/>
            <w:vAlign w:val="bottom"/>
            <w:gridSpan w:val="4"/>
          </w:tcPr>
          <w:p>
            <w:pPr>
              <w:spacing w:after="0" w:line="209" w:lineRule="exact"/>
              <w:rPr>
                <w:sz w:val="20"/>
                <w:szCs w:val="20"/>
                <w:color w:val="auto"/>
              </w:rPr>
            </w:pPr>
            <w:r>
              <w:rPr>
                <w:rFonts w:ascii="Times New Roman" w:cs="Times New Roman" w:eastAsia="Times New Roman" w:hAnsi="Times New Roman"/>
                <w:sz w:val="20"/>
                <w:szCs w:val="20"/>
                <w:color w:val="auto"/>
                <w:w w:val="99"/>
              </w:rPr>
              <w:t>Date”). Any shares of Common Stock allocated to [</w:t>
            </w:r>
            <w:r>
              <w:rPr>
                <w:rFonts w:ascii="Times New Roman" w:cs="Times New Roman" w:eastAsia="Times New Roman" w:hAnsi="Times New Roman"/>
                <w:sz w:val="20"/>
                <w:szCs w:val="20"/>
                <w:i w:val="1"/>
                <w:iCs w:val="1"/>
                <w:color w:val="auto"/>
                <w:w w:val="99"/>
              </w:rPr>
              <w:t>Performance Period</w:t>
            </w:r>
            <w:r>
              <w:rPr>
                <w:rFonts w:ascii="Times New Roman" w:cs="Times New Roman" w:eastAsia="Times New Roman" w:hAnsi="Times New Roman"/>
                <w:sz w:val="20"/>
                <w:szCs w:val="20"/>
                <w:color w:val="auto"/>
                <w:w w:val="99"/>
              </w:rPr>
              <w:t>] that do not vest during such</w:t>
            </w: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700" w:type="dxa"/>
            <w:vAlign w:val="bottom"/>
            <w:gridSpan w:val="3"/>
          </w:tcPr>
          <w:p>
            <w:pPr>
              <w:spacing w:after="0" w:line="20" w:lineRule="exact"/>
              <w:rPr>
                <w:sz w:val="1"/>
                <w:szCs w:val="1"/>
                <w:color w:val="auto"/>
              </w:rPr>
            </w:pPr>
          </w:p>
        </w:tc>
      </w:tr>
      <w:tr>
        <w:trPr>
          <w:trHeight w:val="256"/>
        </w:trPr>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Performance Period</w:t>
            </w:r>
            <w:r>
              <w:rPr>
                <w:rFonts w:ascii="Times New Roman" w:cs="Times New Roman" w:eastAsia="Times New Roman" w:hAnsi="Times New Roman"/>
                <w:sz w:val="20"/>
                <w:szCs w:val="20"/>
                <w:color w:val="auto"/>
              </w:rPr>
              <w:t>] shall be forfeited.</w:t>
            </w:r>
          </w:p>
        </w:tc>
      </w:tr>
      <w:tr>
        <w:trPr>
          <w:trHeight w:val="399"/>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auto"/>
                <w:w w:val="98"/>
              </w:rPr>
              <w:t>Performance Conditions:</w:t>
            </w:r>
          </w:p>
        </w:tc>
        <w:tc>
          <w:tcPr>
            <w:tcW w:w="1280" w:type="dxa"/>
            <w:vAlign w:val="bottom"/>
          </w:tcPr>
          <w:p>
            <w:pPr>
              <w:spacing w:after="0"/>
              <w:rPr>
                <w:sz w:val="24"/>
                <w:szCs w:val="24"/>
                <w:color w:val="auto"/>
              </w:rPr>
            </w:pPr>
          </w:p>
        </w:tc>
        <w:tc>
          <w:tcPr>
            <w:tcW w:w="8080" w:type="dxa"/>
            <w:vAlign w:val="bottom"/>
            <w:gridSpan w:val="4"/>
          </w:tcPr>
          <w:p>
            <w:pPr>
              <w:ind w:left="20"/>
              <w:spacing w:after="0"/>
              <w:rPr>
                <w:sz w:val="20"/>
                <w:szCs w:val="20"/>
                <w:color w:val="auto"/>
              </w:rPr>
            </w:pPr>
            <w:r>
              <w:rPr>
                <w:rFonts w:ascii="Times New Roman" w:cs="Times New Roman" w:eastAsia="Times New Roman" w:hAnsi="Times New Roman"/>
                <w:sz w:val="20"/>
                <w:szCs w:val="20"/>
                <w:i w:val="1"/>
                <w:iCs w:val="1"/>
                <w:color w:val="auto"/>
              </w:rPr>
              <w:t>[Insert Performance Conditions]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GREAT LAKES DREDGE &amp; DOCK CORPORATION</w:t>
      </w:r>
    </w:p>
    <w:p>
      <w:pPr>
        <w:spacing w:after="0" w:line="319" w:lineRule="exact"/>
        <w:rPr>
          <w:sz w:val="20"/>
          <w:szCs w:val="20"/>
          <w:color w:val="auto"/>
        </w:rPr>
      </w:pPr>
    </w:p>
    <w:p>
      <w:pPr>
        <w:ind w:left="6860"/>
        <w:spacing w:after="0"/>
        <w:tabs>
          <w:tab w:leader="none" w:pos="73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2"/>
          <w:szCs w:val="22"/>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11430</wp:posOffset>
            </wp:positionV>
            <wp:extent cx="2546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20"/>
          <w:szCs w:val="20"/>
          <w:color w:val="auto"/>
        </w:rPr>
        <w:t>Lasse J. Petterson</w:t>
      </w:r>
    </w:p>
    <w:p>
      <w:pPr>
        <w:ind w:left="74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Acknowledgment, Acceptance and Agreement:</w:t>
      </w:r>
    </w:p>
    <w:p>
      <w:pPr>
        <w:spacing w:after="0" w:line="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By accepting this grant on Fidelity Investment’s website, I hereby accept the Performance-Based Restricted Stock Units granted to me and acknowledge and agree to be bound by the terms and conditions of this Award Notice, the Agreement and the Plan.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CH1 8543868</w:t>
      </w:r>
      <w:r>
        <w:rPr>
          <w:rFonts w:ascii="Times New Roman" w:cs="Times New Roman" w:eastAsia="Times New Roman" w:hAnsi="Times New Roman"/>
          <w:sz w:val="9"/>
          <w:szCs w:val="9"/>
          <w:color w:val="auto"/>
        </w:rPr>
        <w:t>V</w:t>
      </w: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_Participant Name______________________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«Participant_Name»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___Electronic Signature</w:t>
            </w:r>
          </w:p>
        </w:tc>
        <w:tc>
          <w:tcPr>
            <w:tcW w:w="3640" w:type="dxa"/>
            <w:vAlign w:val="bottom"/>
            <w:gridSpan w:val="2"/>
          </w:tcPr>
          <w:p>
            <w:pPr>
              <w:ind w:left="3080"/>
              <w:spacing w:after="0"/>
              <w:rPr>
                <w:sz w:val="20"/>
                <w:szCs w:val="20"/>
                <w:color w:val="auto"/>
              </w:rPr>
            </w:pPr>
            <w:r>
              <w:rPr>
                <w:rFonts w:ascii="Times New Roman" w:cs="Times New Roman" w:eastAsia="Times New Roman" w:hAnsi="Times New Roman"/>
                <w:sz w:val="20"/>
                <w:szCs w:val="20"/>
                <w:color w:val="auto"/>
              </w:rPr>
              <w:t>Date</w:t>
            </w:r>
          </w:p>
        </w:tc>
        <w:tc>
          <w:tcPr>
            <w:tcW w:w="192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w w:val="98"/>
              </w:rPr>
              <w:t>Acceptance Date</w:t>
            </w: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«Electronic_Signature»</w:t>
            </w:r>
          </w:p>
        </w:tc>
        <w:tc>
          <w:tcPr>
            <w:tcW w:w="30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-163195</wp:posOffset>
            </wp:positionV>
            <wp:extent cx="16725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REAT</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AKES</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REDGE</w:t>
      </w:r>
      <w:r>
        <w:rPr>
          <w:rFonts w:ascii="Times New Roman" w:cs="Times New Roman" w:eastAsia="Times New Roman" w:hAnsi="Times New Roman"/>
          <w:sz w:val="22"/>
          <w:szCs w:val="22"/>
          <w:b w:val="1"/>
          <w:bCs w:val="1"/>
          <w:color w:val="auto"/>
        </w:rPr>
        <w:t xml:space="preserve"> &amp; D</w:t>
      </w:r>
      <w:r>
        <w:rPr>
          <w:rFonts w:ascii="Times New Roman" w:cs="Times New Roman" w:eastAsia="Times New Roman" w:hAnsi="Times New Roman"/>
          <w:sz w:val="14"/>
          <w:szCs w:val="14"/>
          <w:b w:val="1"/>
          <w:bCs w:val="1"/>
          <w:color w:val="auto"/>
        </w:rPr>
        <w:t>OCK</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ORPORATION</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2017 L</w:t>
      </w:r>
      <w:r>
        <w:rPr>
          <w:rFonts w:ascii="Times New Roman" w:cs="Times New Roman" w:eastAsia="Times New Roman" w:hAnsi="Times New Roman"/>
          <w:sz w:val="14"/>
          <w:szCs w:val="14"/>
          <w:b w:val="1"/>
          <w:bCs w:val="1"/>
          <w:color w:val="auto"/>
        </w:rPr>
        <w:t>ONG</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ERFORMANCE</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ASED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ESTRICTED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NIT</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WARD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right="140" w:firstLine="1755"/>
        <w:spacing w:after="0" w:line="235" w:lineRule="auto"/>
        <w:rPr>
          <w:sz w:val="20"/>
          <w:szCs w:val="20"/>
          <w:color w:val="auto"/>
        </w:rPr>
      </w:pPr>
      <w:r>
        <w:rPr>
          <w:rFonts w:ascii="Times New Roman" w:cs="Times New Roman" w:eastAsia="Times New Roman" w:hAnsi="Times New Roman"/>
          <w:sz w:val="22"/>
          <w:szCs w:val="22"/>
          <w:color w:val="auto"/>
        </w:rPr>
        <w:t>Great Lakes Dredge and Dock Corporation, a Delaware corporation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hereby grants to the individual (the “</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named in the award notice attached hereto (the “</w:t>
      </w:r>
      <w:r>
        <w:rPr>
          <w:rFonts w:ascii="Times New Roman" w:cs="Times New Roman" w:eastAsia="Times New Roman" w:hAnsi="Times New Roman"/>
          <w:sz w:val="22"/>
          <w:szCs w:val="22"/>
          <w:u w:val="single" w:color="auto"/>
          <w:color w:val="auto"/>
        </w:rPr>
        <w:t>Award Notice</w:t>
      </w:r>
      <w:r>
        <w:rPr>
          <w:rFonts w:ascii="Times New Roman" w:cs="Times New Roman" w:eastAsia="Times New Roman" w:hAnsi="Times New Roman"/>
          <w:sz w:val="22"/>
          <w:szCs w:val="22"/>
          <w:color w:val="auto"/>
        </w:rPr>
        <w:t>”) as of the date set forth in the Award Notice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pursuant to the provisions of the Great Lakes Dredge &amp; Dock Corporation 2017 Long-Term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 performance-based restricted stock unit award (the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with respect to the number of shares of the Corporation’s Common Stock, par value $0.0001 per share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set forth in the Award Notice, upon and subject to the restrictions, terms and conditions set forth in the Plan and this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not defined herein shall have the meanings specified in the Plan.</w:t>
      </w:r>
    </w:p>
    <w:p>
      <w:pPr>
        <w:spacing w:after="0" w:line="184" w:lineRule="exact"/>
        <w:rPr>
          <w:sz w:val="20"/>
          <w:szCs w:val="20"/>
          <w:color w:val="auto"/>
        </w:rPr>
      </w:pPr>
    </w:p>
    <w:p>
      <w:pPr>
        <w:ind w:right="220" w:firstLine="1763"/>
        <w:spacing w:after="0" w:line="239" w:lineRule="auto"/>
        <w:tabs>
          <w:tab w:leader="none" w:pos="256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Subject to Acceptance of Agreement</w:t>
      </w:r>
      <w:r>
        <w:rPr>
          <w:rFonts w:ascii="Times New Roman" w:cs="Times New Roman" w:eastAsia="Times New Roman" w:hAnsi="Times New Roman"/>
          <w:sz w:val="22"/>
          <w:szCs w:val="22"/>
          <w:color w:val="auto"/>
        </w:rPr>
        <w:t>. The Award shall be null and void unless the Holder accepts this Agreement by executing the Award Notice in the space provided therefor and returning an original execution copy of the Award Notice to the Corporation (or electronically accepting this Agreement within the Holder’s stock plan account with the Corporation’s stock plan administrator according to the procedures then in effect).</w:t>
      </w:r>
    </w:p>
    <w:p>
      <w:pPr>
        <w:spacing w:after="0" w:line="180" w:lineRule="exact"/>
        <w:rPr>
          <w:rFonts w:ascii="Times New Roman" w:cs="Times New Roman" w:eastAsia="Times New Roman" w:hAnsi="Times New Roman"/>
          <w:sz w:val="22"/>
          <w:szCs w:val="22"/>
          <w:color w:val="auto"/>
        </w:rPr>
      </w:pPr>
    </w:p>
    <w:p>
      <w:pPr>
        <w:ind w:firstLine="1763"/>
        <w:spacing w:after="0" w:line="235" w:lineRule="auto"/>
        <w:tabs>
          <w:tab w:leader="none" w:pos="256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xml:space="preserve">. The Holder shall not be entitled to any privileges of ownership with respect to the shares of Stock subject to the Award unless and until, and only to the extent, such shares become vested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and the Holder becomes a stockholder of record with respect to such shares. As of each date on which the Corporation pays a cash dividend to record owners of shares of Stock (a “</w:t>
      </w:r>
      <w:r>
        <w:rPr>
          <w:rFonts w:ascii="Times New Roman" w:cs="Times New Roman" w:eastAsia="Times New Roman" w:hAnsi="Times New Roman"/>
          <w:sz w:val="22"/>
          <w:szCs w:val="22"/>
          <w:u w:val="single" w:color="auto"/>
          <w:color w:val="auto"/>
        </w:rPr>
        <w:t>Dividend Date</w:t>
      </w:r>
      <w:r>
        <w:rPr>
          <w:rFonts w:ascii="Times New Roman" w:cs="Times New Roman" w:eastAsia="Times New Roman" w:hAnsi="Times New Roman"/>
          <w:sz w:val="22"/>
          <w:szCs w:val="22"/>
          <w:color w:val="auto"/>
        </w:rPr>
        <w:t>”), then the number of shares subject to the Award shall increase by (i) the product of the total number of shares subject to the Award immediately prior to such Dividend Date multiplied by the dollar amount of the cash dividend paid per share of Stock by the Corporation on such Dividend Date, divided by (ii) the Fair Market Value of a share of Stock on such Dividend Date. Any such additional shares shall be subject to the same vesting conditions and payment terms set forth herein as the shares to which they relate.</w:t>
      </w:r>
    </w:p>
    <w:p>
      <w:pPr>
        <w:spacing w:after="0" w:line="179" w:lineRule="exact"/>
        <w:rPr>
          <w:rFonts w:ascii="Times New Roman" w:cs="Times New Roman" w:eastAsia="Times New Roman" w:hAnsi="Times New Roman"/>
          <w:sz w:val="22"/>
          <w:szCs w:val="22"/>
          <w:color w:val="auto"/>
        </w:rPr>
      </w:pPr>
    </w:p>
    <w:p>
      <w:pPr>
        <w:ind w:left="2580" w:hanging="817"/>
        <w:spacing w:after="0"/>
        <w:tabs>
          <w:tab w:leader="none" w:pos="25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 Period and Vesting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755"/>
        <w:spacing w:after="0" w:line="246"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1"/>
          <w:szCs w:val="21"/>
          <w:u w:val="single" w:color="auto"/>
          <w:color w:val="auto"/>
        </w:rPr>
        <w:t>Performance-Based Vesting Conditions</w:t>
      </w:r>
      <w:r>
        <w:rPr>
          <w:rFonts w:ascii="Times New Roman" w:cs="Times New Roman" w:eastAsia="Times New Roman" w:hAnsi="Times New Roman"/>
          <w:sz w:val="21"/>
          <w:szCs w:val="21"/>
          <w:color w:val="auto"/>
        </w:rPr>
        <w:t>. Subject to the remainder of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the Stock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vest pursuant to the terms of this Agreement and the Plan based on the achievement of the performance goals set forth in the Award Notice over the applicable performance period set forth in the Award Notice (each annual Performance Period is referred to as the “</w:t>
      </w:r>
      <w:r>
        <w:rPr>
          <w:rFonts w:ascii="Times New Roman" w:cs="Times New Roman" w:eastAsia="Times New Roman" w:hAnsi="Times New Roman"/>
          <w:sz w:val="21"/>
          <w:szCs w:val="21"/>
          <w:u w:val="single" w:color="auto"/>
          <w:color w:val="auto"/>
        </w:rPr>
        <w:t>Annual Performance Period</w:t>
      </w:r>
      <w:r>
        <w:rPr>
          <w:rFonts w:ascii="Times New Roman" w:cs="Times New Roman" w:eastAsia="Times New Roman" w:hAnsi="Times New Roman"/>
          <w:sz w:val="21"/>
          <w:szCs w:val="21"/>
          <w:color w:val="auto"/>
        </w:rPr>
        <w:t>” and, collectively, the Annual Performance Periods are referred to as the “</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provided that that the Holder remains in continuous employment with the Corporation through the applicable Vesting</w:t>
      </w:r>
    </w:p>
    <w:p>
      <w:pPr>
        <w:spacing w:after="0" w:line="2"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2"/>
          <w:szCs w:val="22"/>
          <w:color w:val="auto"/>
        </w:rPr>
        <w:t>Date. Attainment of the performance goals shall be determined and certified by the Committee in writing prior to the settlement of the Award.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41" w:name="page42"/>
    <w:bookmarkEnd w:id="41"/>
    <w:p>
      <w:pPr>
        <w:ind w:left="1740"/>
        <w:spacing w:after="0"/>
        <w:tabs>
          <w:tab w:leader="none" w:pos="26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1"/>
          <w:szCs w:val="21"/>
          <w:u w:val="single" w:color="auto"/>
          <w:color w:val="auto"/>
        </w:rPr>
        <w:t>Termination of Employment</w:t>
      </w:r>
    </w:p>
    <w:p>
      <w:pPr>
        <w:spacing w:after="0" w:line="218" w:lineRule="exact"/>
        <w:rPr>
          <w:sz w:val="20"/>
          <w:szCs w:val="20"/>
          <w:color w:val="auto"/>
        </w:rPr>
      </w:pPr>
    </w:p>
    <w:p>
      <w:pPr>
        <w:ind w:left="-20" w:right="120" w:firstLine="1763"/>
        <w:spacing w:after="0" w:line="235" w:lineRule="auto"/>
        <w:tabs>
          <w:tab w:leader="none" w:pos="262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Upon the Holder’s death or Disability prior to the forfeiture of the Award for any reason prior to the Vesting Date, each Annual Performance Period shall continue through the last day of the Annual Performance Period and the Holder shall be entitled to receive the number of shares earned at the end of each Annual Performance Period based on the actual performance during such Annual Performance Period and the vested portion of the Award for such Annual Performance Period shall be settled within 70 days following the conclusion of such Annual Performance Period (or, for Annual Performance Periods that concluded prior to the Holder’s death or Disability, within 70 days following the Holder’s death or Disability).</w:t>
      </w:r>
    </w:p>
    <w:p>
      <w:pPr>
        <w:spacing w:after="0" w:line="183" w:lineRule="exact"/>
        <w:rPr>
          <w:rFonts w:ascii="Times New Roman" w:cs="Times New Roman" w:eastAsia="Times New Roman" w:hAnsi="Times New Roman"/>
          <w:sz w:val="22"/>
          <w:szCs w:val="22"/>
          <w:color w:val="auto"/>
        </w:rPr>
      </w:pPr>
    </w:p>
    <w:p>
      <w:pPr>
        <w:ind w:left="-20" w:firstLine="1763"/>
        <w:spacing w:after="0" w:line="233" w:lineRule="auto"/>
        <w:tabs>
          <w:tab w:leader="none" w:pos="263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Retirement</w:t>
      </w:r>
      <w:r>
        <w:rPr>
          <w:rFonts w:ascii="Times New Roman" w:cs="Times New Roman" w:eastAsia="Times New Roman" w:hAnsi="Times New Roman"/>
          <w:sz w:val="22"/>
          <w:szCs w:val="22"/>
          <w:color w:val="auto"/>
        </w:rPr>
        <w:t>. Subject to any employment or consulting agreement with the Holder that provides otherwise, if the Holder’s employment with the Corporation terminates by reason of the Holder’s Retirement, the Holder shall be entitled to receive the portion of the Award payable (i) with respect to any Annual Performance Period that concluded prior to such Retirement and (ii) with respect to the Annual Performance Period in which the Retirement occurs. For the Annual Performance Period in which the Retirement occurs, such Annual Performance Period shall continue through the last day thereof and the Holder shall be entitled to a prorated Award with respect to such Annual Performance Period. Such prorated Award shall be equal to the number of shares earned at the end of the Annual Performance Period based on the actual performance during such Annual Performance Period multiplied by a fraction, the numerator of which shall equal the number of days during the Annual Performance Period prior to the Holder’s Retirement and the denominator of which shall equal the total number of days in such Annual Performance Period. The vested portion of the Award shall be settled within 70 days following the applicable Vesting Date. In the event of a Retirement, the Holder shall forfeit the portion of the Award relating to Annual Performance Periods commencing on or after the Holder’s Retirement.</w:t>
      </w:r>
    </w:p>
    <w:p>
      <w:pPr>
        <w:spacing w:after="0" w:line="186" w:lineRule="exact"/>
        <w:rPr>
          <w:rFonts w:ascii="Times New Roman" w:cs="Times New Roman" w:eastAsia="Times New Roman" w:hAnsi="Times New Roman"/>
          <w:sz w:val="22"/>
          <w:szCs w:val="22"/>
          <w:color w:val="auto"/>
        </w:rPr>
      </w:pPr>
    </w:p>
    <w:p>
      <w:pPr>
        <w:ind w:left="-20" w:right="80" w:firstLine="1763"/>
        <w:spacing w:after="0" w:line="238" w:lineRule="auto"/>
        <w:tabs>
          <w:tab w:leader="none" w:pos="262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other than due to Retirement, Death or Disability</w:t>
      </w:r>
      <w:r>
        <w:rPr>
          <w:rFonts w:ascii="Times New Roman" w:cs="Times New Roman" w:eastAsia="Times New Roman" w:hAnsi="Times New Roman"/>
          <w:sz w:val="22"/>
          <w:szCs w:val="22"/>
          <w:color w:val="auto"/>
        </w:rPr>
        <w:t>. Subject to any employment or consulting agreement with the Holder that provides otherwise, if the Holder’s employment with the Corporation terminates prior to the end of the Performance Period by reason of (i) the Corporation’s termination of the Holder’s employment for any reason prior to the Holder’s death or Disability or (ii) the Holder’s resignation for any reason other than Retirement, then the Award shall be immediately forfeited by the Holder and cancelled by the Corporation.</w:t>
      </w:r>
    </w:p>
    <w:p>
      <w:pPr>
        <w:spacing w:after="0" w:line="177" w:lineRule="exact"/>
        <w:rPr>
          <w:sz w:val="20"/>
          <w:szCs w:val="20"/>
          <w:color w:val="auto"/>
        </w:rPr>
      </w:pPr>
    </w:p>
    <w:p>
      <w:pPr>
        <w:ind w:left="160" w:right="20" w:firstLine="1512"/>
        <w:spacing w:after="0" w:line="247"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Upon a Change in Control prior to the Vesting Date, (i) if the Award is not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replaced with a Replacement Award (as determined by the Board or Committee), the Award shall vest as of the date of the Change in Control, based on (A) the target performance level for any Annual Performance Period in which the Change in Control occurs or which is scheduled to commence following the Change in Control and (B) actual performance for any Annual Performance Period that concluded prior to the Change in Control or (ii) the Committee may elect, in its sole discretion, to accelerate the vesting of some or all of the Award, provided, that this clause (ii) shall not require the Committee to accelerate vesting upon a Change in Control or any other event. The Award shall be settled in cash within 70 days following the Change in Control; provided, however, if the Award is “non-qualified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60" w:top="328" w:right="239" w:bottom="1440" w:gutter="0" w:footer="0" w:header="0"/>
        </w:sectPr>
      </w:pPr>
    </w:p>
    <w:bookmarkStart w:id="42" w:name="page43"/>
    <w:bookmarkEnd w:id="42"/>
    <w:p>
      <w:pPr>
        <w:jc w:val="both"/>
        <w:ind w:left="160" w:right="140"/>
        <w:spacing w:after="0" w:line="239" w:lineRule="auto"/>
        <w:rPr>
          <w:sz w:val="20"/>
          <w:szCs w:val="20"/>
          <w:color w:val="auto"/>
        </w:rPr>
      </w:pPr>
      <w:r>
        <w:rPr>
          <w:rFonts w:ascii="Times New Roman" w:cs="Times New Roman" w:eastAsia="Times New Roman" w:hAnsi="Times New Roman"/>
          <w:sz w:val="22"/>
          <w:szCs w:val="22"/>
          <w:color w:val="auto"/>
        </w:rPr>
        <w:t>deferred compensation” subject to Section 409A of the Code and the “Change in Control” was not a “change in control event” within the meaning of Section 409A or to the extent such settlement would be prohibited under Section 409A of the Code, then the vested Award shall be settled in accordance with Section 4 (or, if earlier, the Holder’s death or Disability pursuant to Section 3.2(a)).</w:t>
      </w:r>
    </w:p>
    <w:p>
      <w:pPr>
        <w:spacing w:after="0" w:line="181" w:lineRule="exact"/>
        <w:rPr>
          <w:sz w:val="20"/>
          <w:szCs w:val="20"/>
          <w:color w:val="auto"/>
        </w:rPr>
      </w:pPr>
    </w:p>
    <w:p>
      <w:pPr>
        <w:ind w:left="1720"/>
        <w:spacing w:after="0"/>
        <w:tabs>
          <w:tab w:leader="none" w:pos="264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20" w:right="20" w:firstLine="1763"/>
        <w:spacing w:after="0" w:line="244" w:lineRule="auto"/>
        <w:tabs>
          <w:tab w:leader="none" w:pos="262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mean the Holder becoming unable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173" w:lineRule="exact"/>
        <w:rPr>
          <w:rFonts w:ascii="Times New Roman" w:cs="Times New Roman" w:eastAsia="Times New Roman" w:hAnsi="Times New Roman"/>
          <w:sz w:val="22"/>
          <w:szCs w:val="22"/>
          <w:color w:val="auto"/>
        </w:rPr>
      </w:pPr>
    </w:p>
    <w:p>
      <w:pPr>
        <w:ind w:left="-20" w:firstLine="1763"/>
        <w:spacing w:after="0" w:line="236" w:lineRule="auto"/>
        <w:tabs>
          <w:tab w:leader="none" w:pos="263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shall mean an agreement between the Corporation or an Affiliate, in a form satisfactory to the Corporation or the Affiliate, governing confidentiality, non-solicitation of customers and/or employees, non-competition and/or similar matters, which may be a free-standing agreement or contained in an employment, consulting or other written agreement, and which may be entered into subsequent to the date of this Agreement. In no event will any non-competition or non-solicitation provision contained within the Restrictive Covenant Agreement extend beyond the three-year anniversary of the Holder’s termination due to Retirement.</w:t>
      </w:r>
    </w:p>
    <w:p>
      <w:pPr>
        <w:spacing w:after="0" w:line="182" w:lineRule="exact"/>
        <w:rPr>
          <w:rFonts w:ascii="Times New Roman" w:cs="Times New Roman" w:eastAsia="Times New Roman" w:hAnsi="Times New Roman"/>
          <w:sz w:val="22"/>
          <w:szCs w:val="22"/>
          <w:color w:val="auto"/>
        </w:rPr>
      </w:pPr>
    </w:p>
    <w:p>
      <w:pPr>
        <w:ind w:left="-20" w:right="100" w:firstLine="1763"/>
        <w:spacing w:after="0" w:line="238" w:lineRule="auto"/>
        <w:tabs>
          <w:tab w:leader="none" w:pos="267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xml:space="preserve">” shall have the meaning set forth in any employment or consulting agreement between the Holder and the Corporation or an Affiliate;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(1) a uniform definition of Retirement is not used either within a single agreement or across multiple employment or consulting agreements between the Holder and the Corporation or an Affiliate, (2) there is no such agreement, or (3) such agreement does not define Retirement, Retirement shall mean a Holder’s termination of employment, other than for Cause, which meets all of the following criteria.</w:t>
      </w:r>
    </w:p>
    <w:p>
      <w:pPr>
        <w:spacing w:after="0" w:line="177" w:lineRule="exact"/>
        <w:rPr>
          <w:rFonts w:ascii="Times New Roman" w:cs="Times New Roman" w:eastAsia="Times New Roman" w:hAnsi="Times New Roman"/>
          <w:sz w:val="22"/>
          <w:szCs w:val="22"/>
          <w:color w:val="auto"/>
        </w:rPr>
      </w:pPr>
    </w:p>
    <w:p>
      <w:pPr>
        <w:ind w:left="2600" w:right="100" w:hanging="870"/>
        <w:spacing w:after="0" w:line="258" w:lineRule="auto"/>
        <w:tabs>
          <w:tab w:leader="none" w:pos="26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has reached a minimum age of 55 and has a minimum number of 5 continuous full years of service to the Corporation or an Affiliate.</w:t>
      </w:r>
    </w:p>
    <w:p>
      <w:pPr>
        <w:spacing w:after="0" w:line="158" w:lineRule="exact"/>
        <w:rPr>
          <w:rFonts w:ascii="Times New Roman" w:cs="Times New Roman" w:eastAsia="Times New Roman" w:hAnsi="Times New Roman"/>
          <w:sz w:val="22"/>
          <w:szCs w:val="22"/>
          <w:color w:val="auto"/>
        </w:rPr>
      </w:pPr>
    </w:p>
    <w:p>
      <w:pPr>
        <w:ind w:left="2600" w:right="100" w:hanging="870"/>
        <w:spacing w:after="0" w:line="238" w:lineRule="auto"/>
        <w:tabs>
          <w:tab w:leader="none" w:pos="26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(x) the continuous full years of service by the Holder to the Corporation or an Affiliate and (y) the attained age in full years of the Holder on the date of the Holder’s termination of employment total no less than 75 (the “</w:t>
      </w:r>
      <w:r>
        <w:rPr>
          <w:rFonts w:ascii="Times New Roman" w:cs="Times New Roman" w:eastAsia="Times New Roman" w:hAnsi="Times New Roman"/>
          <w:sz w:val="22"/>
          <w:szCs w:val="22"/>
          <w:u w:val="single" w:color="auto"/>
          <w:color w:val="auto"/>
        </w:rPr>
        <w:t>Rule of 75</w:t>
      </w:r>
      <w:r>
        <w:rPr>
          <w:rFonts w:ascii="Times New Roman" w:cs="Times New Roman" w:eastAsia="Times New Roman" w:hAnsi="Times New Roman"/>
          <w:sz w:val="22"/>
          <w:szCs w:val="22"/>
          <w:color w:val="auto"/>
        </w:rPr>
        <w:t>”). A leave of absence which is agreed to between the Corporation and the Holder in writing for medical reasons or for military service shall not constitute a break in Service for this purpose.</w:t>
      </w:r>
    </w:p>
    <w:p>
      <w:pPr>
        <w:spacing w:after="0" w:line="177" w:lineRule="exact"/>
        <w:rPr>
          <w:rFonts w:ascii="Times New Roman" w:cs="Times New Roman" w:eastAsia="Times New Roman" w:hAnsi="Times New Roman"/>
          <w:sz w:val="22"/>
          <w:szCs w:val="22"/>
          <w:color w:val="auto"/>
        </w:rPr>
      </w:pPr>
    </w:p>
    <w:p>
      <w:pPr>
        <w:ind w:left="2600" w:right="60" w:hanging="870"/>
        <w:spacing w:after="0" w:line="244" w:lineRule="auto"/>
        <w:tabs>
          <w:tab w:leader="none" w:pos="260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signs a Restrictive Covenant Agreement in anticipation of the Holder’s Retirement, in the form provided to the Holder by the Corporation if the Corporation requests that the Holder do so, within the timeframe given to the Holder to sign by the Corporation.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67310</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60" w:top="328" w:right="259" w:bottom="1440" w:gutter="0" w:footer="0" w:header="0"/>
        </w:sectPr>
      </w:pPr>
    </w:p>
    <w:bookmarkStart w:id="43" w:name="page44"/>
    <w:bookmarkEnd w:id="43"/>
    <w:p>
      <w:pPr>
        <w:ind w:left="2620" w:right="20" w:hanging="870"/>
        <w:spacing w:after="0" w:line="239" w:lineRule="auto"/>
        <w:tabs>
          <w:tab w:leader="none" w:pos="26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gives his or her direct supervisor, or in the case of the Chief Executive Officer, the Board, at least four months’ prior written notice of his or her Retirement. The Holder shall cease to be eligible for participation in the long term incentive program following provision of notice pursuant to this sub-section.</w:t>
      </w:r>
    </w:p>
    <w:p>
      <w:pPr>
        <w:spacing w:after="0" w:line="181" w:lineRule="exact"/>
        <w:rPr>
          <w:sz w:val="20"/>
          <w:szCs w:val="20"/>
          <w:color w:val="auto"/>
        </w:rPr>
      </w:pPr>
    </w:p>
    <w:p>
      <w:pPr>
        <w:ind w:firstLine="1763"/>
        <w:spacing w:after="0" w:line="248" w:lineRule="auto"/>
        <w:tabs>
          <w:tab w:leader="none" w:pos="256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Issuance or Delivery of Shares</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7.12</w:t>
      </w:r>
      <w:r>
        <w:rPr>
          <w:rFonts w:ascii="Times New Roman" w:cs="Times New Roman" w:eastAsia="Times New Roman" w:hAnsi="Times New Roman"/>
          <w:sz w:val="21"/>
          <w:szCs w:val="21"/>
          <w:color w:val="auto"/>
        </w:rPr>
        <w:t xml:space="preserve"> and except as otherwise provided for herein, within 70 days after the Vesting Date, the Corporation shall issue or deliver, subject to the conditions of this Agreement, the vested shares of Stock to the Holder. Such issuance or delivery shall be evidenced by the appropriate entry on the books of the Corporation or of a duly authorized transfer agent of the Corporation. The Corporation shall pay all original issue or transfer taxes and all fees and expenses incident to such issuance or delivery, except as otherwise provided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Prior to the issuance to the Holder of the shares of Stock subject to the Award, the Holder shall have no direct or secured claim in any specific assets of the Corporation or in such shares of Stock, and will have the status of a general unsecured creditor of the Corporation.</w:t>
      </w:r>
    </w:p>
    <w:p>
      <w:pPr>
        <w:spacing w:after="0" w:line="171" w:lineRule="exact"/>
        <w:rPr>
          <w:rFonts w:ascii="Times New Roman" w:cs="Times New Roman" w:eastAsia="Times New Roman" w:hAnsi="Times New Roman"/>
          <w:sz w:val="21"/>
          <w:szCs w:val="21"/>
          <w:color w:val="auto"/>
        </w:rPr>
      </w:pPr>
    </w:p>
    <w:p>
      <w:pPr>
        <w:ind w:right="20" w:firstLine="1763"/>
        <w:spacing w:after="0" w:line="238" w:lineRule="auto"/>
        <w:tabs>
          <w:tab w:leader="none" w:pos="256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xml:space="preserve">. The Holder acknowledges that the Holder is familiar with terms of the Corporation’s </w:t>
      </w:r>
      <w:r>
        <w:rPr>
          <w:rFonts w:ascii="Times New Roman" w:cs="Times New Roman" w:eastAsia="Times New Roman" w:hAnsi="Times New Roman"/>
          <w:sz w:val="22"/>
          <w:szCs w:val="22"/>
          <w:i w:val="1"/>
          <w:iCs w:val="1"/>
          <w:color w:val="auto"/>
        </w:rPr>
        <w:t xml:space="preserve">Statement of Policy Regarding Incentive Compensation Recoupment </w:t>
      </w:r>
      <w:r>
        <w:rPr>
          <w:rFonts w:ascii="Times New Roman" w:cs="Times New Roman" w:eastAsia="Times New Roman" w:hAnsi="Times New Roman"/>
          <w:sz w:val="22"/>
          <w:szCs w:val="22"/>
          <w:color w:val="auto"/>
        </w:rPr>
        <w:t>(attached hereto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The Holder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further acknowledges that this Award is subject to the terms of the Policy, if and to the extent that the Policy, by its terms, applies to the Award and the Holder. The terms of the Policy (as it may be amended from time to time) are incorporated by reference herein and made a part of this Agreement.</w:t>
      </w:r>
    </w:p>
    <w:p>
      <w:pPr>
        <w:spacing w:after="0" w:line="177" w:lineRule="exact"/>
        <w:rPr>
          <w:rFonts w:ascii="Times New Roman" w:cs="Times New Roman" w:eastAsia="Times New Roman" w:hAnsi="Times New Roman"/>
          <w:sz w:val="22"/>
          <w:szCs w:val="22"/>
          <w:color w:val="auto"/>
        </w:rPr>
      </w:pPr>
    </w:p>
    <w:p>
      <w:pPr>
        <w:ind w:left="2580" w:hanging="817"/>
        <w:spacing w:after="0"/>
        <w:tabs>
          <w:tab w:leader="none" w:pos="25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 and Investment Representation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755"/>
        <w:spacing w:after="0" w:line="251"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1"/>
          <w:szCs w:val="21"/>
          <w:u w:val="single" w:color="auto"/>
          <w:color w:val="auto"/>
        </w:rPr>
        <w:t>Nontransferability of Award</w:t>
      </w:r>
      <w:r>
        <w:rPr>
          <w:rFonts w:ascii="Times New Roman" w:cs="Times New Roman" w:eastAsia="Times New Roman" w:hAnsi="Times New Roman"/>
          <w:sz w:val="21"/>
          <w:szCs w:val="21"/>
          <w:color w:val="auto"/>
        </w:rPr>
        <w:t>. The Award may not be transferred by the Holder other than by will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laws of descent and distribution. Except to the extent permitted by the foregoing sentence, the Award may not be sold, transferred, assigned, pledged, hypothecated, encumbered or otherwise disposed of (whether by operation of law or otherwise) or be subject to execution, attachment or similar process. Upon any attempt to so sell, transfer, assign, pledge, hypothecate, encumber or otherwise dispose of the Award, the Award and all rights hereunder shall immediately become null and void.</w:t>
      </w:r>
    </w:p>
    <w:p>
      <w:pPr>
        <w:spacing w:after="0" w:line="169" w:lineRule="exact"/>
        <w:rPr>
          <w:sz w:val="20"/>
          <w:szCs w:val="20"/>
          <w:color w:val="auto"/>
        </w:rPr>
      </w:pPr>
    </w:p>
    <w:p>
      <w:pPr>
        <w:ind w:right="60" w:firstLine="1755"/>
        <w:spacing w:after="0" w:line="24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1"/>
          <w:szCs w:val="21"/>
          <w:u w:val="single" w:color="auto"/>
          <w:color w:val="auto"/>
        </w:rPr>
        <w:t>Investment Representation</w:t>
      </w:r>
      <w:r>
        <w:rPr>
          <w:rFonts w:ascii="Times New Roman" w:cs="Times New Roman" w:eastAsia="Times New Roman" w:hAnsi="Times New Roman"/>
          <w:sz w:val="21"/>
          <w:szCs w:val="21"/>
          <w:color w:val="auto"/>
        </w:rPr>
        <w:t>. The Holder hereby covenants that (a) any sale of any share of 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acquired upon the vesting of the Award shall be made either pursuant to an effective registration statement under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and any applicable state securities laws, or pursuant to an exemption from registration under the Securities Act and such state securities laws and (b) the Holder shall comply with all regulations and requirements of any regulatory authority having control of or supervision over the issuance of the shares and, in connection therewith, shall execute any documents which the Committee shall in its sole discretion deem necessary or advisable.</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4" w:name="page45"/>
    <w:bookmarkEnd w:id="44"/>
    <w:p>
      <w:pPr>
        <w:ind w:left="2580" w:hanging="817"/>
        <w:spacing w:after="0"/>
        <w:tabs>
          <w:tab w:leader="none" w:pos="25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Terms and Conditions of Award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760"/>
        <w:spacing w:after="0"/>
        <w:tabs>
          <w:tab w:leader="none" w:pos="268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21"/>
          <w:szCs w:val="21"/>
          <w:u w:val="single" w:color="auto"/>
          <w:color w:val="auto"/>
        </w:rPr>
        <w:t>Withholding Taxes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right="220" w:firstLine="1763"/>
        <w:spacing w:after="0" w:line="236" w:lineRule="auto"/>
        <w:tabs>
          <w:tab w:leader="none" w:pos="264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precedent to the delivery to the Holder of any shares of Stock upon vesting of the Award, the Holder shall, upon request by the Corporation, pay to the Corporation such amount of cash as the Corporation may be required, under all applicable federal, state, local or other laws or regulations, to withhold and pay over as income or other withholding taxes (the “</w:t>
      </w:r>
      <w:r>
        <w:rPr>
          <w:rFonts w:ascii="Times New Roman" w:cs="Times New Roman" w:eastAsia="Times New Roman" w:hAnsi="Times New Roman"/>
          <w:sz w:val="22"/>
          <w:szCs w:val="22"/>
          <w:u w:val="single" w:color="auto"/>
          <w:color w:val="auto"/>
        </w:rPr>
        <w:t>Required Tax Payments</w:t>
      </w:r>
      <w:r>
        <w:rPr>
          <w:rFonts w:ascii="Times New Roman" w:cs="Times New Roman" w:eastAsia="Times New Roman" w:hAnsi="Times New Roman"/>
          <w:sz w:val="22"/>
          <w:szCs w:val="22"/>
          <w:color w:val="auto"/>
        </w:rPr>
        <w:t>”) with respect to the Award. If the Holder shall fail to advance the Required Tax Payments after request by the Corporation, the Corporation may, in its discretion, deduct any Required Tax Payments from any amount then or thereafter payable by the Corporation to the Holder or withhold shares of Stock.</w:t>
      </w:r>
    </w:p>
    <w:p>
      <w:pPr>
        <w:spacing w:after="0" w:line="182" w:lineRule="exact"/>
        <w:rPr>
          <w:rFonts w:ascii="Times New Roman" w:cs="Times New Roman" w:eastAsia="Times New Roman" w:hAnsi="Times New Roman"/>
          <w:sz w:val="22"/>
          <w:szCs w:val="22"/>
          <w:color w:val="auto"/>
        </w:rPr>
      </w:pPr>
    </w:p>
    <w:p>
      <w:pPr>
        <w:ind w:firstLine="1763"/>
        <w:spacing w:after="0" w:line="234" w:lineRule="auto"/>
        <w:tabs>
          <w:tab w:leader="none" w:pos="265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may elect to satisfy his or her obligation to advance the Required Tax Payments by any of the following means: (1) a cash payment to the Corporation; (2) delivery to the Corporation (either actual delivery or by attestation procedures established by the Corporation) of previously owned whole shares of Stock having a Fair Market Value, determined as of the date the obligation to withhold or pay taxes first arises in connection with the Award (the “</w:t>
      </w:r>
      <w:r>
        <w:rPr>
          <w:rFonts w:ascii="Times New Roman" w:cs="Times New Roman" w:eastAsia="Times New Roman" w:hAnsi="Times New Roman"/>
          <w:sz w:val="22"/>
          <w:szCs w:val="22"/>
          <w:u w:val="single" w:color="auto"/>
          <w:color w:val="auto"/>
        </w:rPr>
        <w:t>Tax Date</w:t>
      </w:r>
      <w:r>
        <w:rPr>
          <w:rFonts w:ascii="Times New Roman" w:cs="Times New Roman" w:eastAsia="Times New Roman" w:hAnsi="Times New Roman"/>
          <w:sz w:val="22"/>
          <w:szCs w:val="22"/>
          <w:color w:val="auto"/>
        </w:rPr>
        <w:t>”), equal to the Required Tax Payments; (3) authorizing the Corporation to withhold from the shares otherwise to be delivered to the Holder pursuant to the Award, a number of whole Shares having a Fair Market Value, determined as of the Tax Date, equal to the Required Tax Payments; or (4) any combination of (1), (2) and (3). Shares to be delivered or withheld may not have a Fair Market Value in excess of the minimum amount of the Required Tax Payments. Any fraction of a share which would be required to satisfy such an obligation shall be disregarded and the remaining amount due shall be paid in cash by the Holder. No shares shall be delivered until the Required Tax Payments have been satisfied in full.</w:t>
      </w:r>
    </w:p>
    <w:p>
      <w:pPr>
        <w:spacing w:after="0" w:line="180" w:lineRule="exact"/>
        <w:rPr>
          <w:sz w:val="20"/>
          <w:szCs w:val="20"/>
          <w:color w:val="auto"/>
        </w:rPr>
      </w:pPr>
    </w:p>
    <w:p>
      <w:pPr>
        <w:ind w:right="280" w:firstLine="1755"/>
        <w:spacing w:after="0" w:line="248"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u w:val="single" w:color="auto"/>
          <w:color w:val="auto"/>
        </w:rPr>
        <w:t>Compliance with Applicable Law</w:t>
      </w:r>
      <w:r>
        <w:rPr>
          <w:rFonts w:ascii="Times New Roman" w:cs="Times New Roman" w:eastAsia="Times New Roman" w:hAnsi="Times New Roman"/>
          <w:sz w:val="21"/>
          <w:szCs w:val="21"/>
          <w:color w:val="auto"/>
        </w:rPr>
        <w:t>. The Award is subject to the condition that if the listing,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registration or qualification of the shares of Stock subject to the Award upon any securities exchange or under any law, or the consent or approval of any governmental body, or the taking of any other action is necessary or desirable as a condition of, or in connection with, the delivery of shares hereunder, the shares of Stock subject to the Award shall not be delivered, in whole or in part, unless such listing, registration, qualification, consent, approval or other action shall have been effected or obtained, free of any conditions not acceptable to the Corporation. The Corporation agrees to use reasonable efforts to effect or obtain any such listing, registration, qualification, consent, approval or other action.</w:t>
      </w:r>
    </w:p>
    <w:p>
      <w:pPr>
        <w:spacing w:after="0" w:line="171" w:lineRule="exact"/>
        <w:rPr>
          <w:sz w:val="20"/>
          <w:szCs w:val="20"/>
          <w:color w:val="auto"/>
        </w:rPr>
      </w:pPr>
    </w:p>
    <w:p>
      <w:pPr>
        <w:ind w:firstLine="1755"/>
        <w:spacing w:after="0" w:line="255"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1"/>
          <w:szCs w:val="21"/>
          <w:u w:val="single" w:color="auto"/>
          <w:color w:val="auto"/>
        </w:rPr>
        <w:t>Award Confers No Rights to Continued Employment</w:t>
      </w:r>
      <w:r>
        <w:rPr>
          <w:rFonts w:ascii="Times New Roman" w:cs="Times New Roman" w:eastAsia="Times New Roman" w:hAnsi="Times New Roman"/>
          <w:sz w:val="21"/>
          <w:szCs w:val="21"/>
          <w:color w:val="auto"/>
        </w:rPr>
        <w:t>. In no event shall the granting of the Award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its acceptance by the Holder, or any provision of the Agreement or the Plan, give or be deemed to give the Holder any right to continued employment by the Corporation or any Affiliate or affect in any manner the right of the Corporation or any Affiliate to terminate the employment of any person at any time.</w:t>
      </w:r>
    </w:p>
    <w:p>
      <w:pPr>
        <w:spacing w:after="0" w:line="162" w:lineRule="exact"/>
        <w:rPr>
          <w:sz w:val="20"/>
          <w:szCs w:val="20"/>
          <w:color w:val="auto"/>
        </w:rPr>
      </w:pPr>
    </w:p>
    <w:p>
      <w:pPr>
        <w:jc w:val="both"/>
        <w:ind w:right="260"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1"/>
          <w:szCs w:val="21"/>
          <w:u w:val="single" w:color="auto"/>
          <w:color w:val="auto"/>
        </w:rPr>
        <w:t>Decisions of Board or Committee</w:t>
      </w:r>
      <w:r>
        <w:rPr>
          <w:rFonts w:ascii="Times New Roman" w:cs="Times New Roman" w:eastAsia="Times New Roman" w:hAnsi="Times New Roman"/>
          <w:sz w:val="21"/>
          <w:szCs w:val="21"/>
          <w:color w:val="auto"/>
        </w:rPr>
        <w:t>. The Board or the Committee shall have the right to resolve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questions which may arise in connection with the Award. Any interpretation, determination or other action made or taken by the Board or the Committee regarding the Plan or this Agreement shall be final, binding and conclusive.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45" w:name="page46"/>
    <w:bookmarkEnd w:id="45"/>
    <w:p>
      <w:pPr>
        <w:ind w:right="280"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 This Agreement shall be binding upon and inure to the benefit of any successor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successors of the Corporation and any person or persons who shall, upon the death of the Holder, acquire any rights hereunder in accordance with this Agreement or the Plan.</w:t>
      </w:r>
    </w:p>
    <w:p>
      <w:pPr>
        <w:spacing w:after="0" w:line="155" w:lineRule="exact"/>
        <w:rPr>
          <w:sz w:val="20"/>
          <w:szCs w:val="20"/>
          <w:color w:val="auto"/>
        </w:rPr>
      </w:pPr>
    </w:p>
    <w:p>
      <w:pPr>
        <w:ind w:right="200" w:firstLine="1755"/>
        <w:spacing w:after="0" w:line="247"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or other communications provided for in this Agreement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made, if to the Corporation, to Great Lakes Dredge &amp; Dock Corporation, Attn: Chief Legal Officer, 2122 York Road, Oak Brook, IL 60523, and if to the Holder, to the last known mailing address of the Holder contained in the records of the Corporation. All notices, requests or other communications provided for in this Agreement shall be made in writing either (a) by personal delivery,</w:t>
      </w:r>
    </w:p>
    <w:p>
      <w:pPr>
        <w:spacing w:after="0" w:line="2" w:lineRule="exact"/>
        <w:rPr>
          <w:sz w:val="20"/>
          <w:szCs w:val="20"/>
          <w:color w:val="auto"/>
        </w:rPr>
      </w:pPr>
    </w:p>
    <w:p>
      <w:pPr>
        <w:jc w:val="both"/>
        <w:ind w:right="180" w:firstLine="8"/>
        <w:spacing w:after="0" w:line="245" w:lineRule="auto"/>
        <w:tabs>
          <w:tab w:leader="none" w:pos="30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facsimile or electronic mail with confirmation of receipt, (c) by mailing in the United States mails or (d) by express courier service. The notice, request or other communication shall be deemed to be received upon personal delivery, upon confirmation of receipt of facsimile or electronic mail transmission or upon receipt by the party entitled thereto if by United States mail or express courier service;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notice, request or other communication sent to the Corporation is not received during regular business hours, it shall be deemed to be received on the next succeeding business day of the Corporation.</w:t>
      </w:r>
    </w:p>
    <w:p>
      <w:pPr>
        <w:spacing w:after="0" w:line="175" w:lineRule="exact"/>
        <w:rPr>
          <w:sz w:val="20"/>
          <w:szCs w:val="20"/>
          <w:color w:val="auto"/>
        </w:rPr>
      </w:pPr>
    </w:p>
    <w:p>
      <w:pPr>
        <w:ind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the Award and all determinations made and actions taken pursuant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hereto and thereto, to the extent not governed by the laws of the United States, shall be governed by the laws of the State of Delaware and construed in accordance therewith without giving effect to principles of conflicts of laws.</w:t>
      </w:r>
    </w:p>
    <w:p>
      <w:pPr>
        <w:spacing w:after="0" w:line="155" w:lineRule="exact"/>
        <w:rPr>
          <w:sz w:val="20"/>
          <w:szCs w:val="20"/>
          <w:color w:val="auto"/>
        </w:rPr>
      </w:pPr>
    </w:p>
    <w:p>
      <w:pPr>
        <w:ind w:right="80"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1"/>
          <w:szCs w:val="21"/>
          <w:u w:val="single" w:color="auto"/>
          <w:color w:val="auto"/>
        </w:rPr>
        <w:t>Agreement Subject to the Plan</w:t>
      </w:r>
      <w:r>
        <w:rPr>
          <w:rFonts w:ascii="Times New Roman" w:cs="Times New Roman" w:eastAsia="Times New Roman" w:hAnsi="Times New Roman"/>
          <w:sz w:val="21"/>
          <w:szCs w:val="21"/>
          <w:color w:val="auto"/>
        </w:rPr>
        <w:t>. This Agreement is subject to the provisions of the Plan and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interpreted in accordance therewith. In the event that the provisions of this Agreement and the Plan conflict, the Plan shall control. The Holder hereby acknowledges receipt of a copy of the Plan.</w:t>
      </w:r>
    </w:p>
    <w:p>
      <w:pPr>
        <w:spacing w:after="0" w:line="155" w:lineRule="exact"/>
        <w:rPr>
          <w:sz w:val="20"/>
          <w:szCs w:val="20"/>
          <w:color w:val="auto"/>
        </w:rPr>
      </w:pPr>
    </w:p>
    <w:p>
      <w:pPr>
        <w:ind w:right="60" w:firstLine="1755"/>
        <w:spacing w:after="0" w:line="255"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Plan constitute the entire agreement of the parties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respect to the subject matter hereof and supersede in their entirety all prior undertakings and agreements of the Corporation and the Holder with respect to the subject matter hereof, and may not be modified adversely to the Holder’s interest except by means of a writing signed by the Corporation and the Holder.</w:t>
      </w:r>
    </w:p>
    <w:p>
      <w:pPr>
        <w:spacing w:after="0" w:line="162" w:lineRule="exact"/>
        <w:rPr>
          <w:sz w:val="20"/>
          <w:szCs w:val="20"/>
          <w:color w:val="auto"/>
        </w:rPr>
      </w:pPr>
    </w:p>
    <w:p>
      <w:pPr>
        <w:jc w:val="both"/>
        <w:ind w:right="100" w:firstLine="1755"/>
        <w:spacing w:after="0" w:line="262"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1"/>
          <w:szCs w:val="21"/>
          <w:u w:val="single" w:color="auto"/>
          <w:color w:val="auto"/>
        </w:rPr>
        <w:t>Partial Invalidity</w:t>
      </w:r>
      <w:r>
        <w:rPr>
          <w:rFonts w:ascii="Times New Roman" w:cs="Times New Roman" w:eastAsia="Times New Roman" w:hAnsi="Times New Roman"/>
          <w:sz w:val="21"/>
          <w:szCs w:val="21"/>
          <w:color w:val="auto"/>
        </w:rPr>
        <w:t>. The invalidity or unenforceability of any particular provision of this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shall not affect the other provisions hereof and this Agreement shall be construed in all respects as if such invalid or unenforceable provision was omitted.</w:t>
      </w:r>
    </w:p>
    <w:p>
      <w:pPr>
        <w:spacing w:after="0" w:line="155" w:lineRule="exact"/>
        <w:rPr>
          <w:sz w:val="20"/>
          <w:szCs w:val="20"/>
          <w:color w:val="auto"/>
        </w:rPr>
      </w:pPr>
    </w:p>
    <w:p>
      <w:pPr>
        <w:ind w:right="280" w:firstLine="1755"/>
        <w:spacing w:after="0" w:line="255"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1"/>
          <w:szCs w:val="21"/>
          <w:u w:val="single" w:color="auto"/>
          <w:color w:val="auto"/>
        </w:rPr>
        <w:t>Amendment and Waiver</w:t>
      </w:r>
      <w:r>
        <w:rPr>
          <w:rFonts w:ascii="Times New Roman" w:cs="Times New Roman" w:eastAsia="Times New Roman" w:hAnsi="Times New Roman"/>
          <w:sz w:val="21"/>
          <w:szCs w:val="21"/>
          <w:color w:val="auto"/>
        </w:rPr>
        <w:t>. The Corporation may amend the provisions of this Agreement at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 amendment that would adversely affect the Holder’s rights under this Agreement shall be subject to the written consent of the Holder. No course of conduct or failure or delay in enforcing the provisions of this Agreement shall affect the validity, binding effect or enforceability of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6" w:name="page47"/>
    <w:bookmarkEnd w:id="46"/>
    <w:p>
      <w:pPr>
        <w:ind w:firstLine="1755"/>
        <w:spacing w:after="0" w:line="245"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1"/>
          <w:szCs w:val="21"/>
          <w:u w:val="single" w:color="auto"/>
          <w:color w:val="auto"/>
        </w:rPr>
        <w:t>Compliance With Section 409A of the Code</w:t>
      </w:r>
      <w:r>
        <w:rPr>
          <w:rFonts w:ascii="Times New Roman" w:cs="Times New Roman" w:eastAsia="Times New Roman" w:hAnsi="Times New Roman"/>
          <w:sz w:val="21"/>
          <w:szCs w:val="21"/>
          <w:color w:val="auto"/>
        </w:rPr>
        <w:t>. This Award is intended to be exempt from or comply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 Section 409A of the Code, and shall be interpreted and construed accordingly. To the extent this Agreement provides for the Award to become vested and be settled upon the Holder’s termination of employment, the applicable shares of Stock shall be transferred to the Holder or his or her beneficiary upon the Holder’s “separation from service,” within the meaning of Section 409A of the Code; provided that if the Holder is a “specified employee,” within the meaning of Section 409A of the Code, then to the extent the Award constitutes nonqualified deferred compensation, within the meaning of Section 409A of the Code, such shares of Stock shall be transferred to the Holder or his or her beneficiary upon the earlier to occur of (i) the six-month anniversary of such separation from service and (ii) the date of the Holder’s death; provided, further, if the Holder is subject to another employment agreement or written arrangement in effect prior to the date hereof that requires a different time or form of payment of the Award, then this Agreement shall be governed by such other prior employment agreement or written arrangement to the extent required to comply with Section 409A of the Code.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00"/>
          </w:cols>
          <w:pgMar w:left="240" w:top="328" w:right="2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Lasse J. Petterson, certify that:</w:t>
      </w:r>
    </w:p>
    <w:p>
      <w:pPr>
        <w:spacing w:after="0" w:line="117"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ASSE</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2"/>
          <w:szCs w:val="12"/>
          <w:color w:val="auto"/>
        </w:rPr>
        <w:t>ETTERSON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Marinko, certify that:</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Great Lakes Dredge &amp; Dock Corporation;</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2019</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2"/>
          <w:szCs w:val="12"/>
          <w:color w:val="auto"/>
        </w:rPr>
        <w:t>ARINKO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420"/>
          </w:cols>
          <w:pgMar w:left="240" w:top="117"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Great Lakes Dredge &amp; Dock Corporation (the “Company”) on Form 10-Q for the period ended March 31, 2019, as filed with the Securities and Exchange Commission on the date hereof (the “Report”), I, Lasse J. Petterson,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2"/>
          <w:szCs w:val="12"/>
          <w:color w:val="auto"/>
        </w:rPr>
        <w:t>ASSE</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2"/>
          <w:szCs w:val="12"/>
          <w:color w:val="auto"/>
        </w:rPr>
        <w:t>ETTERSON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2019</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Great Lakes Dredge &amp; Dock Corporation (the “Company”) on Form 10-Q for the period ended March 31, 2019, as filed with the Securities and Exchange Commission on the date hereof (the “Report”), I, Mark W. Marinko, Senior Vice President and Chief Financial Officer of the Company, certify pursuant to 18 U.S.C. Section 1350, as adopted pursuant to Section 906 of the Sarbanes-Oxley Act of 2002, that to my knowledge:</w:t>
      </w:r>
    </w:p>
    <w:p>
      <w:pPr>
        <w:spacing w:after="0" w:line="50"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ARK</w:t>
      </w:r>
      <w:r>
        <w:rPr>
          <w:rFonts w:ascii="Times New Roman" w:cs="Times New Roman" w:eastAsia="Times New Roman" w:hAnsi="Times New Roman"/>
          <w:sz w:val="18"/>
          <w:szCs w:val="18"/>
          <w:color w:val="auto"/>
        </w:rPr>
        <w:t xml:space="preserve"> W. M</w:t>
      </w:r>
      <w:r>
        <w:rPr>
          <w:rFonts w:ascii="Times New Roman" w:cs="Times New Roman" w:eastAsia="Times New Roman" w:hAnsi="Times New Roman"/>
          <w:sz w:val="12"/>
          <w:szCs w:val="12"/>
          <w:color w:val="auto"/>
        </w:rPr>
        <w:t>ARINKO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2019</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4"/>
    </w:lvl>
  </w:abstractNum>
  <w:abstractNum w:abstractNumId="7">
    <w:nsid w:val="2443A858"/>
    <w:multiLevelType w:val="hybridMultilevel"/>
    <w:lvl w:ilvl="0">
      <w:lvlJc w:val="left"/>
      <w:lvlText w:val="%1."/>
      <w:numFmt w:val="decimal"/>
      <w:start w:val="5"/>
    </w:lvl>
  </w:abstractNum>
  <w:abstractNum w:abstractNumId="8">
    <w:nsid w:val="2D1D5AE9"/>
    <w:multiLevelType w:val="hybridMultilevel"/>
    <w:lvl w:ilvl="0">
      <w:lvlJc w:val="left"/>
      <w:lvlText w:val="%1."/>
      <w:numFmt w:val="decimal"/>
      <w:start w:val="6"/>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8"/>
    </w:lvl>
  </w:abstractNum>
  <w:abstractNum w:abstractNumId="11">
    <w:nsid w:val="8EDBDAB"/>
    <w:multiLevelType w:val="hybridMultilevel"/>
    <w:lvl w:ilvl="0">
      <w:lvlJc w:val="left"/>
      <w:lvlText w:val="%1."/>
      <w:numFmt w:val="decimal"/>
      <w:start w:val="9"/>
    </w:lvl>
  </w:abstractNum>
  <w:abstractNum w:abstractNumId="12">
    <w:nsid w:val="79838CB2"/>
    <w:multiLevelType w:val="hybridMultilevel"/>
    <w:lvl w:ilvl="0">
      <w:lvlJc w:val="left"/>
      <w:lvlText w:val="%1."/>
      <w:numFmt w:val="decimal"/>
      <w:start w:val="10"/>
    </w:lvl>
  </w:abstractNum>
  <w:abstractNum w:abstractNumId="13">
    <w:nsid w:val="4353D0CD"/>
    <w:multiLevelType w:val="hybridMultilevel"/>
    <w:lvl w:ilvl="0">
      <w:lvlJc w:val="left"/>
      <w:lvlText w:val="%1."/>
      <w:numFmt w:val="decimal"/>
      <w:start w:val="1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Roman"/>
      <w:start w:val="1"/>
    </w:lvl>
    <w:lvl w:ilvl="1">
      <w:lvlJc w:val="left"/>
      <w:lvlText w:val="(%2)"/>
      <w:numFmt w:val="lowerLetter"/>
      <w:start w:val="3"/>
    </w:lvl>
  </w:abstractNum>
  <w:abstractNum w:abstractNumId="18">
    <w:nsid w:val="2CA88611"/>
    <w:multiLevelType w:val="hybridMultilevel"/>
    <w:lvl w:ilvl="0">
      <w:lvlJc w:val="left"/>
      <w:lvlText w:val="(%1)"/>
      <w:numFmt w:val="lowerRoman"/>
      <w:start w:val="1"/>
    </w:lvl>
    <w:lvl w:ilvl="1">
      <w:lvlJc w:val="left"/>
      <w:lvlText w:val="%2"/>
      <w:numFmt w:val="lowerLetter"/>
      <w:start w:val="1"/>
    </w:lvl>
  </w:abstractNum>
  <w:abstractNum w:abstractNumId="19">
    <w:nsid w:val="836C40E"/>
    <w:multiLevelType w:val="hybridMultilevel"/>
    <w:lvl w:ilvl="0">
      <w:lvlJc w:val="left"/>
      <w:lvlText w:val="%1."/>
      <w:numFmt w:val="decimal"/>
      <w:start w:val="4"/>
    </w:lvl>
  </w:abstractNum>
  <w:abstractNum w:abstractNumId="20">
    <w:nsid w:val="2901D82"/>
    <w:multiLevelType w:val="hybridMultilevel"/>
    <w:lvl w:ilvl="0">
      <w:lvlJc w:val="left"/>
      <w:lvlText w:val="%1."/>
      <w:numFmt w:val="decimal"/>
      <w:start w:val="6"/>
    </w:lvl>
  </w:abstractNum>
  <w:abstractNum w:abstractNumId="21">
    <w:nsid w:val="3A95F874"/>
    <w:multiLevelType w:val="hybridMultilevel"/>
    <w:lvl w:ilvl="0">
      <w:lvlJc w:val="left"/>
      <w:lvlText w:val="%1."/>
      <w:numFmt w:val="decimal"/>
      <w:start w:val="7"/>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Roman"/>
      <w:start w:val="1"/>
    </w:lvl>
    <w:lvl w:ilvl="1">
      <w:lvlJc w:val="left"/>
      <w:lvlText w:val="(%2)"/>
      <w:numFmt w:val="lowerLetter"/>
      <w:start w:val="1"/>
    </w:lvl>
  </w:abstractNum>
  <w:abstractNum w:abstractNumId="27">
    <w:nsid w:val="22221A70"/>
    <w:multiLevelType w:val="hybridMultilevel"/>
    <w:lvl w:ilvl="0">
      <w:lvlJc w:val="left"/>
      <w:lvlText w:val="(%1)"/>
      <w:numFmt w:val="lowerRoman"/>
      <w:start w:val="1"/>
    </w:lvl>
    <w:lvl w:ilvl="1">
      <w:lvlJc w:val="left"/>
      <w:lvlText w:val="%2"/>
      <w:numFmt w:val="lowerLetter"/>
      <w:start w:val="1"/>
    </w:lvl>
  </w:abstractNum>
  <w:abstractNum w:abstractNumId="28">
    <w:nsid w:val="4516DDE9"/>
    <w:multiLevelType w:val="hybridMultilevel"/>
    <w:lvl w:ilvl="0">
      <w:lvlJc w:val="left"/>
      <w:lvlText w:val="(%1)"/>
      <w:numFmt w:val="lowerRoman"/>
      <w:start w:val="4"/>
    </w:lvl>
  </w:abstractNum>
  <w:abstractNum w:abstractNumId="29">
    <w:nsid w:val="3006C83E"/>
    <w:multiLevelType w:val="hybridMultilevel"/>
    <w:lvl w:ilvl="0">
      <w:lvlJc w:val="left"/>
      <w:lvlText w:val="%1."/>
      <w:numFmt w:val="decimal"/>
      <w:start w:val="4"/>
    </w:lvl>
  </w:abstractNum>
  <w:abstractNum w:abstractNumId="30">
    <w:nsid w:val="614FD4A1"/>
    <w:multiLevelType w:val="hybridMultilevel"/>
    <w:lvl w:ilvl="0">
      <w:lvlJc w:val="left"/>
      <w:lvlText w:val="%1."/>
      <w:numFmt w:val="decimal"/>
      <w:start w:val="7"/>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2"/>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2019-12-28T13:09:10Z</dcterms:created>
  <dcterms:modified xsi:type="dcterms:W3CDTF">2019-12-28T13:09:10Z</dcterms:modified>
</cp:coreProperties>
</file>