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94615</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tcPr>
          <w:p>
            <w:pPr>
              <w:jc w:val="right"/>
              <w:ind w:right="40"/>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20" w:type="dxa"/>
            <w:vAlign w:val="bottom"/>
          </w:tcPr>
          <w:p>
            <w:pPr>
              <w:jc w:val="center"/>
              <w:ind w:left="39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20" w:type="dxa"/>
            <w:vAlign w:val="bottom"/>
          </w:tcPr>
          <w:p>
            <w:pPr>
              <w:jc w:val="center"/>
              <w:ind w:left="3920"/>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2122 York Road, Oak Brook, IL</w:t>
            </w:r>
          </w:p>
        </w:tc>
        <w:tc>
          <w:tcPr>
            <w:tcW w:w="5120" w:type="dxa"/>
            <w:vAlign w:val="bottom"/>
          </w:tcPr>
          <w:p>
            <w:pPr>
              <w:jc w:val="right"/>
              <w:ind w:right="260"/>
              <w:spacing w:after="0"/>
              <w:rPr>
                <w:sz w:val="20"/>
                <w:szCs w:val="20"/>
                <w:color w:val="auto"/>
              </w:rPr>
            </w:pPr>
            <w:r>
              <w:rPr>
                <w:rFonts w:ascii="Arial" w:cs="Arial" w:eastAsia="Arial" w:hAnsi="Arial"/>
                <w:sz w:val="18"/>
                <w:szCs w:val="18"/>
                <w:b w:val="1"/>
                <w:bCs w:val="1"/>
                <w:color w:val="auto"/>
              </w:rPr>
              <w:t>60523</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20" w:type="dxa"/>
            <w:vAlign w:val="bottom"/>
          </w:tcPr>
          <w:p>
            <w:pPr>
              <w:jc w:val="center"/>
              <w:ind w:left="3940"/>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480" w:type="dxa"/>
            <w:vAlign w:val="bottom"/>
          </w:tcPr>
          <w:p>
            <w:pPr>
              <w:spacing w:after="0"/>
              <w:rPr>
                <w:sz w:val="24"/>
                <w:szCs w:val="24"/>
                <w:color w:val="auto"/>
              </w:rPr>
            </w:pPr>
          </w:p>
        </w:tc>
        <w:tc>
          <w:tcPr>
            <w:tcW w:w="5120" w:type="dxa"/>
            <w:vAlign w:val="bottom"/>
          </w:tcPr>
          <w:p>
            <w:pPr>
              <w:jc w:val="right"/>
              <w:ind w:right="2820"/>
              <w:spacing w:after="0"/>
              <w:rPr>
                <w:sz w:val="20"/>
                <w:szCs w:val="20"/>
                <w:color w:val="auto"/>
              </w:rPr>
            </w:pPr>
            <w:r>
              <w:rPr>
                <w:rFonts w:ascii="Arial" w:cs="Arial" w:eastAsia="Arial" w:hAnsi="Arial"/>
                <w:sz w:val="18"/>
                <w:szCs w:val="18"/>
                <w:b w:val="1"/>
                <w:bCs w:val="1"/>
                <w:color w:val="auto"/>
              </w:rPr>
              <w:t>(630) 574-3000</w:t>
            </w:r>
          </w:p>
        </w:tc>
      </w:tr>
      <w:tr>
        <w:trPr>
          <w:trHeight w:val="186"/>
        </w:trPr>
        <w:tc>
          <w:tcPr>
            <w:tcW w:w="2480" w:type="dxa"/>
            <w:vAlign w:val="bottom"/>
          </w:tcPr>
          <w:p>
            <w:pPr>
              <w:spacing w:after="0"/>
              <w:rPr>
                <w:sz w:val="16"/>
                <w:szCs w:val="16"/>
                <w:color w:val="auto"/>
              </w:rPr>
            </w:pPr>
          </w:p>
        </w:tc>
        <w:tc>
          <w:tcPr>
            <w:tcW w:w="512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8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01"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right="134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27, 2018, 62,305,408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1"/>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1660" w:type="dxa"/>
            <w:vAlign w:val="bottom"/>
            <w:tcBorders>
              <w:top w:val="single" w:sz="8" w:color="0000EE"/>
            </w:tcBorders>
            <w:gridSpan w:val="5"/>
          </w:tcPr>
          <w:p>
            <w:pPr>
              <w:spacing w:after="0"/>
              <w:rPr>
                <w:sz w:val="24"/>
                <w:szCs w:val="24"/>
                <w:color w:val="auto"/>
              </w:rPr>
            </w:pPr>
          </w:p>
        </w:tc>
        <w:tc>
          <w:tcPr>
            <w:tcW w:w="63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59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30, 2018 and December 31, 2017</w:t>
              </w:r>
            </w:hyperlink>
          </w:p>
        </w:tc>
        <w:tc>
          <w:tcPr>
            <w:tcW w:w="354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80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2018 and 2017</w:t>
              </w:r>
            </w:hyperlink>
          </w:p>
        </w:tc>
        <w:tc>
          <w:tcPr>
            <w:tcW w:w="140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040" w:type="dxa"/>
            <w:vAlign w:val="bottom"/>
          </w:tcPr>
          <w:p>
            <w:pPr>
              <w:spacing w:after="0"/>
              <w:rPr>
                <w:sz w:val="24"/>
                <w:szCs w:val="24"/>
                <w:color w:val="auto"/>
              </w:rPr>
            </w:pPr>
          </w:p>
        </w:tc>
        <w:tc>
          <w:tcPr>
            <w:tcW w:w="88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and Six Months ended June 30, 2018 and 2017</w:t>
              </w:r>
            </w:hyperlink>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 for the Six Months Ended June 30, 2018 and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2018 and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40" w:type="dxa"/>
            <w:vAlign w:val="bottom"/>
          </w:tcPr>
          <w:p>
            <w:pPr>
              <w:spacing w:after="0"/>
              <w:rPr>
                <w:sz w:val="24"/>
                <w:szCs w:val="24"/>
                <w:color w:val="auto"/>
              </w:rPr>
            </w:pPr>
          </w:p>
        </w:tc>
        <w:tc>
          <w:tcPr>
            <w:tcW w:w="7380" w:type="dxa"/>
            <w:vAlign w:val="bottom"/>
            <w:tcBorders>
              <w:top w:val="single" w:sz="8" w:color="0000EE"/>
            </w:tcBorders>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210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Controls and Procedures</w:t>
              </w:r>
            </w:hyperlink>
          </w:p>
        </w:tc>
        <w:tc>
          <w:tcPr>
            <w:tcW w:w="76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74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51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Mine Safety Disclosures</w:t>
              </w:r>
            </w:hyperlink>
          </w:p>
        </w:tc>
        <w:tc>
          <w:tcPr>
            <w:tcW w:w="77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816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20" w:type="dxa"/>
            <w:vAlign w:val="bottom"/>
            <w:gridSpan w:val="1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b w:val="1"/>
                <w:bCs w:val="1"/>
                <w:color w:val="0000EE"/>
                <w:w w:val="89"/>
              </w:rPr>
            </w:pPr>
            <w:hyperlink w:anchor="page36">
              <w:r>
                <w:rPr>
                  <w:rFonts w:ascii="Arial" w:cs="Arial" w:eastAsia="Arial" w:hAnsi="Arial"/>
                  <w:sz w:val="18"/>
                  <w:szCs w:val="18"/>
                  <w:b w:val="1"/>
                  <w:bCs w:val="1"/>
                  <w:color w:val="0000EE"/>
                  <w:w w:val="89"/>
                </w:rPr>
                <w:t>Signature</w:t>
              </w:r>
            </w:hyperlink>
          </w:p>
        </w:tc>
        <w:tc>
          <w:tcPr>
            <w:tcW w:w="8720" w:type="dxa"/>
            <w:vAlign w:val="bottom"/>
            <w:gridSpan w:val="1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13,538</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82,306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75,533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224,134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262,184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371,807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407,294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ASSETS—Net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INVENTORIES—Noncurrent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ASSETS HELD FOR SALE—Noncurrent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758,205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68,751</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70,882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546,691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70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w w:val="92"/>
              </w:rPr>
              <w:t>Common stock—$.0001 par value; 90,000 authorized, 62,583 and 61,897 shares issued; 62,305 and</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61,619 shares outstanding at June 30, 2018 and December 31, 2017, respectively.</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at cost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291,468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289,821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(78,973)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221,296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758,205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gridSpan w:val="3"/>
          </w:tcPr>
          <w:p>
            <w:pPr>
              <w:jc w:val="center"/>
              <w:ind w:left="2990"/>
              <w:spacing w:after="0"/>
              <w:rPr>
                <w:sz w:val="20"/>
                <w:szCs w:val="20"/>
                <w:color w:val="auto"/>
              </w:rPr>
            </w:pPr>
            <w:r>
              <w:rPr>
                <w:rFonts w:ascii="Arial" w:cs="Arial" w:eastAsia="Arial" w:hAnsi="Arial"/>
                <w:sz w:val="18"/>
                <w:szCs w:val="18"/>
                <w:color w:val="auto"/>
                <w:w w:val="88"/>
              </w:rPr>
              <w:t>See notes to unaudited condensed consolidated financial statements.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00" w:type="dxa"/>
            <w:vAlign w:val="bottom"/>
            <w:gridSpan w:val="2"/>
          </w:tcPr>
          <w:p>
            <w:pPr>
              <w:jc w:val="right"/>
              <w:ind w:right="185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150,590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297,183</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128,350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156,577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260,238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15,169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17,267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(1,063)</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(8,997)</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(6,441)</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(17,657)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(1,468)</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(2,330)</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from continuing operations before income taxes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Income (loss) from discontinued operations, net of income taxes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Basic loss per share attributable to continuing operations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(0.17)</w:t>
            </w: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loss per share attributable to discontinued operations, net of tax</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loss per share</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62,267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Diluted loss per share attributable to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Diluted loss per share attributable to discontinued operations, net of tax</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Diluted loss per share</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62,267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(3,856)</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(10,295)</w:t>
            </w: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on derivatives—net of tax (2)</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(718)</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Other comprehensive income (loss)—net of tax</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right="180" w:hanging="572"/>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benefit of $5 and $(6) for the three months ended June 30, 2018 and 2017, respectively. Net of income tax (provision) benefit of $(530) and $33 for the six months ended June 30, 2018 and 2017, respectively.</w:t>
      </w:r>
    </w:p>
    <w:p>
      <w:pPr>
        <w:spacing w:after="0" w:line="170" w:lineRule="exact"/>
        <w:rPr>
          <w:rFonts w:ascii="Arial" w:cs="Arial" w:eastAsia="Arial" w:hAnsi="Arial"/>
          <w:sz w:val="18"/>
          <w:szCs w:val="18"/>
          <w:color w:val="auto"/>
        </w:rPr>
      </w:pPr>
    </w:p>
    <w:p>
      <w:pPr>
        <w:ind w:left="580" w:right="120" w:hanging="572"/>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of $689 and $468 for the three months ended June 30, 2018 and 2017, respectively. Net of income tax provision of $949 and $947 for the six months ended June 30,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6"/>
          <w:szCs w:val="16"/>
          <w:b w:val="1"/>
          <w:bCs w:val="1"/>
          <w:color w:val="auto"/>
        </w:rPr>
        <w:t>Great Lakes Dredge &amp; Dock Corporation and Subsidiaries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60"/>
          </w:cols>
          <w:pgMar w:left="240" w:top="33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2018</w:t>
      </w:r>
    </w:p>
    <w:p>
      <w:pPr>
        <w:spacing w:after="0" w:line="163" w:lineRule="exact"/>
        <w:rPr>
          <w:sz w:val="20"/>
          <w:szCs w:val="20"/>
          <w:color w:val="auto"/>
        </w:rPr>
      </w:pPr>
    </w:p>
    <w:p>
      <w:pPr>
        <w:ind w:left="260"/>
        <w:spacing w:after="0" w:line="250" w:lineRule="auto"/>
        <w:rPr>
          <w:sz w:val="20"/>
          <w:szCs w:val="20"/>
          <w:color w:val="auto"/>
        </w:rPr>
      </w:pPr>
      <w:r>
        <w:rPr>
          <w:rFonts w:ascii="Arial" w:cs="Arial" w:eastAsia="Arial" w:hAnsi="Arial"/>
          <w:sz w:val="14"/>
          <w:szCs w:val="14"/>
          <w:color w:val="auto"/>
        </w:rPr>
        <w:t>Cumulative effect of recent accounting pronouncements Share-based compensation</w:t>
      </w:r>
    </w:p>
    <w:p>
      <w:pPr>
        <w:spacing w:after="0" w:line="1" w:lineRule="exact"/>
        <w:rPr>
          <w:sz w:val="20"/>
          <w:szCs w:val="20"/>
          <w:color w:val="auto"/>
        </w:rPr>
      </w:pPr>
    </w:p>
    <w:p>
      <w:pPr>
        <w:ind w:left="260" w:right="22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right="2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2017</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w:t>
      </w:r>
    </w:p>
    <w:p>
      <w:pPr>
        <w:spacing w:after="0" w:line="13" w:lineRule="exact"/>
        <w:rPr>
          <w:sz w:val="20"/>
          <w:szCs w:val="20"/>
          <w:color w:val="auto"/>
        </w:rPr>
      </w:pPr>
    </w:p>
    <w:p>
      <w:pPr>
        <w:ind w:left="260" w:right="22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right="2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loss—net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2017</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Shares of</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Common</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Treasury</w:t>
            </w:r>
          </w:p>
        </w:tc>
        <w:tc>
          <w:tcPr>
            <w:tcW w:w="86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Deficit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5"/>
              </w:rPr>
              <w:t>Income (loss)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r>
        <w:trPr>
          <w:trHeight w:val="307"/>
        </w:trPr>
        <w:tc>
          <w:tcPr>
            <w:tcW w:w="600" w:type="dxa"/>
            <w:vAlign w:val="bottom"/>
          </w:tcPr>
          <w:p>
            <w:pPr>
              <w:jc w:val="right"/>
              <w:spacing w:after="0"/>
              <w:rPr>
                <w:sz w:val="20"/>
                <w:szCs w:val="20"/>
                <w:color w:val="auto"/>
              </w:rPr>
            </w:pPr>
            <w:r>
              <w:rPr>
                <w:rFonts w:ascii="Arial" w:cs="Arial" w:eastAsia="Arial" w:hAnsi="Arial"/>
                <w:sz w:val="14"/>
                <w:szCs w:val="14"/>
                <w:color w:val="auto"/>
              </w:rPr>
              <w:t>61,897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8"/>
              <w:spacing w:after="0"/>
              <w:rPr>
                <w:sz w:val="20"/>
                <w:szCs w:val="20"/>
                <w:color w:val="auto"/>
              </w:rPr>
            </w:pPr>
            <w:r>
              <w:rPr>
                <w:rFonts w:ascii="Arial" w:cs="Arial" w:eastAsia="Arial" w:hAnsi="Arial"/>
                <w:sz w:val="14"/>
                <w:szCs w:val="14"/>
                <w:color w:val="auto"/>
              </w:rPr>
              <w:t>(1,433)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289,821</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(67,101)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221,296</w:t>
            </w:r>
          </w:p>
        </w:tc>
        <w:tc>
          <w:tcPr>
            <w:tcW w:w="40" w:type="dxa"/>
            <w:vAlign w:val="bottom"/>
          </w:tcPr>
          <w:p>
            <w:pPr>
              <w:spacing w:after="0"/>
              <w:rPr>
                <w:sz w:val="24"/>
                <w:szCs w:val="24"/>
                <w:color w:val="auto"/>
              </w:rPr>
            </w:pPr>
          </w:p>
        </w:tc>
      </w:tr>
      <w:tr>
        <w:trPr>
          <w:trHeight w:val="304"/>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(1,577)</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(1,577)</w:t>
            </w:r>
          </w:p>
        </w:tc>
      </w:tr>
      <w:tr>
        <w:trPr>
          <w:trHeight w:val="182"/>
        </w:trPr>
        <w:tc>
          <w:tcPr>
            <w:tcW w:w="600" w:type="dxa"/>
            <w:vAlign w:val="bottom"/>
          </w:tcPr>
          <w:p>
            <w:pPr>
              <w:jc w:val="right"/>
              <w:spacing w:after="0"/>
              <w:rPr>
                <w:sz w:val="20"/>
                <w:szCs w:val="20"/>
                <w:color w:val="auto"/>
              </w:rPr>
            </w:pPr>
            <w:r>
              <w:rPr>
                <w:rFonts w:ascii="Arial" w:cs="Arial" w:eastAsia="Arial" w:hAnsi="Arial"/>
                <w:sz w:val="14"/>
                <w:szCs w:val="14"/>
                <w:color w:val="auto"/>
              </w:rPr>
              <w:t>72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2,264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2,264</w:t>
            </w:r>
          </w:p>
        </w:tc>
        <w:tc>
          <w:tcPr>
            <w:tcW w:w="40" w:type="dxa"/>
            <w:vAlign w:val="bottom"/>
          </w:tcPr>
          <w:p>
            <w:pPr>
              <w:spacing w:after="0"/>
              <w:rPr>
                <w:sz w:val="15"/>
                <w:szCs w:val="15"/>
                <w:color w:val="auto"/>
              </w:rPr>
            </w:pPr>
          </w:p>
        </w:tc>
      </w:tr>
      <w:tr>
        <w:trPr>
          <w:trHeight w:val="230"/>
        </w:trPr>
        <w:tc>
          <w:tcPr>
            <w:tcW w:w="600" w:type="dxa"/>
            <w:vAlign w:val="bottom"/>
          </w:tcPr>
          <w:p>
            <w:pPr>
              <w:jc w:val="right"/>
              <w:spacing w:after="0"/>
              <w:rPr>
                <w:sz w:val="20"/>
                <w:szCs w:val="20"/>
                <w:color w:val="auto"/>
              </w:rPr>
            </w:pPr>
            <w:r>
              <w:rPr>
                <w:rFonts w:ascii="Arial" w:cs="Arial" w:eastAsia="Arial" w:hAnsi="Arial"/>
                <w:sz w:val="14"/>
                <w:szCs w:val="14"/>
                <w:color w:val="auto"/>
              </w:rPr>
              <w:t>486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(1,060)</w:t>
            </w:r>
          </w:p>
        </w:tc>
      </w:tr>
      <w:tr>
        <w:trPr>
          <w:trHeight w:val="311"/>
        </w:trPr>
        <w:tc>
          <w:tcPr>
            <w:tcW w:w="600" w:type="dxa"/>
            <w:vAlign w:val="bottom"/>
          </w:tcPr>
          <w:p>
            <w:pPr>
              <w:jc w:val="right"/>
              <w:spacing w:after="0"/>
              <w:rPr>
                <w:sz w:val="20"/>
                <w:szCs w:val="20"/>
                <w:color w:val="auto"/>
              </w:rPr>
            </w:pPr>
            <w:r>
              <w:rPr>
                <w:rFonts w:ascii="Arial" w:cs="Arial" w:eastAsia="Arial" w:hAnsi="Arial"/>
                <w:sz w:val="14"/>
                <w:szCs w:val="14"/>
                <w:color w:val="auto"/>
              </w:rPr>
              <w:t>128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443</w:t>
            </w:r>
          </w:p>
        </w:tc>
        <w:tc>
          <w:tcPr>
            <w:tcW w:w="40" w:type="dxa"/>
            <w:vAlign w:val="bottom"/>
          </w:tcPr>
          <w:p>
            <w:pPr>
              <w:spacing w:after="0"/>
              <w:rPr>
                <w:sz w:val="24"/>
                <w:szCs w:val="24"/>
                <w:color w:val="auto"/>
              </w:rPr>
            </w:pPr>
          </w:p>
        </w:tc>
      </w:tr>
      <w:tr>
        <w:trPr>
          <w:trHeight w:val="223"/>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(10,295)</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(10,295)</w:t>
            </w:r>
          </w:p>
        </w:tc>
      </w:tr>
      <w:tr>
        <w:trPr>
          <w:trHeight w:val="167"/>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443</w:t>
            </w:r>
          </w:p>
        </w:tc>
        <w:tc>
          <w:tcPr>
            <w:tcW w:w="40" w:type="dxa"/>
            <w:vAlign w:val="bottom"/>
          </w:tcPr>
          <w:p>
            <w:pPr>
              <w:spacing w:after="0"/>
              <w:rPr>
                <w:sz w:val="14"/>
                <w:szCs w:val="14"/>
                <w:color w:val="auto"/>
              </w:rPr>
            </w:pPr>
          </w:p>
        </w:tc>
      </w:tr>
      <w:tr>
        <w:trPr>
          <w:trHeight w:val="156"/>
        </w:trPr>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62,583</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(1,433</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291,468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(78,973)</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211,514</w:t>
            </w:r>
          </w:p>
        </w:tc>
        <w:tc>
          <w:tcPr>
            <w:tcW w:w="40" w:type="dxa"/>
            <w:vAlign w:val="bottom"/>
          </w:tcPr>
          <w:p>
            <w:pPr>
              <w:spacing w:after="0"/>
              <w:rPr>
                <w:sz w:val="13"/>
                <w:szCs w:val="13"/>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6"/>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Shares of</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Common</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Treasury</w:t>
            </w:r>
          </w:p>
        </w:tc>
        <w:tc>
          <w:tcPr>
            <w:tcW w:w="86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5"/>
              </w:rPr>
              <w:t>Deficit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5"/>
              </w:rPr>
              <w:t>Income (loss)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r>
        <w:trPr>
          <w:trHeight w:val="307"/>
        </w:trPr>
        <w:tc>
          <w:tcPr>
            <w:tcW w:w="600" w:type="dxa"/>
            <w:vAlign w:val="bottom"/>
          </w:tcPr>
          <w:p>
            <w:pPr>
              <w:jc w:val="right"/>
              <w:spacing w:after="0"/>
              <w:rPr>
                <w:sz w:val="20"/>
                <w:szCs w:val="20"/>
                <w:color w:val="auto"/>
              </w:rPr>
            </w:pPr>
            <w:r>
              <w:rPr>
                <w:rFonts w:ascii="Arial" w:cs="Arial" w:eastAsia="Arial" w:hAnsi="Arial"/>
                <w:sz w:val="14"/>
                <w:szCs w:val="14"/>
                <w:color w:val="auto"/>
              </w:rPr>
              <w:t>61,240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8"/>
              <w:spacing w:after="0"/>
              <w:rPr>
                <w:sz w:val="20"/>
                <w:szCs w:val="20"/>
                <w:color w:val="auto"/>
              </w:rPr>
            </w:pPr>
            <w:r>
              <w:rPr>
                <w:rFonts w:ascii="Arial" w:cs="Arial" w:eastAsia="Arial" w:hAnsi="Arial"/>
                <w:sz w:val="14"/>
                <w:szCs w:val="14"/>
                <w:color w:val="auto"/>
              </w:rPr>
              <w:t>(1,433)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286,303</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(35,841)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(1,145)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247,890</w:t>
            </w:r>
          </w:p>
        </w:tc>
        <w:tc>
          <w:tcPr>
            <w:tcW w:w="40" w:type="dxa"/>
            <w:vAlign w:val="bottom"/>
          </w:tcPr>
          <w:p>
            <w:pPr>
              <w:spacing w:after="0"/>
              <w:rPr>
                <w:sz w:val="24"/>
                <w:szCs w:val="24"/>
                <w:color w:val="auto"/>
              </w:rPr>
            </w:pPr>
          </w:p>
        </w:tc>
      </w:tr>
      <w:tr>
        <w:trPr>
          <w:trHeight w:val="324"/>
        </w:trPr>
        <w:tc>
          <w:tcPr>
            <w:tcW w:w="600" w:type="dxa"/>
            <w:vAlign w:val="bottom"/>
          </w:tcPr>
          <w:p>
            <w:pPr>
              <w:jc w:val="right"/>
              <w:spacing w:after="0"/>
              <w:rPr>
                <w:sz w:val="20"/>
                <w:szCs w:val="20"/>
                <w:color w:val="auto"/>
              </w:rPr>
            </w:pPr>
            <w:r>
              <w:rPr>
                <w:rFonts w:ascii="Arial" w:cs="Arial" w:eastAsia="Arial" w:hAnsi="Arial"/>
                <w:sz w:val="14"/>
                <w:szCs w:val="14"/>
                <w:color w:val="auto"/>
              </w:rPr>
              <w:t>164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1,758</w:t>
            </w:r>
          </w:p>
        </w:tc>
        <w:tc>
          <w:tcPr>
            <w:tcW w:w="40" w:type="dxa"/>
            <w:vAlign w:val="bottom"/>
          </w:tcPr>
          <w:p>
            <w:pPr>
              <w:spacing w:after="0"/>
              <w:rPr>
                <w:sz w:val="24"/>
                <w:szCs w:val="24"/>
                <w:color w:val="auto"/>
              </w:rPr>
            </w:pPr>
          </w:p>
        </w:tc>
      </w:tr>
      <w:tr>
        <w:trPr>
          <w:trHeight w:val="230"/>
        </w:trPr>
        <w:tc>
          <w:tcPr>
            <w:tcW w:w="600" w:type="dxa"/>
            <w:vAlign w:val="bottom"/>
          </w:tcPr>
          <w:p>
            <w:pPr>
              <w:jc w:val="right"/>
              <w:spacing w:after="0"/>
              <w:rPr>
                <w:sz w:val="20"/>
                <w:szCs w:val="20"/>
                <w:color w:val="auto"/>
              </w:rPr>
            </w:pPr>
            <w:r>
              <w:rPr>
                <w:rFonts w:ascii="Arial" w:cs="Arial" w:eastAsia="Arial" w:hAnsi="Arial"/>
                <w:sz w:val="14"/>
                <w:szCs w:val="14"/>
                <w:color w:val="auto"/>
              </w:rPr>
              <w:t>147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(328)</w:t>
            </w:r>
          </w:p>
        </w:tc>
      </w:tr>
      <w:tr>
        <w:trPr>
          <w:trHeight w:val="311"/>
        </w:trPr>
        <w:tc>
          <w:tcPr>
            <w:tcW w:w="600" w:type="dxa"/>
            <w:vAlign w:val="bottom"/>
          </w:tcPr>
          <w:p>
            <w:pPr>
              <w:jc w:val="right"/>
              <w:spacing w:after="0"/>
              <w:rPr>
                <w:sz w:val="20"/>
                <w:szCs w:val="20"/>
                <w:color w:val="auto"/>
              </w:rPr>
            </w:pPr>
            <w:r>
              <w:rPr>
                <w:rFonts w:ascii="Arial" w:cs="Arial" w:eastAsia="Arial" w:hAnsi="Arial"/>
                <w:sz w:val="14"/>
                <w:szCs w:val="14"/>
                <w:color w:val="auto"/>
              </w:rPr>
              <w:t>132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434</w:t>
            </w:r>
          </w:p>
        </w:tc>
        <w:tc>
          <w:tcPr>
            <w:tcW w:w="40" w:type="dxa"/>
            <w:vAlign w:val="bottom"/>
          </w:tcPr>
          <w:p>
            <w:pPr>
              <w:spacing w:after="0"/>
              <w:rPr>
                <w:sz w:val="24"/>
                <w:szCs w:val="24"/>
                <w:color w:val="auto"/>
              </w:rPr>
            </w:pPr>
          </w:p>
        </w:tc>
      </w:tr>
      <w:tr>
        <w:trPr>
          <w:trHeight w:val="223"/>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(21,495)</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(21,495)</w:t>
            </w:r>
          </w:p>
        </w:tc>
      </w:tr>
      <w:tr>
        <w:trPr>
          <w:trHeight w:val="167"/>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(1,474)</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(1,474)</w:t>
            </w:r>
          </w:p>
        </w:tc>
      </w:tr>
      <w:tr>
        <w:trPr>
          <w:trHeight w:val="156"/>
        </w:trPr>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61,683</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(1,433</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288,167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(57,336)</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(2,619)</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226,785</w:t>
            </w:r>
          </w:p>
        </w:tc>
        <w:tc>
          <w:tcPr>
            <w:tcW w:w="40" w:type="dxa"/>
            <w:vAlign w:val="bottom"/>
          </w:tcPr>
          <w:p>
            <w:pPr>
              <w:spacing w:after="0"/>
              <w:rPr>
                <w:sz w:val="13"/>
                <w:szCs w:val="13"/>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-2940685</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-2734945</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-2529205</wp:posOffset>
            </wp:positionV>
            <wp:extent cx="724662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-2134870</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-1929130</wp:posOffset>
            </wp:positionV>
            <wp:extent cx="72466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-1045845</wp:posOffset>
            </wp:positionV>
            <wp:extent cx="72466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-736600</wp:posOffset>
            </wp:positionV>
            <wp:extent cx="72466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-342265</wp:posOffset>
            </wp:positionV>
            <wp:extent cx="72466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-136525</wp:posOffset>
            </wp:positionV>
            <wp:extent cx="72466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300"/>
            <w:col w:w="7580"/>
          </w:cols>
          <w:pgMar w:left="240" w:top="337" w:right="299" w:bottom="1440" w:gutter="0" w:footer="0" w:header="0"/>
          <w:type w:val="continuous"/>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6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696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Net loss</w:t>
            </w:r>
          </w:p>
        </w:tc>
        <w:tc>
          <w:tcPr>
            <w:tcW w:w="186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(10,295)</w:t>
            </w: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(21,495)</w:t>
            </w:r>
          </w:p>
        </w:tc>
        <w:tc>
          <w:tcPr>
            <w:tcW w:w="20" w:type="dxa"/>
            <w:vAlign w:val="bottom"/>
          </w:tcPr>
          <w:p>
            <w:pPr>
              <w:spacing w:after="0"/>
              <w:rPr>
                <w:sz w:val="19"/>
                <w:szCs w:val="19"/>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(12,697)</w:t>
            </w:r>
          </w:p>
        </w:tc>
        <w:tc>
          <w:tcPr>
            <w:tcW w:w="20" w:type="dxa"/>
            <w:vAlign w:val="bottom"/>
          </w:tcPr>
          <w:p>
            <w:pPr>
              <w:spacing w:after="0"/>
              <w:rPr>
                <w:sz w:val="19"/>
                <w:szCs w:val="19"/>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900" w:type="dxa"/>
            <w:vAlign w:val="bottom"/>
          </w:tcPr>
          <w:p>
            <w:pPr>
              <w:spacing w:after="0"/>
              <w:rPr>
                <w:sz w:val="19"/>
                <w:szCs w:val="19"/>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flows provided by operating activities:</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28,981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earnings of joint ventures</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(3,087)</w:t>
            </w:r>
          </w:p>
        </w:tc>
        <w:tc>
          <w:tcPr>
            <w:tcW w:w="20" w:type="dxa"/>
            <w:vAlign w:val="bottom"/>
          </w:tcPr>
          <w:p>
            <w:pPr>
              <w:spacing w:after="0"/>
              <w:rPr>
                <w:sz w:val="19"/>
                <w:szCs w:val="19"/>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Cash distributions from joint ventures</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7 3/8% senior notes</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(6,277)</w:t>
            </w:r>
          </w:p>
        </w:tc>
        <w:tc>
          <w:tcPr>
            <w:tcW w:w="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sale of assets</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Other non-cash restructuring items</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fees</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Unrealized net loss from mark-to-market valuations of derivatives</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foreign currency gain</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revenues in excess of billings</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(1,536)</w:t>
            </w:r>
          </w:p>
        </w:tc>
        <w:tc>
          <w:tcPr>
            <w:tcW w:w="20" w:type="dxa"/>
            <w:vAlign w:val="bottom"/>
          </w:tcPr>
          <w:p>
            <w:pPr>
              <w:spacing w:after="0"/>
              <w:rPr>
                <w:sz w:val="19"/>
                <w:szCs w:val="19"/>
                <w:color w:val="auto"/>
              </w:rPr>
            </w:pPr>
          </w:p>
        </w:tc>
      </w:tr>
      <w:tr>
        <w:trPr>
          <w:trHeight w:val="230"/>
        </w:trPr>
        <w:tc>
          <w:tcPr>
            <w:tcW w:w="6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(30,348)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(34,498)</w:t>
            </w:r>
          </w:p>
        </w:tc>
        <w:tc>
          <w:tcPr>
            <w:tcW w:w="20" w:type="dxa"/>
            <w:vAlign w:val="bottom"/>
          </w:tcPr>
          <w:p>
            <w:pPr>
              <w:spacing w:after="0"/>
              <w:rPr>
                <w:sz w:val="19"/>
                <w:szCs w:val="19"/>
                <w:color w:val="auto"/>
              </w:rPr>
            </w:pPr>
          </w:p>
        </w:tc>
      </w:tr>
      <w:tr>
        <w:trPr>
          <w:trHeight w:val="230"/>
        </w:trPr>
        <w:tc>
          <w:tcPr>
            <w:tcW w:w="6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Billings in excess of contract revenues</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(4,743)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flows provided by operating activities from continuing operations</w:t>
            </w:r>
          </w:p>
        </w:tc>
        <w:tc>
          <w:tcPr>
            <w:tcW w:w="9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Net cash flows used in operating activities of discontinued operations</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(20,900)</w:t>
            </w:r>
          </w:p>
        </w:tc>
        <w:tc>
          <w:tcPr>
            <w:tcW w:w="20" w:type="dxa"/>
            <w:vAlign w:val="bottom"/>
          </w:tcPr>
          <w:p>
            <w:pPr>
              <w:spacing w:after="0"/>
              <w:rPr>
                <w:sz w:val="19"/>
                <w:szCs w:val="19"/>
                <w:color w:val="auto"/>
              </w:rPr>
            </w:pPr>
          </w:p>
        </w:tc>
      </w:tr>
      <w:tr>
        <w:trPr>
          <w:trHeight w:val="223"/>
        </w:trPr>
        <w:tc>
          <w:tcPr>
            <w:tcW w:w="6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provided by operating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69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(11,790)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(34,266)</w:t>
            </w:r>
          </w:p>
        </w:tc>
        <w:tc>
          <w:tcPr>
            <w:tcW w:w="20" w:type="dxa"/>
            <w:vAlign w:val="bottom"/>
          </w:tcPr>
          <w:p>
            <w:pPr>
              <w:spacing w:after="0"/>
              <w:rPr>
                <w:sz w:val="19"/>
                <w:szCs w:val="19"/>
                <w:color w:val="auto"/>
              </w:rPr>
            </w:pPr>
          </w:p>
        </w:tc>
      </w:tr>
      <w:tr>
        <w:trPr>
          <w:trHeight w:val="230"/>
        </w:trPr>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9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used in investing activities</w:t>
            </w:r>
          </w:p>
        </w:tc>
        <w:tc>
          <w:tcPr>
            <w:tcW w:w="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8"/>
        </w:trPr>
        <w:tc>
          <w:tcPr>
            <w:tcW w:w="6960" w:type="dxa"/>
            <w:vAlign w:val="bottom"/>
          </w:tcPr>
          <w:p>
            <w:pPr>
              <w:ind w:left="5660"/>
              <w:spacing w:after="0"/>
              <w:rPr>
                <w:sz w:val="20"/>
                <w:szCs w:val="20"/>
                <w:color w:val="auto"/>
              </w:rPr>
            </w:pPr>
            <w:r>
              <w:rPr>
                <w:rFonts w:ascii="Arial" w:cs="Arial" w:eastAsia="Arial" w:hAnsi="Arial"/>
                <w:sz w:val="18"/>
                <w:szCs w:val="18"/>
                <w:color w:val="auto"/>
              </w:rPr>
              <w:t>7</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9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0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7 3/8% senior notes tender premium</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debt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Proceeds from issuance of debt</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Taxes paid on settlement of vested share awards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revolving loans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(42,118)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(70,157)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provided by (used in) financing activities</w:t>
            </w:r>
          </w:p>
        </w:tc>
        <w:tc>
          <w:tcPr>
            <w:tcW w:w="13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(25,805)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3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3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3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360" w:type="dxa"/>
            <w:vAlign w:val="bottom"/>
          </w:tcPr>
          <w:p>
            <w:pPr>
              <w:spacing w:after="0"/>
              <w:rPr>
                <w:sz w:val="23"/>
                <w:szCs w:val="23"/>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16,245</w:t>
            </w:r>
          </w:p>
        </w:tc>
        <w:tc>
          <w:tcPr>
            <w:tcW w:w="160" w:type="dxa"/>
            <w:vAlign w:val="bottom"/>
          </w:tcPr>
          <w:p>
            <w:pPr>
              <w:spacing w:after="0"/>
              <w:rPr>
                <w:sz w:val="23"/>
                <w:szCs w:val="23"/>
                <w:color w:val="auto"/>
              </w:rPr>
            </w:pP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19,835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136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360" w:type="dxa"/>
            <w:vAlign w:val="bottom"/>
          </w:tcPr>
          <w:p>
            <w:pPr>
              <w:spacing w:after="0"/>
              <w:rPr>
                <w:sz w:val="23"/>
                <w:szCs w:val="23"/>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5,220</w:t>
            </w:r>
          </w:p>
        </w:tc>
        <w:tc>
          <w:tcPr>
            <w:tcW w:w="160" w:type="dxa"/>
            <w:vAlign w:val="bottom"/>
          </w:tcPr>
          <w:p>
            <w:pPr>
              <w:spacing w:after="0"/>
              <w:rPr>
                <w:sz w:val="23"/>
                <w:szCs w:val="23"/>
                <w:color w:val="auto"/>
              </w:rPr>
            </w:pP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4,578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Repayments of debt with proceeds from sale-leaseback transactions</w:t>
            </w:r>
          </w:p>
        </w:tc>
        <w:tc>
          <w:tcPr>
            <w:tcW w:w="136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2017.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2018, and its results of operations for the three and six months ended June 30, 2018 and 2017 and cash flows for the six months ended June 30, 2018 and 2017 have been included.</w:t>
      </w:r>
    </w:p>
    <w:p>
      <w:pPr>
        <w:spacing w:after="0" w:line="5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The Company adopted Accounting Standard Update No. 2016-18 (“ASU 2016-18”), </w:t>
      </w:r>
      <w:r>
        <w:rPr>
          <w:rFonts w:ascii="Arial" w:cs="Arial" w:eastAsia="Arial" w:hAnsi="Arial"/>
          <w:sz w:val="16"/>
          <w:szCs w:val="16"/>
          <w:i w:val="1"/>
          <w:iCs w:val="1"/>
          <w:color w:val="auto"/>
        </w:rPr>
        <w:t>Statement of Cashflows (Topic 230): Restricted Cash</w:t>
      </w:r>
      <w:r>
        <w:rPr>
          <w:rFonts w:ascii="Arial" w:cs="Arial" w:eastAsia="Arial" w:hAnsi="Arial"/>
          <w:sz w:val="16"/>
          <w:szCs w:val="16"/>
          <w:color w:val="auto"/>
        </w:rPr>
        <w:t xml:space="preserve"> on January 1, 2018. The amendments require that the statement of cash flows explain the changes during the period in the total of cash, cash equivalents, and amounts generally described as restricted cash or restricted cash equivalents. Therefore amounts generally described as restricted cash or restricted cash equivalents should be included with the cash and cash equivalents when reconciling the beginning-of-period and end-of-period total amounts shown on the statement of cash flows. The impact of the adoption of ASU 2016-18 has been applied retrospectively and the prior period presented has been recast.</w:t>
      </w:r>
    </w:p>
    <w:p>
      <w:pPr>
        <w:spacing w:after="0" w:line="50" w:lineRule="exact"/>
        <w:rPr>
          <w:sz w:val="20"/>
          <w:szCs w:val="20"/>
          <w:color w:val="auto"/>
        </w:rPr>
      </w:pPr>
    </w:p>
    <w:p>
      <w:pPr>
        <w:ind w:right="340"/>
        <w:spacing w:after="0" w:line="329" w:lineRule="auto"/>
        <w:rPr>
          <w:sz w:val="20"/>
          <w:szCs w:val="20"/>
          <w:color w:val="auto"/>
        </w:rPr>
      </w:pPr>
      <w:r>
        <w:rPr>
          <w:rFonts w:ascii="Arial" w:cs="Arial" w:eastAsia="Arial" w:hAnsi="Arial"/>
          <w:sz w:val="16"/>
          <w:szCs w:val="16"/>
          <w:color w:val="auto"/>
        </w:rPr>
        <w:t>The following table provides a reconciliation of cash, cash equivalents and restricted cash at June 30, 2018 and December 31, 2017 reported within the Condensed Consolidated Balance Sheets that sum to the total of the same such amounts shown in the Condensed Consolidated Statements of Cash Flows.</w:t>
      </w:r>
    </w:p>
    <w:tbl>
      <w:tblPr>
        <w:tblLayout w:type="fixed"/>
        <w:tblInd w:w="168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June 30, 2018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13,538</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long-term assets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17,352</w:t>
            </w:r>
          </w:p>
        </w:tc>
        <w:tc>
          <w:tcPr>
            <w:tcW w:w="6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Effective beginning the first quarter of 2018, the Company changed the method of accounting for allocated fixed equipment costs for interim periods such that fixed equipment costs are now recognized as incurred. The Company adopted this change as a result of management’s belief that the new method is preferable and results in a more objective measure of quarterly expense that will better support planning and resource allocation decisions by management. The change has been applied retrospectively and all prior interim periods presented have been recast. The Company’s cost structure includes significant annual equipment-related costs, including depreciation, maintenance, insurance and long-term rentals. Previously, the Company allocated fixed equipment costs to interim periods in proportion to revenues recognized over the year. Specifically, at each interim reporting date the Company compared actual revenues earned to date on its dredging contracts to expected annual revenues and recognized equipment costs on the same proportionate basis. In the fourth quarter, any over or under allocated equipment costs are recognized such that the expense for the year equals actual equipment costs incurred during the year. The impact of the change in accounting policy on our Condensed Consolidated Statements of Operations and Condensed Consolidated Balance Sheets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Costs of contract revenues</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vMerge w:val="continue"/>
          </w:tcPr>
          <w:p>
            <w:pPr>
              <w:spacing w:after="0"/>
              <w:rPr>
                <w:sz w:val="19"/>
                <w:szCs w:val="19"/>
                <w:color w:val="auto"/>
              </w:rPr>
            </w:pPr>
          </w:p>
        </w:tc>
        <w:tc>
          <w:tcPr>
            <w:tcW w:w="214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4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2"/>
          </w:tcPr>
          <w:p>
            <w:pPr>
              <w:jc w:val="right"/>
              <w:ind w:right="360"/>
              <w:spacing w:after="0"/>
              <w:rPr>
                <w:sz w:val="20"/>
                <w:szCs w:val="20"/>
                <w:color w:val="auto"/>
              </w:rPr>
            </w:pPr>
            <w:r>
              <w:rPr>
                <w:rFonts w:ascii="Arial" w:cs="Arial" w:eastAsia="Arial" w:hAnsi="Arial"/>
                <w:sz w:val="18"/>
                <w:szCs w:val="18"/>
                <w:color w:val="auto"/>
              </w:rPr>
              <w:t>(3,162)</w:t>
            </w:r>
          </w:p>
        </w:tc>
        <w:tc>
          <w:tcPr>
            <w:tcW w:w="22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(4,013)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(3,162)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(3,162)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Basic loss per share attributable to continuing operations</w:t>
            </w:r>
          </w:p>
        </w:tc>
        <w:tc>
          <w:tcPr>
            <w:tcW w:w="2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Diluted loss per share attributable to continuing operations</w:t>
            </w:r>
          </w:p>
        </w:tc>
        <w:tc>
          <w:tcPr>
            <w:tcW w:w="2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360"/>
              <w:spacing w:after="0"/>
              <w:rPr>
                <w:sz w:val="20"/>
                <w:szCs w:val="20"/>
                <w:color w:val="auto"/>
              </w:rPr>
            </w:pPr>
            <w:r>
              <w:rPr>
                <w:rFonts w:ascii="Arial" w:cs="Arial" w:eastAsia="Arial" w:hAnsi="Arial"/>
                <w:sz w:val="18"/>
                <w:szCs w:val="18"/>
                <w:color w:val="auto"/>
              </w:rPr>
              <w:t>(0.05)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140" w:type="dxa"/>
            <w:vAlign w:val="bottom"/>
          </w:tcPr>
          <w:p>
            <w:pPr>
              <w:jc w:val="right"/>
              <w:ind w:right="125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 w:name="page10"/>
    <w:bookmarkEnd w:id="9"/>
    <w:tbl>
      <w:tblPr>
        <w:tblLayout w:type="fixed"/>
        <w:tblInd w:w="1140" w:type="dxa"/>
        <w:tblCellMar>
          <w:top w:w="0" w:type="dxa"/>
          <w:left w:w="0" w:type="dxa"/>
          <w:bottom w:w="0" w:type="dxa"/>
          <w:right w:w="0" w:type="dxa"/>
        </w:tblCellMar>
      </w:tblP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Prepaid expenses and other current assets</w:t>
            </w: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23"/>
        </w:trPr>
        <w:tc>
          <w:tcPr>
            <w:tcW w:w="504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w w:val="84"/>
              </w:rPr>
              <w:t>(6,862)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ind w:left="1160"/>
              <w:spacing w:after="0"/>
              <w:rPr>
                <w:sz w:val="20"/>
                <w:szCs w:val="20"/>
                <w:color w:val="auto"/>
              </w:rPr>
            </w:pPr>
            <w:r>
              <w:rPr>
                <w:rFonts w:ascii="Arial" w:cs="Arial" w:eastAsia="Arial" w:hAnsi="Arial"/>
                <w:sz w:val="18"/>
                <w:szCs w:val="18"/>
                <w:color w:val="auto"/>
                <w:w w:val="98"/>
              </w:rPr>
              <w:t>(2,849)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Accumulated deficit</w:t>
            </w:r>
          </w:p>
        </w:tc>
        <w:tc>
          <w:tcPr>
            <w:tcW w:w="2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160"/>
              <w:spacing w:after="0"/>
              <w:rPr>
                <w:sz w:val="20"/>
                <w:szCs w:val="20"/>
                <w:color w:val="auto"/>
              </w:rPr>
            </w:pPr>
            <w:r>
              <w:rPr>
                <w:rFonts w:ascii="Arial" w:cs="Arial" w:eastAsia="Arial" w:hAnsi="Arial"/>
                <w:sz w:val="18"/>
                <w:szCs w:val="18"/>
                <w:color w:val="auto"/>
                <w:w w:val="98"/>
              </w:rPr>
              <w:t>(4,013)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 xml:space="preserve">The Company adopted Accounting Standard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subsequently issued other Accounting Standard Updates related to Accounting Standards Codification Topic 606 (collectively, “ASC 606”) on January 1, 2018 under the modified retrospective method such that the cumulative effect is recognized at the date of initial application. The adoption of ASC 606 may result in a change in the timing of recognition of both contract revenue and costs from our prior practices. Upon the adoption of ASC 606, the Company recorded a cumulative net adjustment of $1,950 to the beginning retained earnings balance. Refer to Note 7, Revenue, for further discussion of the adoption of ASC 606.</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February 2018, the Financial Accounting Standards Board (“FASB”) issued Accounting Standard Update No. 2018-02 (“ASU 2018-02”),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Statement—Reporting Comprehensive Income (Topic 220): Reclassification of Certain Tax Effects from Accumulated Other Comprehensive Income. </w:t>
      </w:r>
      <w:r>
        <w:rPr>
          <w:rFonts w:ascii="Arial" w:cs="Arial" w:eastAsia="Arial" w:hAnsi="Arial"/>
          <w:sz w:val="17"/>
          <w:szCs w:val="17"/>
          <w:color w:val="auto"/>
        </w:rPr>
        <w:t>The new</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allows entities to reclassify from accumulated other comprehensive income to retained earnings stranded tax effects resulting from the Tax Cut and Jobs Act. The Company elected to early adopt ASU 2018-02 during the quarter ended March 31, 2018.</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has two operating segments: dredging and environmental &amp; infrastructure, which are also the Company’s reportable segments and reporting units of which the Company tests goodwill for impairment. The Company will perform its next scheduled annual test of goodwill in the third quarter of 2018.</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January 2017, the FASB issued Accounting Standard Update No. 2017-04 (“ASU 2017-04”), </w:t>
      </w:r>
      <w:r>
        <w:rPr>
          <w:rFonts w:ascii="Arial" w:cs="Arial" w:eastAsia="Arial" w:hAnsi="Arial"/>
          <w:sz w:val="17"/>
          <w:szCs w:val="17"/>
          <w:i w:val="1"/>
          <w:iCs w:val="1"/>
          <w:color w:val="auto"/>
        </w:rPr>
        <w:t>Intangibles—Goodwill and Other (Topic 350):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Test for Goodwill Impairment</w:t>
      </w:r>
      <w:r>
        <w:rPr>
          <w:rFonts w:ascii="Arial" w:cs="Arial" w:eastAsia="Arial" w:hAnsi="Arial"/>
          <w:sz w:val="17"/>
          <w:szCs w:val="17"/>
          <w:color w:val="auto"/>
        </w:rPr>
        <w:t>. The amendment removes the requirement to compare the implied fair value of goodwill with its carrying amount as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step 2 of the goodwill impairment test. The guidance is effective for fiscal years beginning after December 15, 2019. The Company does not anticipate that the adoption of ASU 2017-04 will have a material effect on the Company’s consolidated financial statements.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February 2016, the FASB issued Accounting Standard Update No. 2016-02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subsequently issued other Accounting Standard Updates related to the Accounting Standards Codification Topic 842 (collectively, “ASC 842”). The FASB issued ASC 842 to increase the transparency and comparability among organizations by recognizing lease assets and lease liabilities on the balance sheet and disclosing key information about leasing arrangements. The guidance is effective for fiscal years beginning after December 15, 2018, including interim periods within those annual periods. The Company’s evaluation of ASC 842 is ongoing and not complete. The Company is currently evaluating the overall impacts that ASC 842 will have on the classification of leases and resulting pattern of expense recognition in the income statement, existing internal controls and processes to comply with the guidance. Accordingly, the Company is still evaluating the effect of the adoption of ASC 842 on its consolidated financial statements.</w:t>
      </w:r>
    </w:p>
    <w:p>
      <w:pPr>
        <w:spacing w:after="0" w:line="150"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the same as basic earnings per share except that it reflects the potential dilution that could occur if dilutive securities or other obligations to issue common stock were exercised or converted into common stock.</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846"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computations for basic and diluted earnings (loss) per share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(974)</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(4,224)</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(10,295)</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2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basic</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62,267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61,342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62,041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52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diluted</w:t>
            </w:r>
          </w:p>
        </w:tc>
        <w:tc>
          <w:tcPr>
            <w:tcW w:w="6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62,267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61,342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62,041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from continuing operations — basic</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Loss per share from continuing operations — diluted</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quarter and year ended June 30, 2018 and 2017, the following stock options and restricted stock units were excluded from the diluted weighted-average common shares outstanding as the Company incurred a loss during these periods: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12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FF0FC"/>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quarter and year ended June 30, 2018 and 2017, the following stock options and restricted stock units were excluded from the calculation of diluted earnings per share as such stock options and restricted stock units were determined to be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5520" w:type="dxa"/>
            <w:vAlign w:val="bottom"/>
            <w:gridSpan w:val="3"/>
          </w:tcPr>
          <w:p>
            <w:pPr>
              <w:ind w:left="300"/>
              <w:spacing w:after="0"/>
              <w:rPr>
                <w:sz w:val="20"/>
                <w:szCs w:val="20"/>
                <w:color w:val="auto"/>
              </w:rPr>
            </w:pPr>
            <w:r>
              <w:rPr>
                <w:rFonts w:ascii="Arial" w:cs="Arial" w:eastAsia="Arial" w:hAnsi="Arial"/>
                <w:sz w:val="14"/>
                <w:szCs w:val="14"/>
                <w:b w:val="1"/>
                <w:bCs w:val="1"/>
                <w:color w:val="auto"/>
              </w:rPr>
              <w:t>(shares in thousands)</w:t>
            </w:r>
          </w:p>
        </w:tc>
        <w:tc>
          <w:tcPr>
            <w:tcW w:w="620" w:type="dxa"/>
            <w:vAlign w:val="bottom"/>
          </w:tcPr>
          <w:p>
            <w:pPr>
              <w:spacing w:after="0"/>
              <w:rPr>
                <w:sz w:val="14"/>
                <w:szCs w:val="1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620" w:type="dxa"/>
            <w:vAlign w:val="bottom"/>
            <w:tcBorders>
              <w:top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2018</w:t>
            </w:r>
          </w:p>
        </w:tc>
        <w:tc>
          <w:tcPr>
            <w:tcW w:w="1020" w:type="dxa"/>
            <w:vAlign w:val="bottom"/>
            <w:tcBorders>
              <w:top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3.</w:t>
            </w:r>
          </w:p>
        </w:tc>
        <w:tc>
          <w:tcPr>
            <w:tcW w:w="5520" w:type="dxa"/>
            <w:vAlign w:val="bottom"/>
            <w:gridSpan w:val="3"/>
          </w:tcPr>
          <w:p>
            <w:pPr>
              <w:ind w:left="200"/>
              <w:spacing w:after="0"/>
              <w:rPr>
                <w:sz w:val="20"/>
                <w:szCs w:val="20"/>
                <w:color w:val="auto"/>
              </w:rPr>
            </w:pPr>
            <w:r>
              <w:rPr>
                <w:rFonts w:ascii="Arial" w:cs="Arial" w:eastAsia="Arial" w:hAnsi="Arial"/>
                <w:sz w:val="18"/>
                <w:szCs w:val="18"/>
                <w:b w:val="1"/>
                <w:bCs w:val="1"/>
                <w:color w:val="auto"/>
              </w:rPr>
              <w:t>Accrued expenses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4"/>
          </w:tcPr>
          <w:p>
            <w:pPr>
              <w:spacing w:after="0"/>
              <w:rPr>
                <w:sz w:val="20"/>
                <w:szCs w:val="20"/>
                <w:color w:val="auto"/>
              </w:rPr>
            </w:pPr>
            <w:r>
              <w:rPr>
                <w:rFonts w:ascii="Arial" w:cs="Arial" w:eastAsia="Arial" w:hAnsi="Arial"/>
                <w:sz w:val="18"/>
                <w:szCs w:val="18"/>
                <w:color w:val="auto"/>
              </w:rPr>
              <w:t>Accrued expenses at June 30, 2018 and December 31, 2017 are as follows: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8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14,357</w:t>
            </w: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22,941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8,078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8,747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Accrued rent</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5,417</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6,519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3,853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4,210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Percentage of completion adjustment</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3,302</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3,591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Income and other taxes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2,341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2,794</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8,595</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7,416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0" w:type="dxa"/>
            <w:vAlign w:val="bottom"/>
            <w:gridSpan w:val="2"/>
          </w:tcPr>
          <w:p>
            <w:pPr>
              <w:ind w:left="560"/>
              <w:spacing w:after="0"/>
              <w:rPr>
                <w:sz w:val="20"/>
                <w:szCs w:val="20"/>
                <w:color w:val="auto"/>
              </w:rPr>
            </w:pPr>
            <w:r>
              <w:rPr>
                <w:rFonts w:ascii="Arial" w:cs="Arial" w:eastAsia="Arial" w:hAnsi="Arial"/>
                <w:sz w:val="18"/>
                <w:szCs w:val="18"/>
                <w:color w:val="auto"/>
              </w:rPr>
              <w:t>Total accrued expenses</w:t>
            </w:r>
          </w:p>
        </w:tc>
        <w:tc>
          <w:tcPr>
            <w:tcW w:w="6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45,943</w:t>
            </w:r>
          </w:p>
        </w:tc>
        <w:tc>
          <w:tcPr>
            <w:tcW w:w="1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56,218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CIBC Bank USA, Suntrust Robinson Humphrey, Inc., Capital One, National Association</w:t>
      </w:r>
    </w:p>
    <w:p>
      <w:pPr>
        <w:spacing w:after="0" w:line="1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57" w:right="459" w:bottom="1440" w:gutter="0" w:footer="0" w:header="0"/>
        </w:sectPr>
      </w:pPr>
    </w:p>
    <w:bookmarkStart w:id="11" w:name="page12"/>
    <w:bookmarkEnd w:id="11"/>
    <w:p>
      <w:pPr>
        <w:ind w:right="20"/>
        <w:spacing w:after="0" w:line="271" w:lineRule="auto"/>
        <w:rPr>
          <w:sz w:val="20"/>
          <w:szCs w:val="20"/>
          <w:color w:val="auto"/>
        </w:rPr>
      </w:pPr>
      <w:r>
        <w:rPr>
          <w:rFonts w:ascii="Arial" w:cs="Arial" w:eastAsia="Arial" w:hAnsi="Arial"/>
          <w:sz w:val="17"/>
          <w:szCs w:val="17"/>
          <w:color w:val="auto"/>
        </w:rPr>
        <w:t>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$250,000, subfacilities for the issuance of standby letters of credit up to a $250,000 sublimit and swingline loans up to a $25,000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that no default or event of default exists both before and after giving effect to such incremental commitment increase.</w:t>
      </w:r>
    </w:p>
    <w:p>
      <w:pPr>
        <w:spacing w:after="0" w:line="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Credit Agreement also provides for certain actions contemplated in the plan of restructuring with respect to the Company’s 2017 and 2018 fiscal years including allowing up to an aggregate of $20,000 of expenses related to the buy-out of operating leases and allowing capital expenditures planned but not incurred by all Credit Parties in fiscal year 2017 to be carried forward to fiscal year 2018; provided that, the aggregate amount of all capital expenditures incurred by all Credit Parties in fiscal years 2017 and 2018 does not exceed $135,000. Additionally, the Credit Agreement contains acknowledgments and agreements from the Agent and the required lenders with respect to certain EBITDA add-backs for fiscal years 2017 and 2018 described therein. See Note 8, Restructuring charges.</w:t>
      </w:r>
    </w:p>
    <w:p>
      <w:pPr>
        <w:spacing w:after="0" w:line="8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Company is required to maintain this ratio if its availability under the Credit Agreement falls below $31,250 for five consecutive days or $25,000 for one day. The Credit Parties are also restricted in the amount of capital expenditures they may make in each fiscal year.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and finance ongoing working capital, and for other general corporate purposes. The Credit Agreement matures on December 30, 2019.</w:t>
      </w:r>
    </w:p>
    <w:p>
      <w:pPr>
        <w:spacing w:after="0" w:line="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outstandings under the senior secured revolving credit facility.</w:t>
      </w:r>
    </w:p>
    <w:p>
      <w:pPr>
        <w:spacing w:after="0" w:line="17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of June 30, 2018, the Company had $70,882 of borrowings on the revolver, $31,587 of letters of credit outstanding and $75,520 of availability under the Credit Agreement. The availability under the Credit Agreement is suppressed by $72,011 as of June 30, 2018 as a result of certain additional limitations set forth in the Credit Agreement.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Senior Notes and subsidiary guarantors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May 2017, the Company issued $325,000 of 8.000% senior notes (“8% Senior Notes”) due May 15, 2022. The 8% Senior Notes were issued at 100% of face value resulting in net proceeds of $321,653, net of underwriting fees. In connection with the issuance of the 8% Senior Notes, the Company retired all of its $275,000 of 7.375% senior notes due February 2019 for $282,638, which included a tender premium and accrued and unpaid interest. The Company used the remaining net proceeds from the debt offering to reduce the Company’s indebtedness under its Credit Agreement.</w:t>
      </w:r>
    </w:p>
    <w:p>
      <w:pPr>
        <w:spacing w:after="0" w:line="15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Company’s obligations under these Senior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enters into note arrangements to finance certain vessels and ancillary equipment. The current portion of all equipment notes is $1,169. The long-term portion is $376 and is included in notes payable or other long-term liabilities. In February 2018, the Company completed a sale-leaseback of a vessel yielding net proceeds of $4,500. Included in this transaction was the retirement of the asset and related equipment note, and the transaction resulted in a deferred gain that will be amortized over the life of the lease.</w:t>
      </w:r>
    </w:p>
    <w:p>
      <w:pPr>
        <w:spacing w:after="0" w:line="169"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9"/>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24"/>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At June 30, 2018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vMerge w:val="continue"/>
          </w:tcPr>
          <w:p>
            <w:pPr>
              <w:spacing w:after="0"/>
              <w:rPr>
                <w:sz w:val="14"/>
                <w:szCs w:val="14"/>
                <w:color w:val="auto"/>
              </w:rPr>
            </w:pPr>
          </w:p>
        </w:tc>
        <w:tc>
          <w:tcPr>
            <w:tcW w:w="406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640" w:type="dxa"/>
            <w:vAlign w:val="bottom"/>
            <w:gridSpan w:val="3"/>
          </w:tcPr>
          <w:p>
            <w:pPr>
              <w:ind w:left="580"/>
              <w:spacing w:after="0"/>
              <w:rPr>
                <w:sz w:val="20"/>
                <w:szCs w:val="20"/>
                <w:color w:val="auto"/>
              </w:rPr>
            </w:pPr>
            <w:r>
              <w:rPr>
                <w:rFonts w:ascii="Arial" w:cs="Arial" w:eastAsia="Arial" w:hAnsi="Arial"/>
                <w:sz w:val="18"/>
                <w:szCs w:val="18"/>
                <w:color w:val="auto"/>
              </w:rPr>
              <w:t>Fuel hedge contracts</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1,335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6"/>
              </w:rPr>
              <w:t>At December 31, 2017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vMerge w:val="continue"/>
          </w:tcPr>
          <w:p>
            <w:pPr>
              <w:spacing w:after="0"/>
              <w:rPr>
                <w:sz w:val="14"/>
                <w:szCs w:val="14"/>
                <w:color w:val="auto"/>
              </w:rPr>
            </w:pPr>
          </w:p>
        </w:tc>
        <w:tc>
          <w:tcPr>
            <w:tcW w:w="404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640" w:type="dxa"/>
            <w:vAlign w:val="bottom"/>
            <w:gridSpan w:val="3"/>
          </w:tcPr>
          <w:p>
            <w:pPr>
              <w:ind w:left="580"/>
              <w:spacing w:after="0"/>
              <w:rPr>
                <w:sz w:val="20"/>
                <w:szCs w:val="20"/>
                <w:color w:val="auto"/>
              </w:rPr>
            </w:pPr>
            <w:r>
              <w:rPr>
                <w:rFonts w:ascii="Arial" w:cs="Arial" w:eastAsia="Arial" w:hAnsi="Arial"/>
                <w:sz w:val="18"/>
                <w:szCs w:val="18"/>
                <w:color w:val="auto"/>
              </w:rPr>
              <w:t>Fuel hedge contracts</w:t>
            </w:r>
          </w:p>
        </w:tc>
        <w:tc>
          <w:tcPr>
            <w:tcW w:w="30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2,501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434"/>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2018, the Company was party to various swap arrangements to hedge the price of a portion of its diesel fuel purchase requirements for work in its backlog to be performed through June 2019. As of June 30, 2018, there were 5.2 million gallons remaining on these contracts which represent approximately 80% of the Company’s forecasted domestic fuel purchases through June 2019. Under these swap agreements, the Company will pay fixed prices ranging from $1.74 to $2.23 per gallon.</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June 30, 2018 and December 31, 2017, the fair value assets of the fuel hedge contracts were estimated to be $1,335 and $2,501, respectively, and are recorded in prepaid expenses and other current assets. For fuel hedge contracts considered to be highly effective, the gains reclassified to earnings from changes in fair value of derivatives, net of cash settlements and taxes, for the six months ended June 30, 2018 were $1,769. The remaining gains and losses included in accumulated other comprehensive loss at June 30, 2018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7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June 30, 2018 and December 31, 2017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Fair Value at</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left="348"/>
              <w:spacing w:after="0" w:line="147" w:lineRule="exact"/>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20" w:type="dxa"/>
            <w:vAlign w:val="bottom"/>
            <w:gridSpan w:val="2"/>
          </w:tcPr>
          <w:p>
            <w:pPr>
              <w:ind w:left="460"/>
              <w:spacing w:after="0"/>
              <w:rPr>
                <w:sz w:val="20"/>
                <w:szCs w:val="20"/>
                <w:color w:val="auto"/>
              </w:rPr>
            </w:pPr>
            <w:r>
              <w:rPr>
                <w:rFonts w:ascii="Arial" w:cs="Arial" w:eastAsia="Arial" w:hAnsi="Arial"/>
                <w:sz w:val="14"/>
                <w:szCs w:val="14"/>
                <w:b w:val="1"/>
                <w:bCs w:val="1"/>
                <w:color w:val="auto"/>
              </w:rPr>
              <w:t>Balance Sheet Location</w:t>
            </w:r>
          </w:p>
        </w:tc>
        <w:tc>
          <w:tcPr>
            <w:tcW w:w="11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480" w:type="dxa"/>
            <w:vAlign w:val="bottom"/>
            <w:tcBorders>
              <w:top w:val="single" w:sz="8" w:color="CFF0FC"/>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Derivatives designated as hedging</w:t>
            </w: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5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w w:val="90"/>
              </w:rPr>
              <w:t>Prepaid expenses and other</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current assets</w:t>
            </w:r>
          </w:p>
        </w:tc>
        <w:tc>
          <w:tcPr>
            <w:tcW w:w="118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1,335</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gridSpan w:val="4"/>
          </w:tcPr>
          <w:p>
            <w:pPr>
              <w:jc w:val="right"/>
              <w:ind w:right="305"/>
              <w:spacing w:after="0"/>
              <w:rPr>
                <w:sz w:val="20"/>
                <w:szCs w:val="20"/>
                <w:color w:val="auto"/>
              </w:rPr>
            </w:pPr>
            <w:r>
              <w:rPr>
                <w:rFonts w:ascii="Arial" w:cs="Arial" w:eastAsia="Arial" w:hAnsi="Arial"/>
                <w:sz w:val="14"/>
                <w:szCs w:val="14"/>
                <w:b w:val="1"/>
                <w:bCs w:val="1"/>
                <w:color w:val="auto"/>
                <w:w w:val="92"/>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Cumulative translation adjustments—net of tax</w:t>
            </w:r>
          </w:p>
        </w:tc>
        <w:tc>
          <w:tcPr>
            <w:tcW w:w="1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5"/>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7"/>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w w:val="92"/>
              </w:rPr>
              <w:t>Reclassification of derivative (gains) losses to earnings—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net of tax</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Net unrealized gain on derivatives—net of tax</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405"/>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ind w:left="1820"/>
              <w:spacing w:after="0"/>
              <w:rPr>
                <w:sz w:val="20"/>
                <w:szCs w:val="20"/>
                <w:color w:val="auto"/>
              </w:rPr>
            </w:pPr>
            <w:r>
              <w:rPr>
                <w:rFonts w:ascii="Arial" w:cs="Arial" w:eastAsia="Arial" w:hAnsi="Arial"/>
                <w:sz w:val="14"/>
                <w:szCs w:val="14"/>
                <w:b w:val="1"/>
                <w:bCs w:val="1"/>
                <w:color w:val="auto"/>
              </w:rPr>
              <w:t>Statement of Operations Location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2017</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2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ind w:left="240"/>
              <w:spacing w:after="0"/>
              <w:rPr>
                <w:sz w:val="20"/>
                <w:szCs w:val="20"/>
                <w:color w:val="auto"/>
              </w:rPr>
            </w:pPr>
            <w:r>
              <w:rPr>
                <w:rFonts w:ascii="Arial" w:cs="Arial" w:eastAsia="Arial" w:hAnsi="Arial"/>
                <w:sz w:val="18"/>
                <w:szCs w:val="18"/>
                <w:color w:val="auto"/>
              </w:rPr>
              <w:t>Fuel hedge contracts Costs of contract revenues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(1,404)</w:t>
            </w:r>
          </w:p>
        </w:tc>
        <w:tc>
          <w:tcPr>
            <w:tcW w:w="70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257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(2,396)</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shd w:val="clear" w:color="auto" w:fill="CFF0FC"/>
          </w:tcPr>
          <w:p>
            <w:pPr>
              <w:ind w:left="1820"/>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155</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substantially completed the closeout of its Brazil operations, during the first quarter of 2018. This liquidation resulted in the reversal of the Company’s cumulative translation adjustment of $2,015, recorded during the first quarter of 2018, related to Brazil which is included in other expense in the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2017, the Company issued a total of $325,000 of 8% senior notes due May 15, 2022, which were outstanding at June 30, 2018, refer to Note 4, Long-term debt. The 8% Senior Notes are senior unsecured obligations of the Company and its subsidiaries that guarantee the 8% Senior Notes. The fair value of the senior notes was $332,313 at June 30, 2018,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60"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00" w:firstLine="45"/>
        <w:spacing w:after="0" w:line="279" w:lineRule="auto"/>
        <w:rPr>
          <w:sz w:val="20"/>
          <w:szCs w:val="20"/>
          <w:color w:val="auto"/>
        </w:rPr>
      </w:pPr>
      <w:r>
        <w:rPr>
          <w:rFonts w:ascii="Arial" w:cs="Arial" w:eastAsia="Arial" w:hAnsi="Arial"/>
          <w:sz w:val="17"/>
          <w:szCs w:val="17"/>
          <w:color w:val="auto"/>
        </w:rPr>
        <w:t>On May 11, 2017, the Company’s stockholders approved the Great Lakes Dredge &amp; Dock Corporation 2017 Long-Term Incentive Plan (the “Incentive Plan”), which previously had been approved by the Company’s board of directors subject to stockholder approval. The Incentive Plan permits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the six months ended June 30, 2018, the Company granted 1,976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$1,255 and $840 for the three months ended June 30, 2018 and 2017, respectively, and $2,264 and $1,758 for the six months ended June 30, 2018 and 2017, respectively.</w:t>
      </w:r>
    </w:p>
    <w:p>
      <w:pPr>
        <w:spacing w:after="0" w:line="167"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 is derived from contracts for services with federal, state, local and foreign governmental entities and private customers. Dredging revenues are generally derived from the enhancement or preservation of navigability of waterways or the protection of shorelines through the removal or replenishment of soil, sand or rock. Revenues within the environmental &amp; infrastructure segment are generally generated from environmental and geotechnical construction as well as soil, water and sediment environmental remediation.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Previously, the Company measured completion based on engineering estimates of the physical percentage completed for dredging contracts and based upon cost incurred to date compared to total estimated costs, also known as cost-to-cost, for environmental &amp; infrastructure contracts. Under the new accounting principle, the Company measures progress toward completion on all contracts utilizing the cost-to-cost method. Additionally, the Company capitalizes certain pre-contract and pre-construction costs, and defers recognition over the life of the contract. At June 30, 2018, the impact of this change in accounting principle on the Condensed Consolidated Balance Sheets is as follows: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5" w:name="page16"/>
    <w:bookmarkEnd w:id="15"/>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Contract revenues in excess of billings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(19,353)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Billings in excess of contract revenues</w:t>
            </w:r>
          </w:p>
        </w:tc>
        <w:tc>
          <w:tcPr>
            <w:tcW w:w="3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2018, the impact of this change in accounting principle on the Condensed Consolidated Statements of Operations is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(12,951)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contract revenues</w:t>
            </w:r>
          </w:p>
        </w:tc>
        <w:tc>
          <w:tcPr>
            <w:tcW w:w="1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(9,174)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(15,869)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upon which the Company’s revenue is calculated. A contract’s transaction price is allocated to each distinct performance obligation and recognized as revenue as the performance obligation is satisfied. 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capitalizes certain pre-contract and pre-construction costs, and defers recognition over the life of the contract. The Company’s performance obligations are satisfied over time and revenue is recognized using contract fulfillment costs incurred to date compared to total estimated costs at completion, also known as cost-to-cost, to measure progress towards completion. As the Company’s performance creates an asset that customer controls, this method provides a faithful depiction of the transfer of an asset to the customer. Generally, the Company has an enforceable right to payment for performance completed to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dredging and environmental &amp; infrastructure segments typically satisfy their performance obligations upon completion of service. The majority of the Company’s contracts are completed in a year or less. At June 30, 2018, the Company had $534,965 of remaining performance obligations, which the Company refers to as total backlog. Approximately 52% of the Company’s backlog will be completed in 2018 with the remaining balance expected to be completed by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transaction price is calculated using the Company’s estimated costs to complete a project. These costs are based on the types of equipment required to perform the specified service, project site conditions, the estimated project duration, seasonality, location and complexity of a project.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nature of the Company’s contracts gives rise to several types of variable consideration, including pay on quantity dredged for dredging projects and contract modifications for both dredging and environmental &amp; infrastructure projects. For dredging projects, estimated pay quantity is the amount of material the Company expects to dredge for which it will receive payment. Estimated quantity to be dredged is calculated using engineering estimates based on current survey data and the Company’s knowledge based on historical project experience. Contract modifications are changes in the scope or price (or both) of a contract that are approved by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parties to the contract. The Company recognizes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Contract modifications are routine in the performance of the Company’s contracts. In most instances, contract modifications are for services that are not distinct, and, therefore, are accounted for as part of the existing contract.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our projects, does not significantly affect our results across annual reporting periods. Provisions for estimated losses on contracts in progress are made in the period in which such losses are determined.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our revenue disaggregated by several categories.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Domestically, our work generally is performed in coastal waterways and deep water ports. The U.S. dredging market consists of four primary types of work: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 coastal protection, maintenance and rivers &amp; lakes. Foreign projects typically involve capital 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the periods ended: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15"/>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Revenues (in thousands)</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Dredging:</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Capital—U.S.</w:t>
            </w:r>
          </w:p>
        </w:tc>
        <w:tc>
          <w:tcPr>
            <w:tcW w:w="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69,651</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31,472</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146,603</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40"/>
              <w:spacing w:after="0"/>
              <w:rPr>
                <w:sz w:val="20"/>
                <w:szCs w:val="20"/>
                <w:color w:val="auto"/>
              </w:rPr>
            </w:pPr>
            <w:r>
              <w:rPr>
                <w:rFonts w:ascii="Arial" w:cs="Arial" w:eastAsia="Arial" w:hAnsi="Arial"/>
                <w:sz w:val="18"/>
                <w:szCs w:val="18"/>
                <w:color w:val="auto"/>
              </w:rPr>
              <w:t>Capital—foreign</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12,420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Coastal protection</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38,121</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60,304</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79,982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40"/>
              <w:spacing w:after="0"/>
              <w:rPr>
                <w:sz w:val="20"/>
                <w:szCs w:val="20"/>
                <w:color w:val="auto"/>
              </w:rPr>
            </w:pPr>
            <w:r>
              <w:rPr>
                <w:rFonts w:ascii="Arial" w:cs="Arial" w:eastAsia="Arial" w:hAnsi="Arial"/>
                <w:sz w:val="18"/>
                <w:szCs w:val="18"/>
                <w:color w:val="auto"/>
              </w:rPr>
              <w:t>Maintenance</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19,077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34,337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Rivers &amp; lakes</w:t>
            </w:r>
          </w:p>
        </w:tc>
        <w:tc>
          <w:tcPr>
            <w:tcW w:w="3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5,142</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13,974</w:t>
            </w:r>
          </w:p>
        </w:tc>
        <w:tc>
          <w:tcPr>
            <w:tcW w:w="4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6,626</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420"/>
              <w:spacing w:after="0"/>
              <w:rPr>
                <w:sz w:val="20"/>
                <w:szCs w:val="20"/>
                <w:color w:val="auto"/>
              </w:rPr>
            </w:pPr>
            <w:r>
              <w:rPr>
                <w:rFonts w:ascii="Arial" w:cs="Arial" w:eastAsia="Arial" w:hAnsi="Arial"/>
                <w:sz w:val="18"/>
                <w:szCs w:val="18"/>
                <w:color w:val="auto"/>
              </w:rPr>
              <w:t>Total dredging revenues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135,270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152,507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268,893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305,561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&amp; infrastructure</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24,711</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Intersegment revenue</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23"/>
        </w:trPr>
        <w:tc>
          <w:tcPr>
            <w:tcW w:w="2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150,590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176,859</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347,445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customer, the Company’s contract revenues for the periods ended: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15"/>
        </w:trPr>
        <w:tc>
          <w:tcPr>
            <w:tcW w:w="2660" w:type="dxa"/>
            <w:vAlign w:val="bottom"/>
            <w:vMerge w:val="restart"/>
          </w:tcPr>
          <w:p>
            <w:pPr>
              <w:spacing w:after="0"/>
              <w:rPr>
                <w:sz w:val="20"/>
                <w:szCs w:val="20"/>
                <w:color w:val="auto"/>
              </w:rPr>
            </w:pPr>
            <w:r>
              <w:rPr>
                <w:rFonts w:ascii="Arial" w:cs="Arial" w:eastAsia="Arial" w:hAnsi="Arial"/>
                <w:sz w:val="18"/>
                <w:szCs w:val="18"/>
                <w:b w:val="1"/>
                <w:bCs w:val="1"/>
                <w:color w:val="auto"/>
              </w:rPr>
              <w:t>Revenues (in thousands)</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Dredging:</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government</w:t>
            </w:r>
          </w:p>
        </w:tc>
        <w:tc>
          <w:tcPr>
            <w:tcW w:w="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92,913</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83,632</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169,607</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40"/>
              <w:spacing w:after="0"/>
              <w:rPr>
                <w:sz w:val="20"/>
                <w:szCs w:val="20"/>
                <w:color w:val="auto"/>
              </w:rPr>
            </w:pPr>
            <w:r>
              <w:rPr>
                <w:rFonts w:ascii="Arial" w:cs="Arial" w:eastAsia="Arial" w:hAnsi="Arial"/>
                <w:sz w:val="18"/>
                <w:szCs w:val="18"/>
                <w:color w:val="auto"/>
              </w:rPr>
              <w:t>State and local government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23,346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45,027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69,971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11,428</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12,420</w:t>
            </w:r>
          </w:p>
        </w:tc>
        <w:tc>
          <w:tcPr>
            <w:tcW w:w="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dredging revenues</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135,270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152,507</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268,893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Environmental &amp; infrastructure: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10,961</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13,750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22,439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Intersegment revenue</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150,590</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176,859</w:t>
            </w:r>
          </w:p>
        </w:tc>
        <w:tc>
          <w:tcPr>
            <w:tcW w:w="4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Foreign dredging revenue was $3,279 and $12,420 for the three months ended June 30, 2018 and 2017, respectively, and $8,802 and $31,574 for the six months ended June 30, 2018 and 2017, respectively, and was mostly attributable to work done in the Middle East.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Billings on contracts are generally submitted after verification with the customers of physical progress and are recognized as accounts receivable in the balance sheet. For billings that do not match the timing of revenue recognition, the difference between amounts billed and recognized as revenue is reflected in the balance sheet as either contract revenues in excess of billings or billings in excess of contract revenues. Certain pre-contract and pre-construction costs are capitalized and reflected as contract assets in the balance sheet. Customer advances, deposits and commissions are reflected in the balance sheet as contract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June 30, 2018 and December 31, 2017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Contracts in progress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82,736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358"/>
        </w:trPr>
        <w:tc>
          <w:tcPr>
            <w:tcW w:w="5440" w:type="dxa"/>
            <w:vAlign w:val="bottom"/>
            <w:gridSpan w:val="2"/>
          </w:tcPr>
          <w:p>
            <w:pPr>
              <w:spacing w:after="0"/>
              <w:rPr>
                <w:sz w:val="20"/>
                <w:szCs w:val="20"/>
                <w:color w:val="auto"/>
              </w:rPr>
            </w:pPr>
            <w:r>
              <w:rPr>
                <w:rFonts w:ascii="Arial" w:cs="Arial" w:eastAsia="Arial" w:hAnsi="Arial"/>
                <w:sz w:val="18"/>
                <w:szCs w:val="18"/>
                <w:color w:val="auto"/>
              </w:rPr>
              <w:t>Total accounts receivable—net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82,306</w:t>
            </w:r>
          </w:p>
        </w:tc>
        <w:tc>
          <w:tcPr>
            <w:tcW w:w="2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5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accounts receivable—net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82,306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June 30, 2018 and December 31, 2017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482,780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558,557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(447,617)</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(490,732)</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35,163</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55,003</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Billings in excess of costs and earnings: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Amounts billed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(219,428)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(325,350)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210,378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billings in excess of contract revenues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$17,693 included in costs in excess of billings that are dependent upon the sale of environmental credits earned for a wetland mitigation project. The sale of these credits is subject to market factors that could cause the amount of expected revenue to be higher or lower than currently estimated. If the amount of proceeds received from the sale of the environmental credits is lower than our expectations, we could sustain a loss of part or all of costs incurred related to this project. Additionally, the timing of realization may be impacted by the timing of a delay in the sale of these environmental credits, requiring a longer period required to recover our investment.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amounts included in billings in excess of contract revenues balance at the beginning of the year, the Company recognized nearly all of the related revenue during the six months ended June 30,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2018 and January 1, 2018, costs to fulfill contracts with customers recognized as an asset were $16,300 and $7,732, respectively, and are recorded in other current assets and other noncurrent assets. These costs relate to pre-contract and pre-construction activities. During the three and six months ended June 30, 2018, the company amortized $4,299 and $6,796 of pre-construction costs,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left="1040" w:hanging="519"/>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ind w:right="180" w:firstLine="761"/>
        <w:spacing w:after="0" w:line="272" w:lineRule="auto"/>
        <w:rPr>
          <w:sz w:val="20"/>
          <w:szCs w:val="20"/>
          <w:color w:val="auto"/>
        </w:rPr>
      </w:pPr>
      <w:r>
        <w:rPr>
          <w:rFonts w:ascii="Arial" w:cs="Arial" w:eastAsia="Arial" w:hAnsi="Arial"/>
          <w:sz w:val="17"/>
          <w:szCs w:val="17"/>
          <w:color w:val="auto"/>
        </w:rPr>
        <w:t>In 2017, a strategic review was begun to improve the Company’s financial results in both domestic and international operations enabling debt reduction, improvements in return on capital and the continued renewal of our extensive fleet with new and efficient dredges to best serve our domestic and international clients. As a result of this review, management began execution of a plan to reduce general and administrative and overhead expenses, retire certain underperforming and underutilized assets, write-off pre-contract costs on a project that was never formally awarded and that the Company no longer intends to pursue and closeout the Company’s Brazil operations. These changes will result in total restructuring charges of approximately $42,000-$47,000, including severance of approximately $3,000, asset retirements of approximately $30,000-$34,000, pre-contract costs of approximately $6,500 and closeout costs of approximately $2,500-$3,500.</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Approximately $38,000-$43,000 of this charge consists of non-cash items including depreciation, loss on sale of assets and other items, approximating totals of $12,500-$14,500, $3,000-$5,000 and $21,500-$23,500, respectively. The majority of the charge was recorded in the second half of 2017 with the remainder to be recognized in the dredging segment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currently recognized for the above actions are summarized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060" w:type="dxa"/>
            <w:vAlign w:val="bottom"/>
          </w:tcPr>
          <w:p>
            <w:pPr>
              <w:jc w:val="right"/>
              <w:ind w:right="3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060" w:type="dxa"/>
            <w:vAlign w:val="bottom"/>
          </w:tcPr>
          <w:p>
            <w:pPr>
              <w:jc w:val="right"/>
              <w:ind w:right="279"/>
              <w:spacing w:after="0"/>
              <w:rPr>
                <w:sz w:val="20"/>
                <w:szCs w:val="20"/>
                <w:color w:val="auto"/>
              </w:rPr>
            </w:pPr>
            <w:r>
              <w:rPr>
                <w:rFonts w:ascii="Arial" w:cs="Arial" w:eastAsia="Arial" w:hAnsi="Arial"/>
                <w:sz w:val="14"/>
                <w:szCs w:val="14"/>
                <w:b w:val="1"/>
                <w:bCs w:val="1"/>
                <w:color w:val="auto"/>
              </w:rPr>
              <w:t>June 30, 2018</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453"/>
        </w:trPr>
        <w:tc>
          <w:tcPr>
            <w:tcW w:w="5720" w:type="dxa"/>
            <w:vAlign w:val="bottom"/>
            <w:gridSpan w:val="2"/>
          </w:tcPr>
          <w:p>
            <w:pPr>
              <w:spacing w:after="0"/>
              <w:rPr>
                <w:sz w:val="20"/>
                <w:szCs w:val="20"/>
                <w:color w:val="auto"/>
              </w:rPr>
            </w:pPr>
            <w:r>
              <w:rPr>
                <w:rFonts w:ascii="Arial" w:cs="Arial" w:eastAsia="Arial" w:hAnsi="Arial"/>
                <w:sz w:val="18"/>
                <w:szCs w:val="18"/>
                <w:color w:val="auto"/>
              </w:rPr>
              <w:t>Costs of contract revenues - depreciation</w:t>
            </w:r>
          </w:p>
        </w:tc>
        <w:tc>
          <w:tcPr>
            <w:tcW w:w="2060" w:type="dxa"/>
            <w:vAlign w:val="bottom"/>
            <w:tcBorders>
              <w:top w:val="single" w:sz="8" w:color="auto"/>
            </w:tcBorders>
          </w:tcPr>
          <w:p>
            <w:pPr>
              <w:jc w:val="right"/>
              <w:ind w:right="18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520" w:type="dxa"/>
            <w:vAlign w:val="bottom"/>
          </w:tcPr>
          <w:p>
            <w:pPr>
              <w:spacing w:after="0"/>
              <w:rPr>
                <w:sz w:val="24"/>
                <w:szCs w:val="24"/>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 - other</w:t>
            </w:r>
          </w:p>
        </w:tc>
        <w:tc>
          <w:tcPr>
            <w:tcW w:w="20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(274)</w:t>
            </w:r>
          </w:p>
        </w:tc>
        <w:tc>
          <w:tcPr>
            <w:tcW w:w="38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6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9"/>
                <w:szCs w:val="19"/>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assets—net</w:t>
            </w:r>
          </w:p>
        </w:tc>
        <w:tc>
          <w:tcPr>
            <w:tcW w:w="20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(840)</w:t>
            </w:r>
          </w:p>
        </w:tc>
        <w:tc>
          <w:tcPr>
            <w:tcW w:w="38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expense</w:t>
            </w:r>
          </w:p>
        </w:tc>
        <w:tc>
          <w:tcPr>
            <w:tcW w:w="206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Dredging</w:t>
            </w:r>
          </w:p>
        </w:tc>
        <w:tc>
          <w:tcPr>
            <w:tcW w:w="20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w:t>
            </w:r>
          </w:p>
        </w:tc>
        <w:tc>
          <w:tcPr>
            <w:tcW w:w="5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0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Environmental &amp; Infrastructure</w:t>
            </w:r>
          </w:p>
        </w:tc>
        <w:tc>
          <w:tcPr>
            <w:tcW w:w="2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(9)</w:t>
            </w:r>
          </w:p>
        </w:tc>
        <w:tc>
          <w:tcPr>
            <w:tcW w:w="3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0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Costs of contract revenues - depreciation</w:t>
            </w:r>
          </w:p>
        </w:tc>
        <w:tc>
          <w:tcPr>
            <w:tcW w:w="2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1,676</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 - other</w:t>
            </w:r>
          </w:p>
        </w:tc>
        <w:tc>
          <w:tcPr>
            <w:tcW w:w="20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(274)</w:t>
            </w:r>
          </w:p>
        </w:tc>
        <w:tc>
          <w:tcPr>
            <w:tcW w:w="38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6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assets—net</w:t>
            </w:r>
          </w:p>
        </w:tc>
        <w:tc>
          <w:tcPr>
            <w:tcW w:w="20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(840)</w:t>
            </w:r>
          </w:p>
        </w:tc>
        <w:tc>
          <w:tcPr>
            <w:tcW w:w="38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expense</w:t>
            </w:r>
          </w:p>
        </w:tc>
        <w:tc>
          <w:tcPr>
            <w:tcW w:w="206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Consolidated</w:t>
            </w:r>
          </w:p>
        </w:tc>
        <w:tc>
          <w:tcPr>
            <w:tcW w:w="2060" w:type="dxa"/>
            <w:vAlign w:val="bottom"/>
            <w:tcBorders>
              <w:top w:val="single" w:sz="8" w:color="auto"/>
              <w:bottom w:val="single" w:sz="8" w:color="auto"/>
            </w:tcBorders>
            <w:shd w:val="clear" w:color="auto" w:fill="CFF0FC"/>
          </w:tcPr>
          <w:p>
            <w:pPr>
              <w:jc w:val="right"/>
              <w:ind w:right="187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525</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761"/>
        <w:spacing w:after="0" w:line="342" w:lineRule="auto"/>
        <w:rPr>
          <w:sz w:val="20"/>
          <w:szCs w:val="20"/>
          <w:color w:val="auto"/>
        </w:rPr>
      </w:pPr>
      <w:r>
        <w:rPr>
          <w:rFonts w:ascii="Arial" w:cs="Arial" w:eastAsia="Arial" w:hAnsi="Arial"/>
          <w:sz w:val="16"/>
          <w:szCs w:val="16"/>
          <w:color w:val="auto"/>
        </w:rPr>
        <w:t>The Company accrued rent expense of $4,959 and $5,930 and severance expense of $849 and $1,567 at June 30, 2018 and December 31, 2017, respectively. Both of these items are included in accrued expenses at June 30, 2018 and December 31, 2017 and are expected to be settled in 2018.</w:t>
      </w:r>
    </w:p>
    <w:p>
      <w:pPr>
        <w:spacing w:after="0" w:line="106"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$1,000 to $10,000. At June 30, 2018, the Company had outstanding performance bonds with a notional amount of approximately $1,245,099 of which $41,085 relates to projects from the Company’s historical environmental &amp; infrastructure businesses. The revenue value remaining in backlog related to these projects totaled approximately $498,059.</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9" w:name="page20"/>
    <w:bookmarkEnd w:id="19"/>
    <w:p>
      <w:pPr>
        <w:ind w:right="320"/>
        <w:spacing w:after="0" w:line="259" w:lineRule="auto"/>
        <w:rPr>
          <w:sz w:val="20"/>
          <w:szCs w:val="20"/>
          <w:color w:val="auto"/>
        </w:rPr>
      </w:pPr>
      <w:r>
        <w:rPr>
          <w:rFonts w:ascii="Arial" w:cs="Arial" w:eastAsia="Arial" w:hAnsi="Arial"/>
          <w:sz w:val="18"/>
          <w:szCs w:val="18"/>
          <w:color w:val="auto"/>
        </w:rPr>
        <w:t>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the Company had to increase the borrowings on its revolving credit facility. As the outstanding letters of credit previously reduced our availability under the revolving credit facility, this draw down on our letter of credit does not impact our liquidity or capital availability.</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11, Business dispositions.</w:t>
      </w:r>
    </w:p>
    <w:p>
      <w:pPr>
        <w:spacing w:after="0" w:line="18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U.S. federal government, the U.S. federal government has the right to audit the books and records of the Company to ensure compliance with such contracts, modifications, or claims, and the applicable federal laws. The U.S. federal government has the ability to seek a price adjustment based on the results of such audit. Any such audits have not had, and are not expected to have, a material impact on the financial position, operations, or cash flows of the Company.</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6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Legal actions brought by the Company to enforce the buyer’s obligations under the sale agreement are described below.</w:t>
      </w:r>
    </w:p>
    <w:p>
      <w:pPr>
        <w:spacing w:after="0" w:line="181" w:lineRule="exact"/>
        <w:rPr>
          <w:sz w:val="20"/>
          <w:szCs w:val="20"/>
          <w:color w:val="auto"/>
        </w:rPr>
      </w:pPr>
    </w:p>
    <w:p>
      <w:pPr>
        <w:ind w:right="60" w:firstLine="45"/>
        <w:spacing w:after="0" w:line="255"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Also pursuant to the terms of the agreement to sell NASDI and Yankee and as described above, the Company agreed to keep in place surety bonds for certain pending demolition projects, and the buyer agreed to indemnify the Company for all losses relating to those bonds. As described above, in May 2017, Zurich drew upon the Company’s letter of credit in the amount of $20,881. On May 26, 2017, the Company and NASDI Holdings, LLC brought a second action in the Delaware Court of Chancery seeking indemnification for all losses relating to the bonds for that project.</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Except as noted above, 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64"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owned 50% of TerraSea Environmental Solutions (“TerraSea”) as a joint venture. TerraSea was engaged in the environmental services business through its ability to remediate contaminated soil and dredged sediment treatment. During the second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right="280"/>
        <w:spacing w:after="0" w:line="264" w:lineRule="auto"/>
        <w:rPr>
          <w:sz w:val="20"/>
          <w:szCs w:val="20"/>
          <w:color w:val="auto"/>
        </w:rPr>
      </w:pPr>
      <w:r>
        <w:rPr>
          <w:rFonts w:ascii="Arial" w:cs="Arial" w:eastAsia="Arial" w:hAnsi="Arial"/>
          <w:sz w:val="18"/>
          <w:szCs w:val="18"/>
          <w:color w:val="auto"/>
        </w:rPr>
        <w:t>quarter of 2017, the Company and the joint venture partner agreed to a final resolution of the net advances through additional funding of the joint venture. The Company recorded additional losses of $1,458 related to this agreement during the quarter ended June 30, 2017. TerraSea was dissolved in the third quarter of 2017.</w:t>
      </w:r>
    </w:p>
    <w:p>
      <w:pPr>
        <w:spacing w:after="0" w:line="272"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dispositions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April 23, 2014, the Company entered into an agreement and completed the sale of NASDI and Yankee, its two former subsidiaries that comprised our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net of future payments of accounts payable existing at the date of close, including any future payments of obligations associated with outstanding claims. The amount and timing of any realization of additional net proceeds has been impacted by the litigation with the buyer of the historical demolition business. However, management believes that the ultimate resolution of these matters will not be material to the Company’s consolidated financial position or results of operations.</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discussed in Note 9, Commitments and contingencies, the Company was notified by Zurich of an alleged default triggered on a historical demolition surety performance bond in the aggregate of approximately $20,000 for failure of the contractor to perform in accordance with the terms of a project. Zurich could be obligated to reimburse the loss, damage and expense that may arise from the alleged default. The Company estimated its exposure to a surety bond claim, including associated expenses, to be $20,900 and has recorded this amount in discontinued operations during the three and six months ended June 30, 2017 as follows:</w:t>
      </w:r>
    </w:p>
    <w:p>
      <w:pPr>
        <w:spacing w:after="0" w:line="36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center"/>
              <w:ind w:right="78"/>
              <w:spacing w:after="0" w:line="155"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center"/>
              <w:ind w:right="78"/>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7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7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Magnus Pacific acquisition</w:t>
      </w:r>
    </w:p>
    <w:p>
      <w:pPr>
        <w:spacing w:after="0" w:line="200" w:lineRule="exact"/>
        <w:rPr>
          <w:sz w:val="20"/>
          <w:szCs w:val="20"/>
          <w:color w:val="auto"/>
        </w:rPr>
      </w:pPr>
    </w:p>
    <w:p>
      <w:pPr>
        <w:spacing w:after="0" w:line="24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On November 4, 2014, the Company acquired Magnus Pacific Corporation (“Magnus”), a California corporation, for an aggregate purchase price of approximately $40 million. Under the terms of the acquisition, the aggregate purchase price is satisfied by payment of $25 million paid at closing, the issuance of a promissory note and an earnout payment.</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Magnus did not reach the minimum EBITDA threshold for 2015 designated in the secured promissory note; therefore, during 2015, the Company reduced the remaining fair value to zero. Under the terms of the acquisition, as amended, the maximum potential aggregate earnout (the “Earnout Payment”) is $11,400 and will be determined based on the attainment of an average Adjusted EBITDA target of Magnus, now referred to as Great Lakes E&amp;I, for the years ending December 31, 2017, December 31, 2018 and December 31, 2019. The Earnout Payment may be paid in cash or shares of the Company’s common stock, at the Company’s option. The Company remeasures the fair value of the contingent Earnout Payment based on projections of the earnings target for the business. Based on the Company’s current projections, Great Lakes E&amp;I is not expected to reach the minimum Adjusted EBITDA threshold designated in the amended share purchase agreement.</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1" w:name="page22"/>
    <w:bookmarkEnd w:id="21"/>
    <w:p>
      <w:pPr>
        <w:ind w:left="1040" w:hanging="519"/>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infrastructure.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Dredging</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Contract revenues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135,270</w:t>
            </w:r>
          </w:p>
        </w:tc>
        <w:tc>
          <w:tcPr>
            <w:tcW w:w="1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152,507</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268,893</w:t>
            </w:r>
          </w:p>
        </w:tc>
        <w:tc>
          <w:tcPr>
            <w:tcW w:w="14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305,561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income</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Environmental &amp; infrastructure</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15,320</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28,290</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(6,651)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9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Intersegment revenues</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(359)</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150,590</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176,859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297,183</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In addition, these statements include, but are not limited to, our statements regarding the likelihood of realizing, and amount of, expected restructuring charges to be realized in connection with the restructuring activities.</w:t>
      </w:r>
    </w:p>
    <w:p>
      <w:pPr>
        <w:spacing w:after="0" w:line="18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2017, and in other securities filings by Great Lakes with the SEC.</w:t>
      </w:r>
    </w:p>
    <w:p>
      <w:pPr>
        <w:spacing w:after="0" w:line="1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is the largest provider of dredging services in the United States and a major provider of environmental and infrastructure services. In addition, the Company is the only U.S. dredging service provider with significant international operations. The mobility of the Company’s fleet enables the Company to move equipment in response to changes in demand for dredging services.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46% over the prior three years, including 77%, 40%, 28% and 14% of the domestic capital, coastal protection, maintenance and rivers &amp; lakes sectors, respectively.</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six months of 2018, the Company’s dredging revenues earned from contracts with federal government agencies, including the Corps as well as other federal entities were approximately 63% of dredging revenues, in line with the Company’s prior three year average of 64%.</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environmental &amp; infrastructure segment provides environmental and geotechnical construction as well as soil, water and sediment environmental remediation for the state, local and private party markets. Environmental and geotechnical construction includes the creation, repair or stabilization of environmental barriers including slurry walls, in-situ stabilization, coal combustion residuals pond cap and close, dam and levee rehabilitation and other specialty civil construction. Remediation involves the containment, immobilization or removal of contamination from an environment through the use of any combination of isolation, treatment or exhumation techniques, including off-site disposal, based on the quantity and severity of the contamination. The environmental &amp; infrastructure segment accounted for 10% of total revenues in the first six months of 2018.</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has two operating segments: dredging and environmental &amp; infrastructure, which are also the Company’s two reportable segments and reporting units.</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set forth the components of net loss and Adjusted EBITDA from continuing operations, as defined below, as a percentage of contract revenues for the three and six months ended June 30, 2018 and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40" w:type="dxa"/>
            <w:vAlign w:val="bottom"/>
            <w:gridSpan w:val="2"/>
            <w:vMerge w:val="restart"/>
          </w:tcPr>
          <w:p>
            <w:pPr>
              <w:ind w:left="580"/>
              <w:spacing w:after="0"/>
              <w:rPr>
                <w:sz w:val="20"/>
                <w:szCs w:val="20"/>
                <w:color w:val="auto"/>
              </w:rPr>
            </w:pPr>
            <w:r>
              <w:rPr>
                <w:rFonts w:ascii="Arial" w:cs="Arial" w:eastAsia="Arial" w:hAnsi="Arial"/>
                <w:sz w:val="18"/>
                <w:szCs w:val="18"/>
                <w:color w:val="auto"/>
              </w:rPr>
              <w:t>Contract revenues</w:t>
            </w: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10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5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(85.2)</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(88.5)</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(87.6)</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expense—net</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joint ventures</w:t>
            </w:r>
          </w:p>
        </w:tc>
        <w:tc>
          <w:tcPr>
            <w:tcW w:w="1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(0.8)</w:t>
            </w:r>
          </w:p>
        </w:tc>
        <w:tc>
          <w:tcPr>
            <w:tcW w:w="152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9"/>
                <w:szCs w:val="19"/>
                <w:color w:val="auto"/>
              </w:rPr>
            </w:pP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Loss from continuing operations before income taxes</w:t>
            </w: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Income (loss) from discontinued operations, net of income taxes</w:t>
            </w:r>
          </w:p>
        </w:tc>
        <w:tc>
          <w:tcPr>
            <w:tcW w:w="1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vMerge w:val="restart"/>
          </w:tcPr>
          <w:p>
            <w:pPr>
              <w:spacing w:after="0"/>
              <w:rPr>
                <w:sz w:val="10"/>
                <w:szCs w:val="10"/>
                <w:color w:val="auto"/>
              </w:rPr>
            </w:pPr>
          </w:p>
        </w:tc>
        <w:tc>
          <w:tcPr>
            <w:tcW w:w="4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0" w:type="dxa"/>
            <w:vAlign w:val="bottom"/>
            <w:gridSpan w:val="2"/>
          </w:tcPr>
          <w:p>
            <w:pPr>
              <w:jc w:val="right"/>
              <w:ind w:right="854"/>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3" w:name="page24"/>
    <w:bookmarkEnd w:id="23"/>
    <w:p>
      <w:pPr>
        <w:ind w:right="20"/>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(loss),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4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9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(974)</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(3,856)</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(10,295)</w:t>
            </w: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(21,495)</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w w:val="97"/>
              </w:rPr>
              <w:t>Income (loss) from discontinued operations, net of income taxes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Adjusted for:</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(6,247)</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Capital—U.S.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69,651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31,472</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146,603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98,073</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Capital—foreign</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12,420</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(73.6)%</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31,574</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Coastal protection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60,304</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79,982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100,639</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Maintenance</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34,337</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Rivers &amp; lakes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13,974</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19,025</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dredging 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135,270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152,507</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305,561</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Environmental &amp; infrastructure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24,711</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43,935</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Intersegment revenue</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(359)</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(2,051)</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150,590</w:t>
            </w:r>
          </w:p>
        </w:tc>
        <w:tc>
          <w:tcPr>
            <w:tcW w:w="2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176,859</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297,183</w:t>
            </w: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347,445</w:t>
            </w:r>
          </w:p>
        </w:tc>
        <w:tc>
          <w:tcPr>
            <w:tcW w:w="2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Total revenue was $150.6 million for the three months ended June 30, 2018, down $26.3 million, or 15%, from $176.9 million for the same period in the prior year. For the six months ended June 30, 2018, total revenue was $297.2 million, down from revenue of $347.4 million for the same period in the prior year, representing a decrease of $50.2 million or 14%. For the three and six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4" w:name="page25"/>
    <w:bookmarkEnd w:id="24"/>
    <w:p>
      <w:pPr>
        <w:ind w:right="160"/>
        <w:spacing w:after="0" w:line="277" w:lineRule="auto"/>
        <w:rPr>
          <w:sz w:val="20"/>
          <w:szCs w:val="20"/>
          <w:color w:val="auto"/>
        </w:rPr>
      </w:pPr>
      <w:r>
        <w:rPr>
          <w:rFonts w:ascii="Arial" w:cs="Arial" w:eastAsia="Arial" w:hAnsi="Arial"/>
          <w:sz w:val="18"/>
          <w:szCs w:val="18"/>
          <w:color w:val="auto"/>
        </w:rPr>
        <w:t>ended June 30, 2018, the Company experienced an increase in domestic capital revenues offset by decreases in all other types of work within both segments when compared to the prior year periods.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quarter ended June 30, 2018, domestic capital dredging was $69.7 million, up $38.2 million, or 121%, compared to $31.5 million for the same quarter in 2017. The increase in domestic capital dredging revenues for the quarter was driven by a greater amount of revenue being earned on coastal restoration projects in Louisiana and Mississippi in the current quarter compared to the same period of the prior year. The Charleston entrance channel deepening projects also contributed to the increase in revenue for the three months ended June 30, 2018. These increases in revenue were partially offset by a liquefied natural gas (“LNG”) project in Texas earning higher revenue during the same period in the prior year. Domestic capital dredging for the six months ended June 30, 2018 was $146.6 million compared to $98.1 million for the same period in 2017, representing an increase of $48.5 million, or 49%. For the six months ended June 30, 2018, the higher domestic capital dredging revenues were primarily related to a greater amount of revenue earned on coastal restoration projects and the Charleston entrance deepening projects during the first six months of 2018 as compared to the same period in the prior year. This increase was partially offset by a greater amount of revenue earned on a deepening project on the Delaware River and a LNG project in Texas during the first half of 2017. The Savannah Harbor deepening project also contributed to revenue for the six months ended June 30, 2018.</w:t>
      </w:r>
    </w:p>
    <w:p>
      <w:pPr>
        <w:spacing w:after="0" w:line="17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Foreign capital projects typically involve land reclamations, channel deepening and port infrastructure development. In the second quarter of 2018, foreign capital revenue was $3.3 million, a decrease of $9.1 million, or 73%, as compared to $12.4 million in the same quarter in the prior year. Foreign capital revenue for the first half of 2018 was $8.8 million, a decrease of $22.8 million, or 72%, as compared to $31.6 million for the same period in the prior year. For the three and six months ended June 30, 2018, revenue earned on two projects in Bahrain was offset by revenue earned on a project in Saudi Arabia during 2017 that was not replaced during the current year. Delays in the commencement of a large land reclamation project in Bahrain further contributed to the change in revenue for the three and six months ended June 30, 2018 compared to the same periods of the prior year. During the first quarter of 2018, the Company substantially completed the closeout of its Brazil operations. The absence of projects in Brazil during the current year contributed to the change in revenue for the two periods.</w:t>
      </w:r>
    </w:p>
    <w:p>
      <w:pPr>
        <w:spacing w:after="0" w:line="17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Coastal protection projects generally involve moving sand from the ocean floor to shoreline locations where erosion threatens shoreline assets. Coastal protection revenue for the quarter ended June 30, 2018 was $38.1 million, a decrease of $22.2 million, or 37%, compared to $60.3 million in the prior year period. The decrease in coastal protection revenue for the three months ended June 30, 2018 is mostly attributable to a decrease in revenue earned from projects in New York and New Jersey, Virginia and North Carolina. That decrease was partially offset by an increase in revenue from projects in Florida and Delaware. Coastal protection revenue for the six months ended June 30, 2018 was $80.0 million, down $20.6 million or 21%, from $100.6 million for the first six months of 2017. The decrease in coastal protection revenue for the six months ended June 30, 2018 was mostly attributable to prior year revenue earned on projects in New York, New Jersey and Virginia. This decrease was partially offset by revenue earned during the current year on large projects in Florida and Georgia as compared to the same period in 2017. Additionally, revenue for the first half of 2017 included a project in North Carolina that did not repeat during the current year period. A coastal protection project in South Carolina also contributed to revenue for the first half of 2018.</w:t>
      </w:r>
    </w:p>
    <w:p>
      <w:pPr>
        <w:spacing w:after="0" w:line="16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second quarter of 2018 was $19.1 million, down $15.2 million, or 44%, from $34.3 million in the second quarter of 2017. The decrease in maintenance revenues for the three months ended June 30, 2018 was mostly attributable to revenue earned on projects in Maryland, North Carolina and other locations in the Northwest in 2017 that did not repeat in 2018. Maintenance projects in Texas and Virginia contributed to revenue during the three months ended June 30, 2018. Maintenance revenue for the first six months of 2018 was $26.9 million, a decrease of $29.4 million, or 52%, compared to $56.3 million for the comparable period in the prior year. The decrease in maintenance dredging revenues for the three and six months ended June 30, 2018 was mostly attributable to a greater volume of projects worked during the same periods in the prior year. Maintenance projects in Texas, Virginia, Mississippi and Maryland contributed to revenue during the three and six months ended June 30, 2018.</w:t>
      </w:r>
    </w:p>
    <w:p>
      <w:pPr>
        <w:spacing w:after="0" w:line="1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Rivers &amp; lakes dredging and related operations typically consist of lake and river dredging, inland levee and construction dredging, environmental restoration and habitat improvement and other marine construction projects. During the second quarter of 2018 rivers &amp; lakes revenue was $5.1 million, a decrease of $8.9 million, or 64% from $14.0 million during the same period of 2017. Rivers &amp; lakes revenue for the six months ended June 30, 2018 was $6.6 million, down $12.4 million, or 65%, from $19.0 million in the first six</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5" w:name="page26"/>
    <w:bookmarkEnd w:id="25"/>
    <w:p>
      <w:pPr>
        <w:ind w:right="140"/>
        <w:spacing w:after="0" w:line="277" w:lineRule="auto"/>
        <w:rPr>
          <w:sz w:val="20"/>
          <w:szCs w:val="20"/>
          <w:color w:val="auto"/>
        </w:rPr>
      </w:pPr>
      <w:r>
        <w:rPr>
          <w:rFonts w:ascii="Arial" w:cs="Arial" w:eastAsia="Arial" w:hAnsi="Arial"/>
          <w:sz w:val="18"/>
          <w:szCs w:val="18"/>
          <w:color w:val="auto"/>
        </w:rPr>
        <w:t>months of 2017. The decrease in rivers &amp; lakes revenue for the three and six months ended June 30, 2018 was driven by a greater amount of revenue earned on a lake project in Illinois in the prior year periods and a project in Florida that did not reoccur in the current year.</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environmental &amp; infrastructure segment provides environmental and geotechnical construction as well as soil, water and sediment environmental remediation. Environmental and geotechnical construction includes the creation, repair or stabilization of environmental barriers including slurry walls, in-situ stabilization, coal combustion residuals pond cap and close, dam and levee rehabilitation, deep soil mixing and other specialty civil construction. Remediation involves the containment, immobilization or removal of contamination from an environment through the use of any combination of isolation, treatment or exhumation techniques, including off-site disposal, based on the quantity and severity of the contamination. Environmental &amp; infrastructure segment revenues during the second quarter of 2018 were $15.3 million, a $9.4 million, or 38%, decrease from $24.7 million for the same prior year period. For the six months ended June 30, 2018, the environmental &amp; infrastructure segment recorded revenues of $28.3 million, a $15.6 million, or 36%, decrease from $43.9 million for the same prior year period. Environmental &amp; infrastructure revenue for the first six months of 2018 included work on remediation projects in New Jersey and California and a geotechnical project in Texas. Revenue on these projects was offset by greater revenue earned in the prior year on remediation projects in Florida, Pennsylvania and Colorado in addition to emergency geotechnical work that did not repeat during the current year. The three and six months ended June 30, 2017 include revenue related to service lines of the environmental &amp; infrastructure segment’s business which did not operate during the current year.</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Consolidated gross profit for the quarter ended June 30, 2018 was $22.2 million, up $1.9 million, or 9%, compared to $20.3 million in the same quarter of 2017. Gross profit margin for the three months ended June 30, 2018 was 14.7% compared to 11.5% in the second quarter of 2017. Gross profit for the three months ended June 30, 2018 includes $1.4 million of restructuring charges related to asset retirements. For the second quarter of 2018, the increase in gross profit was due to improved project performance, greater fixed cost coverage and lower overhead in the dredging segment offset by lower margin on environmental &amp; infrastructure projects compared to the same period in the prior year. Consolidated gross profit for the six months ended June 30, 2018 was $36.9 million, up $1.8 million, or 5%, compared to $35.1 million in the same period of the prior year. Gross profit margin for the six months ended June 30, 2018 was 12.4% up from 10.1% in the first six months of 2017. Gross profit for the six months ended June 30, 2018 includes $5.7 million of restructuring charges related to asset retirements and the closeout of the Company’s Brazil operations. During the six months ended June 30, 2018, the Company incurred lower plant costs when compared to the same period of the prior year resulting from the retirement of certain underperforming and underutilized assets. This change was partially offset by lower margin experienced in the environmental &amp; infrastructure segment primarily attributable to a project loss and lower fixed cost coverage on plant due to lower volume of work during the first half of 2018. Further, the prior year periods include an approved change order on a project in the environmental &amp; infrastructure segment which positively impacted gross profit.</w:t>
      </w:r>
    </w:p>
    <w:p>
      <w:pPr>
        <w:spacing w:after="0" w:line="169"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During the three and six months ended June 30, 2018, general and administrative expenses were $15.2 million and $31.1 million, respectively, compared to the same periods in prior year in which the three and six months totaled $17.3 million and $34.1 million, respectively. General and administrative expenses decreased by $2.1 million and $3.0 million for the three and six months ended June 30, 2018, respectively compared to the same periods of the prior year.</w:t>
      </w:r>
    </w:p>
    <w:p>
      <w:pPr>
        <w:ind w:right="80"/>
        <w:spacing w:after="0" w:line="254" w:lineRule="auto"/>
        <w:rPr>
          <w:sz w:val="20"/>
          <w:szCs w:val="20"/>
          <w:color w:val="auto"/>
        </w:rPr>
      </w:pPr>
      <w:r>
        <w:rPr>
          <w:rFonts w:ascii="Arial" w:cs="Arial" w:eastAsia="Arial" w:hAnsi="Arial"/>
          <w:sz w:val="18"/>
          <w:szCs w:val="18"/>
          <w:color w:val="auto"/>
        </w:rPr>
        <w:t>These decreases were attributable to decreases in payroll and benefits for the three and six months of $0.9 million and $1.3 million, respectively. Further decreases in technical and consulting fees of $0.7 million and $1.1 million for the three and six months, respectively contributed to the change in general and administrative expenses compared to the same periods of 2017. The first half of 2018 includes $0.1 million of general and administrative charges associated with restructuring.</w:t>
      </w:r>
    </w:p>
    <w:p>
      <w:pPr>
        <w:spacing w:after="0" w:line="1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Operating income for the second quarter of 2018 was $8.1 million, up $5.3 million compared to operating income of $2.8 million for the same quarter in 2017. The increase in operating income for the second quarter of 2018 was a result of higher gross profit and lower general and administrative expenses compared to the same period in the prior year, as described above. This increase in operating income was offset by a $1.2 million decrease in gain on sale of assets. For the six months ended June 30, 2018, the Company experienced operating income of $7.1 million, a change of $6.2 million, from operating income of $0.9 million in the same prior year period. The change in operating loss for the second quarter of 2018 was a result of lower general and administrative expenses partially and higher gross profit compared to the same period in the prior year, as described above. For the six months ended June 30, 2018, there was a $1.4 million increase in gain on sale of assets.</w:t>
      </w:r>
    </w:p>
    <w:p>
      <w:pPr>
        <w:spacing w:after="0" w:line="17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For the three months ended June 30, 2018 and 2017, net interest expense was $9.0 million and $6.4 million, respectively. Net interest expense for the six months ended June 30, 2018 was $17.7 million, up $5.7 million, or 48%, from interest expense of $12.0 million for the same period in the prior year. The increase in interest expense for the six months ended June 30, 2018 was primarily attributable to a decrease in the amount of interest expense that was being capitalized during the construction of the Company’s dual mode articulated tug/barge trailing suction hopper dredge, the </w:t>
      </w:r>
      <w:r>
        <w:rPr>
          <w:rFonts w:ascii="Arial" w:cs="Arial" w:eastAsia="Arial" w:hAnsi="Arial"/>
          <w:sz w:val="16"/>
          <w:szCs w:val="16"/>
          <w:i w:val="1"/>
          <w:iCs w:val="1"/>
          <w:color w:val="auto"/>
        </w:rPr>
        <w:t>Ellis Island</w:t>
      </w:r>
      <w:r>
        <w:rPr>
          <w:rFonts w:ascii="Arial" w:cs="Arial" w:eastAsia="Arial" w:hAnsi="Arial"/>
          <w:sz w:val="16"/>
          <w:szCs w:val="16"/>
          <w:color w:val="auto"/>
        </w:rPr>
        <w:t>, and an increase in interest expense related to the higher principal on the Company’s new senior notes as compared to the same periods in the prior year.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ind w:right="20"/>
        <w:spacing w:after="0" w:line="259" w:lineRule="auto"/>
        <w:rPr>
          <w:sz w:val="20"/>
          <w:szCs w:val="20"/>
          <w:color w:val="auto"/>
        </w:rPr>
      </w:pPr>
      <w:r>
        <w:rPr>
          <w:rFonts w:ascii="Arial" w:cs="Arial" w:eastAsia="Arial" w:hAnsi="Arial"/>
          <w:sz w:val="18"/>
          <w:szCs w:val="18"/>
          <w:color w:val="auto"/>
        </w:rPr>
        <w:t>Income tax provision for the three months ended June 30, 2018 was $0.1 million compared to an income tax benefit of $3.5 million, for the same period in the prior year. For the six months ended June 30, 2018 and 2017, the income tax benefit was $3.2 million and $6.2 million, respectively. The effective tax rate for the six months ended June 30, 2018 was 23.9%, lower than the effective tax rate of 41.5% for the same period of 2017. The change in effective tax rate is attributable to the recent Tax Cuts and Jobs Act enacted in the fourth quarter of 2017.</w:t>
      </w:r>
    </w:p>
    <w:p>
      <w:pPr>
        <w:spacing w:after="0" w:line="18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experienced a net loss from continuing operations of $1.0 million and a diluted loss per share attributable to continuing operations of $0.02 for the three months ended June 30, 2018, compared to a net loss from continuing operations of $4.2 million and diluted loss per share attributable to continuing operations of $0.07 for the three months ended June 30, 2017. The Company experienced a net loss from continuing operations of $10.3 million and a diluted loss per share attributable to continuing operations of $0.17 for the six months ended June 30, 2018, compared to a net loss from continuing operations of $8.8 million and a diluted loss per share attributable to continuing operations of $0.14 for the same period of 2017. The change in net loss from continuing operations for the three and six months was driven by an increase in interest expense offset by a $2.3 million loss on extinguishment of debt resulting from the Company’s senior notes and a $1.5 million loss associated with the Company’s TerraSea joint venture that were incurred in the same period in the prior year. The change in net loss from continuing operations for the six months ended June 30, 2018 was driven by a $2.0 million charge to other expense for the reversal of a currency translation adjustment related to the closeout of the Company’s Brazil operations during the current year. These items were partially offset by positive changes to operating income and income tax benefit, as noted above, during the first six months of 2018 when compared to the same period in the prior year.</w:t>
      </w:r>
    </w:p>
    <w:p>
      <w:pPr>
        <w:spacing w:after="0" w:line="1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Adjusted EBITDA from continuing operations (as defined on page 24) for the quarter ended June 30, 2018 was $21.4 million, up $6.3 million, or 42%, from $15.1 million in the same quarter in the prior year. The change in Adjusted EBITDA from continuing operations during the second quarter of 2018 was driven by higher gross profit, excluding depreciation. This change was increased by lower general and administrative expenses and an increase of $1.2 million in (gain) loss on sale of fixed assets, as described above. For the six months ended June 30, 2018, Adjusted EBITDA from continuing operations was $33.1 million, up $6.3 million, or 23.5% compared to $26.8 million for the same prior year period. The change in Adjusted EBITDA from continuing operations during the first six months of 2018 was attributable to higher gross profit, excluding depreciation, mostly offset by the $2.0 million charge to other expense, as described above. The three and six months ended June 30, 2017 included a $1.5 million loss associated with the Company’s TerraSea joint venture.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Dredging segment revenues for the second quarter of 2018 were $135.3 million, a decrease of $17.2 million, or 11% as compared to revenues of $152.5 million for the second quarter of 2017. Dredging revenues for the six months ended June 30, 2018 were $268.9 million, down $36.7 million, or 12%, compared to revenues of $305.6 million for the same prior year period. For the six months ended June 30, 2018, the dredging segment the experienced an increase in domestic capital revenues. This increase was offset by decreases in all other types of work. This change in current year revenues was driven by a greater volume of maintenance projects worked during the three and six months ended June 30, 2017 as compared to the current year periods as well as revenue earned on a project in Saudi Arabia during the first half of 2017 that did not repeat in 2018. Further, the Company earned a greater amount of revenue on a lake project in Illinois and on coastal protection projects in New York, New Jersey and Virginia during the first six months of 2017. These negative impacts to the change in revenue year over year were partially offset by higher domestic capital dredging revenues driven by revenue earned on coastal restoration projects as well as the Charleston entrance channel deepening projects during the three and six months ended June 30, 2018.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Dredging segment gross profit for the second quarter of 2018 was $22.1 million, an increase of $6.1 million or 38%, from a gross profit of $16.0 million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same period of the prior year. For the six months ended June 30, 2018, the dredging segment gross profit was $36.3 million, up from a gross profit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$29.1 million in the same period of 2017. Dredging segment gross profit margin for the second quarter of 2018 was 16.3% compared to 10.5% for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2017. Further, dredging segment gross profit margin for the six months ended June 30, 2018 increased to 13.5% from gross profit margin of 9.5%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of 2017. Gross profit for the three and six months ended June 30, 2018 includes $1.4 million and $5.7 million, respectively, of restructuring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related to asset retirements and the closeout of the Company’s Brazil operations. The increase in dredging segment gross profit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2018 was attributable to improved project execution, greater fixed cost coverage and a reduction of overhead when compared to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in the prior year. The increase in dredging segment gross profit for the first half of 2018 was driven by lower spend on plant costs during the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when compared to the same period of the prior year resulting from the retirement of certain underperforming and underutilized assets. This increase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lower margins on some of the Company’s domestic dredging projects.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quarter ended June 30, 2018, the dredging segment recorded operating income of $11.6 million, up $8.6 million, from $3.0 million for the same period of the prior year. Dredging segment operating income for the six months ended June 30, 2018 was $13.7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40"/>
        <w:spacing w:after="0" w:line="255" w:lineRule="auto"/>
        <w:rPr>
          <w:sz w:val="20"/>
          <w:szCs w:val="20"/>
          <w:color w:val="auto"/>
        </w:rPr>
      </w:pPr>
      <w:r>
        <w:rPr>
          <w:rFonts w:ascii="Arial" w:cs="Arial" w:eastAsia="Arial" w:hAnsi="Arial"/>
          <w:sz w:val="18"/>
          <w:szCs w:val="18"/>
          <w:color w:val="auto"/>
        </w:rPr>
        <w:t>million, a $10.0 million increase from $3.7 million in the first six months of 2017. The change in operating income for the three and six months ended June 30, 2018 is primarily attributable to higher gross profit, as described above. General and administrative expenses within the dredging segment declined slightly during the three and six months ended June 30, 2018, mostly related to decreases in payroll and benefits expense, resulting from restructuring savings initiatives, slightly offset by increases in legal and professional fees compared to the same periods in 2017. The Company recorded a gain on sale of assets of $1.1 million and $1.3 million for the three and six months ended June 30, 2018, respectively, which further contributed to the increase in operating income compared to the same prior year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infrastructure</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For the quarter ended June 30, 2018, environmental &amp; infrastructure revenues were $15.3 million, down $9.4 million from revenues of $24.7 million in the same quarter of the previous year. Environmental &amp; infrastructure segment revenues for the six months ended June 30, 2018 were $28.3 million, down $15.6 million, or 36%, from revenue of $43.9 million for the first six months of 2017. Environmental &amp; infrastructure revenues for the first six months of 2018 included work on remediation projects in New Jersey and California and a geotechnical project in Texas. Revenue on these projects was offset by greater revenue earned in the prior year on remediation projects in Florida, Pennsylvania and Colorado in addition to emergency geotechnical work that did not repeat during the current year. Additionally, the three and six months ended June 30, 2017 includes revenue related to service lines of the environmental &amp; infrastructure segment’s business which did not operate during the current year.</w:t>
      </w:r>
    </w:p>
    <w:p>
      <w:pPr>
        <w:spacing w:after="0" w:line="178"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Environmental &amp; infrastructure segment gross profit for the second quarter of 2018 was $0.1 million, down $4.2 million, from gross profit of $4.3 million in the second quarter of 2017. The environmental &amp; infrastructure segment experienced a gross profit of $0.7 million and $6.0 million for the six months ended June 30, 2018 and 2017, respectively. Environmental &amp; infrastructure gross profit margin was 0.7% and 17.3% for the three months ended June 30, 2018 and 2017, respectively. For the first six months of 2018, the environmental &amp; infrastructure segment experienced a gross profit margin of 2.5% compared to</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13.6% for the same period of the prior year. The change in gross profit was driven by lower margins on projects in the second quarter of 2018 when compared to the same period in the prior year. The change in gross profit during the six months ended June 30, 2018 was driven lower margin resulting from a project loss and lower fixed cost coverage on plant due to lower volume of work during the first half of 2018. Further, the prior year periods include an approved change order on a project which positively impacted the environmental &amp; infrastructure segment’s gross profit.</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environmental &amp; infrastructure segment experienced an operating loss of $3.4 million for the quarter ended June 30, 2018, a $3.3 million change from an operating loss of $0.1 million for the same quarter in 2017. For the six months ended June 30, 2018, the environmental &amp; infrastructure segment experienced an operating loss of $6.7 million, a change of $3.8 million compared to an operating loss of $2.9 million for the same period of the prior year. The change in operating loss for the six months ended June 30, 2018 is mostly attributable to the decrease in gross profit, as described above, partially offset by a decrease in general and administrative expenses. For the three and six months ended June 30, 2018, the environmental &amp; infrastructure segment experienced decreases in payroll and benefits expenses resulting from restructuring savings initiatives and a slight decline in technical and consulting fees when compared to the same periods in 2017.</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Backlog (in thousands)</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5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Capital - U.S.</w:t>
            </w:r>
          </w:p>
        </w:tc>
        <w:tc>
          <w:tcPr>
            <w:tcW w:w="1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335,588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383,577</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238,581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foreign</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129,689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76,460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55,439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42,866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1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25,192</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19,046</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Dredging Backlog</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506,511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511,320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385,471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Environmental &amp; infrastructure</w:t>
            </w:r>
          </w:p>
        </w:tc>
        <w:tc>
          <w:tcPr>
            <w:tcW w:w="1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534,965</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546,677</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438,239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contract backlog represents its estimate of the revenues that will be realized under the portion of the contracts remaining to be performed. For dredging and environmental &amp; infrastructure contracts these estimates are based on the time and remaining costs required to complete the project relative to total estimated project costs and project revenues agreed to with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right="20"/>
        <w:spacing w:after="0" w:line="272" w:lineRule="auto"/>
        <w:rPr>
          <w:sz w:val="20"/>
          <w:szCs w:val="20"/>
          <w:color w:val="auto"/>
        </w:rPr>
      </w:pPr>
      <w:r>
        <w:rPr>
          <w:rFonts w:ascii="Arial" w:cs="Arial" w:eastAsia="Arial" w:hAnsi="Arial"/>
          <w:sz w:val="17"/>
          <w:szCs w:val="17"/>
          <w:color w:val="auto"/>
        </w:rPr>
        <w:t>customer. However, these estimates are necessarily subject to variances based upon actual circumstances. Because of these factors, as well as factors affecting the time required to complete each job, backlog is not always indicative of future revenues or profitability. Also, 82% of the Company’s June 30, 2018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domestic dredging bid market for the quarter ended June 30, 2018 was $359.6 million, a $140.3 million increase compared to the same period in the prior year. For the six months ended June 30, 2018, the domestic dredging bid market was $692.1 million, an increase of $264.8 million, compared to the first six months of 2017. Domestic capital projects awarded during the current year period include the Boston Harbor deepening project, an additional deepening project in Massachusetts, the option on the Charleston entrance channel deepening project and a channel widening project in Texas. Additional domestic projects awarded during the current period include maintenance work in Louisiana and on the West Coast, an LNG project in Texas, coastal protection projects in New York, Florida, South Carolina and North Carolina and rivers &amp; lakes projects in Louisiana and on the Mississippi River. The bid market for the six months ended June 30, 2018 improved over the prior year due to higher amounts of all domestic dredging work types being bid as compared to the same prior year period. For the contracts awarded during the first half of the current year, the Company won 76%, or $135.7 million, of the coastal protection projects, 35%, or $86.0 million, of the domestic capital projects, 4%, or $8.6 million, of the maintenance projects and 23%, or $12.4 million, of rivers &amp; lakes projects through June 30, 2018. The Company won 35% of the overall domestic bid market for the first six months of 2018, which is below the Company’s prior three year average of 46%. Variability in contract wins from quarter to quarter is not unusual and one quarter’s win rate is generally not indicative of the win rate the Company is likely to achieve for a full year.</w:t>
      </w:r>
    </w:p>
    <w:p>
      <w:pPr>
        <w:spacing w:after="0" w:line="180"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The Company’s contracted dredging backlog was $506.5 million at June 30, 2018 compared to $511.3 million of backlog at December 31, 2017. These amounts do not reflect approximately $84.2 million of domestic low bids pending formal award and additional phases (“options”) pending on projects currently in backlog at June 30, 2018. At December 31, 2017 the amount of domestic low bids and options pending award was $69.9 million.</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Domestic capital dredging backlog at June 30, 2018 was $48.0 million lower than at December 31, 2017. During the first six months of 2018, the Company was awarded the option on the Charleston entrance channel deepening project and a channel widening project in Texas. During the six months ended June 30, 2018, the Company earned revenue on the Charleston entrance channel deepening project, coastal restoration projects in Louisiana and an LNG project in Texas which were in backlog at December 31, 2017. The Company completed work on the multi-year Delaware River and Savannah Harbor deepening projects during the first six months of 2018. Subsequent to the end of the quarter, the Company was awarded a $14 million variation order for deepening work on the Delaware River. Successful expansion of the Panama Canal in recent years continues to put pressure on ports on the East and Gulf Coasts to deepen and widen in anticipation of the neo-Panamax vessels. With several port expansions underway, several other port expansions are entering new phases and several additional projects are being expedited. Deepening projects in Corpus Christi, Jacksonville and Tampa were recently let for bid. Further, projects to deepen the Mississippi River and Port of Virginia are being expedited. The nation’s governors continue to show commitment to their respective ports through engagement and funding. Finally, Congress has also shown a commitment to ports and waterways, providing record annual budgets for the Corps for port deepening and channel maintenance.</w:t>
      </w:r>
    </w:p>
    <w:p>
      <w:pPr>
        <w:spacing w:after="0" w:line="1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Foreign capital dredging backlog at June 30, 2018 was $4.8 million lower than at December 31, 2017. During the second quarter of 2017, the Company was the low bidder on a $68 million project in Bahrain which the Company expects to be awarded by the third quarter of 2018. During the first six months of 2018, the Company continued to earn revenue on projects in the Middle East which were in backlog at December 31, 2017. During the first quarter of 2018, the Company completed work on a multi-year project in Saudi Arabia. Upcoming projects expected to be awarded are not being completed under the tight time constraints that were required on prior years’ large infrastructure projects. As a result, anticipated margins in the current year are expected to be lower than margins experienced internationally over the past several years. The world’s need for reclaimed land continues to expand to support global energy consumption, seaborne trade, population growth and tourism, all of which are expected to add nearly 400 viable dredging projects over the next several years. The Company expects the additional global opportunities to provide a continued source of future international dredging revenue.</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Coastal protection dredging backlog at June 30, 2018 was $53.2 million higher than at December 31, 2017. In the first six months of 2018, the Company was awarded coastal protection projects in Georgia, New York, Virginia, North Carolina and South Carolina totaling approximately $135.7 million. During the first six months of 2018, the Company completed coastal protection projects in New Jersey, South Carolina and Florida which were in backlog at December 31, 2017. Coastal protection and storm impacts continue to provide the major impetus for coastal project investment at federal and state levels. With continued funding available for projects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9" w:name="page30"/>
    <w:bookmarkEnd w:id="29"/>
    <w:p>
      <w:pPr>
        <w:spacing w:after="0" w:line="255" w:lineRule="auto"/>
        <w:rPr>
          <w:sz w:val="20"/>
          <w:szCs w:val="20"/>
          <w:color w:val="auto"/>
        </w:rPr>
      </w:pPr>
      <w:r>
        <w:rPr>
          <w:rFonts w:ascii="Arial" w:cs="Arial" w:eastAsia="Arial" w:hAnsi="Arial"/>
          <w:sz w:val="18"/>
          <w:szCs w:val="18"/>
          <w:color w:val="auto"/>
        </w:rPr>
        <w:t>the Northeast from the Sandy supplemental appropriations, the Company expects to continue to see an increase in projects let for bid in the coastal protection market. As a result of the extreme storm system last year involving Hurricanes Harvey, Irma, and Maria, the U.S. Senate Committee on Appropriations passed supplemental appropriations for disaster relief and recovery which includes $17.4 billion for the Corps to fund projects that will reduce the risk of future damage from flood and storm events. The Corps is beginning to provide visibility on their plans for this money, and it is currently believed that over $1 billion is expected to be added to their dredging related budget over the next few years. Most of this work is anticipated to be coastal protection related, but some funding may be provided for channel maintenance.</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Maintenance dredging backlog was down $11.4 million from December 31, 2017. During the first six months of 2018, the Company was awarded a maintenance project in Texas. During the first six months of 2018, the Company completed work on projects in Maryland, Mississippi and Delaware which were in backlog at December 31, 2017. The Company continued to earn revenue on a project in Virginia during the first half of 2018. In March 2018, Congress approved and the President signed an omnibus spending bill through fiscal year 2018. The spending bill continues the increases in the budget for the Corps and exceeds the increase in Harbor Maintenance Trust Fund (“HMTF”) spending for maintenance dredging as required by the 2014 Water Resources and Development Act. Further, the water resources development bill, rebranded as the Water Infrastructure Improvements for the Nation Act (“WIIN”) was enacted during the fourth quarter of 2016. WIIN emphasizes previous Water Resources Reform and Development Act (“WRRDA”) language which calls for full use of the HMTF for its intended purpose of maintaining future access to the waterways and ports that support our nation’s economy. Further, WIIN ensures that Harbor Maintenance Tax (“HMT”) funding targets will increase by three percent over the prior year, even if the HMT revenue estimates decrease, to continue annual progress towards full use of the HMT by 2025. Through the increased appropriation of HMTF monies, the Company anticipates an increase in harbor projects to be let for bid throughout 2018 and beyond. In line with their commitment, Congress has improved spending from the HMTF by providing the Corps with record annual budgets including 94% utilization of the HMTF in FY 2018 and 95% proposed in the FY 2019 budget.</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Rivers &amp; lakes backlog at June 30, 2018 increased by $6.1 million from backlog at December 31, 2017. During the second quarter of 2018, the Company was awarded a project in Louisiana. For the six months ended June 30, 2018, the Company continued to earn revenue on projects in New Jersey and Mississippi and on a lake project in Illinois which were in backlog at December 31, 2017. Subsequent to the end of the second quarter, the Company was awarded a $70 million project in Texas which is the first major Houston-area flood-control project after Hurricane Harvey. The project is expected to keep the Company’s rivers &amp; lakes’ equipment occupied into 2019.</w:t>
      </w:r>
    </w:p>
    <w:p>
      <w:pPr>
        <w:spacing w:after="0" w:line="18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Environmental &amp; infrastructure services backlog decreased $6.9 million from December 31, 2017. During the first six months of 2018, the Company was awarded five remediation projects and three geotechnical projects. For the six months ended June 30, 2018, the Company continued to earn revenue on remediation projects in New Jersey, California and Texas which were in backlog at December 31, 2017. Environmental &amp; infrastructure continues to hold focus on geographical expansion of geotechnical service offerings. Additionally, the Company is pursuing remediation opportunities arising from the transformation of the U.S. infrastructure, specifically related to the remediation requirements as mandated by the Environmental Protection Agency’s rule to regulate the disposal of coal combustion residuals from electric utilities promulgated in June 2015. The Company has implemented an aggressive initiative targeting project work in the water management and infrastructure sector, including embankment (dam and levee) rehabilitation, channel maintenance, wetlands and habitat restoration, reservoir construction and maintenance, and shoreline stabilization and reinforcement.</w:t>
      </w:r>
    </w:p>
    <w:p>
      <w:pPr>
        <w:spacing w:after="0" w:line="3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borrowings under the Company’s revolving credit facility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cash provided by operating activities of continuing operations for the six months ended June 30, 2018 and 2017 totaled $25.3 million and $22.6 million, respectively. Normal increases or decreases in the level of working capital relative to the level of operational activity impact cash flow from operating activities. The increase in cash provided by operating activities of continuing operations in the first six months of 2018 compared to the same period in the prior year was driven by a greater investment in working capital during the prior year period.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cash flows used in investing activities for the first six months of 2018 and 2017 totaled $1.8 million and $32.1 million, respectively. Investing activities primarily relate to normal course upgrades and capital maintenance of the Company’s dredging fleet. During the first quarter of 2018, the Company received $4.5 million in cash proceeds from a sale-leaseback of a dredge. Additionally, during the first half of 2018, the Company received $5.5 million in proceeds from the sale of underperforming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spacing w:after="0" w:line="342" w:lineRule="auto"/>
        <w:rPr>
          <w:sz w:val="20"/>
          <w:szCs w:val="20"/>
          <w:color w:val="auto"/>
        </w:rPr>
      </w:pPr>
      <w:r>
        <w:rPr>
          <w:rFonts w:ascii="Arial" w:cs="Arial" w:eastAsia="Arial" w:hAnsi="Arial"/>
          <w:sz w:val="16"/>
          <w:szCs w:val="16"/>
          <w:color w:val="auto"/>
        </w:rPr>
        <w:t xml:space="preserve">and underutilized assets identified through the Company’s strategic review. During the six months ended June 30, 2018, the Company spent $1.7 million on the Company’s dual mode articulated tug/barge trailing suction hopper dredge, the </w:t>
      </w:r>
      <w:r>
        <w:rPr>
          <w:rFonts w:ascii="Arial" w:cs="Arial" w:eastAsia="Arial" w:hAnsi="Arial"/>
          <w:sz w:val="16"/>
          <w:szCs w:val="16"/>
          <w:i w:val="1"/>
          <w:iCs w:val="1"/>
          <w:color w:val="auto"/>
        </w:rPr>
        <w:t>Ellis Island</w:t>
      </w:r>
      <w:r>
        <w:rPr>
          <w:rFonts w:ascii="Arial" w:cs="Arial" w:eastAsia="Arial" w:hAnsi="Arial"/>
          <w:sz w:val="16"/>
          <w:szCs w:val="16"/>
          <w:color w:val="auto"/>
        </w:rPr>
        <w:t>, compared to $18.4 million in the same period in the prior year.</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cash flows provided by (used in) financing activities for the six months ended June 30, 2018 and 2017 totaled $(25.8) million and $26.6 million, respectively. The decrease in cash provided by financing activities primarily relates to the issuance of the Company’s $325 million of 8% senior notes during the second quarter of 2017. The Company used a portion of the net proceeds to redeem its $275 million of 7.375% senior notes and repay a portion of the Company’s revolver during the six months ended June 30, 2017. The Company also paid $4.5 million in financing fees on the issuance of the senior notes during the prior year period. Further, the Company had $24.1 million of repayments on its revolving credit facility during the first six months of 2018 compared to repayments of $18.1 million during the same period of the prior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CIBC Bank USA,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 million, subfacilities for the issuance of standby letters of credit up to a $250 million sublimit and swingline loans up to a $25 million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 million. This increase is subject to lenders providing incremental commitments for such increase, the Credit Parties having adequate borrowing capacity and that no default or event of default exists both before and after giving effect to such incremental commitment increase.</w:t>
      </w:r>
    </w:p>
    <w:p>
      <w:pPr>
        <w:spacing w:after="0" w:line="16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Credit Agreement also provides for certain actions contemplated in the plan of restructuring with respect to the Company’s 2017 and 2018 fiscal years including allowing up to an aggregate of $20 million of expenses related to the buy-out of operating leases and allowing capital expenditures planned but not incurred by all Credit Parties in fiscal year 2017 to be carried forward to fiscal year 2018; provided that, the aggregate amount of all capital expenditures incurred by all Credit Parties in fiscal years 2017 and 2018 does not exceed $135 million. Additionally, the Credit Agreement contains acknowledgments and agreements from the Agent and the required lenders with respect to certain EBITDA add-backs for fiscal years 2017 and 2018 described therein. Refer to Note 8, Restructuring charges, in the company’s financial statements.</w:t>
      </w:r>
    </w:p>
    <w:p>
      <w:pPr>
        <w:spacing w:after="0" w:line="17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Company is required to maintain this ratio if its availability under the Credit Agreement falls below $31.3 million for five consecutive days or $25.0 million for one day. The Credit Parties are also restricted in the amount of capital expenditures they may make in each fiscal year.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and finance ongoing working capital, and for other general corporate purposes. The Credit Agreement matures on December 30, 2019.</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ind w:right="20"/>
        <w:spacing w:after="0" w:line="271" w:lineRule="auto"/>
        <w:rPr>
          <w:sz w:val="20"/>
          <w:szCs w:val="20"/>
          <w:color w:val="auto"/>
        </w:rPr>
      </w:pPr>
      <w:r>
        <w:rPr>
          <w:rFonts w:ascii="Arial" w:cs="Arial" w:eastAsia="Arial" w:hAnsi="Arial"/>
          <w:sz w:val="17"/>
          <w:szCs w:val="17"/>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publically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 under the senior secured revolving credit facility.</w:t>
      </w:r>
    </w:p>
    <w:p>
      <w:pPr>
        <w:spacing w:after="0" w:line="1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June 30, 2018, the Company had $70.9 million of borrowings on the revolver and $31.6 million of letters of credit outstanding, resulting in $75.5 million of availability under the Credit Agreement. The availability under the Credit Agreement is suppressed by $72.0 million as of June 30, 2018 as a result of certain additional limitations set forth in the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 agreements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 million to $10 million. At June 30, 2018, the Company had outstanding performance bonds totaling approximately $1,245.1 million, of which $41.1 million relates to projects from the Company’s historical environmental &amp; infrastructure businesses. The revenue value remaining in backlog related to these projects totaled approximately $498.1 million.</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 million for failure of the contractor to perform in accordance with the terms of a project. In May 2017, Zurich drew upon the letter of credit in the amount of $20.9 million. In order to fund the draw on the letter of credit, the Company had to increase the borrowings on its revolving credit facility. As the outstanding letters of credit previously reduced our availability under the revolving credit facility, this draw down on our letter of credit does not impact our liquidity or capital availability.</w:t>
      </w:r>
    </w:p>
    <w:p>
      <w:pPr>
        <w:spacing w:after="0" w:line="18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11, Business dispositions, to the Company’s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In May 2017, the Company issued $325 million in aggregate principal amount of its 8% senior notes (“8% Senior Notes”) due May 15, 2022. Approximately $283 million of the net proceeds from the issuance of the 8% Senior Notes were used to prepay all of the Company’s 7.375% senior notes due February 2019, including a tender premium and accrued and unpaid interest. Interest on the 8% Senior Notes is payable semi-annually in arrears on May 15 and November</w:t>
      </w:r>
    </w:p>
    <w:p>
      <w:pPr>
        <w:ind w:right="40"/>
        <w:spacing w:after="0" w:line="269" w:lineRule="auto"/>
        <w:rPr>
          <w:sz w:val="20"/>
          <w:szCs w:val="20"/>
          <w:color w:val="auto"/>
        </w:rPr>
      </w:pPr>
      <w:r>
        <w:rPr>
          <w:rFonts w:ascii="Arial" w:cs="Arial" w:eastAsia="Arial" w:hAnsi="Arial"/>
          <w:sz w:val="17"/>
          <w:szCs w:val="17"/>
          <w:color w:val="auto"/>
        </w:rPr>
        <w:t>15 of each year, beginning on November 15, 2017. The 8% Senior Notes are senior unsecured obligations of the Company and will be guaranteed on a senior unsecured basis by the guarantors and any other subsidiary guarantors that from time to time become parties to the indenture. The terms of the indenture,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right="300"/>
        <w:spacing w:after="0" w:line="312" w:lineRule="auto"/>
        <w:rPr>
          <w:sz w:val="20"/>
          <w:szCs w:val="20"/>
          <w:color w:val="auto"/>
        </w:rPr>
      </w:pPr>
      <w:r>
        <w:rPr>
          <w:rFonts w:ascii="Arial" w:cs="Arial" w:eastAsia="Arial" w:hAnsi="Arial"/>
          <w:sz w:val="16"/>
          <w:szCs w:val="16"/>
          <w:color w:val="auto"/>
        </w:rPr>
        <w:t>The impact of changes in functional currency exchange rates against the U.S. dollar on non-U.S. dollar cash balances, primarily the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4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preparing its consolidated financial statements, the Company follows GAAP, which is described in Note 1, Basis of presentation, to the Company’s December 31, 2017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2017.</w:t>
      </w:r>
    </w:p>
    <w:p>
      <w:pPr>
        <w:spacing w:after="0" w:line="3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market risk of the Company’s financial instruments as of June 30, 2018 has not materially changed since December 31, 2017. The market risk profile of the Company on December 31, 2017 is disclosed in Item 7A. “Quantitative and Qualitative Disclosures about Market Risk” of the Company’s Annual Report on Form 10-K for the year ended December 31, 2017.</w:t>
      </w:r>
    </w:p>
    <w:p>
      <w:pPr>
        <w:spacing w:after="0" w:line="3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June 30,</w:t>
      </w:r>
    </w:p>
    <w:p>
      <w:pPr>
        <w:ind w:right="120"/>
        <w:spacing w:after="0" w:line="254" w:lineRule="auto"/>
        <w:rPr>
          <w:sz w:val="20"/>
          <w:szCs w:val="20"/>
          <w:color w:val="auto"/>
        </w:rPr>
      </w:pPr>
      <w:r>
        <w:rPr>
          <w:rFonts w:ascii="Arial" w:cs="Arial" w:eastAsia="Arial" w:hAnsi="Arial"/>
          <w:sz w:val="18"/>
          <w:szCs w:val="18"/>
          <w:color w:val="auto"/>
        </w:rPr>
        <w:t>2018.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9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June 30, 2018 in providing such a reasonable assurance.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9, Commitments and contingencies, in the Notes to Condensed Consolidated Financial Statements.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except for the following, during the six months ended June 30, 2018 to the risk factors previously disclosed in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the Company’s Annual Report on Form 10-K for the year ended 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tariffs have resulted in increased prices and could adversely affect our business operations, revenues and profits.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Recently, the United States imposed Section 232 tariffs on certain steel and aluminum products, such as imported dredge-related machinery and pipes. These tariffs have increased the prices of these inputs. Increased prices for imported steel and aluminum products have lead domestic sellers to respond with market-based increases to prices for such inputs as well. We cannot be sure of the ultimate effect such tariffs or any additional tariffs will have on our operating profits. If we are not able to pass these price increases on to our customers or to secure adequate alternative sources for such inputs on a timely basis, the tariffs may have a material adverse effect on our business operations, revenues and profits.</w:t>
      </w:r>
    </w:p>
    <w:p>
      <w:pPr>
        <w:spacing w:after="0" w:line="2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4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83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0140" w:type="dxa"/>
            <w:vAlign w:val="bottom"/>
          </w:tcPr>
          <w:p>
            <w:pPr>
              <w:ind w:left="240"/>
              <w:spacing w:after="0"/>
              <w:rPr>
                <w:sz w:val="20"/>
                <w:szCs w:val="20"/>
                <w:color w:val="auto"/>
              </w:rPr>
            </w:pPr>
            <w:r>
              <w:rPr>
                <w:rFonts w:ascii="Arial" w:cs="Arial" w:eastAsia="Arial" w:hAnsi="Arial"/>
                <w:sz w:val="18"/>
                <w:szCs w:val="18"/>
                <w:color w:val="auto"/>
                <w:w w:val="90"/>
              </w:rPr>
              <w:t>Certification Pursuant to Rules 13a-14 and 15d-14 under the Securities Exchange Act of 1934, as Adopted Pursuant to Section 302 of the</w:t>
            </w:r>
          </w:p>
        </w:tc>
      </w:tr>
      <w:tr>
        <w:trPr>
          <w:trHeight w:val="237"/>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14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0140" w:type="dxa"/>
            <w:vAlign w:val="bottom"/>
          </w:tcPr>
          <w:p>
            <w:pPr>
              <w:ind w:left="240"/>
              <w:spacing w:after="0"/>
              <w:rPr>
                <w:sz w:val="20"/>
                <w:szCs w:val="20"/>
                <w:color w:val="auto"/>
              </w:rPr>
            </w:pPr>
            <w:r>
              <w:rPr>
                <w:rFonts w:ascii="Arial" w:cs="Arial" w:eastAsia="Arial" w:hAnsi="Arial"/>
                <w:sz w:val="18"/>
                <w:szCs w:val="18"/>
                <w:color w:val="auto"/>
                <w:w w:val="90"/>
              </w:rPr>
              <w:t>Certification Pursuant to Rules 13a-14 and 15d-14 under the Securities Exchange Act of 1934, as Adopted Pursuant to Section 302 of the</w:t>
            </w:r>
          </w:p>
        </w:tc>
      </w:tr>
      <w:tr>
        <w:trPr>
          <w:trHeight w:val="237"/>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14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014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3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014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8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40" w:type="dxa"/>
            <w:vAlign w:val="bottom"/>
          </w:tcPr>
          <w:p>
            <w:pPr>
              <w:ind w:left="240"/>
              <w:spacing w:after="0"/>
              <w:rPr>
                <w:sz w:val="20"/>
                <w:szCs w:val="20"/>
                <w:color w:val="auto"/>
              </w:rPr>
            </w:pPr>
            <w:r>
              <w:rPr>
                <w:rFonts w:ascii="Arial" w:cs="Arial" w:eastAsia="Arial" w:hAnsi="Arial"/>
                <w:sz w:val="18"/>
                <w:szCs w:val="18"/>
                <w:color w:val="auto"/>
              </w:rPr>
              <w:t>XBRL Instance Document.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40" w:type="dxa"/>
            <w:vAlign w:val="bottom"/>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661" w:right="5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84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Mark W. Marinko</w:t>
      </w:r>
    </w:p>
    <w:p>
      <w:pPr>
        <w:jc w:val="center"/>
        <w:ind w:left="71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3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June 30, 2018, as filed with the Securities and Exchange Commission on the date hereof (the “Report”), I, Lasse J. Petterson, Chief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3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2018,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39"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8"/>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decimal"/>
      <w:start w:val="10"/>
    </w:lvl>
  </w:abstractNum>
  <w:abstractNum w:abstractNumId="12">
    <w:nsid w:val="41A7C4C9"/>
    <w:multiLevelType w:val="hybridMultilevel"/>
    <w:lvl w:ilvl="0">
      <w:lvlJc w:val="left"/>
      <w:lvlText w:val="%1."/>
      <w:numFmt w:val="decimal"/>
      <w:start w:val="11"/>
    </w:lvl>
  </w:abstractNum>
  <w:abstractNum w:abstractNumId="13">
    <w:nsid w:val="6B68079A"/>
    <w:multiLevelType w:val="hybridMultilevel"/>
    <w:lvl w:ilvl="0">
      <w:lvlJc w:val="left"/>
      <w:lvlText w:val="%1."/>
      <w:numFmt w:val="decimal"/>
      <w:start w:val="12"/>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2019-12-28T21:18:13Z</dcterms:created>
  <dcterms:modified xsi:type="dcterms:W3CDTF">2019-12-28T21:18:13Z</dcterms:modified>
</cp:coreProperties>
</file>