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ind w:left="460" w:right="28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3185160</wp:posOffset>
            </wp:positionH>
            <wp:positionV relativeFrom="paragraph">
              <wp:posOffset>85725</wp:posOffset>
            </wp:positionV>
            <wp:extent cx="771525"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1"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6760" w:type="dxa"/>
            <w:vAlign w:val="bottom"/>
          </w:tcPr>
          <w:p>
            <w:pPr>
              <w:jc w:val="center"/>
              <w:ind w:right="3238"/>
              <w:spacing w:after="0"/>
              <w:rPr>
                <w:sz w:val="20"/>
                <w:szCs w:val="20"/>
                <w:color w:val="auto"/>
              </w:rPr>
            </w:pPr>
            <w:r>
              <w:rPr>
                <w:rFonts w:ascii="Arial" w:cs="Arial" w:eastAsia="Arial" w:hAnsi="Arial"/>
                <w:sz w:val="18"/>
                <w:szCs w:val="18"/>
                <w:b w:val="1"/>
                <w:bCs w:val="1"/>
                <w:color w:val="auto"/>
                <w:w w:val="91"/>
              </w:rPr>
              <w:t>Delaware</w:t>
            </w:r>
          </w:p>
        </w:tc>
        <w:tc>
          <w:tcPr>
            <w:tcW w:w="1260" w:type="dxa"/>
            <w:vAlign w:val="bottom"/>
          </w:tcPr>
          <w:p>
            <w:pPr>
              <w:jc w:val="right"/>
              <w:ind w:right="61"/>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6760" w:type="dxa"/>
            <w:vAlign w:val="bottom"/>
          </w:tcPr>
          <w:p>
            <w:pPr>
              <w:jc w:val="center"/>
              <w:ind w:right="323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60" w:type="dxa"/>
            <w:vAlign w:val="bottom"/>
          </w:tcPr>
          <w:p>
            <w:pPr>
              <w:jc w:val="center"/>
              <w:ind w:left="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760" w:type="dxa"/>
            <w:vAlign w:val="bottom"/>
          </w:tcPr>
          <w:p>
            <w:pPr>
              <w:jc w:val="center"/>
              <w:ind w:right="3238"/>
              <w:spacing w:after="0"/>
              <w:rPr>
                <w:sz w:val="20"/>
                <w:szCs w:val="20"/>
                <w:color w:val="auto"/>
              </w:rPr>
            </w:pPr>
            <w:r>
              <w:rPr>
                <w:rFonts w:ascii="Arial" w:cs="Arial" w:eastAsia="Arial" w:hAnsi="Arial"/>
                <w:sz w:val="14"/>
                <w:szCs w:val="14"/>
                <w:b w:val="1"/>
                <w:bCs w:val="1"/>
                <w:color w:val="auto"/>
                <w:w w:val="94"/>
              </w:rPr>
              <w:t>incorporation or organization)</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6"/>
              </w:rPr>
              <w:t>Identification No.)</w:t>
            </w:r>
          </w:p>
        </w:tc>
      </w:tr>
      <w:tr>
        <w:trPr>
          <w:trHeight w:val="300"/>
        </w:trPr>
        <w:tc>
          <w:tcPr>
            <w:tcW w:w="6760" w:type="dxa"/>
            <w:vAlign w:val="bottom"/>
          </w:tcPr>
          <w:p>
            <w:pPr>
              <w:jc w:val="center"/>
              <w:ind w:right="3238"/>
              <w:spacing w:after="0"/>
              <w:rPr>
                <w:sz w:val="20"/>
                <w:szCs w:val="20"/>
                <w:color w:val="auto"/>
              </w:rPr>
            </w:pPr>
            <w:r>
              <w:rPr>
                <w:rFonts w:ascii="Arial" w:cs="Arial" w:eastAsia="Arial" w:hAnsi="Arial"/>
                <w:sz w:val="18"/>
                <w:szCs w:val="18"/>
                <w:b w:val="1"/>
                <w:bCs w:val="1"/>
                <w:color w:val="auto"/>
                <w:w w:val="91"/>
              </w:rPr>
              <w:t>9811 Katy Freeway, Suite 1200, Houston, TX</w:t>
            </w:r>
          </w:p>
        </w:tc>
        <w:tc>
          <w:tcPr>
            <w:tcW w:w="1260" w:type="dxa"/>
            <w:vAlign w:val="bottom"/>
          </w:tcPr>
          <w:p>
            <w:pPr>
              <w:jc w:val="right"/>
              <w:ind w:right="261"/>
              <w:spacing w:after="0"/>
              <w:rPr>
                <w:sz w:val="20"/>
                <w:szCs w:val="20"/>
                <w:color w:val="auto"/>
              </w:rPr>
            </w:pPr>
            <w:r>
              <w:rPr>
                <w:rFonts w:ascii="Arial" w:cs="Arial" w:eastAsia="Arial" w:hAnsi="Arial"/>
                <w:sz w:val="18"/>
                <w:szCs w:val="18"/>
                <w:b w:val="1"/>
                <w:bCs w:val="1"/>
                <w:color w:val="auto"/>
              </w:rPr>
              <w:t>77024</w:t>
            </w:r>
          </w:p>
        </w:tc>
      </w:tr>
      <w:tr>
        <w:trPr>
          <w:trHeight w:val="186"/>
        </w:trPr>
        <w:tc>
          <w:tcPr>
            <w:tcW w:w="6760" w:type="dxa"/>
            <w:vAlign w:val="bottom"/>
          </w:tcPr>
          <w:p>
            <w:pPr>
              <w:jc w:val="center"/>
              <w:ind w:right="32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(Zip Code)</w:t>
            </w:r>
          </w:p>
        </w:tc>
      </w:tr>
      <w:tr>
        <w:trPr>
          <w:trHeight w:val="237"/>
        </w:trPr>
        <w:tc>
          <w:tcPr>
            <w:tcW w:w="6760" w:type="dxa"/>
            <w:vAlign w:val="bottom"/>
          </w:tcPr>
          <w:p>
            <w:pPr>
              <w:jc w:val="right"/>
              <w:ind w:right="1538"/>
              <w:spacing w:after="0"/>
              <w:rPr>
                <w:sz w:val="20"/>
                <w:szCs w:val="20"/>
                <w:color w:val="auto"/>
              </w:rPr>
            </w:pPr>
            <w:r>
              <w:rPr>
                <w:rFonts w:ascii="Arial" w:cs="Arial" w:eastAsia="Arial" w:hAnsi="Arial"/>
                <w:sz w:val="18"/>
                <w:szCs w:val="18"/>
                <w:b w:val="1"/>
                <w:bCs w:val="1"/>
                <w:color w:val="auto"/>
              </w:rPr>
              <w:t>(346) 359-1010</w:t>
            </w:r>
          </w:p>
        </w:tc>
        <w:tc>
          <w:tcPr>
            <w:tcW w:w="1260" w:type="dxa"/>
            <w:vAlign w:val="bottom"/>
          </w:tcPr>
          <w:p>
            <w:pPr>
              <w:spacing w:after="0"/>
              <w:rPr>
                <w:sz w:val="20"/>
                <w:szCs w:val="20"/>
                <w:color w:val="auto"/>
              </w:rPr>
            </w:pPr>
          </w:p>
        </w:tc>
      </w:tr>
      <w:tr>
        <w:trPr>
          <w:trHeight w:val="234"/>
        </w:trPr>
        <w:tc>
          <w:tcPr>
            <w:tcW w:w="6760" w:type="dxa"/>
            <w:vAlign w:val="bottom"/>
          </w:tcPr>
          <w:p>
            <w:pPr>
              <w:jc w:val="center"/>
              <w:ind w:left="233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2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7"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40"/>
        </w:trPr>
        <w:tc>
          <w:tcPr>
            <w:tcW w:w="45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120" w:type="dxa"/>
            <w:vAlign w:val="bottom"/>
            <w:vMerge w:val="continue"/>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GLDD</w:t>
            </w:r>
          </w:p>
        </w:tc>
        <w:tc>
          <w:tcPr>
            <w:tcW w:w="120" w:type="dxa"/>
            <w:vAlign w:val="bottom"/>
            <w:vMerge w:val="continue"/>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Nasdaq Stock Market, LLC</w:t>
            </w:r>
          </w:p>
        </w:tc>
        <w:tc>
          <w:tcPr>
            <w:tcW w:w="0" w:type="dxa"/>
            <w:vAlign w:val="bottom"/>
          </w:tcPr>
          <w:p>
            <w:pPr>
              <w:spacing w:after="0"/>
              <w:rPr>
                <w:sz w:val="1"/>
                <w:szCs w:val="1"/>
                <w:color w:val="auto"/>
              </w:rPr>
            </w:pPr>
          </w:p>
        </w:tc>
      </w:tr>
    </w:tbl>
    <w:p>
      <w:pPr>
        <w:spacing w:after="0" w:line="79"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4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33"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29, 2022, 66,083,310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90"/>
        </w:trPr>
        <w:tc>
          <w:tcPr>
            <w:tcW w:w="1040" w:type="dxa"/>
            <w:vAlign w:val="bottom"/>
          </w:tcPr>
          <w:p>
            <w:pPr>
              <w:spacing w:after="0"/>
              <w:rPr>
                <w:sz w:val="24"/>
                <w:szCs w:val="24"/>
                <w:color w:val="auto"/>
              </w:rPr>
            </w:pPr>
          </w:p>
        </w:tc>
        <w:tc>
          <w:tcPr>
            <w:tcW w:w="3180" w:type="dxa"/>
            <w:vAlign w:val="bottom"/>
            <w:tcBorders>
              <w:bottom w:val="single" w:sz="8" w:color="0000EE"/>
            </w:tcBorders>
            <w:gridSpan w:val="13"/>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 Financial Information (Unaudited)</w:t>
              </w:r>
            </w:hyperlink>
          </w:p>
        </w:tc>
        <w:tc>
          <w:tcPr>
            <w:tcW w:w="612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80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59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June 30, 2022 and December 31, 2021</w:t>
              </w:r>
            </w:hyperlink>
          </w:p>
        </w:tc>
        <w:tc>
          <w:tcPr>
            <w:tcW w:w="338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806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2022 and 2021</w:t>
              </w:r>
            </w:hyperlink>
          </w:p>
        </w:tc>
        <w:tc>
          <w:tcPr>
            <w:tcW w:w="124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1040" w:type="dxa"/>
            <w:vAlign w:val="bottom"/>
          </w:tcPr>
          <w:p>
            <w:pPr>
              <w:spacing w:after="0"/>
              <w:rPr>
                <w:sz w:val="24"/>
                <w:szCs w:val="24"/>
                <w:color w:val="auto"/>
              </w:rPr>
            </w:pPr>
          </w:p>
        </w:tc>
        <w:tc>
          <w:tcPr>
            <w:tcW w:w="9300" w:type="dxa"/>
            <w:vAlign w:val="bottom"/>
            <w:gridSpan w:val="23"/>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(Loss) for the Three and Six Months ended June 30, 2022 and</w:t>
              </w:r>
            </w:hyperlink>
          </w:p>
        </w:tc>
        <w:tc>
          <w:tcPr>
            <w:tcW w:w="90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8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2021</w:t>
              </w:r>
            </w:hyperlink>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300" w:type="dxa"/>
            <w:vAlign w:val="bottom"/>
            <w:gridSpan w:val="2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 for the Three and Six Months ended June 30, 2022 and 2021</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1040" w:type="dxa"/>
            <w:vAlign w:val="bottom"/>
          </w:tcPr>
          <w:p>
            <w:pPr>
              <w:spacing w:after="0"/>
              <w:rPr>
                <w:sz w:val="24"/>
                <w:szCs w:val="24"/>
                <w:color w:val="auto"/>
              </w:rPr>
            </w:pPr>
          </w:p>
        </w:tc>
        <w:tc>
          <w:tcPr>
            <w:tcW w:w="73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Six Months Ended June 30, 2022 and 2021</w:t>
              </w:r>
            </w:hyperlink>
          </w:p>
        </w:tc>
        <w:tc>
          <w:tcPr>
            <w:tcW w:w="360" w:type="dxa"/>
            <w:vAlign w:val="bottom"/>
            <w:tcBorders>
              <w:top w:val="single" w:sz="8" w:color="0000EE"/>
            </w:tcBorders>
          </w:tcPr>
          <w:p>
            <w:pPr>
              <w:spacing w:after="0"/>
              <w:rPr>
                <w:sz w:val="24"/>
                <w:szCs w:val="24"/>
                <w:color w:val="auto"/>
              </w:rPr>
            </w:pPr>
          </w:p>
        </w:tc>
        <w:tc>
          <w:tcPr>
            <w:tcW w:w="156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040" w:type="dxa"/>
            <w:vAlign w:val="bottom"/>
          </w:tcPr>
          <w:p>
            <w:pPr>
              <w:spacing w:after="0"/>
              <w:rPr>
                <w:sz w:val="24"/>
                <w:szCs w:val="24"/>
                <w:color w:val="auto"/>
              </w:rPr>
            </w:pPr>
          </w:p>
        </w:tc>
        <w:tc>
          <w:tcPr>
            <w:tcW w:w="9300" w:type="dxa"/>
            <w:vAlign w:val="bottom"/>
            <w:gridSpan w:val="2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0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494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752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1040" w:type="dxa"/>
            <w:vAlign w:val="bottom"/>
          </w:tcPr>
          <w:p>
            <w:pPr>
              <w:spacing w:after="0"/>
              <w:rPr>
                <w:sz w:val="24"/>
                <w:szCs w:val="24"/>
                <w:color w:val="auto"/>
              </w:rPr>
            </w:pPr>
          </w:p>
        </w:tc>
        <w:tc>
          <w:tcPr>
            <w:tcW w:w="9300" w:type="dxa"/>
            <w:vAlign w:val="bottom"/>
            <w:gridSpan w:val="23"/>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2000" w:type="dxa"/>
            <w:vAlign w:val="bottom"/>
            <w:tcBorders>
              <w:top w:val="single" w:sz="8" w:color="0000EE"/>
            </w:tcBorders>
            <w:gridSpan w:val="1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730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7980" w:type="dxa"/>
            <w:vAlign w:val="bottom"/>
            <w:gridSpan w:val="1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496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2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754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24"/>
                <w:szCs w:val="24"/>
                <w:color w:val="auto"/>
              </w:rPr>
            </w:pPr>
          </w:p>
        </w:tc>
        <w:tc>
          <w:tcPr>
            <w:tcW w:w="800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1040" w:type="dxa"/>
            <w:vAlign w:val="bottom"/>
          </w:tcPr>
          <w:p>
            <w:pPr>
              <w:spacing w:after="0"/>
              <w:rPr>
                <w:sz w:val="24"/>
                <w:szCs w:val="24"/>
                <w:color w:val="auto"/>
              </w:rPr>
            </w:pPr>
          </w:p>
        </w:tc>
        <w:tc>
          <w:tcPr>
            <w:tcW w:w="9300" w:type="dxa"/>
            <w:vAlign w:val="bottom"/>
            <w:gridSpan w:val="2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220" w:type="dxa"/>
            <w:vAlign w:val="bottom"/>
            <w:tcBorders>
              <w:bottom w:val="single" w:sz="8" w:color="CFF0FC"/>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7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75,420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145,459</w:t>
            </w:r>
          </w:p>
        </w:tc>
        <w:tc>
          <w:tcPr>
            <w:tcW w:w="120" w:type="dxa"/>
            <w:vAlign w:val="bottom"/>
            <w:shd w:val="clear" w:color="auto" w:fill="CFF0FC"/>
          </w:tcPr>
          <w:p>
            <w:pPr>
              <w:spacing w:after="0"/>
              <w:rPr>
                <w:sz w:val="19"/>
                <w:szCs w:val="19"/>
                <w:color w:val="auto"/>
              </w:rPr>
            </w:pP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color w:val="auto"/>
              </w:rPr>
              <w:t>Accounts receivable—net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69,325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82,953</w:t>
            </w:r>
          </w:p>
        </w:tc>
        <w:tc>
          <w:tcPr>
            <w:tcW w:w="120" w:type="dxa"/>
            <w:vAlign w:val="bottom"/>
          </w:tcPr>
          <w:p>
            <w:pPr>
              <w:spacing w:after="0"/>
              <w:rPr>
                <w:sz w:val="19"/>
                <w:szCs w:val="19"/>
                <w:color w:val="auto"/>
              </w:rPr>
            </w:pP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revenues in excess of billings</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62,615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39,844</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31,132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30,760</w:t>
            </w:r>
          </w:p>
        </w:tc>
        <w:tc>
          <w:tcPr>
            <w:tcW w:w="120" w:type="dxa"/>
            <w:vAlign w:val="bottom"/>
          </w:tcPr>
          <w:p>
            <w:pPr>
              <w:spacing w:after="0"/>
              <w:rPr>
                <w:sz w:val="19"/>
                <w:szCs w:val="19"/>
                <w:color w:val="auto"/>
              </w:rPr>
            </w:pP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44,628</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28,416</w:t>
            </w:r>
          </w:p>
        </w:tc>
        <w:tc>
          <w:tcPr>
            <w:tcW w:w="120" w:type="dxa"/>
            <w:vAlign w:val="bottom"/>
            <w:shd w:val="clear" w:color="auto" w:fill="CFF0FC"/>
          </w:tcPr>
          <w:p>
            <w:pPr>
              <w:spacing w:after="0"/>
              <w:rPr>
                <w:sz w:val="19"/>
                <w:szCs w:val="19"/>
                <w:color w:val="auto"/>
              </w:rPr>
            </w:pPr>
          </w:p>
        </w:tc>
      </w:tr>
      <w:tr>
        <w:trPr>
          <w:trHeight w:val="223"/>
        </w:trPr>
        <w:tc>
          <w:tcPr>
            <w:tcW w:w="7220" w:type="dxa"/>
            <w:vAlign w:val="bottom"/>
          </w:tcPr>
          <w:p>
            <w:pPr>
              <w:ind w:left="74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283,120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327,432</w:t>
            </w:r>
          </w:p>
        </w:tc>
        <w:tc>
          <w:tcPr>
            <w:tcW w:w="120" w:type="dxa"/>
            <w:vAlign w:val="bottom"/>
          </w:tcPr>
          <w:p>
            <w:pPr>
              <w:spacing w:after="0"/>
              <w:rPr>
                <w:sz w:val="19"/>
                <w:szCs w:val="19"/>
                <w:color w:val="auto"/>
              </w:rPr>
            </w:pPr>
          </w:p>
        </w:tc>
      </w:tr>
      <w:tr>
        <w:trPr>
          <w:trHeight w:val="229"/>
        </w:trPr>
        <w:tc>
          <w:tcPr>
            <w:tcW w:w="7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495,220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455,102</w:t>
            </w:r>
          </w:p>
        </w:tc>
        <w:tc>
          <w:tcPr>
            <w:tcW w:w="120" w:type="dxa"/>
            <w:vAlign w:val="bottom"/>
          </w:tcPr>
          <w:p>
            <w:pPr>
              <w:spacing w:after="0"/>
              <w:rPr>
                <w:sz w:val="19"/>
                <w:szCs w:val="19"/>
                <w:color w:val="auto"/>
              </w:rPr>
            </w:pPr>
          </w:p>
        </w:tc>
      </w:tr>
      <w:tr>
        <w:trPr>
          <w:trHeight w:val="229"/>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77,449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62,233</w:t>
            </w:r>
          </w:p>
        </w:tc>
        <w:tc>
          <w:tcPr>
            <w:tcW w:w="120" w:type="dxa"/>
            <w:vAlign w:val="bottom"/>
            <w:shd w:val="clear" w:color="auto" w:fill="CFF0FC"/>
          </w:tcPr>
          <w:p>
            <w:pPr>
              <w:spacing w:after="0"/>
              <w:rPr>
                <w:sz w:val="19"/>
                <w:szCs w:val="19"/>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76,576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76,576</w:t>
            </w:r>
          </w:p>
        </w:tc>
        <w:tc>
          <w:tcPr>
            <w:tcW w:w="120" w:type="dxa"/>
            <w:vAlign w:val="bottom"/>
          </w:tcPr>
          <w:p>
            <w:pPr>
              <w:spacing w:after="0"/>
              <w:rPr>
                <w:sz w:val="19"/>
                <w:szCs w:val="19"/>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INVENTORIES—Noncurrent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73,205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65,049</w:t>
            </w:r>
          </w:p>
        </w:tc>
        <w:tc>
          <w:tcPr>
            <w:tcW w:w="120" w:type="dxa"/>
            <w:vAlign w:val="bottom"/>
            <w:shd w:val="clear" w:color="auto" w:fill="CFF0FC"/>
          </w:tcPr>
          <w:p>
            <w:pPr>
              <w:spacing w:after="0"/>
              <w:rPr>
                <w:sz w:val="19"/>
                <w:szCs w:val="19"/>
                <w:color w:val="auto"/>
              </w:rPr>
            </w:pPr>
          </w:p>
        </w:tc>
      </w:tr>
      <w:tr>
        <w:trPr>
          <w:trHeight w:val="229"/>
        </w:trPr>
        <w:tc>
          <w:tcPr>
            <w:tcW w:w="7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9,580</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11,278</w:t>
            </w:r>
          </w:p>
        </w:tc>
        <w:tc>
          <w:tcPr>
            <w:tcW w:w="120" w:type="dxa"/>
            <w:vAlign w:val="bottom"/>
            <w:tcBorders>
              <w:bottom w:val="single" w:sz="8" w:color="CFF0FC"/>
            </w:tcBorders>
          </w:tcPr>
          <w:p>
            <w:pPr>
              <w:spacing w:after="0"/>
              <w:rPr>
                <w:sz w:val="19"/>
                <w:szCs w:val="19"/>
                <w:color w:val="auto"/>
              </w:rPr>
            </w:pPr>
          </w:p>
        </w:tc>
      </w:tr>
      <w:tr>
        <w:trPr>
          <w:trHeight w:val="223"/>
        </w:trPr>
        <w:tc>
          <w:tcPr>
            <w:tcW w:w="7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1,015,150</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997,670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6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95,793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85,566</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24,717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37,626</w:t>
            </w:r>
          </w:p>
        </w:tc>
        <w:tc>
          <w:tcPr>
            <w:tcW w:w="120" w:type="dxa"/>
            <w:vAlign w:val="bottom"/>
          </w:tcPr>
          <w:p>
            <w:pPr>
              <w:spacing w:after="0"/>
              <w:rPr>
                <w:sz w:val="19"/>
                <w:szCs w:val="19"/>
                <w:color w:val="auto"/>
              </w:rPr>
            </w:pPr>
          </w:p>
        </w:tc>
      </w:tr>
      <w:tr>
        <w:trPr>
          <w:trHeight w:val="230"/>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16,729</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Billings in excess of contract revenues</w:t>
            </w:r>
          </w:p>
        </w:tc>
        <w:tc>
          <w:tcPr>
            <w:tcW w:w="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14,814</w:t>
            </w:r>
          </w:p>
        </w:tc>
        <w:tc>
          <w:tcPr>
            <w:tcW w:w="120" w:type="dxa"/>
            <w:vAlign w:val="bottom"/>
            <w:tcBorders>
              <w:bottom w:val="single" w:sz="8" w:color="CFF0FC"/>
            </w:tcBorders>
          </w:tcPr>
          <w:p>
            <w:pPr>
              <w:spacing w:after="0"/>
              <w:rPr>
                <w:sz w:val="19"/>
                <w:szCs w:val="19"/>
                <w:color w:val="auto"/>
              </w:rPr>
            </w:pPr>
          </w:p>
        </w:tc>
      </w:tr>
      <w:tr>
        <w:trPr>
          <w:trHeight w:val="223"/>
        </w:trPr>
        <w:tc>
          <w:tcPr>
            <w:tcW w:w="72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141,565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154,735</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321,246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320,971</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OPERATING LEASE LIABILITIES—Noncurrent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59,655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45,986</w:t>
            </w:r>
          </w:p>
        </w:tc>
        <w:tc>
          <w:tcPr>
            <w:tcW w:w="120" w:type="dxa"/>
            <w:vAlign w:val="bottom"/>
          </w:tcPr>
          <w:p>
            <w:pPr>
              <w:spacing w:after="0"/>
              <w:rPr>
                <w:sz w:val="19"/>
                <w:szCs w:val="19"/>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72,908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68,497</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7,588</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8,484</w:t>
            </w:r>
          </w:p>
        </w:tc>
        <w:tc>
          <w:tcPr>
            <w:tcW w:w="120" w:type="dxa"/>
            <w:vAlign w:val="bottom"/>
            <w:tcBorders>
              <w:bottom w:val="single" w:sz="8" w:color="CFF0FC"/>
            </w:tcBorders>
          </w:tcPr>
          <w:p>
            <w:pPr>
              <w:spacing w:after="0"/>
              <w:rPr>
                <w:sz w:val="19"/>
                <w:szCs w:val="19"/>
                <w:color w:val="auto"/>
              </w:rPr>
            </w:pPr>
          </w:p>
        </w:tc>
      </w:tr>
      <w:tr>
        <w:trPr>
          <w:trHeight w:val="223"/>
        </w:trPr>
        <w:tc>
          <w:tcPr>
            <w:tcW w:w="72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602,962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598,673</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Common stock—$.0001 par value; 90,000 authorized, 66,083 and 65,746 shares issued and</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at June 30, 2022 and December 31, 2021, respectively.</w:t>
            </w:r>
          </w:p>
        </w:tc>
        <w:tc>
          <w:tcPr>
            <w:tcW w:w="3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20"/>
                <w:szCs w:val="20"/>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308,790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308,482</w:t>
            </w:r>
          </w:p>
        </w:tc>
        <w:tc>
          <w:tcPr>
            <w:tcW w:w="120" w:type="dxa"/>
            <w:vAlign w:val="bottom"/>
          </w:tcPr>
          <w:p>
            <w:pPr>
              <w:spacing w:after="0"/>
              <w:rPr>
                <w:sz w:val="19"/>
                <w:szCs w:val="19"/>
                <w:color w:val="auto"/>
              </w:rPr>
            </w:pPr>
          </w:p>
        </w:tc>
      </w:tr>
      <w:tr>
        <w:trPr>
          <w:trHeight w:val="230"/>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97,393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90,369</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FF0FC"/>
            </w:tcBorders>
          </w:tcPr>
          <w:p>
            <w:pPr>
              <w:spacing w:after="0"/>
              <w:rPr>
                <w:sz w:val="19"/>
                <w:szCs w:val="19"/>
                <w:color w:val="auto"/>
              </w:rPr>
            </w:pPr>
          </w:p>
        </w:tc>
      </w:tr>
      <w:tr>
        <w:trPr>
          <w:trHeight w:val="223"/>
        </w:trPr>
        <w:tc>
          <w:tcPr>
            <w:tcW w:w="72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equity</w:t>
            </w:r>
          </w:p>
        </w:tc>
        <w:tc>
          <w:tcPr>
            <w:tcW w:w="3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412,188</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398,997</w:t>
            </w:r>
          </w:p>
        </w:tc>
        <w:tc>
          <w:tcPr>
            <w:tcW w:w="120" w:type="dxa"/>
            <w:vAlign w:val="bottom"/>
            <w:shd w:val="clear" w:color="auto" w:fill="CFF0FC"/>
          </w:tcPr>
          <w:p>
            <w:pPr>
              <w:spacing w:after="0"/>
              <w:rPr>
                <w:sz w:val="19"/>
                <w:szCs w:val="19"/>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1,015,150</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997,670</w:t>
            </w:r>
          </w:p>
        </w:tc>
        <w:tc>
          <w:tcPr>
            <w:tcW w:w="12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2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7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407"/>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7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29"/>
        </w:trPr>
        <w:tc>
          <w:tcPr>
            <w:tcW w:w="3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149,428</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169,914</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343,777</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347,547</w:t>
            </w:r>
          </w:p>
        </w:tc>
        <w:tc>
          <w:tcPr>
            <w:tcW w:w="100" w:type="dxa"/>
            <w:vAlign w:val="bottom"/>
            <w:shd w:val="clear" w:color="auto" w:fill="CFF0FC"/>
          </w:tcPr>
          <w:p>
            <w:pPr>
              <w:spacing w:after="0"/>
              <w:rPr>
                <w:sz w:val="19"/>
                <w:szCs w:val="19"/>
                <w:color w:val="auto"/>
              </w:rPr>
            </w:pPr>
          </w:p>
        </w:tc>
      </w:tr>
      <w:tr>
        <w:trPr>
          <w:trHeight w:val="229"/>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138,947</w:t>
            </w:r>
          </w:p>
        </w:tc>
        <w:tc>
          <w:tcPr>
            <w:tcW w:w="3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146,992</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300,241</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291,549</w:t>
            </w:r>
          </w:p>
        </w:tc>
        <w:tc>
          <w:tcPr>
            <w:tcW w:w="100" w:type="dxa"/>
            <w:vAlign w:val="bottom"/>
            <w:tcBorders>
              <w:bottom w:val="single" w:sz="8" w:color="CFF0FC"/>
            </w:tcBorders>
          </w:tcPr>
          <w:p>
            <w:pPr>
              <w:spacing w:after="0"/>
              <w:rPr>
                <w:sz w:val="19"/>
                <w:szCs w:val="19"/>
                <w:color w:val="auto"/>
              </w:rPr>
            </w:pPr>
          </w:p>
        </w:tc>
      </w:tr>
      <w:tr>
        <w:trPr>
          <w:trHeight w:val="223"/>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10,481</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22,922</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43,536</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55,998</w:t>
            </w:r>
          </w:p>
        </w:tc>
        <w:tc>
          <w:tcPr>
            <w:tcW w:w="100" w:type="dxa"/>
            <w:vAlign w:val="bottom"/>
            <w:shd w:val="clear" w:color="auto" w:fill="CFF0FC"/>
          </w:tcPr>
          <w:p>
            <w:pPr>
              <w:spacing w:after="0"/>
              <w:rPr>
                <w:sz w:val="19"/>
                <w:szCs w:val="19"/>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10,820</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14,224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25,424</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30,546</w:t>
            </w:r>
          </w:p>
        </w:tc>
        <w:tc>
          <w:tcPr>
            <w:tcW w:w="10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assets—net</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(138)</w:t>
            </w: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(318)</w:t>
            </w:r>
          </w:p>
        </w:tc>
        <w:tc>
          <w:tcPr>
            <w:tcW w:w="5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r>
      <w:tr>
        <w:trPr>
          <w:trHeight w:val="223"/>
        </w:trPr>
        <w:tc>
          <w:tcPr>
            <w:tcW w:w="3740" w:type="dxa"/>
            <w:vAlign w:val="bottom"/>
          </w:tcPr>
          <w:p>
            <w:pPr>
              <w:ind w:left="260"/>
              <w:spacing w:after="0"/>
              <w:rPr>
                <w:sz w:val="20"/>
                <w:szCs w:val="20"/>
                <w:color w:val="auto"/>
              </w:rPr>
            </w:pPr>
            <w:r>
              <w:rPr>
                <w:rFonts w:ascii="Arial" w:cs="Arial" w:eastAsia="Arial" w:hAnsi="Arial"/>
                <w:sz w:val="18"/>
                <w:szCs w:val="18"/>
                <w:color w:val="auto"/>
              </w:rPr>
              <w:t>Operating income (loss)</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3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8,836</w:t>
            </w: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18,430</w:t>
            </w: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25,484</w:t>
            </w:r>
          </w:p>
        </w:tc>
        <w:tc>
          <w:tcPr>
            <w:tcW w:w="10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(3,424)</w:t>
            </w:r>
          </w:p>
        </w:tc>
        <w:tc>
          <w:tcPr>
            <w:tcW w:w="5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(6,657)</w:t>
            </w: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(7,449)</w:t>
            </w:r>
          </w:p>
        </w:tc>
        <w:tc>
          <w:tcPr>
            <w:tcW w:w="5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(13,243)</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9"/>
                <w:szCs w:val="19"/>
                <w:color w:val="auto"/>
              </w:rPr>
            </w:pPr>
          </w:p>
        </w:tc>
        <w:tc>
          <w:tcPr>
            <w:tcW w:w="1540" w:type="dxa"/>
            <w:vAlign w:val="bottom"/>
            <w:gridSpan w:val="2"/>
          </w:tcPr>
          <w:p>
            <w:pPr>
              <w:jc w:val="right"/>
              <w:ind w:right="161"/>
              <w:spacing w:after="0"/>
              <w:rPr>
                <w:sz w:val="20"/>
                <w:szCs w:val="20"/>
                <w:color w:val="auto"/>
              </w:rPr>
            </w:pPr>
            <w:r>
              <w:rPr>
                <w:rFonts w:ascii="Arial" w:cs="Arial" w:eastAsia="Arial" w:hAnsi="Arial"/>
                <w:sz w:val="18"/>
                <w:szCs w:val="18"/>
                <w:color w:val="auto"/>
              </w:rPr>
              <w:t>(1,120)</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(1,525)</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9"/>
                <w:szCs w:val="19"/>
                <w:color w:val="auto"/>
              </w:rPr>
            </w:pPr>
          </w:p>
        </w:tc>
      </w:tr>
      <w:tr>
        <w:trPr>
          <w:trHeight w:val="223"/>
        </w:trPr>
        <w:tc>
          <w:tcPr>
            <w:tcW w:w="37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(4,886)</w:t>
            </w:r>
          </w:p>
        </w:tc>
        <w:tc>
          <w:tcPr>
            <w:tcW w:w="3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9,456</w:t>
            </w:r>
          </w:p>
        </w:tc>
        <w:tc>
          <w:tcPr>
            <w:tcW w:w="2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853</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(829)</w:t>
            </w:r>
          </w:p>
        </w:tc>
        <w:tc>
          <w:tcPr>
            <w:tcW w:w="3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(2,432)</w:t>
            </w:r>
          </w:p>
        </w:tc>
        <w:tc>
          <w:tcPr>
            <w:tcW w:w="5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(2,218)</w:t>
            </w:r>
          </w:p>
        </w:tc>
      </w:tr>
      <w:tr>
        <w:trPr>
          <w:trHeight w:val="223"/>
        </w:trPr>
        <w:tc>
          <w:tcPr>
            <w:tcW w:w="37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7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(loss) per share</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19"/>
                <w:szCs w:val="19"/>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66,071</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65,646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65,959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65,458</w:t>
            </w:r>
          </w:p>
        </w:tc>
        <w:tc>
          <w:tcPr>
            <w:tcW w:w="10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(0.06</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580" w:type="dxa"/>
            <w:vAlign w:val="bottom"/>
          </w:tcPr>
          <w:p>
            <w:pPr>
              <w:jc w:val="right"/>
              <w:ind w:right="4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0.11</w:t>
            </w:r>
          </w:p>
        </w:tc>
        <w:tc>
          <w:tcPr>
            <w:tcW w:w="28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Diluted weighted average shares</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66,071</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66,137</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66,480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66,187</w:t>
            </w:r>
          </w:p>
        </w:tc>
        <w:tc>
          <w:tcPr>
            <w:tcW w:w="100" w:type="dxa"/>
            <w:vAlign w:val="bottom"/>
            <w:shd w:val="clear" w:color="auto" w:fill="CFF0FC"/>
          </w:tcPr>
          <w:p>
            <w:pPr>
              <w:spacing w:after="0"/>
              <w:rPr>
                <w:sz w:val="19"/>
                <w:szCs w:val="19"/>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20" w:type="dxa"/>
            <w:vAlign w:val="bottom"/>
            <w:gridSpan w:val="5"/>
          </w:tcPr>
          <w:p>
            <w:pPr>
              <w:jc w:val="right"/>
              <w:ind w:right="167"/>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567"/>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9"/>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128"/>
        </w:trPr>
        <w:tc>
          <w:tcPr>
            <w:tcW w:w="4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580" w:type="dxa"/>
            <w:vAlign w:val="bottom"/>
            <w:gridSpan w:val="2"/>
            <w:shd w:val="clear" w:color="auto" w:fill="CFF0FC"/>
          </w:tcPr>
          <w:p>
            <w:pPr>
              <w:jc w:val="right"/>
              <w:ind w:right="62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1"/>
              </w:rPr>
              <w:t>(4,033)</w:t>
            </w:r>
          </w:p>
        </w:tc>
        <w:tc>
          <w:tcPr>
            <w:tcW w:w="78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2,105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10,919</w:t>
            </w:r>
          </w:p>
        </w:tc>
        <w:tc>
          <w:tcPr>
            <w:tcW w:w="120" w:type="dxa"/>
            <w:vAlign w:val="bottom"/>
            <w:shd w:val="clear" w:color="auto" w:fill="CFF0FC"/>
          </w:tcPr>
          <w:p>
            <w:pPr>
              <w:spacing w:after="0"/>
              <w:rPr>
                <w:sz w:val="19"/>
                <w:szCs w:val="19"/>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Net change in cash flow derivative hedges—net of tax (1)</w:t>
            </w: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5,859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2,290</w:t>
            </w:r>
          </w:p>
        </w:tc>
        <w:tc>
          <w:tcPr>
            <w:tcW w:w="120" w:type="dxa"/>
            <w:vAlign w:val="bottom"/>
          </w:tcPr>
          <w:p>
            <w:pPr>
              <w:spacing w:after="0"/>
              <w:rPr>
                <w:sz w:val="19"/>
                <w:szCs w:val="19"/>
                <w:color w:val="auto"/>
              </w:rPr>
            </w:pPr>
          </w:p>
        </w:tc>
      </w:tr>
      <w:tr>
        <w:trPr>
          <w:trHeight w:val="223"/>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2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(4,409)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2,509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56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(provision) benefit of $127 and $(136) for the three months ended June 30, 2022 and 2021, respectively. Net of income tax provision of $(1,979) and $(773) for the six months ended June 30, 2022 and 2021,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Great Lakes Dredge &amp; Dock Corporation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ind w:right="1320"/>
        <w:spacing w:after="0" w:line="250" w:lineRule="auto"/>
        <w:rPr>
          <w:sz w:val="20"/>
          <w:szCs w:val="20"/>
          <w:color w:val="auto"/>
        </w:rPr>
      </w:pPr>
      <w:r>
        <w:rPr>
          <w:rFonts w:ascii="Arial" w:cs="Arial" w:eastAsia="Arial" w:hAnsi="Arial"/>
          <w:sz w:val="14"/>
          <w:szCs w:val="14"/>
          <w:color w:val="auto"/>
        </w:rPr>
        <w:t>BALANCE—January 1, 2022 Share-based compensation</w:t>
      </w:r>
    </w:p>
    <w:p>
      <w:pPr>
        <w:spacing w:after="0" w:line="1" w:lineRule="exact"/>
        <w:rPr>
          <w:sz w:val="20"/>
          <w:szCs w:val="20"/>
          <w:color w:val="auto"/>
        </w:rPr>
      </w:pPr>
    </w:p>
    <w:p>
      <w:pPr>
        <w:ind w:left="260" w:right="220"/>
        <w:spacing w:after="0" w:line="231" w:lineRule="auto"/>
        <w:rPr>
          <w:sz w:val="20"/>
          <w:szCs w:val="20"/>
          <w:color w:val="auto"/>
        </w:rPr>
      </w:pPr>
      <w:r>
        <w:rPr>
          <w:rFonts w:ascii="Arial" w:cs="Arial" w:eastAsia="Arial" w:hAnsi="Arial"/>
          <w:sz w:val="14"/>
          <w:szCs w:val="14"/>
          <w:color w:val="auto"/>
        </w:rPr>
        <w:t>Vesting of restricted stock units and impact of shares withheld for taxes</w:t>
      </w:r>
    </w:p>
    <w:p>
      <w:pPr>
        <w:spacing w:after="0" w:line="1" w:lineRule="exact"/>
        <w:rPr>
          <w:sz w:val="20"/>
          <w:szCs w:val="20"/>
          <w:color w:val="auto"/>
        </w:rPr>
      </w:pPr>
    </w:p>
    <w:p>
      <w:pPr>
        <w:ind w:left="260"/>
        <w:spacing w:after="0" w:line="231" w:lineRule="auto"/>
        <w:rPr>
          <w:sz w:val="20"/>
          <w:szCs w:val="20"/>
          <w:color w:val="auto"/>
        </w:rPr>
      </w:pPr>
      <w:r>
        <w:rPr>
          <w:rFonts w:ascii="Arial" w:cs="Arial" w:eastAsia="Arial" w:hAnsi="Arial"/>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income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income—net of tax</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BALANCE—June 30, 2022</w:t>
      </w:r>
    </w:p>
    <w:p>
      <w:pPr>
        <w:spacing w:after="0" w:line="197" w:lineRule="exact"/>
        <w:rPr>
          <w:sz w:val="20"/>
          <w:szCs w:val="20"/>
          <w:color w:val="auto"/>
        </w:rPr>
      </w:pPr>
    </w:p>
    <w:p>
      <w:pPr>
        <w:jc w:val="right"/>
        <w:ind w:right="1320"/>
        <w:spacing w:after="0" w:line="250" w:lineRule="auto"/>
        <w:rPr>
          <w:sz w:val="20"/>
          <w:szCs w:val="20"/>
          <w:color w:val="auto"/>
        </w:rPr>
      </w:pPr>
      <w:r>
        <w:rPr>
          <w:rFonts w:ascii="Arial" w:cs="Arial" w:eastAsia="Arial" w:hAnsi="Arial"/>
          <w:sz w:val="14"/>
          <w:szCs w:val="14"/>
          <w:color w:val="auto"/>
        </w:rPr>
        <w:t>BALANCE—January 1, 2021 Share-based compensation</w:t>
      </w:r>
    </w:p>
    <w:p>
      <w:pPr>
        <w:spacing w:after="0" w:line="1" w:lineRule="exact"/>
        <w:rPr>
          <w:sz w:val="20"/>
          <w:szCs w:val="20"/>
          <w:color w:val="auto"/>
        </w:rPr>
      </w:pPr>
    </w:p>
    <w:p>
      <w:pPr>
        <w:ind w:left="260" w:right="220"/>
        <w:spacing w:after="0" w:line="231" w:lineRule="auto"/>
        <w:rPr>
          <w:sz w:val="20"/>
          <w:szCs w:val="20"/>
          <w:color w:val="auto"/>
        </w:rPr>
      </w:pPr>
      <w:r>
        <w:rPr>
          <w:rFonts w:ascii="Arial" w:cs="Arial" w:eastAsia="Arial" w:hAnsi="Arial"/>
          <w:sz w:val="14"/>
          <w:szCs w:val="14"/>
          <w:color w:val="auto"/>
        </w:rPr>
        <w:t>Vesting of restricted stock units and impact of shares withheld for taxes</w:t>
      </w:r>
    </w:p>
    <w:p>
      <w:pPr>
        <w:spacing w:after="0" w:line="1" w:lineRule="exact"/>
        <w:rPr>
          <w:sz w:val="20"/>
          <w:szCs w:val="20"/>
          <w:color w:val="auto"/>
        </w:rPr>
      </w:pPr>
    </w:p>
    <w:p>
      <w:pPr>
        <w:ind w:left="260"/>
        <w:spacing w:after="0" w:line="231" w:lineRule="auto"/>
        <w:rPr>
          <w:sz w:val="20"/>
          <w:szCs w:val="20"/>
          <w:color w:val="auto"/>
        </w:rPr>
      </w:pPr>
      <w:r>
        <w:rPr>
          <w:rFonts w:ascii="Arial" w:cs="Arial" w:eastAsia="Arial" w:hAnsi="Arial"/>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income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income—net of tax</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BALANCE—June 30, 2021</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30"/>
        </w:trPr>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Shares of</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0"/>
        </w:trPr>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3"/>
                <w:szCs w:val="13"/>
                <w:b w:val="1"/>
                <w:bCs w:val="1"/>
                <w:color w:val="auto"/>
                <w:w w:val="92"/>
              </w:rPr>
              <w:t>Common</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7"/>
                <w:szCs w:val="17"/>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6"/>
              </w:rPr>
              <w:t>Comprehensive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65"/>
        </w:trPr>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4"/>
                <w:szCs w:val="14"/>
                <w:color w:val="auto"/>
              </w:rPr>
            </w:pPr>
          </w:p>
        </w:tc>
        <w:tc>
          <w:tcPr>
            <w:tcW w:w="680" w:type="dxa"/>
            <w:vAlign w:val="bottom"/>
          </w:tcPr>
          <w:p>
            <w:pPr>
              <w:jc w:val="right"/>
              <w:ind w:right="169"/>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7"/>
              </w:rPr>
              <w:t>Income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w:t>
            </w:r>
          </w:p>
        </w:tc>
      </w:tr>
      <w:tr>
        <w:trPr>
          <w:trHeight w:val="152"/>
        </w:trPr>
        <w:tc>
          <w:tcPr>
            <w:tcW w:w="10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65,746</w:t>
            </w:r>
          </w:p>
        </w:tc>
        <w:tc>
          <w:tcPr>
            <w:tcW w:w="260" w:type="dxa"/>
            <w:vAlign w:val="bottom"/>
          </w:tcPr>
          <w:p>
            <w:pPr>
              <w:spacing w:after="0"/>
              <w:rPr>
                <w:sz w:val="13"/>
                <w:szCs w:val="13"/>
                <w:color w:val="auto"/>
              </w:rPr>
            </w:pPr>
          </w:p>
        </w:tc>
        <w:tc>
          <w:tcPr>
            <w:tcW w:w="1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1"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308,482</w:t>
            </w:r>
          </w:p>
        </w:tc>
        <w:tc>
          <w:tcPr>
            <w:tcW w:w="260" w:type="dxa"/>
            <w:vAlign w:val="bottom"/>
          </w:tcPr>
          <w:p>
            <w:pPr>
              <w:spacing w:after="0"/>
              <w:rPr>
                <w:sz w:val="13"/>
                <w:szCs w:val="13"/>
                <w:color w:val="auto"/>
              </w:rPr>
            </w:pPr>
          </w:p>
        </w:tc>
        <w:tc>
          <w:tcPr>
            <w:tcW w:w="200" w:type="dxa"/>
            <w:vAlign w:val="bottom"/>
            <w:tcBorders>
              <w:top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90,369</w:t>
            </w:r>
          </w:p>
        </w:tc>
        <w:tc>
          <w:tcPr>
            <w:tcW w:w="280" w:type="dxa"/>
            <w:vAlign w:val="bottom"/>
          </w:tcPr>
          <w:p>
            <w:pPr>
              <w:spacing w:after="0"/>
              <w:rPr>
                <w:sz w:val="13"/>
                <w:szCs w:val="13"/>
                <w:color w:val="auto"/>
              </w:rPr>
            </w:pPr>
          </w:p>
        </w:tc>
        <w:tc>
          <w:tcPr>
            <w:tcW w:w="1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140</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398,997</w:t>
            </w:r>
          </w:p>
        </w:tc>
        <w:tc>
          <w:tcPr>
            <w:tcW w:w="40" w:type="dxa"/>
            <w:vAlign w:val="bottom"/>
          </w:tcPr>
          <w:p>
            <w:pPr>
              <w:spacing w:after="0"/>
              <w:rPr>
                <w:sz w:val="13"/>
                <w:szCs w:val="13"/>
                <w:color w:val="auto"/>
              </w:rPr>
            </w:pPr>
          </w:p>
        </w:tc>
      </w:tr>
      <w:tr>
        <w:trPr>
          <w:trHeight w:val="182"/>
        </w:trPr>
        <w:tc>
          <w:tcPr>
            <w:tcW w:w="100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1,552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1,552</w:t>
            </w:r>
          </w:p>
        </w:tc>
        <w:tc>
          <w:tcPr>
            <w:tcW w:w="40" w:type="dxa"/>
            <w:vAlign w:val="bottom"/>
          </w:tcPr>
          <w:p>
            <w:pPr>
              <w:spacing w:after="0"/>
              <w:rPr>
                <w:sz w:val="15"/>
                <w:szCs w:val="15"/>
                <w:color w:val="auto"/>
              </w:rPr>
            </w:pPr>
          </w:p>
        </w:tc>
      </w:tr>
      <w:tr>
        <w:trPr>
          <w:trHeight w:val="230"/>
        </w:trPr>
        <w:tc>
          <w:tcPr>
            <w:tcW w:w="1000" w:type="dxa"/>
            <w:vAlign w:val="bottom"/>
          </w:tcPr>
          <w:p>
            <w:pPr>
              <w:jc w:val="right"/>
              <w:spacing w:after="0"/>
              <w:rPr>
                <w:sz w:val="20"/>
                <w:szCs w:val="20"/>
                <w:color w:val="auto"/>
              </w:rPr>
            </w:pPr>
            <w:r>
              <w:rPr>
                <w:rFonts w:ascii="Arial" w:cs="Arial" w:eastAsia="Arial" w:hAnsi="Arial"/>
                <w:sz w:val="14"/>
                <w:szCs w:val="14"/>
                <w:color w:val="auto"/>
              </w:rPr>
              <w:t>212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(1,827)</w:t>
            </w:r>
          </w:p>
        </w:tc>
        <w:tc>
          <w:tcPr>
            <w:tcW w:w="2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(1,827)</w:t>
            </w:r>
          </w:p>
        </w:tc>
      </w:tr>
      <w:tr>
        <w:trPr>
          <w:trHeight w:val="310"/>
        </w:trPr>
        <w:tc>
          <w:tcPr>
            <w:tcW w:w="1000" w:type="dxa"/>
            <w:vAlign w:val="bottom"/>
          </w:tcPr>
          <w:p>
            <w:pPr>
              <w:jc w:val="right"/>
              <w:spacing w:after="0"/>
              <w:rPr>
                <w:sz w:val="20"/>
                <w:szCs w:val="20"/>
                <w:color w:val="auto"/>
              </w:rPr>
            </w:pPr>
            <w:r>
              <w:rPr>
                <w:rFonts w:ascii="Arial" w:cs="Arial" w:eastAsia="Arial" w:hAnsi="Arial"/>
                <w:sz w:val="14"/>
                <w:szCs w:val="14"/>
                <w:color w:val="auto"/>
              </w:rPr>
              <w:t>109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583</w:t>
            </w:r>
          </w:p>
        </w:tc>
        <w:tc>
          <w:tcPr>
            <w:tcW w:w="40" w:type="dxa"/>
            <w:vAlign w:val="bottom"/>
          </w:tcPr>
          <w:p>
            <w:pPr>
              <w:spacing w:after="0"/>
              <w:rPr>
                <w:sz w:val="24"/>
                <w:szCs w:val="24"/>
                <w:color w:val="auto"/>
              </w:rPr>
            </w:pPr>
          </w:p>
        </w:tc>
      </w:tr>
      <w:tr>
        <w:trPr>
          <w:trHeight w:val="223"/>
        </w:trPr>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7,024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7,024</w:t>
            </w:r>
          </w:p>
        </w:tc>
        <w:tc>
          <w:tcPr>
            <w:tcW w:w="40" w:type="dxa"/>
            <w:vAlign w:val="bottom"/>
          </w:tcPr>
          <w:p>
            <w:pPr>
              <w:spacing w:after="0"/>
              <w:rPr>
                <w:sz w:val="19"/>
                <w:szCs w:val="19"/>
                <w:color w:val="auto"/>
              </w:rPr>
            </w:pPr>
          </w:p>
        </w:tc>
      </w:tr>
      <w:tr>
        <w:trPr>
          <w:trHeight w:val="167"/>
        </w:trPr>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5,859</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5,859</w:t>
            </w:r>
          </w:p>
        </w:tc>
        <w:tc>
          <w:tcPr>
            <w:tcW w:w="40" w:type="dxa"/>
            <w:vAlign w:val="bottom"/>
          </w:tcPr>
          <w:p>
            <w:pPr>
              <w:spacing w:after="0"/>
              <w:rPr>
                <w:sz w:val="14"/>
                <w:szCs w:val="14"/>
                <w:color w:val="auto"/>
              </w:rPr>
            </w:pPr>
          </w:p>
        </w:tc>
      </w:tr>
      <w:tr>
        <w:trPr>
          <w:trHeight w:val="155"/>
        </w:trPr>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66,083</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308,790</w:t>
            </w: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97,393</w:t>
            </w:r>
          </w:p>
        </w:tc>
        <w:tc>
          <w:tcPr>
            <w:tcW w:w="2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5,999</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412,188</w:t>
            </w:r>
          </w:p>
        </w:tc>
        <w:tc>
          <w:tcPr>
            <w:tcW w:w="40" w:type="dxa"/>
            <w:vAlign w:val="bottom"/>
          </w:tcPr>
          <w:p>
            <w:pPr>
              <w:spacing w:after="0"/>
              <w:rPr>
                <w:sz w:val="13"/>
                <w:szCs w:val="13"/>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9"/>
        </w:trPr>
        <w:tc>
          <w:tcPr>
            <w:tcW w:w="1000" w:type="dxa"/>
            <w:vAlign w:val="bottom"/>
          </w:tcPr>
          <w:p>
            <w:pPr>
              <w:jc w:val="right"/>
              <w:spacing w:after="0"/>
              <w:rPr>
                <w:sz w:val="20"/>
                <w:szCs w:val="20"/>
                <w:color w:val="auto"/>
              </w:rPr>
            </w:pPr>
            <w:r>
              <w:rPr>
                <w:rFonts w:ascii="Arial" w:cs="Arial" w:eastAsia="Arial" w:hAnsi="Arial"/>
                <w:sz w:val="14"/>
                <w:szCs w:val="14"/>
                <w:color w:val="auto"/>
              </w:rPr>
              <w:t>65,023</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304,757</w:t>
            </w:r>
          </w:p>
        </w:tc>
        <w:tc>
          <w:tcPr>
            <w:tcW w:w="26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40,937</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968</w:t>
            </w:r>
          </w:p>
        </w:tc>
        <w:tc>
          <w:tcPr>
            <w:tcW w:w="260" w:type="dxa"/>
            <w:vAlign w:val="bottom"/>
          </w:tcPr>
          <w:p>
            <w:pPr>
              <w:spacing w:after="0"/>
              <w:rPr>
                <w:sz w:val="24"/>
                <w:szCs w:val="24"/>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346,668</w:t>
            </w:r>
          </w:p>
        </w:tc>
        <w:tc>
          <w:tcPr>
            <w:tcW w:w="40" w:type="dxa"/>
            <w:vAlign w:val="bottom"/>
          </w:tcPr>
          <w:p>
            <w:pPr>
              <w:spacing w:after="0"/>
              <w:rPr>
                <w:sz w:val="24"/>
                <w:szCs w:val="24"/>
                <w:color w:val="auto"/>
              </w:rPr>
            </w:pPr>
          </w:p>
        </w:tc>
      </w:tr>
      <w:tr>
        <w:trPr>
          <w:trHeight w:val="182"/>
        </w:trPr>
        <w:tc>
          <w:tcPr>
            <w:tcW w:w="1000" w:type="dxa"/>
            <w:vAlign w:val="bottom"/>
          </w:tcPr>
          <w:p>
            <w:pPr>
              <w:jc w:val="right"/>
              <w:spacing w:after="0"/>
              <w:rPr>
                <w:sz w:val="20"/>
                <w:szCs w:val="20"/>
                <w:color w:val="auto"/>
              </w:rPr>
            </w:pPr>
            <w:r>
              <w:rPr>
                <w:rFonts w:ascii="Arial" w:cs="Arial" w:eastAsia="Arial" w:hAnsi="Arial"/>
                <w:sz w:val="14"/>
                <w:szCs w:val="14"/>
                <w:color w:val="auto"/>
              </w:rPr>
              <w:t>73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2,564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2,564</w:t>
            </w:r>
          </w:p>
        </w:tc>
        <w:tc>
          <w:tcPr>
            <w:tcW w:w="40" w:type="dxa"/>
            <w:vAlign w:val="bottom"/>
          </w:tcPr>
          <w:p>
            <w:pPr>
              <w:spacing w:after="0"/>
              <w:rPr>
                <w:sz w:val="15"/>
                <w:szCs w:val="15"/>
                <w:color w:val="auto"/>
              </w:rPr>
            </w:pPr>
          </w:p>
        </w:tc>
      </w:tr>
      <w:tr>
        <w:trPr>
          <w:trHeight w:val="229"/>
        </w:trPr>
        <w:tc>
          <w:tcPr>
            <w:tcW w:w="1000" w:type="dxa"/>
            <w:vAlign w:val="bottom"/>
          </w:tcPr>
          <w:p>
            <w:pPr>
              <w:jc w:val="right"/>
              <w:spacing w:after="0"/>
              <w:rPr>
                <w:sz w:val="20"/>
                <w:szCs w:val="20"/>
                <w:color w:val="auto"/>
              </w:rPr>
            </w:pPr>
            <w:r>
              <w:rPr>
                <w:rFonts w:ascii="Arial" w:cs="Arial" w:eastAsia="Arial" w:hAnsi="Arial"/>
                <w:sz w:val="14"/>
                <w:szCs w:val="14"/>
                <w:color w:val="auto"/>
              </w:rPr>
              <w:t>410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(3,784)</w:t>
            </w:r>
          </w:p>
        </w:tc>
        <w:tc>
          <w:tcPr>
            <w:tcW w:w="2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(3,784)</w:t>
            </w:r>
          </w:p>
        </w:tc>
      </w:tr>
      <w:tr>
        <w:trPr>
          <w:trHeight w:val="311"/>
        </w:trPr>
        <w:tc>
          <w:tcPr>
            <w:tcW w:w="1000" w:type="dxa"/>
            <w:vAlign w:val="bottom"/>
          </w:tcPr>
          <w:p>
            <w:pPr>
              <w:jc w:val="right"/>
              <w:spacing w:after="0"/>
              <w:rPr>
                <w:sz w:val="20"/>
                <w:szCs w:val="20"/>
                <w:color w:val="auto"/>
              </w:rPr>
            </w:pPr>
            <w:r>
              <w:rPr>
                <w:rFonts w:ascii="Arial" w:cs="Arial" w:eastAsia="Arial" w:hAnsi="Arial"/>
                <w:sz w:val="14"/>
                <w:szCs w:val="14"/>
                <w:color w:val="auto"/>
              </w:rPr>
              <w:t>148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1,440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1,440</w:t>
            </w:r>
          </w:p>
        </w:tc>
        <w:tc>
          <w:tcPr>
            <w:tcW w:w="40" w:type="dxa"/>
            <w:vAlign w:val="bottom"/>
          </w:tcPr>
          <w:p>
            <w:pPr>
              <w:spacing w:after="0"/>
              <w:rPr>
                <w:sz w:val="24"/>
                <w:szCs w:val="24"/>
                <w:color w:val="auto"/>
              </w:rPr>
            </w:pPr>
          </w:p>
        </w:tc>
      </w:tr>
      <w:tr>
        <w:trPr>
          <w:trHeight w:val="223"/>
        </w:trPr>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10,919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10,919</w:t>
            </w:r>
          </w:p>
        </w:tc>
        <w:tc>
          <w:tcPr>
            <w:tcW w:w="40" w:type="dxa"/>
            <w:vAlign w:val="bottom"/>
          </w:tcPr>
          <w:p>
            <w:pPr>
              <w:spacing w:after="0"/>
              <w:rPr>
                <w:sz w:val="19"/>
                <w:szCs w:val="19"/>
                <w:color w:val="auto"/>
              </w:rPr>
            </w:pPr>
          </w:p>
        </w:tc>
      </w:tr>
      <w:tr>
        <w:trPr>
          <w:trHeight w:val="167"/>
        </w:trPr>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2,290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2,290</w:t>
            </w:r>
          </w:p>
        </w:tc>
        <w:tc>
          <w:tcPr>
            <w:tcW w:w="40" w:type="dxa"/>
            <w:vAlign w:val="bottom"/>
          </w:tcPr>
          <w:p>
            <w:pPr>
              <w:spacing w:after="0"/>
              <w:rPr>
                <w:sz w:val="14"/>
                <w:szCs w:val="14"/>
                <w:color w:val="auto"/>
              </w:rPr>
            </w:pPr>
          </w:p>
        </w:tc>
      </w:tr>
      <w:tr>
        <w:trPr>
          <w:trHeight w:val="156"/>
        </w:trPr>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65,654</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304,977</w:t>
            </w: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51,856</w:t>
            </w:r>
          </w:p>
        </w:tc>
        <w:tc>
          <w:tcPr>
            <w:tcW w:w="2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3,258</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360,097</w:t>
            </w:r>
          </w:p>
        </w:tc>
        <w:tc>
          <w:tcPr>
            <w:tcW w:w="40" w:type="dxa"/>
            <w:vAlign w:val="bottom"/>
          </w:tcPr>
          <w:p>
            <w:pPr>
              <w:spacing w:after="0"/>
              <w:rPr>
                <w:sz w:val="13"/>
                <w:szCs w:val="13"/>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-1996440</wp:posOffset>
            </wp:positionV>
            <wp:extent cx="7132320" cy="111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-1782445</wp:posOffset>
            </wp:positionV>
            <wp:extent cx="713232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-1388110</wp:posOffset>
            </wp:positionV>
            <wp:extent cx="71323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-1182370</wp:posOffset>
            </wp:positionV>
            <wp:extent cx="71323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-942340</wp:posOffset>
            </wp:positionV>
            <wp:extent cx="71323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-736600</wp:posOffset>
            </wp:positionV>
            <wp:extent cx="713232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-342265</wp:posOffset>
            </wp:positionV>
            <wp:extent cx="713232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-136525</wp:posOffset>
            </wp:positionV>
            <wp:extent cx="713232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72"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Accumulated</w:t>
      </w:r>
    </w:p>
    <w:p>
      <w:pPr>
        <w:spacing w:after="0" w:line="53" w:lineRule="exact"/>
        <w:rPr>
          <w:sz w:val="20"/>
          <w:szCs w:val="20"/>
          <w:color w:val="auto"/>
        </w:rPr>
      </w:pPr>
    </w:p>
    <w:p>
      <w:pPr>
        <w:sectPr>
          <w:pgSz w:w="11900" w:h="16838" w:orient="portrait"/>
          <w:cols w:equalWidth="0" w:num="2">
            <w:col w:w="3120" w:space="320"/>
            <w:col w:w="7800"/>
          </w:cols>
          <w:pgMar w:left="320" w:top="553" w:right="3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4"/>
              </w:rPr>
              <w:t>Shares of</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1"/>
              </w:rPr>
              <w:t>Additional</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4"/>
                <w:szCs w:val="14"/>
                <w:color w:val="auto"/>
              </w:rPr>
            </w:pPr>
          </w:p>
        </w:tc>
        <w:tc>
          <w:tcPr>
            <w:tcW w:w="680" w:type="dxa"/>
            <w:vAlign w:val="bottom"/>
          </w:tcPr>
          <w:p>
            <w:pPr>
              <w:jc w:val="right"/>
              <w:ind w:right="69"/>
              <w:spacing w:after="0"/>
              <w:rPr>
                <w:sz w:val="20"/>
                <w:szCs w:val="20"/>
                <w:color w:val="auto"/>
              </w:rPr>
            </w:pPr>
            <w:r>
              <w:rPr>
                <w:rFonts w:ascii="Arial" w:cs="Arial" w:eastAsia="Arial" w:hAnsi="Arial"/>
                <w:sz w:val="13"/>
                <w:szCs w:val="13"/>
                <w:b w:val="1"/>
                <w:bCs w:val="1"/>
                <w:color w:val="auto"/>
                <w:w w:val="92"/>
              </w:rPr>
              <w:t>Common</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2"/>
              </w:rPr>
              <w:t>Paid-In</w:t>
            </w:r>
          </w:p>
        </w:tc>
        <w:tc>
          <w:tcPr>
            <w:tcW w:w="20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6"/>
              </w:rPr>
              <w:t>Comprehensive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4"/>
                <w:szCs w:val="14"/>
                <w:color w:val="auto"/>
              </w:rPr>
            </w:pPr>
          </w:p>
        </w:tc>
        <w:tc>
          <w:tcPr>
            <w:tcW w:w="680" w:type="dxa"/>
            <w:vAlign w:val="bottom"/>
          </w:tcPr>
          <w:p>
            <w:pPr>
              <w:jc w:val="right"/>
              <w:ind w:right="169"/>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2"/>
              </w:rPr>
              <w:t>Capital</w:t>
            </w:r>
          </w:p>
        </w:tc>
        <w:tc>
          <w:tcPr>
            <w:tcW w:w="20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6"/>
              </w:rPr>
              <w:t>Income (Loss)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7"/>
        </w:trPr>
        <w:tc>
          <w:tcPr>
            <w:tcW w:w="3440" w:type="dxa"/>
            <w:vAlign w:val="bottom"/>
            <w:tcBorders>
              <w:top w:val="single" w:sz="8" w:color="CFF0FC"/>
            </w:tcBorders>
            <w:shd w:val="clear" w:color="auto" w:fill="CFF0FC"/>
          </w:tcPr>
          <w:p>
            <w:pPr>
              <w:spacing w:after="0" w:line="157" w:lineRule="exact"/>
              <w:rPr>
                <w:sz w:val="20"/>
                <w:szCs w:val="20"/>
                <w:color w:val="auto"/>
              </w:rPr>
            </w:pPr>
            <w:r>
              <w:rPr>
                <w:rFonts w:ascii="Arial" w:cs="Arial" w:eastAsia="Arial" w:hAnsi="Arial"/>
                <w:sz w:val="14"/>
                <w:szCs w:val="14"/>
                <w:color w:val="auto"/>
              </w:rPr>
              <w:t>BALANCE—March 31, 2022</w:t>
            </w:r>
          </w:p>
        </w:tc>
        <w:tc>
          <w:tcPr>
            <w:tcW w:w="16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66,046</w:t>
            </w: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6</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307,597</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101,426</w:t>
            </w: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6,375</w:t>
            </w: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415,404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Share-based compensation</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40" w:type="dxa"/>
            <w:vAlign w:val="bottom"/>
          </w:tcPr>
          <w:p>
            <w:pPr>
              <w:ind w:left="260"/>
              <w:spacing w:after="0" w:line="143" w:lineRule="exact"/>
              <w:rPr>
                <w:sz w:val="20"/>
                <w:szCs w:val="20"/>
                <w:color w:val="auto"/>
              </w:rPr>
            </w:pPr>
            <w:r>
              <w:rPr>
                <w:rFonts w:ascii="Arial" w:cs="Arial" w:eastAsia="Arial" w:hAnsi="Arial"/>
                <w:sz w:val="14"/>
                <w:szCs w:val="14"/>
                <w:color w:val="auto"/>
              </w:rPr>
              <w:t>Exercise of options and purchases from employee</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193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440" w:type="dxa"/>
            <w:vAlign w:val="bottom"/>
            <w:vMerge w:val="restart"/>
          </w:tcPr>
          <w:p>
            <w:pPr>
              <w:ind w:left="260"/>
              <w:spacing w:after="0"/>
              <w:rPr>
                <w:sz w:val="20"/>
                <w:szCs w:val="20"/>
                <w:color w:val="auto"/>
              </w:rPr>
            </w:pPr>
            <w:r>
              <w:rPr>
                <w:rFonts w:ascii="Arial" w:cs="Arial" w:eastAsia="Arial" w:hAnsi="Arial"/>
                <w:sz w:val="14"/>
                <w:szCs w:val="14"/>
                <w:color w:val="auto"/>
              </w:rPr>
              <w:t>stock plans</w:t>
            </w:r>
          </w:p>
        </w:tc>
        <w:tc>
          <w:tcPr>
            <w:tcW w:w="1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(4,033)</w:t>
            </w: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(4,033)</w:t>
            </w:r>
          </w:p>
        </w:tc>
        <w:tc>
          <w:tcPr>
            <w:tcW w:w="0" w:type="dxa"/>
            <w:vAlign w:val="bottom"/>
          </w:tcPr>
          <w:p>
            <w:pPr>
              <w:spacing w:after="0"/>
              <w:rPr>
                <w:sz w:val="1"/>
                <w:szCs w:val="1"/>
                <w:color w:val="auto"/>
              </w:rPr>
            </w:pPr>
          </w:p>
        </w:tc>
      </w:tr>
      <w:tr>
        <w:trPr>
          <w:trHeight w:val="162"/>
        </w:trPr>
        <w:tc>
          <w:tcPr>
            <w:tcW w:w="3440" w:type="dxa"/>
            <w:vAlign w:val="bottom"/>
          </w:tcPr>
          <w:p>
            <w:pPr>
              <w:ind w:left="260"/>
              <w:spacing w:after="0"/>
              <w:rPr>
                <w:sz w:val="20"/>
                <w:szCs w:val="20"/>
                <w:color w:val="auto"/>
              </w:rPr>
            </w:pPr>
            <w:r>
              <w:rPr>
                <w:rFonts w:ascii="Arial" w:cs="Arial" w:eastAsia="Arial" w:hAnsi="Arial"/>
                <w:sz w:val="14"/>
                <w:szCs w:val="14"/>
                <w:color w:val="auto"/>
              </w:rPr>
              <w:t>Other comprehensive loss—net of tax</w:t>
            </w:r>
          </w:p>
        </w:tc>
        <w:tc>
          <w:tcPr>
            <w:tcW w:w="16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(376)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55"/>
        </w:trPr>
        <w:tc>
          <w:tcPr>
            <w:tcW w:w="34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BALANCE—June 30, 2022</w:t>
            </w: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66,083</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308,790</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97,393</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5,999</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412,188</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440" w:type="dxa"/>
            <w:vAlign w:val="bottom"/>
          </w:tcPr>
          <w:p>
            <w:pPr>
              <w:spacing w:after="0"/>
              <w:rPr>
                <w:sz w:val="20"/>
                <w:szCs w:val="20"/>
                <w:color w:val="auto"/>
              </w:rPr>
            </w:pPr>
            <w:r>
              <w:rPr>
                <w:rFonts w:ascii="Arial" w:cs="Arial" w:eastAsia="Arial" w:hAnsi="Arial"/>
                <w:sz w:val="14"/>
                <w:szCs w:val="14"/>
                <w:color w:val="auto"/>
              </w:rPr>
              <w:t>BALANCE—March 31, 2021</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65,620</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303,999</w:t>
            </w:r>
          </w:p>
        </w:tc>
        <w:tc>
          <w:tcPr>
            <w:tcW w:w="26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49,751</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2,854</w:t>
            </w:r>
          </w:p>
        </w:tc>
        <w:tc>
          <w:tcPr>
            <w:tcW w:w="260" w:type="dxa"/>
            <w:vAlign w:val="bottom"/>
          </w:tcPr>
          <w:p>
            <w:pPr>
              <w:spacing w:after="0"/>
              <w:rPr>
                <w:sz w:val="24"/>
                <w:szCs w:val="24"/>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356,610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ind w:left="260"/>
              <w:spacing w:after="0"/>
              <w:rPr>
                <w:sz w:val="20"/>
                <w:szCs w:val="20"/>
                <w:color w:val="auto"/>
              </w:rPr>
            </w:pPr>
            <w:r>
              <w:rPr>
                <w:rFonts w:ascii="Arial" w:cs="Arial" w:eastAsia="Arial" w:hAnsi="Arial"/>
                <w:sz w:val="14"/>
                <w:szCs w:val="14"/>
                <w:color w:val="auto"/>
              </w:rPr>
              <w:t>Share-based compensation</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Exercise of options and purchases from employee</w:t>
            </w: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138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440" w:type="dxa"/>
            <w:vAlign w:val="bottom"/>
            <w:vMerge w:val="restart"/>
            <w:shd w:val="clear" w:color="auto" w:fill="CFF0FC"/>
          </w:tcPr>
          <w:p>
            <w:pPr>
              <w:ind w:left="260"/>
              <w:spacing w:after="0"/>
              <w:rPr>
                <w:sz w:val="20"/>
                <w:szCs w:val="20"/>
                <w:color w:val="auto"/>
              </w:rPr>
            </w:pPr>
            <w:r>
              <w:rPr>
                <w:rFonts w:ascii="Arial" w:cs="Arial" w:eastAsia="Arial" w:hAnsi="Arial"/>
                <w:sz w:val="14"/>
                <w:szCs w:val="14"/>
                <w:color w:val="auto"/>
              </w:rPr>
              <w:t>stock plans</w:t>
            </w:r>
          </w:p>
        </w:tc>
        <w:tc>
          <w:tcPr>
            <w:tcW w:w="16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80" w:type="dxa"/>
            <w:vAlign w:val="bottom"/>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940" w:type="dxa"/>
            <w:vAlign w:val="bottom"/>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40" w:type="dxa"/>
            <w:vAlign w:val="bottom"/>
            <w:gridSpan w:val="2"/>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380" w:type="dxa"/>
            <w:vAlign w:val="bottom"/>
            <w:gridSpan w:val="2"/>
            <w:vMerge w:val="continue"/>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440" w:type="dxa"/>
            <w:vAlign w:val="bottom"/>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960" w:type="dxa"/>
            <w:vAlign w:val="bottom"/>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44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2,105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income—net of tax</w:t>
            </w:r>
          </w:p>
        </w:tc>
        <w:tc>
          <w:tcPr>
            <w:tcW w:w="1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40" w:type="dxa"/>
            <w:vAlign w:val="bottom"/>
          </w:tcPr>
          <w:p>
            <w:pPr>
              <w:spacing w:after="0" w:line="155" w:lineRule="exact"/>
              <w:rPr>
                <w:sz w:val="20"/>
                <w:szCs w:val="20"/>
                <w:color w:val="auto"/>
              </w:rPr>
            </w:pPr>
            <w:r>
              <w:rPr>
                <w:rFonts w:ascii="Arial" w:cs="Arial" w:eastAsia="Arial" w:hAnsi="Arial"/>
                <w:sz w:val="14"/>
                <w:szCs w:val="14"/>
                <w:color w:val="auto"/>
              </w:rPr>
              <w:t>BALANCE—June 30, 2021</w:t>
            </w:r>
          </w:p>
        </w:tc>
        <w:tc>
          <w:tcPr>
            <w:tcW w:w="1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65,654</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304,977</w:t>
            </w: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51,856</w:t>
            </w:r>
          </w:p>
        </w:tc>
        <w:tc>
          <w:tcPr>
            <w:tcW w:w="2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3,258</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360,097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7,024</w:t>
            </w:r>
          </w:p>
        </w:tc>
        <w:tc>
          <w:tcPr>
            <w:tcW w:w="28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10,919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22,930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20,681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Gain on sale of assets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fees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1,552</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13,628</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Contract revenues in excess of billings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(22,771)</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(2,450)</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(8,528)</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(1,233)</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(8,052)</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3,906</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(2,668)</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Billings in excess of contract revenues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(12,200)</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(3,775)</w:t>
            </w:r>
          </w:p>
        </w:tc>
      </w:tr>
      <w:tr>
        <w:trPr>
          <w:trHeight w:val="23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noncurrent assets and liabilities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provided by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(71,701)</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(64,828)</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used in investing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(69,641)</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(64,605)</w:t>
            </w:r>
          </w:p>
        </w:tc>
        <w:tc>
          <w:tcPr>
            <w:tcW w:w="120" w:type="dxa"/>
            <w:vAlign w:val="bottom"/>
            <w:shd w:val="clear" w:color="auto" w:fill="CFF0FC"/>
          </w:tcPr>
          <w:p>
            <w:pPr>
              <w:spacing w:after="0"/>
              <w:rPr>
                <w:sz w:val="19"/>
                <w:szCs w:val="19"/>
                <w:color w:val="auto"/>
              </w:rPr>
            </w:pPr>
          </w:p>
        </w:tc>
      </w:tr>
      <w:tr>
        <w:trPr>
          <w:trHeight w:val="219"/>
        </w:trPr>
        <w:tc>
          <w:tcPr>
            <w:tcW w:w="77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fees</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(4,395)</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Taxes paid on settlement of vested share awards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(1,827)</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(3,784)</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used in financing activities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(70,039)</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147,459</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216,510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40" w:type="dxa"/>
            <w:vAlign w:val="bottom"/>
            <w:tcBorders>
              <w:bottom w:val="single" w:sz="8" w:color="auto"/>
            </w:tcBorders>
            <w:shd w:val="clear" w:color="auto" w:fill="CFF0FC"/>
          </w:tcPr>
          <w:p>
            <w:pPr>
              <w:jc w:val="right"/>
              <w:ind w:right="75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77,420</w:t>
            </w: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180,767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FF0FC"/>
          </w:tcPr>
          <w:p>
            <w:pPr>
              <w:jc w:val="right"/>
              <w:ind w:right="75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75,420</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180,767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Restricted cash included in other long-term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40" w:type="dxa"/>
            <w:vAlign w:val="bottom"/>
            <w:tcBorders>
              <w:top w:val="single" w:sz="8" w:color="auto"/>
              <w:bottom w:val="single" w:sz="8" w:color="auto"/>
            </w:tcBorders>
            <w:shd w:val="clear" w:color="auto" w:fill="CFF0FC"/>
          </w:tcPr>
          <w:p>
            <w:pPr>
              <w:jc w:val="right"/>
              <w:ind w:right="75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77,420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6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paid for interest</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8,808</w:t>
            </w:r>
          </w:p>
        </w:tc>
        <w:tc>
          <w:tcPr>
            <w:tcW w:w="280" w:type="dxa"/>
            <w:vAlign w:val="bottom"/>
            <w:tcBorders>
              <w:bottom w:val="single" w:sz="8" w:color="CFF0FC"/>
            </w:tcBorders>
          </w:tcPr>
          <w:p>
            <w:pPr>
              <w:spacing w:after="0"/>
              <w:rPr>
                <w:sz w:val="23"/>
                <w:szCs w:val="23"/>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13,984</w:t>
            </w:r>
          </w:p>
        </w:tc>
        <w:tc>
          <w:tcPr>
            <w:tcW w:w="120" w:type="dxa"/>
            <w:vAlign w:val="bottom"/>
            <w:tcBorders>
              <w:bottom w:val="single" w:sz="8" w:color="CFF0FC"/>
            </w:tcBorders>
          </w:tcPr>
          <w:p>
            <w:pPr>
              <w:spacing w:after="0"/>
              <w:rPr>
                <w:sz w:val="23"/>
                <w:szCs w:val="23"/>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940" w:type="dxa"/>
            <w:vAlign w:val="bottom"/>
            <w:tcBorders>
              <w:bottom w:val="single" w:sz="8" w:color="auto"/>
            </w:tcBorders>
            <w:shd w:val="clear" w:color="auto" w:fill="CFF0FC"/>
          </w:tcPr>
          <w:p>
            <w:pPr>
              <w:jc w:val="right"/>
              <w:ind w:right="75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13,921</w:t>
            </w:r>
          </w:p>
        </w:tc>
        <w:tc>
          <w:tcPr>
            <w:tcW w:w="28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11,139</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34"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2021.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June 30, 2022 and December 31, 2021, and its results of operations for the three and six months ended June 30, 2022 and 2021 and cash flows for the six months ended June 30, 2022 and 2021 have been included.</w:t>
      </w:r>
    </w:p>
    <w:p>
      <w:pPr>
        <w:spacing w:after="0" w:line="185"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has one operating segment which is also the Company’s reportable segment and reporting unit of which the Company tests goodwill for impairment. The Company performed its most recent annual test of impairment as of July 1, 2021 with no indication of impairment as of the test date. The Company will perform its next scheduled annual test of goodwill in the third quarter of 2022.</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6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for basic and diluted earnings per share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155"/>
        </w:trPr>
        <w:tc>
          <w:tcPr>
            <w:tcW w:w="484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10,919</w:t>
            </w: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 — basic</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65,959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65,458</w:t>
            </w: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stock options and restricted stock units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FF0FC"/>
            </w:tcBorders>
          </w:tcPr>
          <w:p>
            <w:pPr>
              <w:spacing w:after="0"/>
              <w:rPr>
                <w:sz w:val="19"/>
                <w:szCs w:val="19"/>
                <w:color w:val="auto"/>
              </w:rPr>
            </w:pPr>
          </w:p>
        </w:tc>
      </w:tr>
      <w:tr>
        <w:trPr>
          <w:trHeight w:val="223"/>
        </w:trPr>
        <w:tc>
          <w:tcPr>
            <w:tcW w:w="48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70"/>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 — diluted</w:t>
            </w:r>
          </w:p>
        </w:tc>
        <w:tc>
          <w:tcPr>
            <w:tcW w:w="70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66,071</w:t>
            </w:r>
          </w:p>
        </w:tc>
        <w:tc>
          <w:tcPr>
            <w:tcW w:w="22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66,137</w:t>
            </w:r>
          </w:p>
        </w:tc>
        <w:tc>
          <w:tcPr>
            <w:tcW w:w="22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66,480</w:t>
            </w:r>
          </w:p>
        </w:tc>
        <w:tc>
          <w:tcPr>
            <w:tcW w:w="20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66,187</w:t>
            </w:r>
          </w:p>
        </w:tc>
        <w:tc>
          <w:tcPr>
            <w:tcW w:w="120" w:type="dxa"/>
            <w:vAlign w:val="bottom"/>
            <w:tcBorders>
              <w:bottom w:val="single" w:sz="8" w:color="CFF0FC"/>
            </w:tcBorders>
          </w:tcPr>
          <w:p>
            <w:pPr>
              <w:spacing w:after="0"/>
              <w:rPr>
                <w:sz w:val="23"/>
                <w:szCs w:val="23"/>
                <w:color w:val="auto"/>
              </w:rPr>
            </w:pPr>
          </w:p>
        </w:tc>
      </w:tr>
      <w:tr>
        <w:trPr>
          <w:trHeight w:val="210"/>
        </w:trPr>
        <w:tc>
          <w:tcPr>
            <w:tcW w:w="48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Earnings (loss) per share — basic</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0.11</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 diluted</w:t>
            </w:r>
          </w:p>
        </w:tc>
        <w:tc>
          <w:tcPr>
            <w:tcW w:w="9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three months ended June 30, 2022, 447 stock options and restricted stock units were excluded from the diluted weighted average common shares outstanding because the Company incurred a loss for quarter ended June 30, 2022.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8" w:name="page9"/>
    <w:bookmarkEnd w:id="8"/>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June 30, 2022 and December 31, 2021 were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6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7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Payroll and employee benefits</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spacing w:after="0"/>
              <w:rPr>
                <w:sz w:val="20"/>
                <w:szCs w:val="20"/>
                <w:color w:val="auto"/>
              </w:rPr>
            </w:pPr>
            <w:r>
              <w:rPr>
                <w:rFonts w:ascii="Arial" w:cs="Arial" w:eastAsia="Arial" w:hAnsi="Arial"/>
                <w:sz w:val="16"/>
                <w:szCs w:val="16"/>
                <w:color w:val="auto"/>
              </w:rPr>
              <w:t>Interest</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Income and other taxes</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Contract reserves</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June 30, 2022 and December 31, 2021, the Company had no borrowings outstanding under our $200,000 amended and restated revolving credit and security agreement (as amended the “Amended Credit Agreement”). There were $21,527 and $25,127 of letters of credit outstanding and $178,076 and $174,546 of availability under the Amended Credit Agreement as of June 30, 2022 and December 31, 2021, respectively. The availability under the Amended Credit Agreement is suppressed by $397 and $327, respectively, as of June 30, 2022 and December 31, 2021, as a result of certain limitations set forth in the Amended Credit Agreement.</w:t>
      </w:r>
    </w:p>
    <w:p>
      <w:pPr>
        <w:spacing w:after="0" w:line="26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July 29, 2022, the Company, Great Lakes Dredge &amp; Dock Company, LLC, NASDI Holdings, LLC, Great Lakes Environmental &amp; Infrastructure Solutions, LLC, Great Lakes U.S. Fleet Management, LLC, and Drews Services LLC (collectively with the Company, the “Credit Parties”) entered into a second amended and restated revolving credit and security agreement (as amended, supplemented or otherwise modified from time to time, the “New Amended Credit Agreement”) with certain financial institutions from time to time party thereto as lenders, PNC Bank, National Association, as Agent (the “Agent”), PNC Capital Markets, CIBC Bank USA, Bank of America, N.A. and Truist Securities, Inc., as Joint Lead Arrangers and Joint Bookrunners, CIBC Bank USA and Truist Bank as Co-Syndication Agents, Bank of America, N.A., as Documentation Agent and PNC Bank National Association, as Green Loan Coordinator. The New Amended Credit Agreement amends and restates the prior Amended Credit Agreement dated as of May 3, 2019 by and among the financial institutions from time to time party thereto as lenders, the Agent and the Credit Parties party thereto such that the terms and conditions of the Amended Credit Agreement have been subsumed and replaced in their entirety by the terms and conditions of the New Amended Credit Agreement, including the amount available under the revolving credit facility. The terms of the New Amended Credit Agreement are summarized below.</w:t>
      </w:r>
    </w:p>
    <w:p>
      <w:pPr>
        <w:spacing w:after="0" w:line="16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New Amended Credit Agreement provides for a senior secured revolving credit facility in an aggregate principal amount of up to $300,000 of which the full amount is available for the issuance of standby letters of credit. The maximum borrowing capacity under the New Amended Credit Agreement is determined by a formula and may fluctuate depending on the value of the collateral included in such formula at the time of determination. The New Amended Credit Agreement also includes an increase option that will allow the Company to increase the senior secured revolving credit facility by an aggregate principal amount of up to $100,000. This increase is subject to lenders providing incremental commitments for such increase, the Credit Parties having adequate borrowing capacity and provided that no default or event of default exists both before and after giving effect to such incremental commitment increase.</w:t>
      </w:r>
    </w:p>
    <w:p>
      <w:pPr>
        <w:spacing w:after="0" w:line="19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New Amended Credit Agreement contains a green loan option where the Company can borrow at the lower interest rates described below so long as such funds are used to fund capital investments related to renewable energy and clean transportation projects and are consistent with green loan principles. The green loan option is subject to a $35,000 sublimit.</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New Amended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more than 1.10 to 1.00. The New Amended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New Amended Credit Agreement will be unconditionally guaranteed, on a joint and several basis, by each existing and subsequently acquired or formed material direct and indirect domestic subsidiary of the Company. Borrowings under the New Amended Credit Agreement will be used to pay fees and expenses related to the New Amended Credit Agreement, finance acquisitions permitted under the New Amended Credit Agreement, finance ongoing working capital, for other general corporate purposes, and with respect to any green loan, fund capital investments related to renewable energy and clean transportation projects. The New Amended Credit Agreement matures on the earlier of July 29, 2027 or the date that is ninety-one (91) days prior to the scheduled maturity date of the Company’s unsecured senior notes, which is currently June 1, 2029, if the Company fails to refinance its unsecured senior notes prior to their scheduled maturity date but only if such scheduled maturity date is prior to the maturity date of the New Amended Credit Agreement.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94" w:right="399" w:bottom="144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t>The obligations under the New Amended Credit Agreement are secured by substantially all of the assets of the Credit Parties. The outstanding obligations thereunder shall be secured by a valid first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18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Interest on the senior secured revolving credit facility of the New Amended Credit Agreement is equal to either a Domestic Rate option or Secured Overnight Financing Rate (“SOFR”) option, at the Company’s election. As of July 29, 2022, (a) the Domestic Rate option is the highest of (1) the base commercial lending rate of PNC Bank, National Association, as publicly announced, (2) the sum of the overnight bank funding rate plus 0.5% and (3) the sum of the daily simple SOFR plus 1.0%, so long as a daily Simple SOFR is offered, ascertainable and not unlawful and (b) the SOFR option is the rate that applies for the applicable interest period determined by the Agent and based on the rate published by the CME Group Benchmark Administration Limited (or a successor administrator). After the date on which a borrowing base certificate is required to be delivered under Section 9.2 of the New Amended Credit Agreement (commencing with the fiscal quarter ending September 30, 2022), the Domestic Rate option will be the Domestic Rate plus an interest margin ranging between 0.25% and 0.75% and the SOFR option will be the SOFR plus an interest margin ranging between 1.25% and 1.75%, in each case, depending on the quarterly average undrawn availability on the New Amended Credit Agreement. Additionally, the Company will have an option to borrow at Green Loan Advance Rates, each of which will be 0.05% lower than the corresponding applicable rate if the Company certifies that it will use such proceeds to invest in renewable energy and clean transportation projects and it complies with green loan principles.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subsidiary guarantors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May 2021, the Company sold $325,000 of unsecured 5.25% Senior Notes (the “2029 Notes”) pursuant to a private offering. The 2029 Notes were priced to investors at par and will mature on June 1, 2029. The Company used the net proceeds from the offering, together with cash on hand, to redeem all $325,000 aggregate principal amount of its outstanding 8.000% Senior Notes due 2022 (the “8% Notes”).</w:t>
      </w:r>
    </w:p>
    <w:p>
      <w:pPr>
        <w:spacing w:after="0" w:line="18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Company’s obligations under these 2029 Notes are guaranteed by each of the Company’s existing and future 100% owned domestic subsidiaries that are co-borrowers or guarantors under the New Amended Credit Agreement. Such guarantees are full, unconditional and joint and several. The parent company issuer has no independent assets or operations and all non-guarantor subsidiaries have been determined to be minor.</w:t>
      </w:r>
    </w:p>
    <w:p>
      <w:pPr>
        <w:spacing w:after="0" w:line="145"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23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right="140"/>
        <w:spacing w:after="0" w:line="279" w:lineRule="auto"/>
        <w:rPr>
          <w:sz w:val="20"/>
          <w:szCs w:val="20"/>
          <w:color w:val="auto"/>
        </w:rPr>
      </w:pPr>
      <w:r>
        <w:rPr>
          <w:rFonts w:ascii="Arial" w:cs="Arial" w:eastAsia="Arial" w:hAnsi="Arial"/>
          <w:sz w:val="17"/>
          <w:szCs w:val="17"/>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commodity price risk and foreign currency exchange rate risk. The Company does not hold or issue derivatives for speculative or trading purposes. The fair values of these financial instruments are summarized as follows: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Fair Value at</w:t>
            </w: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9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4"/>
          </w:tcPr>
          <w:p>
            <w:pPr>
              <w:jc w:val="right"/>
              <w:ind w:right="717"/>
              <w:spacing w:after="0"/>
              <w:rPr>
                <w:sz w:val="20"/>
                <w:szCs w:val="20"/>
                <w:color w:val="auto"/>
              </w:rPr>
            </w:pPr>
            <w:r>
              <w:rPr>
                <w:rFonts w:ascii="Arial" w:cs="Arial" w:eastAsia="Arial" w:hAnsi="Arial"/>
                <w:sz w:val="14"/>
                <w:szCs w:val="14"/>
                <w:b w:val="1"/>
                <w:bCs w:val="1"/>
                <w:color w:val="auto"/>
              </w:rPr>
              <w:t>June 30, 2022</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4"/>
          </w:tcPr>
          <w:p>
            <w:pPr>
              <w:jc w:val="right"/>
              <w:ind w:right="127"/>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Levels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277"/>
              <w:spacing w:after="0"/>
              <w:rPr>
                <w:sz w:val="20"/>
                <w:szCs w:val="20"/>
                <w:color w:val="auto"/>
              </w:rPr>
            </w:pPr>
            <w:r>
              <w:rPr>
                <w:rFonts w:ascii="Arial" w:cs="Arial" w:eastAsia="Arial" w:hAnsi="Arial"/>
                <w:sz w:val="14"/>
                <w:szCs w:val="14"/>
                <w:b w:val="1"/>
                <w:bCs w:val="1"/>
                <w:color w:val="auto"/>
              </w:rPr>
              <w:t>Assets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37"/>
              <w:spacing w:after="0"/>
              <w:rPr>
                <w:sz w:val="20"/>
                <w:szCs w:val="20"/>
                <w:color w:val="auto"/>
              </w:rPr>
            </w:pPr>
            <w:r>
              <w:rPr>
                <w:rFonts w:ascii="Arial" w:cs="Arial" w:eastAsia="Arial" w:hAnsi="Arial"/>
                <w:sz w:val="14"/>
                <w:szCs w:val="14"/>
                <w:b w:val="1"/>
                <w:bCs w:val="1"/>
                <w:color w:val="auto"/>
              </w:rPr>
              <w:t>Liabilities</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Derivatives designated as cash</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flow hedging instruments:</w:t>
            </w: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40"/>
              <w:spacing w:after="0"/>
              <w:rPr>
                <w:sz w:val="20"/>
                <w:szCs w:val="20"/>
                <w:color w:val="auto"/>
              </w:rPr>
            </w:pPr>
            <w:r>
              <w:rPr>
                <w:rFonts w:ascii="Arial" w:cs="Arial" w:eastAsia="Arial" w:hAnsi="Arial"/>
                <w:sz w:val="18"/>
                <w:szCs w:val="18"/>
                <w:color w:val="auto"/>
              </w:rPr>
              <w:t>Fuel Hedge Contracts</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79"/>
              </w:rPr>
              <w:t>2</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8,710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630</w:t>
            </w:r>
          </w:p>
        </w:tc>
        <w:tc>
          <w:tcPr>
            <w:tcW w:w="320" w:type="dxa"/>
            <w:vAlign w:val="bottom"/>
          </w:tcPr>
          <w:p>
            <w:pPr>
              <w:spacing w:after="0"/>
              <w:rPr>
                <w:sz w:val="19"/>
                <w:szCs w:val="19"/>
                <w:color w:val="auto"/>
              </w:rPr>
            </w:pPr>
          </w:p>
        </w:tc>
        <w:tc>
          <w:tcPr>
            <w:tcW w:w="460" w:type="dxa"/>
            <w:vAlign w:val="bottom"/>
            <w:gridSpan w:val="2"/>
          </w:tcPr>
          <w:p>
            <w:pPr>
              <w:jc w:val="right"/>
              <w:ind w:right="287"/>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6"/>
              </w:rPr>
              <w:t>Foreign Currency Exchange Hedge</w:t>
            </w:r>
          </w:p>
        </w:tc>
        <w:tc>
          <w:tcPr>
            <w:tcW w:w="900" w:type="dxa"/>
            <w:vAlign w:val="bottom"/>
            <w:vMerge w:val="restart"/>
            <w:shd w:val="clear" w:color="auto" w:fill="CFF0FC"/>
          </w:tcPr>
          <w:p>
            <w:pPr>
              <w:jc w:val="center"/>
              <w:spacing w:after="0"/>
              <w:rPr>
                <w:sz w:val="20"/>
                <w:szCs w:val="20"/>
                <w:color w:val="auto"/>
              </w:rPr>
            </w:pPr>
            <w:r>
              <w:rPr>
                <w:rFonts w:ascii="Arial" w:cs="Arial" w:eastAsia="Arial" w:hAnsi="Arial"/>
                <w:sz w:val="18"/>
                <w:szCs w:val="18"/>
                <w:b w:val="1"/>
                <w:bCs w:val="1"/>
                <w:color w:val="auto"/>
                <w:w w:val="79"/>
              </w:rPr>
              <w:t>2</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Contracts</w:t>
            </w:r>
          </w:p>
        </w:tc>
        <w:tc>
          <w:tcPr>
            <w:tcW w:w="900" w:type="dxa"/>
            <w:vAlign w:val="bottom"/>
            <w:tcBorders>
              <w:bottom w:val="single" w:sz="8" w:color="CFF0FC"/>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8"/>
                <w:szCs w:val="18"/>
                <w:color w:val="auto"/>
              </w:rPr>
              <w:t>Total derivatives</w:t>
            </w:r>
          </w:p>
        </w:tc>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8,791</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is exposed to certain market risks, including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typical goal is to hedge approximately 80% of the eligible fuel requirements for work in domestic backlog.</w:t>
      </w:r>
    </w:p>
    <w:p>
      <w:pPr>
        <w:spacing w:after="0" w:line="187"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As of June 30, 2022, the Company was party to various swap arrangements to hedge a portion of the price of its diesel fuel purchase requirements for work in its backlog to be performed through June 2023. As of June 30, 2022, there were 6.2 million gallons remaining on these contracts representing forecasted domestic fuel purchases through February 2023. Under these swap agreements, the Company will pay fixed prices ranging from $1.91 to $3.95 per gallon.</w:t>
      </w:r>
    </w:p>
    <w:p>
      <w:pPr>
        <w:spacing w:after="0" w:line="14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At June 30, 2022 and December 31, 2021, the fair value asset of the fuel hedge contracts were estimated to be $8,710 and $630, respectively, and are recorded in prepaid expenses and other current assets. For fuel hedge contracts considered to be highly effective, the gains reclassified to earnings from changes in fair value of derivatives, net of cash settlements and taxes, for the six months ended June 30, 2022 were $7,200. The remaining gains and losses included in accumulated other comprehensive income (loss) at June 30, 2022 will be reclassified into earnings over the next twelve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hedge contracts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is exposed to certain market risks, including foreign currency exchange rate risks related to the purchase of new vessel build materials in Europe. The Company enters into foreign currency exchange forward contracts to hedge the risk that fluctuations in the Euro in relation to the Dollar could have an adverse impact on cash flows associated with its equipment builds.</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June 30, 2022, the Company was party to various foreign exchange forward contract arrangements to hedge the purchase of materials through November 2024. As of June 30, 2022, there were 17.5 million Euro of payments remaining on these hedge contracts which is the full value of the hedge contacts through November 2024 as the first settlement will not occur until the third quarter of 2022. Under these hedge contracts, the Company will pay fixed prices ranging from $1.06 to $1.13 per Euro.</w:t>
      </w:r>
    </w:p>
    <w:p>
      <w:pPr>
        <w:spacing w:after="0" w:line="1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of June 30, 2022, the fair value asset of the foreign currency exchange hedge contracts was estimated to be $81 and is recorded in prepaid expenses and other current assets. As of June 30, 2022, the fair value liability of foreign currency exchange hedge contracts was estimated to be $322 and is recorded in accrued liabilities. There were no foreign currency exchange hedge contracts as of December 31, 2021. For foreign currency exchange hedge contracts considered to be highly effective, the gains reclassified to earnings from changes in fair value of derivatives, net of cash settlements and taxes, for the six months ended June 30, 2022 were $0. The remaining gains and losses included in accumulated other comprehensive income (loss) at June 30, 2022 will be reclassified into earnings over the next twenty-nine months, corresponding to the period during which the hedged currency is expected to be utilized. Changes in the fair value of foreign currency exchange hedge contracts not considered highly effective are recorded as other expenses in the Statement of Operations. The fair values of foreign currency exchange hedges are corroborated using inputs that are readily observable in public markets; therefore, the Company determines the fair value of these foreign currency exchange hedges using Level 2 inputs.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Fuel Hedge Contracts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Reclassification of derivative gains to</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earnings—net of tax</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(4,719)</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(1,878)</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(7,200)</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w w:val="97"/>
              </w:rPr>
              <w:t>Change in fair value of derivatives—net of</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tax</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w:t>
            </w: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13,300</w:t>
            </w:r>
          </w:p>
        </w:tc>
        <w:tc>
          <w:tcPr>
            <w:tcW w:w="2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w w:val="93"/>
              </w:rPr>
              <w:t>Net change in cash flow derivative fuel hedges</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—net of tax</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(135)</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6,100</w:t>
            </w:r>
          </w:p>
        </w:tc>
        <w:tc>
          <w:tcPr>
            <w:tcW w:w="26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Foreign Currency Exchange Hedge</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Contracts</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w w:val="97"/>
              </w:rPr>
              <w:t>Change in fair value of derivatives—net of</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tax</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flow derivative foreign</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currency hedges—net of tax</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(241)</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(241)</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8"/>
                <w:szCs w:val="18"/>
                <w:color w:val="auto"/>
                <w:w w:val="92"/>
              </w:rPr>
              <w:t>Total net change in cash flow derivative hedges</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—net of tax</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5,859</w:t>
            </w:r>
          </w:p>
        </w:tc>
        <w:tc>
          <w:tcPr>
            <w:tcW w:w="26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6"/>
          </w:tcPr>
          <w:p>
            <w:pPr>
              <w:jc w:val="right"/>
              <w:ind w:right="401"/>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6"/>
          </w:tcPr>
          <w:p>
            <w:pPr>
              <w:jc w:val="right"/>
              <w:ind w:right="421"/>
              <w:spacing w:after="0"/>
              <w:rPr>
                <w:sz w:val="20"/>
                <w:szCs w:val="20"/>
                <w:color w:val="auto"/>
              </w:rPr>
            </w:pPr>
            <w:r>
              <w:rPr>
                <w:rFonts w:ascii="Arial" w:cs="Arial" w:eastAsia="Arial" w:hAnsi="Arial"/>
                <w:sz w:val="14"/>
                <w:szCs w:val="14"/>
                <w:b w:val="1"/>
                <w:bCs w:val="1"/>
                <w:color w:val="auto"/>
              </w:rPr>
              <w:t>Six Months Ended</w:t>
            </w:r>
          </w:p>
        </w:tc>
      </w:tr>
      <w:tr>
        <w:trPr>
          <w:trHeight w:val="228"/>
        </w:trPr>
        <w:tc>
          <w:tcPr>
            <w:tcW w:w="20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4720" w:type="dxa"/>
            <w:vAlign w:val="bottom"/>
            <w:gridSpan w:val="2"/>
          </w:tcPr>
          <w:p>
            <w:pPr>
              <w:ind w:left="2080"/>
              <w:spacing w:after="0"/>
              <w:rPr>
                <w:sz w:val="20"/>
                <w:szCs w:val="20"/>
                <w:color w:val="auto"/>
              </w:rPr>
            </w:pPr>
            <w:r>
              <w:rPr>
                <w:rFonts w:ascii="Arial" w:cs="Arial" w:eastAsia="Arial" w:hAnsi="Arial"/>
                <w:sz w:val="14"/>
                <w:szCs w:val="14"/>
                <w:b w:val="1"/>
                <w:bCs w:val="1"/>
                <w:color w:val="auto"/>
              </w:rPr>
              <w:t>Statement of Operations Location</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r>
      <w:tr>
        <w:trPr>
          <w:trHeight w:val="237"/>
        </w:trPr>
        <w:tc>
          <w:tcPr>
            <w:tcW w:w="2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264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4720" w:type="dxa"/>
            <w:vAlign w:val="bottom"/>
            <w:gridSpan w:val="2"/>
          </w:tcPr>
          <w:p>
            <w:pPr>
              <w:ind w:left="240"/>
              <w:spacing w:after="0"/>
              <w:rPr>
                <w:sz w:val="20"/>
                <w:szCs w:val="20"/>
                <w:color w:val="auto"/>
              </w:rPr>
            </w:pPr>
            <w:r>
              <w:rPr>
                <w:rFonts w:ascii="Arial" w:cs="Arial" w:eastAsia="Arial" w:hAnsi="Arial"/>
                <w:sz w:val="18"/>
                <w:szCs w:val="18"/>
                <w:b w:val="1"/>
                <w:bCs w:val="1"/>
                <w:color w:val="auto"/>
              </w:rPr>
              <w:t xml:space="preserve">Fuel Hedge Contracts  </w:t>
            </w:r>
            <w:r>
              <w:rPr>
                <w:rFonts w:ascii="Arial" w:cs="Arial" w:eastAsia="Arial" w:hAnsi="Arial"/>
                <w:sz w:val="18"/>
                <w:szCs w:val="18"/>
                <w:color w:val="auto"/>
              </w:rPr>
              <w:t>Costs of contract revenues</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rPr>
              <w:t>(6,313)</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(2,513)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(9,632)</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(4,554)</w:t>
            </w:r>
          </w:p>
        </w:tc>
      </w:tr>
      <w:tr>
        <w:trPr>
          <w:trHeight w:val="243"/>
        </w:trPr>
        <w:tc>
          <w:tcPr>
            <w:tcW w:w="4720" w:type="dxa"/>
            <w:vAlign w:val="bottom"/>
            <w:gridSpan w:val="2"/>
            <w:shd w:val="clear" w:color="auto" w:fill="CFF0FC"/>
          </w:tcPr>
          <w:p>
            <w:pPr>
              <w:ind w:left="2080"/>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(1,594)</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(2,432)</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(1,150)</w:t>
            </w:r>
          </w:p>
        </w:tc>
      </w:tr>
      <w:tr>
        <w:trPr>
          <w:trHeight w:val="223"/>
        </w:trPr>
        <w:tc>
          <w:tcPr>
            <w:tcW w:w="20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revolving credit agreement approximates fair value. In May 2021, the Company sold $325,000 of the 2029 Notes, which were outstanding at June 30, 2022 (see Note 4, Long-term debt). The 2029 Notes are senior unsecured obligations of the Company and its subsidiaries that guarantee the 2029 Notes. The fair value of the 2029 Notes was $281,180 at June 30, 2022,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On May 5, 2021, the Company’s stockholders approved the Great Lakes Dredge &amp; Dock Corporation 2021 Long-Term Incentive Plan (the “Incentive Plan”), which previously had been approved by the Company’s board of directors subject to stockholder approval. The Incentive Plan replaces the 2017 Long-Term Incentive Plan (the “Prior Plan”) and is largely based on the Prior Plan, but with updates to the available shares and other administrative changes. The Incentive Plan permits the granting of stock options, stock appreciation rights, restricted stock and restricted stock units to the Company’s employees and directors for up to 1.5 million shares of common stock, plus the number of shares that remained available for future grant under the Prior Plan as of the effectiveness of the Incentive Plan.</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Prior Plan permitted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six months ended June 30, 2022, the Company granted 603 thousand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$1,000 and $798 for the three months ended June 30, 2022 and 2021, respectively. Compensation cost charged to expense related to share-based compensation arrangements was $1,552 and $2,564 for the six months ended June 30, 2022 and 2021, respectively.</w:t>
      </w:r>
    </w:p>
    <w:p>
      <w:pPr>
        <w:spacing w:after="0" w:line="224"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At June 30, 2022, the Company had $373,801 of remaining performance obligations, which the Company refers to as total backlog. Approximately 73% of the Company’s backlog is expected to be completed in 2022 with the remaining balance expected to be completed in 2023.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presents our revenue disaggregated by several categories.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Domestically, the Company’s work generally is performed in coastal waterways and deep-water ports. The U.S. dredging market consists of four primary types of work: capital, coastal protection, maintenance and rivers &amp; lakes. Foreign projects typically involve capital work.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work, for the periods indicated, are as follows:</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26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w:t>
            </w:r>
          </w:p>
        </w:tc>
      </w:tr>
      <w:tr>
        <w:trPr>
          <w:trHeight w:val="230"/>
        </w:trPr>
        <w:tc>
          <w:tcPr>
            <w:tcW w:w="2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right"/>
              <w:ind w:right="107"/>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
        </w:trPr>
        <w:tc>
          <w:tcPr>
            <w:tcW w:w="2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22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r>
      <w:tr>
        <w:trPr>
          <w:trHeight w:val="25"/>
        </w:trPr>
        <w:tc>
          <w:tcPr>
            <w:tcW w:w="2240" w:type="dxa"/>
            <w:vAlign w:val="bottom"/>
            <w:tcBorders>
              <w:bottom w:val="single" w:sz="8" w:color="CFF0FC"/>
            </w:tcBorders>
          </w:tcPr>
          <w:p>
            <w:pPr>
              <w:spacing w:after="0"/>
              <w:rPr>
                <w:sz w:val="2"/>
                <w:szCs w:val="2"/>
                <w:color w:val="auto"/>
              </w:rPr>
            </w:pPr>
          </w:p>
        </w:tc>
        <w:tc>
          <w:tcPr>
            <w:tcW w:w="6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23"/>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240" w:type="dxa"/>
            <w:vAlign w:val="bottom"/>
          </w:tcPr>
          <w:p>
            <w:pPr>
              <w:ind w:left="240"/>
              <w:spacing w:after="0"/>
              <w:rPr>
                <w:sz w:val="20"/>
                <w:szCs w:val="20"/>
                <w:color w:val="auto"/>
              </w:rPr>
            </w:pPr>
            <w:r>
              <w:rPr>
                <w:rFonts w:ascii="Arial" w:cs="Arial" w:eastAsia="Arial" w:hAnsi="Arial"/>
                <w:sz w:val="18"/>
                <w:szCs w:val="18"/>
                <w:color w:val="auto"/>
              </w:rPr>
              <w:t>Capital—U.S.</w:t>
            </w:r>
          </w:p>
        </w:tc>
        <w:tc>
          <w:tcPr>
            <w:tcW w:w="9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89,693</w:t>
            </w:r>
          </w:p>
        </w:tc>
        <w:tc>
          <w:tcPr>
            <w:tcW w:w="4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79,399</w:t>
            </w:r>
          </w:p>
        </w:tc>
        <w:tc>
          <w:tcPr>
            <w:tcW w:w="2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190,704</w:t>
            </w: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157,005</w:t>
            </w:r>
          </w:p>
        </w:tc>
        <w:tc>
          <w:tcPr>
            <w:tcW w:w="80" w:type="dxa"/>
            <w:vAlign w:val="bottom"/>
          </w:tcPr>
          <w:p>
            <w:pPr>
              <w:spacing w:after="0"/>
              <w:rPr>
                <w:sz w:val="19"/>
                <w:szCs w:val="19"/>
                <w:color w:val="auto"/>
              </w:rPr>
            </w:pPr>
          </w:p>
        </w:tc>
      </w:tr>
      <w:tr>
        <w:trPr>
          <w:trHeight w:val="230"/>
        </w:trPr>
        <w:tc>
          <w:tcPr>
            <w:tcW w:w="2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Capital—foreign</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w:t>
            </w:r>
          </w:p>
        </w:tc>
        <w:tc>
          <w:tcPr>
            <w:tcW w:w="80" w:type="dxa"/>
            <w:vAlign w:val="bottom"/>
            <w:shd w:val="clear" w:color="auto" w:fill="CFF0FC"/>
          </w:tcPr>
          <w:p>
            <w:pPr>
              <w:spacing w:after="0"/>
              <w:rPr>
                <w:sz w:val="19"/>
                <w:szCs w:val="19"/>
                <w:color w:val="auto"/>
              </w:rPr>
            </w:pPr>
          </w:p>
        </w:tc>
      </w:tr>
      <w:tr>
        <w:trPr>
          <w:trHeight w:val="230"/>
        </w:trPr>
        <w:tc>
          <w:tcPr>
            <w:tcW w:w="2240" w:type="dxa"/>
            <w:vAlign w:val="bottom"/>
          </w:tcPr>
          <w:p>
            <w:pPr>
              <w:ind w:left="240"/>
              <w:spacing w:after="0"/>
              <w:rPr>
                <w:sz w:val="20"/>
                <w:szCs w:val="20"/>
                <w:color w:val="auto"/>
              </w:rPr>
            </w:pPr>
            <w:r>
              <w:rPr>
                <w:rFonts w:ascii="Arial" w:cs="Arial" w:eastAsia="Arial" w:hAnsi="Arial"/>
                <w:sz w:val="18"/>
                <w:szCs w:val="18"/>
                <w:color w:val="auto"/>
              </w:rPr>
              <w:t>Coastal protection</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45,119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46,631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117,036</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93,262</w:t>
            </w:r>
          </w:p>
        </w:tc>
        <w:tc>
          <w:tcPr>
            <w:tcW w:w="80" w:type="dxa"/>
            <w:vAlign w:val="bottom"/>
          </w:tcPr>
          <w:p>
            <w:pPr>
              <w:spacing w:after="0"/>
              <w:rPr>
                <w:sz w:val="19"/>
                <w:szCs w:val="19"/>
                <w:color w:val="auto"/>
              </w:rPr>
            </w:pPr>
          </w:p>
        </w:tc>
      </w:tr>
      <w:tr>
        <w:trPr>
          <w:trHeight w:val="229"/>
        </w:trPr>
        <w:tc>
          <w:tcPr>
            <w:tcW w:w="2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12,648</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37,278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32,460</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82,579</w:t>
            </w:r>
          </w:p>
        </w:tc>
        <w:tc>
          <w:tcPr>
            <w:tcW w:w="80" w:type="dxa"/>
            <w:vAlign w:val="bottom"/>
            <w:shd w:val="clear" w:color="auto" w:fill="CFF0FC"/>
          </w:tcPr>
          <w:p>
            <w:pPr>
              <w:spacing w:after="0"/>
              <w:rPr>
                <w:sz w:val="19"/>
                <w:szCs w:val="19"/>
                <w:color w:val="auto"/>
              </w:rPr>
            </w:pPr>
          </w:p>
        </w:tc>
      </w:tr>
      <w:tr>
        <w:trPr>
          <w:trHeight w:val="230"/>
        </w:trPr>
        <w:tc>
          <w:tcPr>
            <w:tcW w:w="2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Rivers &amp; lakes</w:t>
            </w:r>
          </w:p>
        </w:tc>
        <w:tc>
          <w:tcPr>
            <w:tcW w:w="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8,379</w:t>
            </w:r>
          </w:p>
        </w:tc>
        <w:tc>
          <w:tcPr>
            <w:tcW w:w="80" w:type="dxa"/>
            <w:vAlign w:val="bottom"/>
            <w:tcBorders>
              <w:bottom w:val="single" w:sz="8" w:color="CFF0FC"/>
            </w:tcBorders>
          </w:tcPr>
          <w:p>
            <w:pPr>
              <w:spacing w:after="0"/>
              <w:rPr>
                <w:sz w:val="19"/>
                <w:szCs w:val="19"/>
                <w:color w:val="auto"/>
              </w:rPr>
            </w:pPr>
          </w:p>
        </w:tc>
      </w:tr>
      <w:tr>
        <w:trPr>
          <w:trHeight w:val="223"/>
        </w:trPr>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149,428</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169,914</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343,777</w:t>
            </w:r>
          </w:p>
        </w:tc>
        <w:tc>
          <w:tcPr>
            <w:tcW w:w="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347,547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customer, for the periods indicated,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9"/>
                <w:szCs w:val="19"/>
                <w:color w:val="auto"/>
              </w:rPr>
            </w:pPr>
          </w:p>
        </w:tc>
        <w:tc>
          <w:tcPr>
            <w:tcW w:w="226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w:t>
            </w:r>
          </w:p>
        </w:tc>
        <w:tc>
          <w:tcPr>
            <w:tcW w:w="1680" w:type="dxa"/>
            <w:vAlign w:val="bottom"/>
          </w:tcPr>
          <w:p>
            <w:pPr>
              <w:spacing w:after="0"/>
              <w:rPr>
                <w:sz w:val="19"/>
                <w:szCs w:val="19"/>
                <w:color w:val="auto"/>
              </w:rPr>
            </w:pPr>
          </w:p>
        </w:tc>
      </w:tr>
      <w:tr>
        <w:trPr>
          <w:trHeight w:val="214"/>
        </w:trPr>
        <w:tc>
          <w:tcPr>
            <w:tcW w:w="17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3"/>
        </w:trPr>
        <w:tc>
          <w:tcPr>
            <w:tcW w:w="4260" w:type="dxa"/>
            <w:vAlign w:val="bottom"/>
            <w:gridSpan w:val="2"/>
          </w:tcPr>
          <w:p>
            <w:pPr>
              <w:ind w:left="1700"/>
              <w:spacing w:after="0"/>
              <w:rPr>
                <w:sz w:val="20"/>
                <w:szCs w:val="20"/>
                <w:color w:val="auto"/>
              </w:rPr>
            </w:pPr>
            <w:r>
              <w:rPr>
                <w:rFonts w:ascii="Arial" w:cs="Arial" w:eastAsia="Arial" w:hAnsi="Arial"/>
                <w:sz w:val="14"/>
                <w:szCs w:val="14"/>
                <w:b w:val="1"/>
                <w:bCs w:val="1"/>
                <w:color w:val="auto"/>
              </w:rPr>
              <w:t>Revenues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Dredging:</w:t>
            </w: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560" w:type="dxa"/>
            <w:vAlign w:val="bottom"/>
          </w:tcPr>
          <w:p>
            <w:pPr>
              <w:ind w:left="240"/>
              <w:spacing w:after="0"/>
              <w:rPr>
                <w:sz w:val="20"/>
                <w:szCs w:val="20"/>
                <w:color w:val="auto"/>
              </w:rPr>
            </w:pPr>
            <w:r>
              <w:rPr>
                <w:rFonts w:ascii="Arial" w:cs="Arial" w:eastAsia="Arial" w:hAnsi="Arial"/>
                <w:sz w:val="18"/>
                <w:szCs w:val="18"/>
                <w:color w:val="auto"/>
              </w:rPr>
              <w:t>Federal government</w:t>
            </w:r>
          </w:p>
        </w:tc>
        <w:tc>
          <w:tcPr>
            <w:tcW w:w="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95,360</w:t>
            </w:r>
          </w:p>
        </w:tc>
        <w:tc>
          <w:tcPr>
            <w:tcW w:w="140" w:type="dxa"/>
            <w:vAlign w:val="bottom"/>
          </w:tcPr>
          <w:p>
            <w:pPr>
              <w:spacing w:after="0"/>
              <w:rPr>
                <w:sz w:val="19"/>
                <w:szCs w:val="19"/>
                <w:color w:val="auto"/>
              </w:rPr>
            </w:pPr>
          </w:p>
        </w:tc>
        <w:tc>
          <w:tcPr>
            <w:tcW w:w="320" w:type="dxa"/>
            <w:vAlign w:val="bottom"/>
            <w:gridSpan w:val="2"/>
          </w:tcPr>
          <w:p>
            <w:pPr>
              <w:jc w:val="right"/>
              <w:ind w:right="12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127,331</w:t>
            </w:r>
          </w:p>
        </w:tc>
        <w:tc>
          <w:tcPr>
            <w:tcW w:w="2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262,934</w:t>
            </w: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258,063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50,922</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37,069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75,523</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71,844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560" w:type="dxa"/>
            <w:vAlign w:val="bottom"/>
          </w:tcPr>
          <w:p>
            <w:pPr>
              <w:ind w:left="240"/>
              <w:spacing w:after="0"/>
              <w:rPr>
                <w:sz w:val="20"/>
                <w:szCs w:val="20"/>
                <w:color w:val="auto"/>
              </w:rPr>
            </w:pPr>
            <w:r>
              <w:rPr>
                <w:rFonts w:ascii="Arial" w:cs="Arial" w:eastAsia="Arial" w:hAnsi="Arial"/>
                <w:sz w:val="18"/>
                <w:szCs w:val="18"/>
                <w:color w:val="auto"/>
              </w:rPr>
              <w:t>Private</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5,320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11,318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4260" w:type="dxa"/>
            <w:vAlign w:val="bottom"/>
            <w:gridSpan w:val="2"/>
          </w:tcPr>
          <w:p>
            <w:pPr>
              <w:ind w:left="1700"/>
              <w:spacing w:after="0"/>
              <w:rPr>
                <w:sz w:val="20"/>
                <w:szCs w:val="20"/>
                <w:color w:val="auto"/>
              </w:rPr>
            </w:pPr>
            <w:r>
              <w:rPr>
                <w:rFonts w:ascii="Arial" w:cs="Arial" w:eastAsia="Arial" w:hAnsi="Arial"/>
                <w:sz w:val="18"/>
                <w:szCs w:val="18"/>
                <w:color w:val="auto"/>
              </w:rPr>
              <w:t>Total revenues</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149,428</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169,914</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343,777</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347,547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Accounts receivable at June 30, 2022 and December 31, 2021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4"/>
                <w:szCs w:val="14"/>
                <w:color w:val="auto"/>
              </w:rPr>
            </w:pPr>
          </w:p>
        </w:tc>
        <w:tc>
          <w:tcPr>
            <w:tcW w:w="176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260" w:type="dxa"/>
            <w:vAlign w:val="bottom"/>
            <w:shd w:val="clear" w:color="auto" w:fill="CFF0FC"/>
          </w:tcPr>
          <w:p>
            <w:pPr>
              <w:jc w:val="right"/>
              <w:ind w:right="9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34,030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10,612</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Contracts in progress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31,211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65,415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2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7,490</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69,889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83,517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140" w:type="dxa"/>
            <w:vAlign w:val="bottom"/>
            <w:vMerge w:val="restart"/>
          </w:tcPr>
          <w:p>
            <w:pPr>
              <w:spacing w:after="0"/>
              <w:rPr>
                <w:sz w:val="11"/>
                <w:szCs w:val="11"/>
                <w:color w:val="auto"/>
              </w:rPr>
            </w:pPr>
          </w:p>
        </w:tc>
        <w:tc>
          <w:tcPr>
            <w:tcW w:w="560" w:type="dxa"/>
            <w:vAlign w:val="bottom"/>
            <w:vMerge w:val="restart"/>
          </w:tcPr>
          <w:p>
            <w:pPr>
              <w:spacing w:after="0"/>
              <w:rPr>
                <w:sz w:val="11"/>
                <w:szCs w:val="11"/>
                <w:color w:val="auto"/>
              </w:rPr>
            </w:pPr>
          </w:p>
        </w:tc>
        <w:tc>
          <w:tcPr>
            <w:tcW w:w="53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receivable—net</w:t>
            </w:r>
          </w:p>
        </w:tc>
        <w:tc>
          <w:tcPr>
            <w:tcW w:w="26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69,325</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82,953</w:t>
            </w:r>
          </w:p>
        </w:tc>
        <w:tc>
          <w:tcPr>
            <w:tcW w:w="80" w:type="dxa"/>
            <w:vAlign w:val="bottom"/>
            <w:tcBorders>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spacing w:after="0"/>
              <w:rPr>
                <w:sz w:val="20"/>
                <w:szCs w:val="20"/>
                <w:color w:val="auto"/>
              </w:rPr>
            </w:pPr>
            <w:r>
              <w:rPr>
                <w:rFonts w:ascii="Arial" w:cs="Arial" w:eastAsia="Arial" w:hAnsi="Arial"/>
                <w:sz w:val="18"/>
                <w:szCs w:val="18"/>
                <w:color w:val="auto"/>
                <w:w w:val="89"/>
              </w:rPr>
              <w:t>The components of contracts in progress at June 30, 2022 and December 31, 2021 are as follows:</w:t>
            </w: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Costs and earnings for contracts in progress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277,373</w:t>
            </w:r>
          </w:p>
        </w:tc>
        <w:tc>
          <w:tcPr>
            <w:tcW w:w="140" w:type="dxa"/>
            <w:vAlign w:val="bottom"/>
          </w:tcPr>
          <w:p>
            <w:pPr>
              <w:spacing w:after="0"/>
              <w:rPr>
                <w:sz w:val="19"/>
                <w:szCs w:val="19"/>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270,998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Amounts billed</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(239,568)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(240,941)</w:t>
            </w:r>
          </w:p>
        </w:tc>
        <w:tc>
          <w:tcPr>
            <w:tcW w:w="0" w:type="dxa"/>
            <w:vAlign w:val="bottom"/>
          </w:tcPr>
          <w:p>
            <w:pPr>
              <w:spacing w:after="0"/>
              <w:rPr>
                <w:sz w:val="1"/>
                <w:szCs w:val="1"/>
                <w:color w:val="auto"/>
              </w:rPr>
            </w:pPr>
          </w:p>
        </w:tc>
      </w:tr>
      <w:tr>
        <w:trPr>
          <w:trHeight w:val="223"/>
        </w:trPr>
        <w:tc>
          <w:tcPr>
            <w:tcW w:w="7060" w:type="dxa"/>
            <w:vAlign w:val="bottom"/>
            <w:gridSpan w:val="3"/>
          </w:tcPr>
          <w:p>
            <w:pPr>
              <w:ind w:left="1140"/>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37,805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30,057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25,917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10,894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gridSpan w:val="3"/>
          </w:tcPr>
          <w:p>
            <w:pPr>
              <w:ind w:left="1140"/>
              <w:spacing w:after="0"/>
              <w:rPr>
                <w:sz w:val="20"/>
                <w:szCs w:val="20"/>
                <w:color w:val="auto"/>
              </w:rPr>
            </w:pPr>
            <w:r>
              <w:rPr>
                <w:rFonts w:ascii="Arial" w:cs="Arial" w:eastAsia="Arial" w:hAnsi="Arial"/>
                <w:sz w:val="18"/>
                <w:szCs w:val="18"/>
                <w:color w:val="auto"/>
              </w:rPr>
              <w:t>Total contract revenues in excess of billings</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63,722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40,951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19"/>
                <w:szCs w:val="19"/>
                <w:color w:val="auto"/>
              </w:rPr>
            </w:pPr>
          </w:p>
        </w:tc>
        <w:tc>
          <w:tcPr>
            <w:tcW w:w="5920" w:type="dxa"/>
            <w:vAlign w:val="bottom"/>
            <w:gridSpan w:val="2"/>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Current portion of contract revenues in excess of billings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62,615</w:t>
            </w:r>
          </w:p>
        </w:tc>
        <w:tc>
          <w:tcPr>
            <w:tcW w:w="140" w:type="dxa"/>
            <w:vAlign w:val="bottom"/>
          </w:tcPr>
          <w:p>
            <w:pPr>
              <w:spacing w:after="0"/>
              <w:rPr>
                <w:sz w:val="19"/>
                <w:szCs w:val="19"/>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39,844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contract revenues in excess of billings</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60" w:type="dxa"/>
            <w:vAlign w:val="bottom"/>
            <w:gridSpan w:val="3"/>
          </w:tcPr>
          <w:p>
            <w:pPr>
              <w:ind w:left="1140"/>
              <w:spacing w:after="0"/>
              <w:rPr>
                <w:sz w:val="20"/>
                <w:szCs w:val="20"/>
                <w:color w:val="auto"/>
              </w:rPr>
            </w:pPr>
            <w:r>
              <w:rPr>
                <w:rFonts w:ascii="Arial" w:cs="Arial" w:eastAsia="Arial" w:hAnsi="Arial"/>
                <w:sz w:val="18"/>
                <w:szCs w:val="18"/>
                <w:color w:val="auto"/>
              </w:rPr>
              <w:t>Total contract revenues in excess of billings</w:t>
            </w:r>
          </w:p>
        </w:tc>
        <w:tc>
          <w:tcPr>
            <w:tcW w:w="2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63,722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40,951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560" w:type="dxa"/>
            <w:vAlign w:val="bottom"/>
            <w:tcBorders>
              <w:top w:val="single" w:sz="8" w:color="CFF0FC"/>
            </w:tcBorders>
            <w:shd w:val="clear" w:color="auto" w:fill="CFF0FC"/>
          </w:tcPr>
          <w:p>
            <w:pPr>
              <w:spacing w:after="0"/>
              <w:rPr>
                <w:sz w:val="18"/>
                <w:szCs w:val="18"/>
                <w:color w:val="auto"/>
              </w:rPr>
            </w:pPr>
          </w:p>
        </w:tc>
        <w:tc>
          <w:tcPr>
            <w:tcW w:w="53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Billings in excess of costs and earnings: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Amounts billed</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(155,455)</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(224,381)</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Costs and earnings for contracts in progress</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152,841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209,567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billings in excess of contract revenues</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(14,814)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the three and six months ending June 30, 2022, a revision to the estimated gross profit percentage of a project was recognized due to a positive settlement of a claim from the recently completed project resulting in a cumulative net impact on the project margin, which increased gross profit by $5,638 and $17,362, respectively.</w:t>
      </w:r>
    </w:p>
    <w:p>
      <w:pPr>
        <w:spacing w:after="0" w:line="22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At June 30, 2022 and December 31, 2021, costs to fulfill a contract with a customer recognized as an asset were $4,492 and $5,652, respectively, and are recorded in other current assets and other noncurrent assets. These costs relate to pre-contract and pre-construction activities. During the three and six months ended June 30, 2022 and 2021, the Company amortized $2,061 and $5,909 and $4,452 and $11,756, respectively, of pre-construction costs.</w:t>
      </w:r>
    </w:p>
    <w:p>
      <w:pPr>
        <w:spacing w:after="0" w:line="145"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Performance and bid bonds are customarily required for dredging and marine construction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Bid bonds are generally obtained for a percentage of bid value and amounts outstanding typically range from $1,000 to $10,000. At June 30, 2022, the Company had outstanding performance bonds with a notional amount of approximately $976,656. The revenue value remaining in backlog totaled approximately $373,801.</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4" w:name="page15"/>
    <w:bookmarkEnd w:id="14"/>
    <w:p>
      <w:pPr>
        <w:ind w:right="100"/>
        <w:spacing w:after="0" w:line="311"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7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April 23, 2014, the Company completed the sale of NASDI, LLC (“NASDI”) and Yankee Environmental Services, LLC (“Yankee”), which together comprised the Company’s historical demolition business, to a privately-owned demolition company. Under the terms of the agreement, the Company received cash of $5,309 and retained the right to receive additional proceeds based upon future collections of outstanding accounts receivable and work in process existing at the date of close. On January 14, 2015, the Company and its subsidiary, NASDI Holdings, LLC, brought an action in the Delaware Court of Chancery to enforce the terms of the Company's agreement to sell NASDI and Yankee. The Company seeks specific performance of the buyer’s obligation to collect and to remit the additional proceeds, and other related relief. Defendants have filed counterclaims alleging that the Company misrepresented the quality of its contracts and receivables prior to the sale. The Company denies the defendants’ allegations. In addition, the Company has been granted a judgment in the amount of $21,934 based upon the buyer’s default of its obligations to indemnify the Company for losses resulting from failure to perform in accordance with terms of surety performance bond. The defendants filed a notice of appeal from that judgment. On April 11, 2022, the Supreme Court of Delaware issued its decision denying that appeal and affirming the Chancery Court judgment. The Company continues to aggressively pursue collection from the buyer on outstanding amounts owed under the sale and the indemnification. An estimate of a range of potential gains or losses relating to these matters cannot reasonably be made.</w:t>
      </w:r>
    </w:p>
    <w:p>
      <w:pPr>
        <w:spacing w:after="0" w:line="17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April 22, 2021, the U.S. Attorney’s Office for the Eastern District of Louisiana filed a bill of information against the Company charging the Company with a negligent discharge violation of the Clean Water Act (the “CWA”) arising from a September 2016 oil spill. The spill occurred during the Company’s Cheniere Ronquille project and resulted in the discharge of around one hundred sixty barrels of crude oil in Bay Long, Louisiana. The Company cooperated with the U.S. Attorney’s Office and other relevant agencies in their investigation of the oil spill and on June 15, 2021, the Company pleaded guilty to the misdemeanor violation alleged in the bill of information and agreed to pay a fine of $1,000. In the first quarter of 2022, the Company entered into a settlement of a civil suit arising from the same matter which was primarily covered by its insurance policies. On June 14, 2022, the Company was sentenced in the criminal matter, and paid a fine of $1,000. The Company had previously deposited $2,000 into the registry of the Court to pay any ordered restitution, however, the Company was not ordered to pay any restitution and the deposited funds, less the amount of the fine and administrative costs, were returned to the Company. The CWA provides that, upon an entity’s conviction of certain offenses, the entity is automatically disqualified from eligibility to receive certain federal contracts, if it will perform any part of the awarded contract at the facility giving rise to the conviction (called the “violating facility”). Accordingly, the Court’s entry of the Company’s conviction under the CWA resulted in the automatic disqualification of the Company’s eligibility to be awarded contracts at the violating facility, which the federal suspension and debarment officer (the “SDO”) determined to be the Company’s field office for the Cheniere Ronquille project, located at 28465 Hwy 23, Port Sulphur, Louisiana. The disqualification was imposed on June 23, 2022 and only applied to the Port Sulphur facility and not the Company as a whole. On the same day, June 23, 2022, the SDO issued a decision reinstating the Company’s Port Sulphur facility based on the SDO’s determination that the Company had addressed the causes of the CWA violation. This matter is now fully resolved and will not have any future impact on the Company’s business, financial condition or results of operations.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leases certain operating equipment and office facilities under long-term operating leases expiring at various dates through 2030. The equipment leases contain renewal or purchase options that specify prices at the then fair value upon the expiration of the lease terms. The leases also contain default provisions that are triggered by an acceleration of debt maturity under the terms of the Company’s New Amended Credit Agreement, or, in certain instances, cross default to other equipment leases and certain lease arrangements require that the Company maintain certain financial ratios comparable to those required by its New Amended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98" w:right="459" w:bottom="1440" w:gutter="0" w:footer="0" w:header="0"/>
        </w:sectPr>
      </w:pPr>
    </w:p>
    <w:bookmarkStart w:id="16" w:name="page17"/>
    <w:bookmarkEnd w:id="16"/>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w:t>
      </w:r>
    </w:p>
    <w:p>
      <w:pPr>
        <w:spacing w:after="0" w:line="16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2021 and in other securities filings by Great Lakes with the SEC.</w:t>
      </w:r>
    </w:p>
    <w:p>
      <w:pPr>
        <w:spacing w:after="0" w:line="16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is the largest provider of dredging services in the United States. In addition, the Company is fully engaged in expanding its core business into the rapidly developing offshore wind energy industry. The Company has a long history of performing significant international projects. The mobility of the Company’s fleet enables the Company to move equipment in response to changes in demand for dredging services.</w:t>
      </w:r>
    </w:p>
    <w:p>
      <w:pPr>
        <w:spacing w:after="0" w:line="16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Dredging generally involves the enhancement or preservation of the navigability of waterways or the protection of shorelines through the removal or replenishment of soil, sand or rock. Domestically, our work generally is performed in coastal waterways and deep-water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or other considerations (“bid market”). The Company experienced an average combined bid market share in the U.S. of 35% over the prior three years, including 49%, 54%, 17% and 23% of the domestic capital, coastal protection, maintenance and rivers &amp; lakes sectors, respectively.</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largest domestic customer is the U.S. Army Corps of Engineers (the “Corps”), which has responsibility for federally funded projects related to navigation and flood control of U.S. waterways. In the first six months of 2022, the Company’s dredging revenues earned from contracts with federal government agencies, including the Corps as well as other federal entities such as the U.S. Coast Guard and the U.S. Navy were approximately 76% of dredging revenues, below the Company’s prior three-year average of 80%.</w:t>
      </w:r>
    </w:p>
    <w:p>
      <w:pPr>
        <w:spacing w:after="0" w:line="18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coronavirus (“COVID-19”) pandemic has impacted global economic activity and many countries, including the United States and its governmental entities and private businesses, have reacted by instituting quarantines, mandating school and business closures and limiting travel at various times throughout the pandemic.</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28, 2020, dredging was specifically listed in the U.S. Department of Homeland Security’s “Advisory Memorandum on Identification of Essential Critical Infrastructure Workers During COVID-19 Response” which federally designates the Company as an essential business or “critical infrastructure” company that can maintain operations during the ongoing pandemic. As mentioned above, the Company’s largest domestic dredging customer is the Corps; the Corps oversees the majority of these critical infrastructure projects and, in this capacity, has continued to follow their bid schedule and prioritize all types of dredging including port maintenance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ind w:right="740"/>
        <w:spacing w:after="0" w:line="277" w:lineRule="auto"/>
        <w:rPr>
          <w:sz w:val="20"/>
          <w:szCs w:val="20"/>
          <w:color w:val="auto"/>
        </w:rPr>
      </w:pPr>
      <w:r>
        <w:rPr>
          <w:rFonts w:ascii="Arial" w:cs="Arial" w:eastAsia="Arial" w:hAnsi="Arial"/>
          <w:sz w:val="18"/>
          <w:szCs w:val="18"/>
          <w:color w:val="auto"/>
        </w:rPr>
        <w:t>and expansion and coastal protection projects that are necessary to avoid potential storm damage during hurricane season. Despite the uncertainty surrounding COVID-19, to date, the Corps is continuing to advertise new projects.</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Executive Leadership team has established a COVID-19 Command Team that meets as necessary to update contingency plans and address the challenges related to maintaining operations in this evolving economic environment. The Company’s primary focus has been the health and safety of its employees. The Company has implemented paid leave policies and additional sanitary and safety measures to mitigate the risk of infection to employees. On vessels and job sites, the Company has instituted fewer employee shift changes and increased sanitary measures. The Company is now 100% fully vaccinated against COVID-19, with few accommodations. Direct COVID-19 related costs were approximately $0.1 million for the second quarter of 2022 compared to approximately $3.0 million in the second quarter of 2021.</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mid-2022, the Company’s corporate employees began transitioning from a hybrid working environment to mostly working in person. The Company is following the protocols published by the U.S. Centers for Disease Control and Prevention, the World Health Organization and state and local governments. As the Company’s employees, customers and communities are facing significant challenges, the Company cannot predict how COVID-19 will evolve or the impact it, or actions taken to contain it, will have on future results. Due to the uncertainty that surrounds this virus, the Company will be continually evaluating safety and operational contingency plans and the potential future impact that this evolving environment has on the Company’s business, financial condition and results of operations.</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plans to participate in the offshore wind market and in November 2021, the Company entered into a $197 million contract with Philly Shipyard Inc. to build the first U.S. flagged Jones Act compliant, inclined fall-pipe vessel for subsea rock installation for wind turbine foundations with expected delivery of the vessel in the second half of 2024. This vessel represents a significant and critical advancement in building the U.S. logistics infrastructure to support the future of the new U.S. offshore wind industry. The Company has begun bidding on select projects in the offshore wind market and on July 14, 2022, the Company, in consortium with Van Oord, entered into its first contract with Empire Offshore Wind, a joint venture between Equinor and BP, to perform subsea rock installation work for the Empire I and Empire II offshore wind farms in New York. These wind farms are expected to provide over 2 Gigawatts (“GW”) of renewable energy to the state of New York; enough renewable energy to power more than one million households in New York.</w:t>
      </w:r>
    </w:p>
    <w:p>
      <w:pPr>
        <w:spacing w:after="0" w:line="19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current Presidential Administration has pushed to accelerate renewable energy developments and has set a target to install 30GW of offshore wind energy generation capacity by 2030 on the U.S. East Coast. In March 2021, the White House announced new initiatives that will advance the administration’s goals to expand the nation’s offshore wind energy capacity in the coming decade by opening new areas of development, improving environmental permitting and increasing public financing for projects In addition, in February 2022, the Bureau of Ocean Energy Management (the “BOEM”) auctioned more than 480,000 acres in the New York Bight area for six new offshore wind energy leases, which brought in $4.4 billion resulting in the most significant wind lease sale in the United States to date. Additionally, in 2021, the U.S. Senate passed the $1.2 trillion infrastructure bill where the Corps will be granted $11.6 billion in funding to improve the nation’s resilience to the effects of climate change.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On March 15, 2022 the Omnibus Appropriations Bill was signed into law, which included funding for the Corps totaling $8.3 billion for fiscal year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2022. This is an increase of $548 million above the fiscal year 2021 amount and an increase of $1.6 billion above the President’s original budget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request. Appropriations included $4.6 billion for operation and maintenance, including $2.5 billion from the Harbor Maintenance Trust Fund (“HMTF”)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Coronavirus Aid, Relief and Economic Security Act (the “CARES Act”) and $35.0 million for flood control and coastal emergencies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includes $19.8 million for the construction of shore protection projects.</w:t>
      </w:r>
    </w:p>
    <w:p>
      <w:pPr>
        <w:spacing w:after="0" w:line="21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Water Resource Development Act bill (the “WRDA”), which authorizes new projects and makes policy changes that will make natural infrastructure and beneficial use of dredged material more common, was included in the Consolidated Appropriations Act 2021 signed into law on December 27, 2020. This continues the trend of WRDA legislation in each session of Congress since 2014. The legislation provides access to the $9.3 billion in unspent HMTF tax collections, establishes a funds distribution process for HMTF funding and approves projects to proceed to construction. In July 2022, the Senate passed their version of the Water Resources Development Act 2022 (“the WRDA 2022”) which includes legislation that authorizes about $25 billion to help finance 20 new or modified Corps projects for flood and hurricane protection, dredging, ecosystem restoration and other construction projects. Since the House also passed their version recently, the legislation is expected to be conferenced and signed into law by the President in short order. If this timeline is adhered to, it will be the earliest passage of this legislation in recent history. In addition, in July 2022, both the Senate and House passed their respective fiscal year 2023 Corps budget proposals. The Senate’s proposal was $8.7 billion in funding and House’s proposal was $8.9 billion. Prior to sending to the President for his signature, the House and Senate will meet to agree on a final amount, which will likely be another record budget for the Corps.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operating segment, which is also the Company’s one reportable segment and reporting unit.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8" w:name="page19"/>
    <w:bookmarkEnd w:id="18"/>
    <w:p>
      <w:pPr>
        <w:ind w:right="60"/>
        <w:spacing w:after="0" w:line="293" w:lineRule="auto"/>
        <w:rPr>
          <w:sz w:val="20"/>
          <w:szCs w:val="20"/>
          <w:color w:val="auto"/>
        </w:rPr>
      </w:pPr>
      <w:r>
        <w:rPr>
          <w:rFonts w:ascii="Arial" w:cs="Arial" w:eastAsia="Arial" w:hAnsi="Arial"/>
          <w:sz w:val="16"/>
          <w:szCs w:val="16"/>
          <w:color w:val="auto"/>
        </w:rPr>
        <w:t>The Company’s vessels are subject to periodic regulatory dry dock inspections to verify that the vessels have been maintained in accordance with the rules of the U.S. Coast Guard and the American Bureau of Shipping (“ABS”) and that recommended repairs have been satisfactorily completed. Regulatory dry dock frequency is a statutory requirement mandated by the U.S. Coast Guard and the ABS. The Company’s vessels undergo regulatory dry-docks every two to three years or every five years, depending on the vessel type and may also go into dry dock on an as-needed basis for upgrades, maintenance and repairs. The Company experienced regulatory dry dock inspections on two dredges in the second quarter of 2022. An additional dredge was in dry dock for emissions testing. One vessel remained in regulatory dry dock at quarter end with the expectation of completing its dry dock in the third quarter.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tables set forth the components of net income and Adjusted EBITDA, as defined below, as a percentage of contract revenues for the three and six months ended June 30, 2022 and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3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Borders>
              <w:bottom w:val="single" w:sz="8" w:color="auto"/>
            </w:tcBorders>
            <w:gridSpan w:val="3"/>
          </w:tcPr>
          <w:p>
            <w:pPr>
              <w:jc w:val="center"/>
              <w:ind w:left="615"/>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Borders>
              <w:bottom w:val="single" w:sz="8" w:color="auto"/>
            </w:tcBorders>
            <w:gridSpan w:val="4"/>
          </w:tcPr>
          <w:p>
            <w:pPr>
              <w:jc w:val="center"/>
              <w:ind w:left="674"/>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4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1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2480" w:type="dxa"/>
            <w:vAlign w:val="bottom"/>
            <w:gridSpan w:val="3"/>
          </w:tcPr>
          <w:p>
            <w:pPr>
              <w:jc w:val="right"/>
              <w:ind w:right="240"/>
              <w:spacing w:after="0"/>
              <w:rPr>
                <w:sz w:val="20"/>
                <w:szCs w:val="20"/>
                <w:color w:val="auto"/>
              </w:rPr>
            </w:pPr>
            <w:r>
              <w:rPr>
                <w:rFonts w:ascii="Arial" w:cs="Arial" w:eastAsia="Arial" w:hAnsi="Arial"/>
                <w:sz w:val="18"/>
                <w:szCs w:val="18"/>
                <w:color w:val="auto"/>
              </w:rPr>
              <w:t>(93.0)</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(86.5)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(87.3)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(83.9)</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assets—net</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vMerge w:val="restart"/>
          </w:tcPr>
          <w:p>
            <w:pPr>
              <w:ind w:left="240"/>
              <w:spacing w:after="0"/>
              <w:rPr>
                <w:sz w:val="20"/>
                <w:szCs w:val="20"/>
                <w:color w:val="auto"/>
              </w:rPr>
            </w:pPr>
            <w:r>
              <w:rPr>
                <w:rFonts w:ascii="Arial" w:cs="Arial" w:eastAsia="Arial" w:hAnsi="Arial"/>
                <w:sz w:val="18"/>
                <w:szCs w:val="18"/>
                <w:color w:val="auto"/>
              </w:rPr>
              <w:t>Operating income (loss)</w:t>
            </w:r>
          </w:p>
        </w:tc>
        <w:tc>
          <w:tcPr>
            <w:tcW w:w="12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24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income (expense)</w:t>
            </w:r>
          </w:p>
        </w:tc>
        <w:tc>
          <w:tcPr>
            <w:tcW w:w="2480" w:type="dxa"/>
            <w:vAlign w:val="bottom"/>
            <w:gridSpan w:val="3"/>
          </w:tcPr>
          <w:p>
            <w:pPr>
              <w:jc w:val="right"/>
              <w:ind w:right="24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(loss) before income taxes</w:t>
            </w:r>
          </w:p>
        </w:tc>
        <w:tc>
          <w:tcPr>
            <w:tcW w:w="1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 (loss)</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840" w:type="dxa"/>
            <w:vAlign w:val="bottom"/>
            <w:tcBorders>
              <w:bottom w:val="single" w:sz="8" w:color="CFF0FC"/>
            </w:tcBorders>
          </w:tcPr>
          <w:p>
            <w:pPr>
              <w:spacing w:after="0"/>
              <w:rPr>
                <w:sz w:val="18"/>
                <w:szCs w:val="18"/>
                <w:color w:val="auto"/>
              </w:rPr>
            </w:pPr>
          </w:p>
        </w:tc>
        <w:tc>
          <w:tcPr>
            <w:tcW w:w="124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11.9%</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180" w:type="dxa"/>
            <w:vAlign w:val="bottom"/>
            <w:gridSpan w:val="2"/>
          </w:tcPr>
          <w:p>
            <w:pPr>
              <w:jc w:val="right"/>
              <w:ind w:right="795"/>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ind w:right="40"/>
        <w:spacing w:after="0" w:line="267" w:lineRule="auto"/>
        <w:rPr>
          <w:sz w:val="20"/>
          <w:szCs w:val="20"/>
          <w:color w:val="auto"/>
        </w:rPr>
      </w:pPr>
      <w:r>
        <w:rPr>
          <w:rFonts w:ascii="Arial" w:cs="Arial" w:eastAsia="Arial" w:hAnsi="Arial"/>
          <w:sz w:val="17"/>
          <w:szCs w:val="17"/>
          <w:color w:val="auto"/>
        </w:rPr>
        <w:t>Adjusted EBITDA, as provided herein, represents net income (loss) from continuing operations, adjusted for net interest expense, income taxes, depreciation and amortization expense, debt extinguishment, accelerated maintenance expense for new international deployments, goodwill or asset impairments and gains on bargain purchase acquisitions.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and investors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(loss) to measure the Company’s operating performance and uses Adjusted EBITDA only as a supplement. The following is a reconciliation of Adjusted EBITDA to net income (loss):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3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2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6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(4,033)</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w:t>
            </w:r>
          </w:p>
        </w:tc>
        <w:tc>
          <w:tcPr>
            <w:tcW w:w="2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Adjusted for:</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expense—net</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40"/>
              <w:spacing w:after="0"/>
              <w:rPr>
                <w:sz w:val="20"/>
                <w:szCs w:val="20"/>
                <w:color w:val="auto"/>
              </w:rPr>
            </w:pPr>
            <w:r>
              <w:rPr>
                <w:rFonts w:ascii="Arial" w:cs="Arial" w:eastAsia="Arial" w:hAnsi="Arial"/>
                <w:sz w:val="18"/>
                <w:szCs w:val="18"/>
                <w:color w:val="auto"/>
              </w:rPr>
              <w:t>Income tax provision (benefit)</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(853)</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11,614</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10,628</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Adjusted EBITDA</w:t>
            </w:r>
          </w:p>
        </w:tc>
        <w:tc>
          <w:tcPr>
            <w:tcW w:w="14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10,152</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20,219</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work, for the periods indicated, were as follows:</w:t>
      </w:r>
    </w:p>
    <w:p>
      <w:pPr>
        <w:spacing w:after="0" w:line="298"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93"/>
              </w:rPr>
              <w:t>Revenues (in thousands)</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580" w:type="dxa"/>
            <w:vAlign w:val="bottom"/>
            <w:tcBorders>
              <w:bottom w:val="single" w:sz="8" w:color="CFF0FC"/>
            </w:tcBorders>
            <w:vMerge w:val="continue"/>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75"/>
              <w:spacing w:after="0" w:line="155"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95"/>
              <w:spacing w:after="0" w:line="155"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240"/>
              <w:spacing w:after="0"/>
              <w:rPr>
                <w:sz w:val="20"/>
                <w:szCs w:val="20"/>
                <w:color w:val="auto"/>
              </w:rPr>
            </w:pPr>
            <w:r>
              <w:rPr>
                <w:rFonts w:ascii="Arial" w:cs="Arial" w:eastAsia="Arial" w:hAnsi="Arial"/>
                <w:sz w:val="18"/>
                <w:szCs w:val="18"/>
                <w:color w:val="auto"/>
              </w:rPr>
              <w:t>Capital—U.S.</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89,693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79,399</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190,704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157,005</w:t>
            </w:r>
          </w:p>
        </w:tc>
        <w:tc>
          <w:tcPr>
            <w:tcW w:w="1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1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Capital—foreign</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20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5"/>
        </w:trPr>
        <w:tc>
          <w:tcPr>
            <w:tcW w:w="1580" w:type="dxa"/>
            <w:vAlign w:val="bottom"/>
          </w:tcPr>
          <w:p>
            <w:pPr>
              <w:ind w:left="240"/>
              <w:spacing w:after="0"/>
              <w:rPr>
                <w:sz w:val="20"/>
                <w:szCs w:val="20"/>
                <w:color w:val="auto"/>
              </w:rPr>
            </w:pPr>
            <w:r>
              <w:rPr>
                <w:rFonts w:ascii="Arial" w:cs="Arial" w:eastAsia="Arial" w:hAnsi="Arial"/>
                <w:sz w:val="18"/>
                <w:szCs w:val="18"/>
                <w:color w:val="auto"/>
              </w:rPr>
              <w:t>Coastal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240"/>
              <w:spacing w:after="0"/>
              <w:rPr>
                <w:sz w:val="20"/>
                <w:szCs w:val="20"/>
                <w:color w:val="auto"/>
              </w:rPr>
            </w:pPr>
            <w:r>
              <w:rPr>
                <w:rFonts w:ascii="Arial" w:cs="Arial" w:eastAsia="Arial" w:hAnsi="Arial"/>
                <w:sz w:val="18"/>
                <w:szCs w:val="18"/>
                <w:color w:val="auto"/>
              </w:rPr>
              <w:t>protection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45,119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46,631</w:t>
            </w:r>
          </w:p>
        </w:tc>
        <w:tc>
          <w:tcPr>
            <w:tcW w:w="2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117,036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93,262</w:t>
            </w:r>
          </w:p>
        </w:tc>
        <w:tc>
          <w:tcPr>
            <w:tcW w:w="1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1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37,278</w:t>
            </w:r>
          </w:p>
        </w:tc>
        <w:tc>
          <w:tcPr>
            <w:tcW w:w="20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82,579</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30"/>
        </w:trPr>
        <w:tc>
          <w:tcPr>
            <w:tcW w:w="1580" w:type="dxa"/>
            <w:vAlign w:val="bottom"/>
          </w:tcPr>
          <w:p>
            <w:pPr>
              <w:ind w:left="240"/>
              <w:spacing w:after="0"/>
              <w:rPr>
                <w:sz w:val="20"/>
                <w:szCs w:val="20"/>
                <w:color w:val="auto"/>
              </w:rPr>
            </w:pPr>
            <w:r>
              <w:rPr>
                <w:rFonts w:ascii="Arial" w:cs="Arial" w:eastAsia="Arial" w:hAnsi="Arial"/>
                <w:sz w:val="18"/>
                <w:szCs w:val="18"/>
                <w:color w:val="auto"/>
              </w:rPr>
              <w:t>Rivers &amp; lakes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4,993</w:t>
            </w:r>
          </w:p>
        </w:tc>
        <w:tc>
          <w:tcPr>
            <w:tcW w:w="2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(60.6)%</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8,379</w:t>
            </w:r>
          </w:p>
        </w:tc>
        <w:tc>
          <w:tcPr>
            <w:tcW w:w="1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
        </w:trPr>
        <w:tc>
          <w:tcPr>
            <w:tcW w:w="1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8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149,428</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169,914</w:t>
            </w:r>
          </w:p>
        </w:tc>
        <w:tc>
          <w:tcPr>
            <w:tcW w:w="20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343,777</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347,547</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5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Total revenue was $149.4 million for the three months ended June 30, 2022, down $20.5 million, or 12.1%, from $169.9 million for the same period in the prior year. For the three months ended June 30, 2022, the Company experienced a decrease in maintenance, rivers &amp; lakes, coastal protection and foreign capital revenue as compared to the same period in the prior year. This decrease was partially offset by an increase in domestic capital revenue during the second quarter of 2022 as compared to the same period in the prior year. For the six months ended June 30, 2022, total revenue was $343.8 million, down from revenue of $347.5 million for the same period in the prior year, representing a decrease of $3.7 million or 1.1%. For the six months ended June 30, 2022, the Company experienced a decrease in maintenance, rivers &amp; lakes and foreign capital revenue as compared to the same period in the prior year. This decrease was slightly offset by an increase in domestic capital and coastal protection revenues during the current period as compared to the same period in the prior year.</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73" w:right="459" w:bottom="1440" w:gutter="0" w:footer="0" w:header="0"/>
        </w:sectPr>
      </w:pPr>
    </w:p>
    <w:bookmarkStart w:id="20" w:name="page21"/>
    <w:bookmarkEnd w:id="20"/>
    <w:p>
      <w:pPr>
        <w:ind w:right="100"/>
        <w:spacing w:after="0" w:line="287" w:lineRule="auto"/>
        <w:rPr>
          <w:sz w:val="20"/>
          <w:szCs w:val="20"/>
          <w:color w:val="auto"/>
        </w:rPr>
      </w:pPr>
      <w:r>
        <w:rPr>
          <w:rFonts w:ascii="Arial" w:cs="Arial" w:eastAsia="Arial" w:hAnsi="Arial"/>
          <w:sz w:val="16"/>
          <w:szCs w:val="16"/>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three months ended June 30, 2022, domestic capital dredging revenue was $89.7 million, up $10.3 million, or 13.0%, compared to $79.4 million for the same period in 2021. The increase in capital dredging revenues for the three months ended June 30, 2022 was mostly due to a greater amount of revenue earned on projects in Virginia, Texas, Louisiana, Maine and Alabama in the second quarter of 2022 when compared to the same period in the prior year. This increase was partially offset by revenue earned on projects in South Carolina and Massachusetts in the prior year. For the six months ended June 30, 2022, domestic capital revenue was $190.7 million compared to $157.0 million for the same period in 2021, representing an increase of $33.7 million, or 21.5%. The increase in capital dredging revenues for the six months ended June 30, 2022 was mostly due to a greater amount of revenue earned on projects in Texas, Maine, Virginia, Alabama, Louisiana, Massachusetts and Florida in the current year period when compared to the prior year. This increase was partially offset by revenue earned on projects in South Carolina and Mississippi in the prior year.</w:t>
      </w:r>
    </w:p>
    <w:p>
      <w:pPr>
        <w:spacing w:after="0" w:line="17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Foreign capital projects typically involve land reclamations, channel deepening and port infrastructure development. In the three and six months ended June 30, 2022, there was no foreign capital revenue compared to $1.6 million and $6.3 million in the three and six months ended June 30, 2021.</w:t>
      </w:r>
    </w:p>
    <w:p>
      <w:pPr>
        <w:spacing w:after="0" w:line="1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Coastal protection projects involve moving sand from the ocean floor to shoreline locations where erosion threatens shoreline assets. Coastal protection revenue for the quarter ended June 30, 2022 was $45.1 million, a decrease of $1.5 million, or 3.2%, compared to $46.6 million in the prior year period. The decrease in coastal protection revenues for the three months ended June 30, 2022 was mostly attributable to a lower amount of revenue earned on projects in North Carolina and Florida in the current year period when compared to the prior year. This decrease was slightly offset by revenue earned on projects in New York and New Jersey in the current year. Coastal protection revenue for the six months ended June 30, 2022 was $117.0 million, representing an increase of $23.7 million or 25.5%, from $93.3 million for the same period in 2021. The increase in coastal protection revenues for the six months ended June 30, 2022 was mostly due to a greater amount of revenue earned on projects in North Carolina, New York and New Jersey in the current year period when compared to the prior year. This increase was partially offset by less revenue earned on projects in Florida and Louisiana in the current year.</w:t>
      </w:r>
    </w:p>
    <w:p>
      <w:pPr>
        <w:spacing w:after="0" w:line="16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second quarter of 2022 was $12.6 million, down $24.7 million, or 66.1%, from $37.3 million in the same period of 2021. The decrease in maintenance revenues for the three months ended June 30, 2022 was mostly attributable to a decrease in revenue earned on projects in Louisiana and Florida, from the prior year. This decrease was partially offset by an increase in revenue earned on projects in North Carolina in the current year. Maintenance revenue for the six months ended June 30, 2022 was $32.5 million, a decrease of $50.1 million, or 60.7%, compared to $82.6 million for the comparable period in the prior year. The decrease in maintenance revenues for the six months ended June 30, 2022 was mostly due to a lower amount of revenue earned on projects in Louisiana, Florida and Texas in the current year period when compared to the prior year. This decrease was partially offset by more revenue earned on projects in North Carolina in the current year.</w:t>
      </w:r>
    </w:p>
    <w:p>
      <w:pPr>
        <w:spacing w:after="0" w:line="18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Rivers &amp; lakes dredging and related operations typically consist of lake and river dredging, inland levee and construction dredging, environmental restoration and habitat improvement and other marine construction projects. During the second quarter of 2022, rivers &amp; lakes revenue was $2.0 million, a decrease of $3.0 million, or 60.6%, from $5.0 million during the same period of 2021. The decrease in river and lakes revenue for the three months ended June 30, 2022 was mostly attributable to a decrease in revenue earned on projects in Mississippi and Texas in the current year. This decrease was partially offset by an increase in revenue earned on a project in Tennessee in the current year. Rivers &amp; lakes revenue for the six months ended June 30, 2022 was $3.6 million, down $4.8 million</w:t>
      </w:r>
      <w:r>
        <w:rPr>
          <w:rFonts w:ascii="Arial" w:cs="Arial" w:eastAsia="Arial" w:hAnsi="Arial"/>
          <w:sz w:val="16"/>
          <w:szCs w:val="16"/>
          <w:color w:val="4F81BD"/>
        </w:rPr>
        <w:t>,</w:t>
      </w:r>
      <w:r>
        <w:rPr>
          <w:rFonts w:ascii="Arial" w:cs="Arial" w:eastAsia="Arial" w:hAnsi="Arial"/>
          <w:sz w:val="16"/>
          <w:szCs w:val="16"/>
          <w:color w:val="auto"/>
        </w:rPr>
        <w:t xml:space="preserve"> or 57.1%, from $8.4 million for the same period in the prior year. The decrease in rivers &amp; lakes revenues for the six months ended June 30, 2022 was mostly due to a lower amount of revenue earned on projects in Mississippi, Texas and Kansas in the current year period, when compared to the prior year. This decrease was partially offset by an increase in revenue earned on a project in Tennessee in the current year.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20"/>
        <w:spacing w:after="0" w:line="288" w:lineRule="auto"/>
        <w:rPr>
          <w:sz w:val="20"/>
          <w:szCs w:val="20"/>
          <w:color w:val="auto"/>
        </w:rPr>
      </w:pPr>
      <w:r>
        <w:rPr>
          <w:rFonts w:ascii="Arial" w:cs="Arial" w:eastAsia="Arial" w:hAnsi="Arial"/>
          <w:sz w:val="16"/>
          <w:szCs w:val="16"/>
          <w:color w:val="auto"/>
        </w:rPr>
        <w:t>Consolidated gross profit for the quarter ended June 30, 2022 was $10.5 million, down $12.4 million, or 54%, compared to $22.9 million in same period of 2021. The lower gross profit experienced for the three months ended June 30, 2022, was driven by a decrease in profitability of the Company’s maintenance, rivers &amp; lakes and costal protection dredging projects in the quarter when compared to the same period in the prior year, offset slightly by higher gross profit in domestic capital dredging projects in the current quarter. Consolidated gross profit for the six months ended June 30, 2022 was $43.5 million, down $12.5 million, or 22.3%, compared to $56.0 million in the same period of the prior year. Gross profit margin for the six months ended June 30, 2022 was down to 12.7% from 16.1% in the same period in the prior year. The lower gross profit experienced for the six months ended June 30, 2022 was driven by supply chain delays and high inflation which led to a decrease in the profitability of the Company’s maintenance, rivers &amp; lakes and costal protection dredging projects. This decrease was offset slightly by higher gross profit in domestic capital and foreign capital dredging projects in the current year period. Supply chain delays impacted drydockings and caused dredges to be delayed when mobilizing to their projects and rapidly increasing inflation impacted the cost of labor, operating supplies and drydockings, all of which negatively impacted gross margin.</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three and six months ended June 30, 2022, general and administrative expenses were $10.8 million and $25.4 million, respectively, compared to the same periods in the prior year in which the three and six months totaled $14.2 million and $30.5 million, respectively. For the three and six months ended June 30, 2022, general and administrative expenses include lower incentive pay and profit sharing in addition to lower relocation expenses related to the headquarters move to Texas.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Operating loss for the second quarter of 2022 was $0.3 million, down $9.1 million compared to operating income of $8.8 million for the same quarter in 2021. Operating income for the six months ended June 30, 2022 was $18.4 million, down $7.1 million from operating income of $25.5 million in the same period of the prior year. The decrease in operating income for the three and six months ended June 30, 2022 was a result of lower gross profit in the current year when compared to the same period in the prior year. This decrease was partially offset by lower general and administrative expenses in the current year when compared to the same period in the prior year.</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three months ended June 30, 2022, net interest expense was $3.4 million, $3.3 million lower compared to $6.7 million for the same period in the prior year. Net interest expense for the six months ended June 30, 2022 was $7.4 million, $5.8 million lower compared with $13.2 million for the same period in the prior year. The decrease in net interest expense was primarily due to the refinancing of the senior notes in May 2021 at a lower interest rate and an increase in capitalized interest due to the extensive new build program.</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Income tax benefit for the three months ended June 30, 2022 was $0.9 million compared to an income tax provision of $0.8 million for the same period in the prior year. For the six months ended June 30, 2022 and 2021, the Company had an income tax provision of $2.4 million and $2.2 million, respectively. The effective tax rate for the six months ended June 30, 2022 was 25.7%, up 8.8% from the effective tax rate of 16.9% for the same period of 2021. The increase in the effective tax rate was primarily due to a one-time benefit associated with a stock compensation tax deduction in the first quarter of the prior year.</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Net loss for the quarter ended June 30, 2022 was $4.0 million, down $6.1 million from net income of $2.1 million in the same quarter in the prior year. Diluted earnings (loss) per share was $(0.06) for the three months ended June 30, 2022, compared to $0.03 for the three months ended June 30, 2021. The decrease in net income for the three months ended June 30, 2022 was primarily due to the decrease in gross profit in the current year quarter, partially offset by a decrease in general and administrative expense and net interest expense in the current year quarter. Net income for the six months ended June 30, 2022 was $7.0 million, down $3.9 million, down 36%, from $10.9 million for the same period in the prior year. Diluted earnings per share were $0.11 and $0.16 for the six months ended June 30, 2022 and 2021, respectively. The decrease in net income for the six months ended June 30, 2022 was driven by the decrease to gross profit. This decrease was slightly offset by a decrease in general and administrative and net interest expense during the current year when compared to the same period in the prior year.</w:t>
      </w:r>
    </w:p>
    <w:p>
      <w:pPr>
        <w:spacing w:after="0" w:line="178"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Adjusted EBITDA (as defined on page 20) for the quarter ended June 30, 2022 was $10.2 million, down $10.0 million, from $20.2 million in the same quarter in the prior year. The decrease in Adjusted EBITDA during the second quarter of 2022 was driven by the decrease in gross profit, excluding depreciation partially offset by a decrease in general and administrative expense. For the six months ended June 30, 2022 Adjusted EBITDA was $39.8 million, down $7.3 million, or 16%, from $47.1 million during the same period in the prior year. The decrease in Adjusted EBITDA during the first six months of 2022 was driven primarily by the decrease in gross profit, excluding depreciation and other income.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Bidding activity and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type of work, the Company’s backlog as of the dates indicated:</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ind w:right="415"/>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2240" w:type="dxa"/>
            <w:vAlign w:val="bottom"/>
          </w:tcPr>
          <w:p>
            <w:pPr>
              <w:spacing w:after="0"/>
              <w:rPr>
                <w:sz w:val="20"/>
                <w:szCs w:val="20"/>
                <w:color w:val="auto"/>
              </w:rPr>
            </w:pPr>
            <w:r>
              <w:rPr>
                <w:rFonts w:ascii="Arial" w:cs="Arial" w:eastAsia="Arial" w:hAnsi="Arial"/>
                <w:sz w:val="14"/>
                <w:szCs w:val="14"/>
                <w:b w:val="1"/>
                <w:bCs w:val="1"/>
                <w:color w:val="auto"/>
              </w:rPr>
              <w:t>Backlog (in thousands)</w:t>
            </w:r>
          </w:p>
        </w:tc>
        <w:tc>
          <w:tcPr>
            <w:tcW w:w="186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2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Dredging:</w:t>
            </w:r>
          </w:p>
        </w:tc>
        <w:tc>
          <w:tcPr>
            <w:tcW w:w="68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240" w:type="dxa"/>
            <w:vAlign w:val="bottom"/>
          </w:tcPr>
          <w:p>
            <w:pPr>
              <w:ind w:left="240"/>
              <w:spacing w:after="0"/>
              <w:rPr>
                <w:sz w:val="20"/>
                <w:szCs w:val="20"/>
                <w:color w:val="auto"/>
              </w:rPr>
            </w:pPr>
            <w:r>
              <w:rPr>
                <w:rFonts w:ascii="Arial" w:cs="Arial" w:eastAsia="Arial" w:hAnsi="Arial"/>
                <w:sz w:val="18"/>
                <w:szCs w:val="18"/>
                <w:color w:val="auto"/>
              </w:rPr>
              <w:t>Capital - U.S.</w:t>
            </w:r>
          </w:p>
        </w:tc>
        <w:tc>
          <w:tcPr>
            <w:tcW w:w="1860" w:type="dxa"/>
            <w:vAlign w:val="bottom"/>
            <w:gridSpan w:val="2"/>
          </w:tcPr>
          <w:p>
            <w:pPr>
              <w:jc w:val="right"/>
              <w:ind w:right="102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246,042</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398,748</w:t>
            </w:r>
          </w:p>
        </w:tc>
        <w:tc>
          <w:tcPr>
            <w:tcW w:w="6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320,820</w:t>
            </w:r>
          </w:p>
        </w:tc>
        <w:tc>
          <w:tcPr>
            <w:tcW w:w="100" w:type="dxa"/>
            <w:vAlign w:val="bottom"/>
          </w:tcPr>
          <w:p>
            <w:pPr>
              <w:spacing w:after="0"/>
              <w:rPr>
                <w:sz w:val="19"/>
                <w:szCs w:val="19"/>
                <w:color w:val="auto"/>
              </w:rPr>
            </w:pPr>
          </w:p>
        </w:tc>
      </w:tr>
      <w:tr>
        <w:trPr>
          <w:trHeight w:val="230"/>
        </w:trPr>
        <w:tc>
          <w:tcPr>
            <w:tcW w:w="2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 foreign</w:t>
            </w:r>
          </w:p>
        </w:tc>
        <w:tc>
          <w:tcPr>
            <w:tcW w:w="6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19"/>
                <w:szCs w:val="19"/>
                <w:color w:val="auto"/>
              </w:rPr>
            </w:pPr>
          </w:p>
        </w:tc>
      </w:tr>
      <w:tr>
        <w:trPr>
          <w:trHeight w:val="229"/>
        </w:trPr>
        <w:tc>
          <w:tcPr>
            <w:tcW w:w="2240" w:type="dxa"/>
            <w:vAlign w:val="bottom"/>
          </w:tcPr>
          <w:p>
            <w:pPr>
              <w:ind w:left="240"/>
              <w:spacing w:after="0"/>
              <w:rPr>
                <w:sz w:val="20"/>
                <w:szCs w:val="20"/>
                <w:color w:val="auto"/>
              </w:rPr>
            </w:pPr>
            <w:r>
              <w:rPr>
                <w:rFonts w:ascii="Arial" w:cs="Arial" w:eastAsia="Arial" w:hAnsi="Arial"/>
                <w:sz w:val="18"/>
                <w:szCs w:val="18"/>
                <w:color w:val="auto"/>
              </w:rPr>
              <w:t>Coastal protection</w:t>
            </w: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76,978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99,048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51,204</w:t>
            </w:r>
          </w:p>
        </w:tc>
        <w:tc>
          <w:tcPr>
            <w:tcW w:w="100" w:type="dxa"/>
            <w:vAlign w:val="bottom"/>
          </w:tcPr>
          <w:p>
            <w:pPr>
              <w:spacing w:after="0"/>
              <w:rPr>
                <w:sz w:val="19"/>
                <w:szCs w:val="19"/>
                <w:color w:val="auto"/>
              </w:rPr>
            </w:pPr>
          </w:p>
        </w:tc>
      </w:tr>
      <w:tr>
        <w:trPr>
          <w:trHeight w:val="229"/>
        </w:trPr>
        <w:tc>
          <w:tcPr>
            <w:tcW w:w="2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6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43,561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50,966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67,440</w:t>
            </w:r>
          </w:p>
        </w:tc>
        <w:tc>
          <w:tcPr>
            <w:tcW w:w="100" w:type="dxa"/>
            <w:vAlign w:val="bottom"/>
            <w:shd w:val="clear" w:color="auto" w:fill="CFF0FC"/>
          </w:tcPr>
          <w:p>
            <w:pPr>
              <w:spacing w:after="0"/>
              <w:rPr>
                <w:sz w:val="19"/>
                <w:szCs w:val="19"/>
                <w:color w:val="auto"/>
              </w:rPr>
            </w:pPr>
          </w:p>
        </w:tc>
      </w:tr>
      <w:tr>
        <w:trPr>
          <w:trHeight w:val="230"/>
        </w:trPr>
        <w:tc>
          <w:tcPr>
            <w:tcW w:w="2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Rivers &amp; lakes</w:t>
            </w:r>
          </w:p>
        </w:tc>
        <w:tc>
          <w:tcPr>
            <w:tcW w:w="68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14,669</w:t>
            </w:r>
          </w:p>
        </w:tc>
        <w:tc>
          <w:tcPr>
            <w:tcW w:w="100" w:type="dxa"/>
            <w:vAlign w:val="bottom"/>
            <w:tcBorders>
              <w:bottom w:val="single" w:sz="8" w:color="CFF0FC"/>
            </w:tcBorders>
          </w:tcPr>
          <w:p>
            <w:pPr>
              <w:spacing w:after="0"/>
              <w:rPr>
                <w:sz w:val="19"/>
                <w:szCs w:val="19"/>
                <w:color w:val="auto"/>
              </w:rPr>
            </w:pPr>
          </w:p>
        </w:tc>
      </w:tr>
      <w:tr>
        <w:trPr>
          <w:trHeight w:val="223"/>
        </w:trPr>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backlog</w:t>
            </w:r>
          </w:p>
        </w:tc>
        <w:tc>
          <w:tcPr>
            <w:tcW w:w="6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0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373,801</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551,588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454,402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53% of the Company’s June 30, 2022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The Company’s backlog includes only those projects for which the Company has obtained a signed contract with the customer. A quarterly increase or decrease of the Company’s backlog does not necessarily result in an improvement or a deterioration of the Company’s business.</w:t>
      </w:r>
    </w:p>
    <w:p>
      <w:pPr>
        <w:spacing w:after="0" w:line="18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domestic dredging bid market for the quarter ended June 30, 2022 was $938.1 million, a $405.7 million increase compared to the same period in the prior year. Total domestic dredging bid market for the current year period included awards for three coastal protection projects in North Carolina, Charleston Maintenance project in South Carolina, an access channel dredging project in New Jersey, coastal storm risk management project and channel maintenance project in New York. The Company won 11.1% of the overall domestic bid market for the six months ended June 30, 2022, which is lower than the Company’s prior three-year average of 35.0%, primarily due to an atypical bid market with projects out to bid that the Company would not typically bid on. Variability in contract wins from quarter to quarter is not unusual and one quarter’s win rate is generally not indicative of the win rate the Company is likely to achieve for a full year.</w:t>
      </w:r>
    </w:p>
    <w:p>
      <w:pPr>
        <w:spacing w:after="0" w:line="195"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The Company’s contracted dredging backlog was $373.8 million at June 30, 2022 compared to $551.6 million of backlog at December 31, 2021. These amounts do not reflect approximately $540.9 million of domestic low bids pending formal award and additional phases (“options”) pending on projects currently in backlog at June 30, 2022. At December 31, 2021, the amount of domestic low bids and options pending award was $567.3 million.</w:t>
      </w:r>
    </w:p>
    <w:p>
      <w:pPr>
        <w:spacing w:after="0" w:line="1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Domestic capital dredging backlog at June 30, 2022 decreased by $152.7 million from December 31, 2021. In the three months ended June 30, 2022, the Company was awarded one domestic capital dredging project in New Jersey totaling $7.0 million. During the six months ended June 30, 2022, the Company continued to earn revenue on deepening projects in Louisiana, Texas, Alabama, Florida, South Carolina, Virginia, Massachusetts, New Hampshire and Maine, multiple coastal restoration projects in Louisiana, and a liquefied natural gas project in Louisiana. Government funded projects coming into the pipeline include the Freeport Reaches, AOC deepening, Port of Houston, Corpus Christi and additional phases of Mobile deepening. These projects continue the trend of ensuring all East Coast and Gulf of Mexico ports will be able to accommodate the deeper draft vessels currently used on several trade routes. In addition to the government funded deepening projects, the Company also has a port deepening project in Texas.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There was no foreign capital dredging backlog at June 30, 2022 and December 31, 2021 and there are no future foreign projects in the pipeline.</w:t>
      </w:r>
    </w:p>
    <w:p>
      <w:pPr>
        <w:spacing w:after="0" w:line="237"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Coastal protection dredging backlog at June 30, 2022 decreased $22.1 million from December 31, 2021. In the six months ended June 30, 2022, the Company was awarded $95.0 million of coastal protection projects, including three projects in North Carolina and one in New York. During the six months ended June 30, 2022, the Company continued to earn revenue on coastal protection projects in New</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sectPr>
      </w:pPr>
    </w:p>
    <w:bookmarkStart w:id="23" w:name="page24"/>
    <w:bookmarkEnd w:id="23"/>
    <w:p>
      <w:pPr>
        <w:ind w:right="40"/>
        <w:spacing w:after="0" w:line="291" w:lineRule="auto"/>
        <w:rPr>
          <w:sz w:val="20"/>
          <w:szCs w:val="20"/>
          <w:color w:val="auto"/>
        </w:rPr>
      </w:pPr>
      <w:r>
        <w:rPr>
          <w:rFonts w:ascii="Arial" w:cs="Arial" w:eastAsia="Arial" w:hAnsi="Arial"/>
          <w:sz w:val="16"/>
          <w:szCs w:val="16"/>
          <w:color w:val="auto"/>
        </w:rPr>
        <w:t>Jersey, New York, North Carolina and Florida which were in backlog at December 31, 2021</w:t>
      </w:r>
      <w:r>
        <w:rPr>
          <w:rFonts w:ascii="Arial" w:cs="Arial" w:eastAsia="Arial" w:hAnsi="Arial"/>
          <w:sz w:val="16"/>
          <w:szCs w:val="16"/>
          <w:color w:val="FF0000"/>
        </w:rPr>
        <w:t>.</w:t>
      </w:r>
      <w:r>
        <w:rPr>
          <w:rFonts w:ascii="Arial" w:cs="Arial" w:eastAsia="Arial" w:hAnsi="Arial"/>
          <w:sz w:val="16"/>
          <w:szCs w:val="16"/>
          <w:color w:val="auto"/>
        </w:rPr>
        <w:t xml:space="preserve"> Coastal protection and storm impacts continue to provide the major impetus for coastal project investment at federal and state levels. Strong hurricane and storm seasons have resulted in an increase in beach erosion and other damage which adds to the recurring nature of our business and the need for more frequent coastal protection and port maintenance projects. As a result of the extreme storm systems in prior years involving Hurricanes Harvey, Irma, and Maria, Congress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expected that approximately $1.8 billion will be allocated to dredging-related work. Most of this work is anticipated to be coastal protection related, but some funding may be provided for channel maintenance.</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Maintenance dredging backlog at June 30, 2022 decreased $7.4 million from December 31, 2021. In the three months ended June 30, 2022, the Company was awarded one maintenance project in New York totaling $2.7 million and one maintenance project in South Carolina totaling $17.6 million. During the six months ended June 30, 2022, the Company continued to earn revenue on projects in Louisiana, Mississippi and North Carolina that were in backlog at December 31, 2021. Past WRDA bills called for full use of the HMTF for its intended purpose of maintaining future access to the waterways and ports that support our nation’s economy. On March 27, 2020, the U.S. government enacted the CARES Act which includes a provision that lifts caps on the HMTF, thereby allowing full access to future annual revenues. Through the increased appropriation of HMTF monies, the Company anticipates increased funding for harbor maintenance projects to be let for bid.</w:t>
      </w:r>
    </w:p>
    <w:p>
      <w:pPr>
        <w:spacing w:after="0" w:line="17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Rivers &amp; lakes backlog at June 30, 2022 increased $4.4 million compared to backlog at December 31, 2021. For the six months ended June 30, 2022, the Company continued to earn revenue on projects in Tennessee and Mississippi which were in backlog at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long-term debt. The Company’s principal uses of cash are to meet debt service requirements, finance capital expenditures, provide working capital and other general corporate purposes.</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cash provided by operating activities for the six months ended June 30, 2022 and 2021 was the source of $0.8 million and $35.6 million, respectively. Normal increases or decreases in the level of working capital relative to the level of operational activity impact cash flow from operating activities. The decrease in cash provided by operating activities during the six months ended June 30, 2022, compared to the same period in the prior year, was due to a decrease in net income as well as an increase in working capital due to an increase in contract revenues in excess of billings during the current year when compared to the same period in the prior year.</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Company’s cash flows used in investing activities for the six months ended June 30, 2022 and 2021 were $69.6 million and $64.6 million, respectively. Investing activities primarily relate to normal course upgrades and capital maintenance of the Company’s dredging fleet. The Company is currently building a 6,500 cubic yard trailing suction hopper dredge with expected delivery in the first quarter of 2023, additionally, in June 2022 the Company exercised the contract option with the same builder to build a second 6,500 cubic yard trailing suction hopper dredge with expected delivery in the first quarter of 2025. In November 2021, the Company entered into a $197 million contract with Philly Shipyard Inc. to build the first U.S. flagged Jones Act compliant, inclined fall-pipe vessel for subsea rock installation for wind turbine foundations to support the new U.S. offshore wind industry with expected delivery in the second half of 2024. In July 2021, the Company announced a contract to build two multifunctional all-purpose vessels (“multicats”). During the six months ended June 30, 2022, the Company invested $16.0 million in the new hopper dredge, $18.2 million in multicats and scows and $2.7 million in the rock installation vessel. The Company anticipates that remaining new build program payments will be made with cash on hand, future cash flows generated from operations and revolver availability.</w:t>
      </w:r>
    </w:p>
    <w:p>
      <w:pPr>
        <w:spacing w:after="0" w:line="18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Company’s cash flows used in financing activities for the six months ended June 30, 2022 and 2021 totaled $1.2 million and $6.7 million, respectively. The decrease in cash used in financing activities relates to greater new debt financing fees in the prior year period in addition to changes in the taxes paid on settlement of vested shares awards and a decrease in the exercise of options and purchases from the Company’s employee stock purchase plan.</w:t>
      </w:r>
    </w:p>
    <w:p>
      <w:pPr>
        <w:spacing w:after="0" w:line="1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maintains a favorable cash on hand position and revolver availability and, as a result, is well positioned for changes in the current economic environment.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Commitments, contingencies and liquidity matters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Refer to Note 4, Long-term debt, in the Notes to Condensed Consolidated Financial Statements for discussion of the Company’s New Amended Credit Agreement and Senior Notes. Additionally, refer to Note 8, Commitments and contingencies, in the Notes to Condensed Consolidated Financial Statements for discussion of the Company’s surety agreements.</w:t>
      </w:r>
    </w:p>
    <w:p>
      <w:pPr>
        <w:spacing w:after="0" w:line="18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intends to upgrade its existing domestic fleet by acquiring or building new vessels, equipment and technology to increase productivity and efficiency and further enhance safety. Existing cash on hand, future net cash flows, debt financing and new leases are all available funding resources from which the Company will evaluate its options when considering these upgrades.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New Amended Credit Agreement and bonding agreements, depends on its future operating performance and cash flows, which in turn are subject to prevailing economic conditions and to financial, business and other factors, some of which are beyond the Company’s control.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preparing its consolidated financial statements, the Company follows GAAP, which is described in Note 1, Basis of presentation, to the Company’s December 31, 2021 Consolidated Financial Statements included in the Company’s Annual Report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Except as noted in Note 1, Basis of presentation, of the Company’s financial statements, there have been no material changes in the Company’s critical accounting policies or estimates since December 31, 2021.</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5" w:name="page26"/>
    <w:bookmarkEnd w:id="25"/>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market risk of the Company’s financial instruments as of June 30, 2022 has not materially changed since December 31, 2021. The market risk profile of the Company on December 31, 2021 is disclosed in Item 7A. “Quantitative and Qualitative Disclosures about Market Risk” of the Company’s Annual Report on Form 10-K for the year ended December 31, 2021.</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June 30, 2022.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as of June 30, 2022 in providing such a reasonable assurance.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under the Exchange Act) during the fiscal quarter ended June 30, 2022 that have materially affected, or are reasonably likely to materially affect, our internal control over financial reporting.</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07" w:right="439" w:bottom="1440" w:gutter="0" w:footer="0" w:header="0"/>
        </w:sectPr>
      </w:pPr>
    </w:p>
    <w:bookmarkStart w:id="26" w:name="page27"/>
    <w:bookmarkEnd w:id="26"/>
    <w:p>
      <w:pPr>
        <w:jc w:val="center"/>
        <w:ind w:right="-17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8, Commitments and contingencies, in the Notes to Condensed Consolidated Financial Statements.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during the six months ended June 30, 2022 to the risk factors previously disclosed in Item 1A. “Risk Factors” in the Company’s Annual Report on Form 10-K for the year ended December 31, 2021.</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20" w:type="dxa"/>
            <w:vAlign w:val="bottom"/>
          </w:tcPr>
          <w:p>
            <w:pPr>
              <w:spacing w:after="0"/>
              <w:rPr>
                <w:sz w:val="20"/>
                <w:szCs w:val="20"/>
                <w:color w:val="auto"/>
              </w:rPr>
            </w:pPr>
          </w:p>
        </w:tc>
        <w:tc>
          <w:tcPr>
            <w:tcW w:w="10320" w:type="dxa"/>
            <w:vAlign w:val="bottom"/>
            <w:gridSpan w:val="4"/>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ind w:left="2060"/>
              <w:spacing w:after="0"/>
              <w:rPr>
                <w:sz w:val="20"/>
                <w:szCs w:val="20"/>
                <w:color w:val="auto"/>
              </w:rPr>
            </w:pPr>
            <w:r>
              <w:rPr>
                <w:rFonts w:ascii="Arial" w:cs="Arial" w:eastAsia="Arial" w:hAnsi="Arial"/>
                <w:sz w:val="18"/>
                <w:szCs w:val="18"/>
                <w:b w:val="1"/>
                <w:bCs w:val="1"/>
                <w:color w:val="auto"/>
              </w:rPr>
              <w:t>Document Description</w:t>
            </w:r>
          </w:p>
        </w:tc>
      </w:tr>
      <w:tr>
        <w:trPr>
          <w:trHeight w:val="236"/>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Certification Pursuant to Rules 13a-14 and 15d-14 under the Securities Exchange Act of 1934, as Adopted Pursuant to Section 302 of the</w:t>
              </w:r>
            </w:hyperlink>
          </w:p>
        </w:tc>
        <w:tc>
          <w:tcPr>
            <w:tcW w:w="440" w:type="dxa"/>
            <w:vAlign w:val="bottom"/>
          </w:tcPr>
          <w:p>
            <w:pPr>
              <w:spacing w:after="0"/>
              <w:rPr>
                <w:sz w:val="20"/>
                <w:szCs w:val="20"/>
                <w:color w:val="auto"/>
              </w:rPr>
            </w:pPr>
          </w:p>
        </w:tc>
      </w:tr>
      <w:tr>
        <w:trPr>
          <w:trHeight w:val="196"/>
        </w:trPr>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Sarbanes-Oxley Act of 2002. *</w:t>
              </w:r>
            </w:hyperlink>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344"/>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Certification Pursuant to Rules 13a-14 and 15d-14 under the Securities Exchange Act of 1934, as Adopted Pursuant to Section 302 of the</w:t>
              </w:r>
            </w:hyperlink>
          </w:p>
        </w:tc>
        <w:tc>
          <w:tcPr>
            <w:tcW w:w="440" w:type="dxa"/>
            <w:vAlign w:val="bottom"/>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Sarbanes-Oxley Act of 2002. *</w:t>
              </w:r>
            </w:hyperlink>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344"/>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Certification Pursuant to 18 U.S.C. Section 1350, as Adopted Pursuant to Section 906 of the Sarbanes-Oxley Act of 2002. **</w:t>
              </w:r>
            </w:hyperlink>
          </w:p>
        </w:tc>
        <w:tc>
          <w:tcPr>
            <w:tcW w:w="1320" w:type="dxa"/>
            <w:vAlign w:val="bottom"/>
            <w:gridSpan w:val="2"/>
          </w:tcPr>
          <w:p>
            <w:pPr>
              <w:spacing w:after="0"/>
              <w:rPr>
                <w:sz w:val="24"/>
                <w:szCs w:val="24"/>
                <w:color w:val="auto"/>
              </w:rPr>
            </w:pPr>
          </w:p>
        </w:tc>
      </w:tr>
      <w:tr>
        <w:trPr>
          <w:trHeight w:val="344"/>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Certification Pursuant to 18 U.S.C. Section 1350, as Adopted Pursuant to Section 906 of the Sarbanes-Oxley Act of 2002. **</w:t>
              </w:r>
            </w:hyperlink>
          </w:p>
        </w:tc>
        <w:tc>
          <w:tcPr>
            <w:tcW w:w="1320" w:type="dxa"/>
            <w:vAlign w:val="bottom"/>
            <w:gridSpan w:val="2"/>
          </w:tcPr>
          <w:p>
            <w:pPr>
              <w:spacing w:after="0"/>
              <w:rPr>
                <w:sz w:val="24"/>
                <w:szCs w:val="24"/>
                <w:color w:val="auto"/>
              </w:rPr>
            </w:pPr>
          </w:p>
        </w:tc>
      </w:tr>
      <w:tr>
        <w:trPr>
          <w:trHeight w:val="385"/>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4"/>
          </w:tcPr>
          <w:p>
            <w:pPr>
              <w:spacing w:after="0"/>
              <w:rPr>
                <w:sz w:val="20"/>
                <w:szCs w:val="20"/>
                <w:color w:val="auto"/>
              </w:rPr>
            </w:pPr>
            <w:r>
              <w:rPr>
                <w:rFonts w:ascii="Arial" w:cs="Arial" w:eastAsia="Arial" w:hAnsi="Arial"/>
                <w:sz w:val="18"/>
                <w:szCs w:val="18"/>
                <w:color w:val="auto"/>
                <w:w w:val="93"/>
              </w:rPr>
              <w:t>Interactive Data Files pursuant to Rule 405 of Regulation S-T formatted in Inline Extensible Business Reporting Language ("Inline XBRL") *</w:t>
            </w:r>
          </w:p>
        </w:tc>
      </w:tr>
      <w:tr>
        <w:trPr>
          <w:trHeight w:val="364"/>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 *</w:t>
            </w:r>
          </w:p>
        </w:tc>
      </w:tr>
    </w:tbl>
    <w:p>
      <w:pPr>
        <w:spacing w:after="0" w:line="337"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760"/>
        <w:spacing w:after="0"/>
        <w:tabs>
          <w:tab w:leader="none" w:pos="8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K</w:t>
      </w:r>
      <w:r>
        <w:rPr>
          <w:rFonts w:ascii="Arial" w:cs="Arial" w:eastAsia="Arial" w:hAnsi="Arial"/>
          <w:sz w:val="12"/>
          <w:szCs w:val="12"/>
          <w:color w:val="auto"/>
        </w:rPr>
        <w:t>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14605</wp:posOffset>
            </wp:positionV>
            <wp:extent cx="26231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4" w:lineRule="exact"/>
        <w:rPr>
          <w:sz w:val="20"/>
          <w:szCs w:val="20"/>
          <w:color w:val="auto"/>
        </w:rPr>
      </w:pPr>
    </w:p>
    <w:p>
      <w:pPr>
        <w:jc w:val="center"/>
        <w:ind w:left="7080"/>
        <w:spacing w:after="0"/>
        <w:rPr>
          <w:sz w:val="20"/>
          <w:szCs w:val="20"/>
          <w:color w:val="auto"/>
        </w:rPr>
      </w:pPr>
      <w:r>
        <w:rPr>
          <w:rFonts w:ascii="Arial" w:cs="Arial" w:eastAsia="Arial" w:hAnsi="Arial"/>
          <w:sz w:val="13"/>
          <w:szCs w:val="13"/>
          <w:b w:val="1"/>
          <w:bCs w:val="1"/>
          <w:color w:val="auto"/>
        </w:rPr>
        <w:t>Scott Kornblau</w:t>
      </w:r>
    </w:p>
    <w:p>
      <w:pPr>
        <w:spacing w:after="0" w:line="12" w:lineRule="exact"/>
        <w:rPr>
          <w:sz w:val="20"/>
          <w:szCs w:val="20"/>
          <w:color w:val="auto"/>
        </w:rPr>
      </w:pPr>
    </w:p>
    <w:p>
      <w:pPr>
        <w:jc w:val="center"/>
        <w:ind w:left="7080"/>
        <w:spacing w:after="0"/>
        <w:rPr>
          <w:sz w:val="20"/>
          <w:szCs w:val="20"/>
          <w:color w:val="auto"/>
        </w:rPr>
      </w:pPr>
      <w:r>
        <w:rPr>
          <w:rFonts w:ascii="Arial" w:cs="Arial" w:eastAsia="Arial" w:hAnsi="Arial"/>
          <w:sz w:val="13"/>
          <w:szCs w:val="13"/>
          <w:b w:val="1"/>
          <w:bCs w:val="1"/>
          <w:color w:val="auto"/>
        </w:rPr>
        <w:t>Senior Vice President, Chief Financial Officer and Treasurer</w:t>
      </w:r>
    </w:p>
    <w:p>
      <w:pPr>
        <w:jc w:val="center"/>
        <w:ind w:left="7080"/>
        <w:spacing w:after="0"/>
        <w:rPr>
          <w:sz w:val="20"/>
          <w:szCs w:val="20"/>
          <w:color w:val="auto"/>
        </w:rPr>
      </w:pPr>
      <w:r>
        <w:rPr>
          <w:rFonts w:ascii="Arial" w:cs="Arial" w:eastAsia="Arial" w:hAnsi="Arial"/>
          <w:sz w:val="13"/>
          <w:szCs w:val="13"/>
          <w:b w:val="1"/>
          <w:bCs w:val="1"/>
          <w:color w:val="auto"/>
        </w:rPr>
        <w:t>(Principal Financial Officer and Duly Authorized Officer)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2022</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553" w:right="37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Lasse J. Petterson, certify that:</w:t>
      </w:r>
    </w:p>
    <w:p>
      <w:pPr>
        <w:spacing w:after="0" w:line="117"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2022</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Lasse J. Petterson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Kornblau, certify that:</w:t>
      </w:r>
    </w:p>
    <w:p>
      <w:pPr>
        <w:spacing w:after="0" w:line="117"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2022</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Scott Kornblau</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Chief Financial Officer and Treasurer</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Quarterly Report of Great Lakes Dredge &amp; Dock Corporation (the “Company”) on Form 10-Q for the period ended June 30, 2022, as filed with the Securities and Exchange Commission on the date hereof (the “Report”), I, Lasse J. Petterson, President and Chief Executive Officer of the Company, certify pursuant to 18 U.S.C. Section 1350, as adopted pursuant to Section 906 of the Sarbanes-Oxley Act of 2002, that:</w:t>
      </w:r>
    </w:p>
    <w:p>
      <w:pPr>
        <w:spacing w:after="0" w:line="57"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1000" w:right="5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2022</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June 30, 2022 as filed with the Securities and Exchange Commission on the date hereof (the “Report”), I, Scott Kornblau, Senior Vice President, Chief Financial Officer and Treasurer of the Company, certify pursuant to 18 U.S.C. Section 1350, as adopted pursuant to Section 906 of the Sarbanes-Oxley Act of 2002, that:</w:t>
      </w:r>
    </w:p>
    <w:p>
      <w:pPr>
        <w:spacing w:after="0" w:line="41"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1000" w:right="5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86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Kornblau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2022</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2"/>
    </w:lvl>
  </w:abstractNum>
  <w:abstractNum w:abstractNumId="5">
    <w:nsid w:val="1190CDE7"/>
    <w:multiLevelType w:val="hybridMultilevel"/>
    <w:lvl w:ilvl="0">
      <w:lvlJc w:val="left"/>
      <w:lvlText w:val="%1."/>
      <w:numFmt w:val="decimal"/>
      <w:start w:val="3"/>
    </w:lvl>
  </w:abstractNum>
  <w:abstractNum w:abstractNumId="6">
    <w:nsid w:val="66EF438D"/>
    <w:multiLevelType w:val="hybridMultilevel"/>
    <w:lvl w:ilvl="0">
      <w:lvlJc w:val="left"/>
      <w:lvlText w:val="%1."/>
      <w:numFmt w:val="decimal"/>
      <w:start w:val="4"/>
    </w:lvl>
  </w:abstractNum>
  <w:abstractNum w:abstractNumId="7">
    <w:nsid w:val="140E0F76"/>
    <w:multiLevelType w:val="hybridMultilevel"/>
    <w:lvl w:ilvl="0">
      <w:lvlJc w:val="left"/>
      <w:lvlText w:val="%1."/>
      <w:numFmt w:val="decimal"/>
      <w:start w:val="5"/>
    </w:lvl>
  </w:abstractNum>
  <w:abstractNum w:abstractNumId="8">
    <w:nsid w:val="3352255A"/>
    <w:multiLevelType w:val="hybridMultilevel"/>
    <w:lvl w:ilvl="0">
      <w:lvlJc w:val="left"/>
      <w:lvlText w:val="%1."/>
      <w:numFmt w:val="decimal"/>
      <w:start w:val="6"/>
    </w:lvl>
  </w:abstractNum>
  <w:abstractNum w:abstractNumId="9">
    <w:nsid w:val="109CF92E"/>
    <w:multiLevelType w:val="hybridMultilevel"/>
    <w:lvl w:ilvl="0">
      <w:lvlJc w:val="left"/>
      <w:lvlText w:val="%1."/>
      <w:numFmt w:val="decimal"/>
      <w:start w:val="7"/>
    </w:lvl>
  </w:abstractNum>
  <w:abstractNum w:abstractNumId="10">
    <w:nsid w:val="DED7263"/>
    <w:multiLevelType w:val="hybridMultilevel"/>
    <w:lvl w:ilvl="0">
      <w:lvlJc w:val="left"/>
      <w:lvlText w:val="%1."/>
      <w:numFmt w:val="decimal"/>
      <w:start w:val="8"/>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2022-08-02T15:19:08Z</dcterms:created>
  <dcterms:modified xsi:type="dcterms:W3CDTF">2022-08-02T15:19:08Z</dcterms:modified>
</cp:coreProperties>
</file>