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ind w:left="480" w:right="260" w:hanging="459"/>
        <w:spacing w:after="0" w:line="262"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80" w:right="260" w:hanging="459"/>
        <w:spacing w:after="0" w:line="262"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3168015</wp:posOffset>
            </wp:positionH>
            <wp:positionV relativeFrom="paragraph">
              <wp:posOffset>88265</wp:posOffset>
            </wp:positionV>
            <wp:extent cx="814070" cy="822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4070"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51"/>
        </w:trPr>
        <w:tc>
          <w:tcPr>
            <w:tcW w:w="6760" w:type="dxa"/>
            <w:vAlign w:val="bottom"/>
          </w:tcPr>
          <w:p>
            <w:pPr>
              <w:jc w:val="center"/>
              <w:ind w:right="3238"/>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jc w:val="center"/>
              <w:ind w:left="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5"/>
        </w:trPr>
        <w:tc>
          <w:tcPr>
            <w:tcW w:w="6760" w:type="dxa"/>
            <w:vAlign w:val="bottom"/>
          </w:tcPr>
          <w:p>
            <w:pPr>
              <w:jc w:val="center"/>
              <w:ind w:right="3238"/>
              <w:spacing w:after="0"/>
              <w:rPr>
                <w:sz w:val="20"/>
                <w:szCs w:val="20"/>
                <w:color w:val="auto"/>
              </w:rPr>
            </w:pPr>
            <w:r>
              <w:rPr>
                <w:rFonts w:ascii="Times New Roman" w:cs="Times New Roman" w:eastAsia="Times New Roman" w:hAnsi="Times New Roman"/>
                <w:sz w:val="18"/>
                <w:szCs w:val="18"/>
                <w:b w:val="1"/>
                <w:bCs w:val="1"/>
                <w:color w:val="auto"/>
                <w:w w:val="99"/>
              </w:rPr>
              <w:t>9811 Katy Freeway, Suite 1200, Houston, TX</w:t>
            </w:r>
          </w:p>
        </w:tc>
        <w:tc>
          <w:tcPr>
            <w:tcW w:w="1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77024</w:t>
            </w:r>
          </w:p>
        </w:tc>
      </w:tr>
      <w:tr>
        <w:trPr>
          <w:trHeight w:val="193"/>
        </w:trPr>
        <w:tc>
          <w:tcPr>
            <w:tcW w:w="6760" w:type="dxa"/>
            <w:vAlign w:val="bottom"/>
          </w:tcPr>
          <w:p>
            <w:pPr>
              <w:jc w:val="center"/>
              <w:ind w:right="3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6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4"/>
        </w:trPr>
        <w:tc>
          <w:tcPr>
            <w:tcW w:w="6760" w:type="dxa"/>
            <w:vAlign w:val="bottom"/>
          </w:tcPr>
          <w:p>
            <w:pPr>
              <w:jc w:val="right"/>
              <w:ind w:right="1538"/>
              <w:spacing w:after="0"/>
              <w:rPr>
                <w:sz w:val="20"/>
                <w:szCs w:val="20"/>
                <w:color w:val="auto"/>
              </w:rPr>
            </w:pPr>
            <w:r>
              <w:rPr>
                <w:rFonts w:ascii="Times New Roman" w:cs="Times New Roman" w:eastAsia="Times New Roman" w:hAnsi="Times New Roman"/>
                <w:sz w:val="18"/>
                <w:szCs w:val="18"/>
                <w:b w:val="1"/>
                <w:bCs w:val="1"/>
                <w:color w:val="auto"/>
              </w:rPr>
              <w:t>(346) 359-1010</w:t>
            </w:r>
          </w:p>
        </w:tc>
        <w:tc>
          <w:tcPr>
            <w:tcW w:w="1260" w:type="dxa"/>
            <w:vAlign w:val="bottom"/>
          </w:tcPr>
          <w:p>
            <w:pPr>
              <w:spacing w:after="0"/>
              <w:rPr>
                <w:sz w:val="21"/>
                <w:szCs w:val="21"/>
                <w:color w:val="auto"/>
              </w:rPr>
            </w:pPr>
          </w:p>
        </w:tc>
      </w:tr>
      <w:tr>
        <w:trPr>
          <w:trHeight w:val="238"/>
        </w:trPr>
        <w:tc>
          <w:tcPr>
            <w:tcW w:w="6760" w:type="dxa"/>
            <w:vAlign w:val="bottom"/>
          </w:tcPr>
          <w:p>
            <w:pPr>
              <w:jc w:val="center"/>
              <w:ind w:left="23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2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GLDD</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98"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1"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1, 2024, 67,272,067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04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0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2024 and 2023</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14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83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 for the Three and Nine Months Ended September 30, 2024 and 2023</w:t>
            </w:r>
          </w:p>
        </w:tc>
        <w:tc>
          <w:tcPr>
            <w:tcW w:w="88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72"/>
        </w:trPr>
        <w:tc>
          <w:tcPr>
            <w:tcW w:w="1140" w:type="dxa"/>
            <w:vAlign w:val="bottom"/>
          </w:tcPr>
          <w:p>
            <w:pPr>
              <w:spacing w:after="0"/>
              <w:rPr>
                <w:sz w:val="24"/>
                <w:szCs w:val="24"/>
                <w:color w:val="auto"/>
              </w:rPr>
            </w:pPr>
          </w:p>
        </w:tc>
        <w:tc>
          <w:tcPr>
            <w:tcW w:w="40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920" w:type="dxa"/>
            <w:vAlign w:val="bottom"/>
            <w:tcBorders>
              <w:top w:val="single" w:sz="8" w:color="0000FF"/>
            </w:tcBorders>
            <w:gridSpan w:val="5"/>
          </w:tcPr>
          <w:p>
            <w:pPr>
              <w:spacing w:after="0"/>
              <w:rPr>
                <w:sz w:val="24"/>
                <w:szCs w:val="24"/>
                <w:color w:val="auto"/>
              </w:rPr>
            </w:pPr>
          </w:p>
        </w:tc>
        <w:tc>
          <w:tcPr>
            <w:tcW w:w="130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6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6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42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71"/>
        </w:trPr>
        <w:tc>
          <w:tcPr>
            <w:tcW w:w="1140" w:type="dxa"/>
            <w:vAlign w:val="bottom"/>
          </w:tcPr>
          <w:p>
            <w:pPr>
              <w:spacing w:after="0"/>
              <w:rPr>
                <w:sz w:val="24"/>
                <w:szCs w:val="24"/>
                <w:color w:val="auto"/>
              </w:rPr>
            </w:pPr>
          </w:p>
        </w:tc>
        <w:tc>
          <w:tcPr>
            <w:tcW w:w="2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20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88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88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8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3"/>
          </w:tcPr>
          <w:p>
            <w:pPr>
              <w:spacing w:after="0"/>
              <w:rPr>
                <w:sz w:val="24"/>
                <w:szCs w:val="24"/>
                <w:color w:val="auto"/>
              </w:rPr>
            </w:pPr>
          </w:p>
        </w:tc>
        <w:tc>
          <w:tcPr>
            <w:tcW w:w="690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900" w:type="dxa"/>
            <w:vAlign w:val="bottom"/>
            <w:gridSpan w:val="17"/>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71"/>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14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80" w:type="dxa"/>
            <w:vAlign w:val="bottom"/>
            <w:gridSpan w:val="1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92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830"/>
        </w:trPr>
        <w:tc>
          <w:tcPr>
            <w:tcW w:w="114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5640" w:type="dxa"/>
            <w:vAlign w:val="bottom"/>
            <w:gridSpan w:val="13"/>
          </w:tcPr>
          <w:p>
            <w:pPr>
              <w:jc w:val="right"/>
              <w:ind w:right="18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91,799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31,988</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44,544</w:t>
            </w:r>
          </w:p>
        </w:tc>
        <w:tc>
          <w:tcPr>
            <w:tcW w:w="100" w:type="dxa"/>
            <w:vAlign w:val="bottom"/>
          </w:tcPr>
          <w:p>
            <w:pPr>
              <w:spacing w:after="0"/>
              <w:rPr>
                <w:sz w:val="20"/>
                <w:szCs w:val="20"/>
                <w:color w:val="auto"/>
              </w:rPr>
            </w:pPr>
          </w:p>
        </w:tc>
      </w:tr>
      <w:tr>
        <w:trPr>
          <w:trHeight w:val="241"/>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214,732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226,328</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681,552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614,608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INVENTORIES—Noncurrent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21,941</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1,145,339</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94,612</w:t>
            </w:r>
          </w:p>
        </w:tc>
        <w:tc>
          <w:tcPr>
            <w:tcW w:w="3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177,722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179,443</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412,531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412,070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61,444</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725,292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stock—$.0001 par value; 90,000 authorized, 67,272 and 66,623 shares issued and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and December 31, 2023,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320,971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(3,338 )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(2,015 )</w:t>
            </w:r>
          </w:p>
        </w:tc>
      </w:tr>
      <w:tr>
        <w:trPr>
          <w:trHeight w:val="232"/>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425,409</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1,145,339</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1,110,840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-3933825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-2665095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-2665095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-1731010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-363855</wp:posOffset>
            </wp:positionV>
            <wp:extent cx="939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-363855</wp:posOffset>
            </wp:positionV>
            <wp:extent cx="9398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191,173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559,919</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407,896</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154,940</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108,155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448,272</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368,832</w:t>
            </w:r>
          </w:p>
        </w:tc>
        <w:tc>
          <w:tcPr>
            <w:tcW w:w="100" w:type="dxa"/>
            <w:vAlign w:val="bottom"/>
          </w:tcPr>
          <w:p>
            <w:pPr>
              <w:spacing w:after="0"/>
              <w:rPr>
                <w:sz w:val="20"/>
                <w:szCs w:val="20"/>
                <w:color w:val="auto"/>
              </w:rPr>
            </w:pPr>
          </w:p>
        </w:tc>
      </w:tr>
      <w:tr>
        <w:trPr>
          <w:trHeight w:val="241"/>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111,647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39,064</w:t>
            </w:r>
          </w:p>
        </w:tc>
        <w:tc>
          <w:tcPr>
            <w:tcW w:w="100" w:type="dxa"/>
            <w:vAlign w:val="bottom"/>
            <w:shd w:val="clear" w:color="auto" w:fill="CFF0FC"/>
          </w:tcPr>
          <w:p>
            <w:pPr>
              <w:spacing w:after="0"/>
              <w:rPr>
                <w:sz w:val="20"/>
                <w:szCs w:val="20"/>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52,087</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tcPr>
          <w:p>
            <w:pPr>
              <w:spacing w:after="0"/>
              <w:rPr>
                <w:sz w:val="20"/>
                <w:szCs w:val="20"/>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(276 )</w:t>
            </w:r>
          </w:p>
        </w:tc>
        <w:tc>
          <w:tcPr>
            <w:tcW w:w="3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(3,198 )</w:t>
            </w: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(296 )</w:t>
            </w:r>
          </w:p>
        </w:tc>
      </w:tr>
      <w:tr>
        <w:trPr>
          <w:trHeight w:val="20"/>
        </w:trPr>
        <w:tc>
          <w:tcPr>
            <w:tcW w:w="56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(5,123 )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62,758</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(2,307 )</w:t>
            </w: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(4,888 )</w:t>
            </w:r>
          </w:p>
        </w:tc>
        <w:tc>
          <w:tcPr>
            <w:tcW w:w="3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(2,762 )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(12,977 )</w:t>
            </w:r>
          </w:p>
        </w:tc>
        <w:tc>
          <w:tcPr>
            <w:tcW w:w="3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(9,322 )</w:t>
            </w: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(7,963 )</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50,534</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(9,456 )</w:t>
            </w: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(3,154 )</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(12,985 )</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1"/>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8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2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(7,652 )</w:t>
            </w:r>
          </w:p>
        </w:tc>
      </w:tr>
      <w:tr>
        <w:trPr>
          <w:trHeight w:val="223"/>
        </w:trPr>
        <w:tc>
          <w:tcPr>
            <w:tcW w:w="56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67,021</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100" w:type="dxa"/>
            <w:vAlign w:val="bottom"/>
          </w:tcPr>
          <w:p>
            <w:pPr>
              <w:spacing w:after="0"/>
              <w:rPr>
                <w:sz w:val="20"/>
                <w:szCs w:val="20"/>
                <w:color w:val="auto"/>
              </w:rPr>
            </w:pPr>
          </w:p>
        </w:tc>
      </w:tr>
      <w:tr>
        <w:trPr>
          <w:trHeight w:val="247"/>
        </w:trPr>
        <w:tc>
          <w:tcPr>
            <w:tcW w:w="5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47"/>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-1902460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-1902460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-1902460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-950595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-933450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-950595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-933450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-950595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-933450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(6,154 )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(7,652 )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hedges—net of tax (1)</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(2,661 )</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(1,323 )</w:t>
            </w: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(3,999 )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(5,928 )</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(provision) of $900 and $(728) for the three months ended September 30, 2024 and 2023, respectively. Net of income tax benefit (provision) of $447 and $(583) for the nine months ended September 30,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20" w:type="dxa"/>
            <w:vAlign w:val="bottom"/>
          </w:tcPr>
          <w:p>
            <w:pPr>
              <w:spacing w:after="0"/>
              <w:rPr>
                <w:sz w:val="16"/>
                <w:szCs w:val="16"/>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BALANCE—January 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317,337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(2,015 )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(1,332 )</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(1,332 )</w:t>
            </w:r>
          </w:p>
        </w:tc>
        <w:tc>
          <w:tcPr>
            <w:tcW w:w="0" w:type="dxa"/>
            <w:vAlign w:val="bottom"/>
          </w:tcPr>
          <w:p>
            <w:pPr>
              <w:spacing w:after="0"/>
              <w:rPr>
                <w:sz w:val="1"/>
                <w:szCs w:val="1"/>
                <w:color w:val="auto"/>
              </w:rPr>
            </w:pPr>
          </w:p>
        </w:tc>
      </w:tr>
      <w:tr>
        <w:trPr>
          <w:trHeight w:val="211"/>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 employee</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(1,323 )</w:t>
            </w:r>
          </w:p>
        </w:tc>
        <w:tc>
          <w:tcPr>
            <w:tcW w:w="2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(1,323 )</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320,971</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107,769</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(3,338 )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425,409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BALANCE—January 1,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36" w:lineRule="exact"/>
        <w:rPr>
          <w:sz w:val="20"/>
          <w:szCs w:val="20"/>
          <w:color w:val="auto"/>
        </w:rPr>
      </w:pP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Vesting of restricted stock units and impact of shares withheld for taxes</w:t>
      </w:r>
    </w:p>
    <w:p>
      <w:pPr>
        <w:ind w:left="200"/>
        <w:spacing w:after="0" w:line="266" w:lineRule="auto"/>
        <w:rPr>
          <w:sz w:val="20"/>
          <w:szCs w:val="20"/>
          <w:color w:val="auto"/>
        </w:rPr>
      </w:pPr>
      <w:r>
        <w:rPr>
          <w:rFonts w:ascii="Times New Roman" w:cs="Times New Roman" w:eastAsia="Times New Roman" w:hAnsi="Times New Roman"/>
          <w:sz w:val="18"/>
          <w:szCs w:val="18"/>
          <w:color w:val="auto"/>
        </w:rPr>
        <w:t>Exercise of options and purchases from employee stock plans</w:t>
      </w:r>
    </w:p>
    <w:p>
      <w:pPr>
        <w:ind w:left="200"/>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BALANCE—September 30,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66,188</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312,091</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2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(603 )</w:t>
            </w:r>
          </w:p>
        </w:tc>
        <w:tc>
          <w:tcPr>
            <w:tcW w:w="300" w:type="dxa"/>
            <w:vAlign w:val="bottom"/>
          </w:tcPr>
          <w:p>
            <w:pPr>
              <w:spacing w:after="0"/>
              <w:rPr>
                <w:sz w:val="24"/>
                <w:szCs w:val="24"/>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(7,652 )</w:t>
            </w:r>
          </w:p>
        </w:tc>
        <w:tc>
          <w:tcPr>
            <w:tcW w:w="5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(7,652 )</w:t>
            </w:r>
          </w:p>
        </w:tc>
        <w:tc>
          <w:tcPr>
            <w:tcW w:w="0" w:type="dxa"/>
            <w:vAlign w:val="bottom"/>
          </w:tcPr>
          <w:p>
            <w:pPr>
              <w:spacing w:after="0"/>
              <w:rPr>
                <w:sz w:val="1"/>
                <w:szCs w:val="1"/>
                <w:color w:val="auto"/>
              </w:rPr>
            </w:pPr>
          </w:p>
        </w:tc>
      </w:tr>
      <w:tr>
        <w:trPr>
          <w:trHeight w:val="250"/>
        </w:trPr>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26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315,767</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2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-1388110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-1079500</wp:posOffset>
            </wp:positionV>
            <wp:extent cx="71323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-496570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-179070</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260"/>
            <w:col w:w="7200"/>
          </w:cols>
          <w:pgMar w:left="320" w:top="981" w:right="339" w:bottom="144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405"/>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319,776</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98,917</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418,023</w:t>
            </w:r>
          </w:p>
        </w:tc>
        <w:tc>
          <w:tcPr>
            <w:tcW w:w="100" w:type="dxa"/>
            <w:vAlign w:val="bottom"/>
          </w:tcPr>
          <w:p>
            <w:pPr>
              <w:spacing w:after="0"/>
              <w:rPr>
                <w:sz w:val="24"/>
                <w:szCs w:val="24"/>
                <w:color w:val="auto"/>
              </w:rPr>
            </w:pPr>
          </w:p>
        </w:tc>
      </w:tr>
      <w:tr>
        <w:trPr>
          <w:trHeight w:val="250"/>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FF0FC"/>
          </w:tcPr>
          <w:p>
            <w:pPr>
              <w:spacing w:after="0"/>
              <w:rPr>
                <w:sz w:val="21"/>
                <w:szCs w:val="21"/>
                <w:color w:val="auto"/>
              </w:rPr>
            </w:pPr>
          </w:p>
        </w:tc>
      </w:tr>
      <w:tr>
        <w:trPr>
          <w:trHeight w:val="21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(362 )</w:t>
            </w:r>
          </w:p>
        </w:tc>
      </w:tr>
      <w:tr>
        <w:trPr>
          <w:trHeight w:val="21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plans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21"/>
                <w:szCs w:val="2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100" w:type="dxa"/>
            <w:vAlign w:val="bottom"/>
          </w:tcPr>
          <w:p>
            <w:pPr>
              <w:spacing w:after="0"/>
              <w:rPr>
                <w:sz w:val="20"/>
                <w:szCs w:val="20"/>
                <w:color w:val="auto"/>
              </w:rPr>
            </w:pPr>
          </w:p>
        </w:tc>
      </w:tr>
      <w:tr>
        <w:trPr>
          <w:trHeight w:val="243"/>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(2,661 )</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(2,661 )</w:t>
            </w:r>
          </w:p>
        </w:tc>
      </w:tr>
      <w:tr>
        <w:trPr>
          <w:trHeight w:val="20"/>
        </w:trPr>
        <w:tc>
          <w:tcPr>
            <w:tcW w:w="3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81"/>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BALANCE—September 30, 2024</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67,272</w:t>
            </w:r>
          </w:p>
        </w:tc>
        <w:tc>
          <w:tcPr>
            <w:tcW w:w="260" w:type="dxa"/>
            <w:vAlign w:val="bottom"/>
            <w:shd w:val="clear" w:color="auto" w:fill="CFF0FC"/>
          </w:tcPr>
          <w:p>
            <w:pPr>
              <w:spacing w:after="0"/>
              <w:rPr>
                <w:sz w:val="24"/>
                <w:szCs w:val="2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320,971</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107,769</w:t>
            </w: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425,409</w:t>
            </w:r>
          </w:p>
        </w:tc>
        <w:tc>
          <w:tcPr>
            <w:tcW w:w="100" w:type="dxa"/>
            <w:vAlign w:val="bottom"/>
            <w:shd w:val="clear" w:color="auto" w:fill="CFF0FC"/>
          </w:tcPr>
          <w:p>
            <w:pPr>
              <w:spacing w:after="0"/>
              <w:rPr>
                <w:sz w:val="24"/>
                <w:szCs w:val="24"/>
                <w:color w:val="auto"/>
              </w:rPr>
            </w:pPr>
          </w:p>
        </w:tc>
      </w:tr>
      <w:tr>
        <w:trPr>
          <w:trHeight w:val="223"/>
        </w:trPr>
        <w:tc>
          <w:tcPr>
            <w:tcW w:w="37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BALANCE—June 30, 2023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314,321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(622 )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368,522</w:t>
            </w:r>
          </w:p>
        </w:tc>
        <w:tc>
          <w:tcPr>
            <w:tcW w:w="100" w:type="dxa"/>
            <w:vAlign w:val="bottom"/>
            <w:shd w:val="clear" w:color="auto" w:fill="CFF0FC"/>
          </w:tcPr>
          <w:p>
            <w:pPr>
              <w:spacing w:after="0"/>
              <w:rPr>
                <w:sz w:val="21"/>
                <w:szCs w:val="21"/>
                <w:color w:val="auto"/>
              </w:rPr>
            </w:pP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Pr>
          <w:p>
            <w:pPr>
              <w:spacing w:after="0"/>
              <w:rPr>
                <w:sz w:val="20"/>
                <w:szCs w:val="20"/>
                <w:color w:val="auto"/>
              </w:rPr>
            </w:pPr>
          </w:p>
        </w:tc>
      </w:tr>
      <w:tr>
        <w:trPr>
          <w:trHeight w:val="215"/>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 and impact of</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(61 )</w:t>
            </w:r>
          </w:p>
        </w:tc>
      </w:tr>
      <w:tr>
        <w:trPr>
          <w:trHeight w:val="21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options and purchases from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stock plans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50"/>
        </w:trPr>
        <w:tc>
          <w:tcPr>
            <w:tcW w:w="3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(6,154 )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(6,154 )</w:t>
            </w:r>
          </w:p>
        </w:tc>
      </w:tr>
      <w:tr>
        <w:trPr>
          <w:trHeight w:val="239"/>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20"/>
                <w:szCs w:val="20"/>
                <w:color w:val="auto"/>
              </w:rPr>
            </w:pPr>
          </w:p>
        </w:tc>
      </w:tr>
      <w:tr>
        <w:trPr>
          <w:trHeight w:val="281"/>
        </w:trPr>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BALANCE—September 30, 2023</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315,767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-1731010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-1731010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-1731010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-1731010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-1731010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-1567815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-1550670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-1567815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-1550670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-1567815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-1550670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-1567815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-1550670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-1567815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-1550670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65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65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26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(7,652 )</w:t>
            </w:r>
          </w:p>
        </w:tc>
      </w:tr>
      <w:tr>
        <w:trPr>
          <w:trHeight w:val="215"/>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w:t>
            </w: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(1,804 )</w:t>
            </w: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(3,097 )</w:t>
            </w:r>
          </w:p>
        </w:tc>
        <w:tc>
          <w:tcPr>
            <w:tcW w:w="4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(23,064 )</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(10,352 )</w:t>
            </w: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(1,289 )</w:t>
            </w:r>
          </w:p>
        </w:tc>
        <w:tc>
          <w:tcPr>
            <w:tcW w:w="4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(10,195 )</w:t>
            </w:r>
          </w:p>
        </w:tc>
      </w:tr>
      <w:tr>
        <w:trPr>
          <w:trHeight w:val="247"/>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(11,005 )</w:t>
            </w:r>
          </w:p>
        </w:tc>
      </w:tr>
      <w:tr>
        <w:trPr>
          <w:trHeight w:val="23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(13,947 )</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tcPr>
          <w:p>
            <w:pPr>
              <w:spacing w:after="0"/>
              <w:rPr>
                <w:sz w:val="20"/>
                <w:szCs w:val="20"/>
                <w:color w:val="auto"/>
              </w:rPr>
            </w:pPr>
          </w:p>
        </w:tc>
      </w:tr>
      <w:tr>
        <w:trPr>
          <w:trHeight w:val="243"/>
        </w:trPr>
        <w:tc>
          <w:tcPr>
            <w:tcW w:w="65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(2,983 )</w:t>
            </w: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(4,718 )</w:t>
            </w:r>
          </w:p>
        </w:tc>
      </w:tr>
      <w:tr>
        <w:trPr>
          <w:trHeight w:val="236"/>
        </w:trPr>
        <w:tc>
          <w:tcPr>
            <w:tcW w:w="65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83,581</w:t>
            </w:r>
          </w:p>
        </w:tc>
        <w:tc>
          <w:tcPr>
            <w:tcW w:w="26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49,577</w:t>
            </w:r>
          </w:p>
        </w:tc>
        <w:tc>
          <w:tcPr>
            <w:tcW w:w="100" w:type="dxa"/>
            <w:vAlign w:val="bottom"/>
            <w:tcBorders>
              <w:top w:val="single" w:sz="8" w:color="CFF0FC"/>
            </w:tcBorders>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(102,532 )</w:t>
            </w:r>
          </w:p>
        </w:tc>
        <w:tc>
          <w:tcPr>
            <w:tcW w:w="4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(98,193 )</w:t>
            </w: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0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9,329</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(93,203 )</w:t>
            </w:r>
          </w:p>
        </w:tc>
        <w:tc>
          <w:tcPr>
            <w:tcW w:w="4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(96,978 )</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(10,897 )</w:t>
            </w:r>
          </w:p>
        </w:tc>
        <w:tc>
          <w:tcPr>
            <w:tcW w:w="4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(1,332 )</w:t>
            </w: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(603 )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20"/>
                <w:szCs w:val="20"/>
                <w:color w:val="auto"/>
              </w:rPr>
            </w:pP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 under revolving loans</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Borrowing under Second Lien Credit Agreement</w:t>
            </w:r>
          </w:p>
        </w:tc>
        <w:tc>
          <w:tcPr>
            <w:tcW w:w="10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0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(121,000 )</w:t>
            </w:r>
          </w:p>
        </w:tc>
        <w:tc>
          <w:tcPr>
            <w:tcW w:w="4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(65,000 )</w:t>
            </w: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(1,501 )</w:t>
            </w:r>
          </w:p>
        </w:tc>
        <w:tc>
          <w:tcPr>
            <w:tcW w:w="4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0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(2,102 )</w:t>
            </w:r>
          </w:p>
        </w:tc>
        <w:tc>
          <w:tcPr>
            <w:tcW w:w="4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100" w:type="dxa"/>
            <w:vAlign w:val="bottom"/>
            <w:shd w:val="clear" w:color="auto" w:fill="CFF0FC"/>
          </w:tcPr>
          <w:p>
            <w:pPr>
              <w:spacing w:after="0"/>
              <w:rPr>
                <w:sz w:val="20"/>
                <w:szCs w:val="20"/>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(11,724 )</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23,761</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6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060" w:type="dxa"/>
            <w:vAlign w:val="bottom"/>
            <w:tcBorders>
              <w:bottom w:val="single" w:sz="8" w:color="auto"/>
            </w:tcBorders>
            <w:shd w:val="clear" w:color="auto" w:fill="CFF0FC"/>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-3839845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-3839845</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-3213735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-3213735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-1344930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-1344930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-513715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-496570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-513715</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-496570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2023.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2024 and December 31, 2023, and its results of operations for the three and nine months ended September 30, 2024 and 2023 and cash flows for the nine months ended September 30, 2024 and 2023 have been included.</w:t>
      </w:r>
    </w:p>
    <w:p>
      <w:pPr>
        <w:spacing w:after="0" w:line="194"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one operating segment which is also the Company’s reportable segment and reporting unit of which the Company tests goodwill for impairment. </w:t>
      </w:r>
      <w:r>
        <w:rPr>
          <w:rFonts w:ascii="Times New Roman" w:cs="Times New Roman" w:eastAsia="Times New Roman" w:hAnsi="Times New Roman"/>
          <w:sz w:val="18"/>
          <w:szCs w:val="18"/>
          <w:color w:val="212529"/>
        </w:rPr>
        <w:t>When conducting the annual impairment test for goodwill, the Company can choose to assess qualitative factors to determine whether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more likely than not that the fair value of the reporting unit is below its carrying value. If a qualitative assessment determines an impairment is more likely than not, the Company is required to perform a quantitative impairment test. Otherwise, no further analysis is required. The Company also may elect to forego the qualitative and move directly to the quantitative impairment test. </w:t>
      </w:r>
      <w:r>
        <w:rPr>
          <w:rFonts w:ascii="Times New Roman" w:cs="Times New Roman" w:eastAsia="Times New Roman" w:hAnsi="Times New Roman"/>
          <w:sz w:val="18"/>
          <w:szCs w:val="18"/>
          <w:color w:val="000000"/>
        </w:rPr>
        <w:t>The Company performed its annual test of impairment as of July 1, 2024.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assessed qualitative factors for any indications of potential impairment of the reporting unit. Upon completing this assessment, it was determined that the fair value of the reporting unit is more likely than not greater than its carrying value as of the assessment date and, as a result, a quantitative test was not performed. The Company will continue to monitor for changes in facts or circumstances that may impact its estimates. The Company will perform its next scheduled annual impairment test of goodwill in the third quarter of 2025 should no triggering events occur which would require a test prior to the next annual test.</w:t>
      </w:r>
    </w:p>
    <w:p>
      <w:pPr>
        <w:spacing w:after="0" w:line="1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condensed consolidated statements of operations and comprehensive income (loss) for the interim periods presented herein are not necessarily indicative of the results to be expected for the full year.</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December 2023, Financial Accounting Standards Board (“FASB”) issued Accounting Standards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Management is currently evaluating the impact of this guidance.</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(“ASU 2023-07”). The amendments in ASU 2023-07 improve financial reporting by requiring disclosure of incremental segment information on an annual and interim basis for all public entities to enable investors to develop more decision-useful financial analyses. ASU 2023-07 requires a public entity to report a measure of segment profit or loss that the chief operating decision maker (CODM) uses to assess segment performance and make decisions about allocating resources. ASU 2023-07 also requires other specified segment items and amounts, such as depreciation, amortization, and depletion expense, to be disclosed under certain circumstances. The amendments in ASU 2023-07 also do not</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adopted retrospectively. </w:t>
      </w:r>
      <w:r>
        <w:rPr>
          <w:rFonts w:ascii="Times New Roman" w:cs="Times New Roman" w:eastAsia="Times New Roman" w:hAnsi="Times New Roman"/>
          <w:sz w:val="18"/>
          <w:szCs w:val="18"/>
          <w:color w:val="212529"/>
        </w:rPr>
        <w:t>ASU 2023-07 will not have an impact on our consolidated balance sheets,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operations or cash flows, but will affect our financial statement disclosures as discussed above.</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Reclassifications</w:t>
      </w:r>
      <w:r>
        <w:rPr>
          <w:rFonts w:ascii="Times New Roman" w:cs="Times New Roman" w:eastAsia="Times New Roman" w:hAnsi="Times New Roman"/>
          <w:sz w:val="18"/>
          <w:szCs w:val="18"/>
          <w:color w:val="auto"/>
        </w:rPr>
        <w:t>—Certain reclassifications have been made to prior period condensed consolidated statements of cash flows to conform to current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presentation. These reclassifications have no effect on net cash flows.</w:t>
      </w:r>
    </w:p>
    <w:p>
      <w:pPr>
        <w:spacing w:after="0" w:line="15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8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(6,154 )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(7,652 )</w:t>
            </w:r>
          </w:p>
        </w:tc>
      </w:tr>
      <w:tr>
        <w:trPr>
          <w:trHeight w:val="47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67,217</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100" w:type="dxa"/>
            <w:vAlign w:val="bottom"/>
          </w:tcPr>
          <w:p>
            <w:pPr>
              <w:spacing w:after="0"/>
              <w:rPr>
                <w:sz w:val="24"/>
                <w:szCs w:val="24"/>
                <w:color w:val="auto"/>
              </w:rPr>
            </w:pPr>
          </w:p>
        </w:tc>
      </w:tr>
      <w:tr>
        <w:trPr>
          <w:trHeight w:val="245"/>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77"/>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67,830</w:t>
            </w: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66,532</w:t>
            </w: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22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66,419</w:t>
            </w:r>
          </w:p>
        </w:tc>
        <w:tc>
          <w:tcPr>
            <w:tcW w:w="100" w:type="dxa"/>
            <w:vAlign w:val="bottom"/>
            <w:tcBorders>
              <w:top w:val="single" w:sz="8" w:color="CFF0FC"/>
            </w:tcBorders>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 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(0.12 )</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-799465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-799465</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-799465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-799465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2023, respectively, 652 and 427 stock options (“NQSOs”) and restricted stock units (“RSUs”) were excluded from the diluted weighted average common shares outstanding because the Company incurred a loss during these periods.</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respectively, there were 56 and 59 stock options and restricted stock units excluded from the calculation of diluted earnings per share, based on the application of the treasury stock method, as such NQSOs and RSUs were determined to be anti-dilutive. For the three and nine months ended September 30, 2023, respectively, there were no NQSOs and RSUs excluded from the calculation of diluted earnings per share, based on the application of the treasury stock method, as such NQSOs and RSUs were determined to be anti-dilutive.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at September 30, 2024 and December 31, 2023 were as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0"/>
        </w:trPr>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42"/>
        </w:trPr>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20,090</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equipment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920,618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803,954</w:t>
            </w:r>
          </w:p>
        </w:tc>
        <w:tc>
          <w:tcPr>
            <w:tcW w:w="8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235,942</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264,674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1,187,866</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1,099,380</w:t>
            </w:r>
          </w:p>
        </w:tc>
        <w:tc>
          <w:tcPr>
            <w:tcW w:w="8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(506,314 )</w:t>
            </w:r>
          </w:p>
        </w:tc>
        <w:tc>
          <w:tcPr>
            <w:tcW w:w="2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(484,772 )</w:t>
            </w:r>
          </w:p>
        </w:tc>
      </w:tr>
      <w:tr>
        <w:trPr>
          <w:trHeight w:val="236"/>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681,552</w:t>
            </w: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614,608</w:t>
            </w:r>
          </w:p>
        </w:tc>
        <w:tc>
          <w:tcPr>
            <w:tcW w:w="80" w:type="dxa"/>
            <w:vAlign w:val="bottom"/>
            <w:tcBorders>
              <w:top w:val="single" w:sz="8" w:color="CFF0FC"/>
            </w:tcBorders>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-513715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-513715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-187960</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at September 30, 2024 and December 31, 2023 were as follows: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3"/>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42"/>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8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0"/>
                <w:szCs w:val="20"/>
                <w:color w:val="auto"/>
              </w:rPr>
            </w:pPr>
          </w:p>
        </w:tc>
      </w:tr>
      <w:tr>
        <w:trPr>
          <w:trHeight w:val="27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44,062</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credit agreement</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24, 2024, the Company, Great Lakes Dredge &amp; Dock Company, LLC, NASDI Holdings, LLC, Great Lakes Environmental &amp; Infrastructure Solutions, LLC, Great Lakes U.S. Fleet Management, LLC, and Drews Services LLC (collectively,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(“GCS”). The material terms of the Second Lien Credit Agreement are summarized below.</w:t>
      </w:r>
    </w:p>
    <w:p>
      <w:pPr>
        <w:spacing w:after="0" w:line="18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The Second Lien Credit Agreement provides for (i) a senior secured second-lien term loan facility in an aggregate principal amount of $100.0 million, which was funded in full on the initial closing date (the “Closing Date”) and (ii) a senior secured second-lien delayed draw term loan facility in the aggregate principal amount up to $50.0 million, which is available to the Company for a period of 12 months following the Closing Date, subject to the terms and conditions as set forth therein. Net proceeds to the Company, after payment of original discount on the initial loans, a closing fee on the delayed draw facility and other debt issuance costs, including those associated with the ABL Amendment described below, were approximately $88.7 million.</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Second Lien Credit Agreement contains customary representations, mandatory prepayments and affirmative and negative covenants, including a minimum liquidity covenant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For the first 18 months following the Closing Date, the Company may prepay all or a part of the loans under the Second Lien Credit Agreement by paying the principal amount of the loans to be prepaid plus a customary “make-whole” premium, subject to a make-whole carveout of up to $25.0 million (less the amount of any undrawn delayed draw term loan commitments at such time) at 103% with proceeds from a qualifying Maritime Administration (“MARAD”) financing. Thereafter, the Company may prepay all or a part of the loans under the Second Lien Credit Agreement by paying, (i) in months 19-30 following the Closing Date, 103% of the principal amount of the loans to be prepaid, plus accrued and unpaid interest and (ii) in months 31 to 42 after the Closing Date, 101% of the principal amount of loans to be prepaid, plus accrued and unpaid interest.</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Second Lien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Second Lien Credit Agreement are unconditionally guaranteed, on a joint and several basis, by each borrower (other than the Company) and subsidiary guarantor under the ABL Credit Agreement (as defined below), each existing or future issuer or guarantor under the indenture governing the Company’s 5.25% Senior Notes due 2029, and each other existing and subsequently acquired or formed material direct or indirect wholly-owned domestic subsidiary of the Company.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loans under the Second Lien Credit Agreement funded on the Closing Date were used to repay amounts outstanding under the ABL Credit Agreement, to pay fees and expenses associated with the transactions and for general corporate purposes, including to fund upcoming new build payments. The delayed draw portion of the term loans, if funded, will be used to fund future new build payments, ongoing working capital and for other general corporate purposes. The Second Lien Credit Agreement matures on the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earlier of April 24, 2029 and the date that is ninety-one (91) days prior to the scheduled maturity date of the Company’s 5.25% Senior Notes due 2029.</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obligations under the Second Lien Credit Agreement are secured on a second-priority basis by substantially all of the assets of the Credit Parties. The outstanding obligations thereunder shall be secured by a valid second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Pursuant to the terms of that certain Intercreditor Agreement dated as of April 24, 2024, (as amended, restated, supplemented, or otherwise modified from time to time, the “Intercreditor Agreement”), by and between PNC Bank, National Association, as first lien agent, and GCS, as second lien agent, the obligations under the Second Lien Credit Agreement are subordinated to the first-priority liens securing the obligations under the ABL Credit Agreement.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Interest on the term loan facility under the Second Lien Credit Agreement is equal to either a base rate option (“Base Rate Loan”) or a Secured Overnight Financing Rate (“SOFR”) option (“Term SOFR Loan”) at the Company’s election. In the case of a Base Rate Loan, interest on the unpaid principal amount shall equal (i) the greatest of (a) the “Prime Rate” in the United States as quoted from time to time by The Wall Street Journal or the highest per annum rate of interest published by the Federal Reserve Board, (b) the federal funds effective rate (but not less than zero) plus 0.50% and (c) Term SOFR for a one-month interest period on such day, plus 1.00%, plus (ii) 6.75%. In the case of a Term SOFR Loan, interest on the unpaid principal amount shall equal the Term SOFR Reference Rate on the day that is two business days prior to the first day of such applicable interest period, plus 7.75%. In addition, the Company is required to pay a quarterly fee of 1.00% per annum on the undrawn commitments in respect of the delayed draw term loan facility.</w:t>
      </w:r>
    </w:p>
    <w:p>
      <w:pPr>
        <w:spacing w:after="0" w:line="18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Company had $100.0 million and zero borrowings on the Second Lien Credit Agreement as of September 30, 2024 and December 31, 2023, respectively. The weighted average interest rate on the Second Lien Credit Agreement borrowings during the quarter ended September 30, 2024 is 13.02%.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On April 24, 2024, the Credit Parties, PNC Bank, National Association (“PNC”), as agent for the lenders, and certain financial institutions party thereto entered into an amendment to the ABL Credit Agreement described below (the “ABL Amendment”). The ABL Amendment (w) eliminates the Company’s ability to increase the commitments under the senior secured revolving credit facility (x) modifies the pricing of loans and undrawn commitments as summarized below, (y) adds a minimum liquidity covenant, for so long as the Second Lien Credit Agreement has not been prepaid and terminated, that requires the Credit Parties to maintain consolidated liquidity of (a) $12.5 million at any time the fixed charge coverage ratio for the most recently ended four fiscal quarter period is less than 1.10 to 1.00 and (b) $50.0 million at any time the fixed charge coverage ratio for the most recently ended four fiscal quarters is greater than or equal to 1.10 to 1.00 and (z) makes certain other customary changes in connection with the Credit Parties’ entry into the Second Lien Credit Agreement. The Company has availability of up to $200.0 million for the issuance of letters of credit under the ABL Amendment.</w:t>
      </w:r>
    </w:p>
    <w:p>
      <w:pPr>
        <w:spacing w:after="0" w:line="1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ABL Amendment modifies the Applicable Margin for Advances as follows: (i) following the ABL Amendment closing date through and including the date immediately prior to the date on which the Borrowing Base Certificate is required to be delivered for most recently completed fiscal quarter (commencing with the fiscal quarter ending on September 30, 2024) (the “Adjustment Date”), (a) the Applicable Margin for Domestic Rate Loans Advances is 1.50% and (b) the Applicable Margins for Term SOFR Rate Loans Advances is 2.50%, (ii) beginning as of the Adjustment Date, to the extent the quarterly average undrawn availability for the prior fiscal quarter is (x) greater than 66.7% of the Maximum Revolving Advance Amount, (a) the Applicable Margin for Domestic Rate Loans Advances is 1.25% and (b) the Applicable Margins for Term SOFR Rate Loans Advances is 2.25%; (y) to the extent the quarterly average undrawn availability for the prior fiscal quarter is less than or equal to 66.7% of the Maximum Revolving Advance Amount but greater than 33.3%, (a) the Applicable Margin for Domestic Rate Loans Advances is 1.50% and (b) the Applicable Margins for Term SOFR Rate Loans Advances is 2.50%; and (z) to the extent the quarterly average undrawn availability for the prior fiscal quarter is less than or equal to 33.3% of the Maximum Revolving Advance Amount, (a) Applicable Margin for Domestic Rate Loans Advances is 1.75% and (b) the Applicable Margin for Term SOFR Rate Loans Advances is 2.75%. Additionally, the Company has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July 29, 2022, the Credit Parties entered into a second amended and restated revolving credit and security agreement (as amended, supplemented or otherwise modified from time to time, the “ABL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1" w:name="page12"/>
    <w:bookmarkEnd w:id="11"/>
    <w:p>
      <w:pPr>
        <w:ind w:right="240"/>
        <w:spacing w:after="0" w:line="261" w:lineRule="auto"/>
        <w:rPr>
          <w:sz w:val="20"/>
          <w:szCs w:val="20"/>
          <w:color w:val="auto"/>
        </w:rPr>
      </w:pPr>
      <w:r>
        <w:rPr>
          <w:rFonts w:ascii="Times New Roman" w:cs="Times New Roman" w:eastAsia="Times New Roman" w:hAnsi="Times New Roman"/>
          <w:sz w:val="18"/>
          <w:szCs w:val="18"/>
          <w:color w:val="auto"/>
        </w:rPr>
        <w:t>Coordinator. The ABL Credit Agreement amends and restates the prior ABL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ABL Credit Agreement, including the amount available under the revolving credit facility. The terms of the ABL Credit Agreement are summarized below.</w:t>
      </w:r>
    </w:p>
    <w:p>
      <w:pPr>
        <w:spacing w:after="0" w:line="1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ABL Credit Agreement provides for a senior secured revolving credit facility in an aggregate principal amount of up to $300.0 million. The maximum borrowing capacity under the ABL Credit Agreement is determined by a formula and may fluctuate depending on the value of the collateral included in such formula at the time of determination.</w:t>
      </w:r>
    </w:p>
    <w:p>
      <w:pPr>
        <w:spacing w:after="0" w:line="9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ABL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 million sublimit.</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ABL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ABL Credit Agreement is less than 12.5% of the maximum loan amount for five consecutive days. The ABL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ABL Credit Agreement are unconditionally guaranteed, on a joint and several basis, by each existing and subsequently acquired or formed material direct and indirect domestic subsidiary of the Company. Borrowings under the ABL Credit Agreement will be used to pay fees and expenses related to the ABL Credit Agreement, finance acquisitions permitted under the ABL Credit Agreement, finance ongoing working capital, for other general corporate purposes, and with respect to any green loan, fund capital investments related to renewable energy and clean transportation projects. The ABL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ABL Credit Agreement.</w:t>
      </w:r>
    </w:p>
    <w:p>
      <w:pPr>
        <w:spacing w:after="0" w:line="13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obligations under the ABL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had zero and $90.0 million borrowings on the revolver as of September 30, 2024 and December 31, 2023, respectively. There were $43.4 million and $49.8 million letters of credit outstanding as of September 30, 2024 and December 31, 2023, respectively. The Company had $256.3 million and $122.3 million of availability under the ABL Amendment as of September 30, 2024 and December 31, 2023, respectively. Availability was suppressed by $0.3 and $37.9 million as of September 30, 2024 and December 31, 2023, respectively, as a result of certain limitations of borrowing related to reserves and compliance with the Company’s obligations set forth in the ABL Credit Agreement.</w:t>
      </w:r>
    </w:p>
    <w:p>
      <w:pPr>
        <w:spacing w:after="0" w:line="11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in Note 5, Long-term debt, shall have the meanings ascribed to such terms in the Second Lien Credit Agreement and the ABL Amendment, as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2021, the Company sold $325.0 million of unsecured 5.25% Senior Notes (the “2029 Notes”) pursuant to a private offering. The 2029 Notes were priced to investors at par and will mature on June 1, 2029. The Company used the net proceeds from the offering, together with cash on hand, to redeem all $325.0 million aggregate principal amount of its outstanding 8.00% Senior Notes due 2022.</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2029 Notes are guaranteed by each of the Company’s existing and future 100% owned domestic subsidiaries that are co-borrowers or guarantors under the ABL Amendment. Such guarantees are full, unconditional and joint and several. The parent company issuer has no independent assets or operations and all non-guarantor subsidiaries have been determined to be minor.</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The weighted average interest rates on the Company’s outstanding borrowings, </w:t>
      </w:r>
      <w:r>
        <w:rPr>
          <w:rFonts w:ascii="Times New Roman" w:cs="Times New Roman" w:eastAsia="Times New Roman" w:hAnsi="Times New Roman"/>
          <w:sz w:val="18"/>
          <w:szCs w:val="18"/>
          <w:color w:val="212121"/>
        </w:rPr>
        <w:t>after adjusting for the effects of interest rate swaps,</w:t>
      </w:r>
      <w:r>
        <w:rPr>
          <w:rFonts w:ascii="Times New Roman" w:cs="Times New Roman" w:eastAsia="Times New Roman" w:hAnsi="Times New Roman"/>
          <w:sz w:val="18"/>
          <w:szCs w:val="18"/>
          <w:color w:val="auto"/>
        </w:rPr>
        <w:t xml:space="preserve"> were 6.81%, and 5.57% as of September 30, 2024 and December 31, 2023,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4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5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9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foreign currency risk or interest rate risk. The Company does not hold or issue derivatives for speculative or trading purposes. The fair values of these financial instruments are summarized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400" w:type="dxa"/>
            <w:vAlign w:val="bottom"/>
          </w:tcPr>
          <w:p>
            <w:pPr>
              <w:spacing w:after="0"/>
              <w:rPr>
                <w:sz w:val="18"/>
                <w:szCs w:val="18"/>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Hierarchy Levels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4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07"/>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hedging</w:t>
            </w:r>
          </w:p>
        </w:tc>
        <w:tc>
          <w:tcPr>
            <w:tcW w:w="15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1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Fuel hedge contracts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Pr>
          <w:p>
            <w:pPr>
              <w:spacing w:after="0"/>
              <w:rPr>
                <w:sz w:val="20"/>
                <w:szCs w:val="20"/>
                <w:color w:val="auto"/>
              </w:rPr>
            </w:pPr>
          </w:p>
        </w:tc>
      </w:tr>
      <w:tr>
        <w:trPr>
          <w:trHeight w:val="24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exchange hedge contracts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6"/>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derivatives</w:t>
            </w:r>
          </w:p>
        </w:tc>
        <w:tc>
          <w:tcPr>
            <w:tcW w:w="15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eligible fuel requirements for work in dredging backlog.</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was party to various swap arrangements to hedge the price of a portion of its diesel fuel purchase requirements for work in its backlog to be performed through February 2026. As of September 30, 2024, there were 9.1 million gallons remaining on these contracts representing forecasted domestic fuel purchases through February 2026. Under these swap agreements, the Company will pay fixed prices ranging from $2.35 to $2.90 per gallon.</w:t>
      </w:r>
    </w:p>
    <w:p>
      <w:pPr>
        <w:spacing w:after="0" w:line="11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September 30, 2024 and December 31, 2023, the fair value liabilities of the fuel hedge contracts were estimated to be $3.5 million and $2.9 million, respectively, and are recorded in accrued expenses in the condensed consolidated balance sheets. For fuel hedge contracts considered to be highly effective, the losses reclassified to earnings from changes in fair value of derivatives, net of cash settlements and taxes, for the nine months ended September 30, 2024 were $882. The remaining gains and losses included in accumulated other comprehensive loss at September 30, 2024 will be reclassified into earnings over the next seventeen months, corresponding to the period during which the hedged fuel is expected to be utilized. Changes in the fair value of fuel hedge contracts not considered highly effective are recorded as cost of contract revenues in the condensed consolidated statements of operations. The fair values of fuel hedges are corroborated using inputs that are readily observable in public markets; therefore, the Company determines fair value of these fuel hedges using Level 2 inputs.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hedge contracts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foreign currency exchange rate risks related to the purchase of new vessel build materials in Europe. The Company sometimes enters into foreign currency exchange forward contracts to hedge the risk that fluctuations in the Euro in relation to the US Dollar could have an adverse impact on cash flows associated with its equipment builds.</w:t>
      </w:r>
    </w:p>
    <w:p>
      <w:pPr>
        <w:spacing w:after="0" w:line="9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was party to various foreign exchange forward contract arrangements to hedge the purchase of materials through November 2024. As of September 30, 2024, there were 2.9 million Euro of payments remaining on these hedge contracts. Under these hedge contracts, the Company will pay fixed prices ranging from $1.11 to $1.13 per Euro.</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30, 2024, the fair value liability of foreign currency exchange hedge contracts was $21 and is recorded in accrued expenses in the condensed consolidated balance sheets. As of December 31, 2023, the fair value asset of foreign currency exchange hedge contracts was $358 and is recorded in prepaid expenses and other current assets in the condensed consolidated balance sheets. For foreign currency exchange hedge contracts considered to be highly effective, the losses reclassified to earnings from changes in fair value of derivatives, net of cash settlements and taxes, for the nine months ended September 30, 2024 were $42. The remaining gains and losses included in accumulated other comprehensive loss at September 30, 2024 will be reclassified into earnings over the next two months, corresponding to the period during which the hedged currency is expected to be utilized. Changes in the fair value of foreign currency exchange hedge contracts not considered highly effective are recorded as other expenses in the condensed consolidated statements of operations. The fair values of foreign currency exchange hedges are corroborated using inputs that are readily observable in public markets; therefore, the Company determines the fair value of these foreign currency exchange hedges using Level 2 inputs.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4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exposed to certain market risks, including interest rate risks related to the floating interest rates on its variable rate debt. The Company has entered into interest rate swaps to convert a portion of its variable rate debt into fixed-rate debt and hedge the risk that fluctuations in interest rates could have an adverse impact on net interest expense.</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was party to two interest rate swaps with a total notional value of $75 million effective August 5, 2024 and a maturity date of August 24, 2026. Under these interest rate swaps, the Company will pay a weighted average fixed rate of 3.873% on the notional amount and receive payments from the counterparty based on the 30-day SOFR rate, effectively modifying the Company’s exposure to interest rate risk by converting a portion of its floating-rate debt to a weighted average fixed interest rate of 11.623%.</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2024 the fair value liability of the Company’s interest rate swaps was $536 and is recorded in accrued expenses in the condensed consolidated balance sheets. For interest rate swaps considered to be highly effective, the gains reclassified to earnings from changes in fair value of derivatives, net of cash settlements and taxes, for the nine months ended September 30, 2024 were $112. The remaining gains and losses included in accumulated other comprehensive loss at September 30, 2024 will be reclassified into earnings over the next twenty three months, corresponding to the period during which the interest rate swap is expected to be utilized. Changes in the fair value of interest rate swaps not considered highly effective are recorded as interest expense in the condensed consolidated statements of operations. The fair values of interest rate swaps are corroborated using inputs that are readily observable in public markets; therefore, the Company determines the fair value of these interest rate swaps using Level 2 inputs.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3"/>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Fuel Hedge Contracts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(2,993 )</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(1,293 )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20"/>
                <w:szCs w:val="20"/>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fuel hedges—net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(2,349 )</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(411 )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FF0FC"/>
          </w:tcPr>
          <w:p>
            <w:pPr>
              <w:spacing w:after="0"/>
              <w:rPr>
                <w:sz w:val="24"/>
                <w:szCs w:val="24"/>
                <w:color w:val="auto"/>
              </w:rPr>
            </w:pPr>
          </w:p>
        </w:tc>
      </w:tr>
      <w:tr>
        <w:trPr>
          <w:trHeight w:val="491"/>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Exchange Hedge Contracts</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losses (gains) to earnings—net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(519 )</w:t>
            </w: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(621 )</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(553 )</w:t>
            </w:r>
          </w:p>
        </w:tc>
        <w:tc>
          <w:tcPr>
            <w:tcW w:w="4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(377 )</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(511 )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(896 )</w:t>
            </w:r>
          </w:p>
        </w:tc>
      </w:tr>
      <w:tr>
        <w:trPr>
          <w:trHeight w:val="491"/>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50"/>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Reclassification of derivative gains to earnings—net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(112 )</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(112 )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(289 )</w:t>
            </w:r>
          </w:p>
        </w:tc>
        <w:tc>
          <w:tcPr>
            <w:tcW w:w="86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(289 )</w:t>
            </w:r>
          </w:p>
        </w:tc>
        <w:tc>
          <w:tcPr>
            <w:tcW w:w="4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flow derivative foreign currency hedges—net of tax</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(401 )</w:t>
            </w:r>
          </w:p>
        </w:tc>
        <w:tc>
          <w:tcPr>
            <w:tcW w:w="86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(401 )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change in cash flow derivative hedges - net of tax</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(2,661 )</w:t>
            </w:r>
          </w:p>
        </w:tc>
        <w:tc>
          <w:tcPr>
            <w:tcW w:w="8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(1,323 )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-1851025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-1833880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-1851025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-1833880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-1851025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-1833880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-1028065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-1010920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-1028065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-1010920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-1028065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-1010920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-205105</wp:posOffset>
            </wp:positionV>
            <wp:extent cx="774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-205105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-205105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3"/>
        </w:trPr>
        <w:tc>
          <w:tcPr>
            <w:tcW w:w="41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50"/>
        </w:trPr>
        <w:tc>
          <w:tcPr>
            <w:tcW w:w="4180" w:type="dxa"/>
            <w:vAlign w:val="bottom"/>
          </w:tcPr>
          <w:p>
            <w:pPr>
              <w:spacing w:after="0"/>
              <w:rPr>
                <w:sz w:val="21"/>
                <w:szCs w:val="21"/>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43"/>
        </w:trPr>
        <w:tc>
          <w:tcPr>
            <w:tcW w:w="4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700" w:type="dxa"/>
            <w:vAlign w:val="bottom"/>
            <w:tcBorders>
              <w:top w:val="single" w:sz="8" w:color="auto"/>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800" w:type="dxa"/>
            <w:vAlign w:val="bottom"/>
            <w:tcBorders>
              <w:top w:val="single" w:sz="8" w:color="auto"/>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600" w:type="dxa"/>
            <w:vAlign w:val="bottom"/>
            <w:tcBorders>
              <w:top w:val="single" w:sz="8" w:color="auto"/>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Fuel hedge contracts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2"/>
                <w:szCs w:val="22"/>
                <w:color w:val="auto"/>
              </w:rPr>
            </w:pPr>
          </w:p>
        </w:tc>
      </w:tr>
      <w:tr>
        <w:trPr>
          <w:trHeight w:val="277"/>
        </w:trPr>
        <w:tc>
          <w:tcPr>
            <w:tcW w:w="4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exchange hedge contracts</w:t>
            </w:r>
          </w:p>
        </w:tc>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FF0FC"/>
          </w:tcPr>
          <w:p>
            <w:pPr>
              <w:spacing w:after="0"/>
              <w:rPr>
                <w:sz w:val="24"/>
                <w:szCs w:val="24"/>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(13 )</w:t>
            </w: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(437 )</w:t>
            </w:r>
          </w:p>
        </w:tc>
      </w:tr>
      <w:tr>
        <w:trPr>
          <w:trHeight w:val="263"/>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 swaps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(149 )</w:t>
            </w: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(149 )</w:t>
            </w:r>
          </w:p>
        </w:tc>
        <w:tc>
          <w:tcPr>
            <w:tcW w:w="18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180" w:type="dxa"/>
            <w:vAlign w:val="bottom"/>
            <w:shd w:val="clear" w:color="auto" w:fill="CFF0FC"/>
          </w:tcPr>
          <w:p>
            <w:pPr>
              <w:spacing w:after="0"/>
              <w:rPr>
                <w:sz w:val="22"/>
                <w:szCs w:val="22"/>
                <w:color w:val="auto"/>
              </w:rPr>
            </w:pPr>
          </w:p>
        </w:tc>
        <w:tc>
          <w:tcPr>
            <w:tcW w:w="2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(167 )</w:t>
            </w:r>
          </w:p>
        </w:tc>
        <w:tc>
          <w:tcPr>
            <w:tcW w:w="20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8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4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(495 )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20"/>
                <w:szCs w:val="20"/>
                <w:color w:val="auto"/>
              </w:rPr>
            </w:pPr>
          </w:p>
        </w:tc>
      </w:tr>
      <w:tr>
        <w:trPr>
          <w:trHeight w:val="20"/>
        </w:trPr>
        <w:tc>
          <w:tcPr>
            <w:tcW w:w="4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-187960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values of the ABL Amendment and Second Lien Credit Agreement approximate fair value at September 30, 2024. In May 2021, the Company sold $325.0 million of the 2029 Notes, which were outstanding at September 30, 2024 (see Note 5, Long-term debt). The fair value of the 2029 Notes was $302.1 million at September 30, 2024,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w:t>
      </w:r>
    </w:p>
    <w:p>
      <w:pPr>
        <w:spacing w:after="0" w:line="1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Prior Plan permitted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Company’s board of directors and/or the applicable committee or committees thereof, as may be required.</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824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$3.5 million and $1.8 million for the three months ended September 30, 2024 and 2023, respectively. Compensation cost charged to expense related to share-based compensation arrangements was $6.1 million and $4.2 million for the nine months ended September 30, 2024 and 2023, respectively.</w:t>
      </w:r>
    </w:p>
    <w:p>
      <w:pPr>
        <w:spacing w:after="0" w:line="112"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September 30, 2024, the Company had $1.21 billion of remaining performance obligations, which the Company refers to as total dredging backlog. Total dredging backlog does not include $465.0 million of domestic low bids pending formal award and additional phases (“options”) pending on projects currently in dredging backlog at September 30, 2024. Additionally, it does not include $44.9 million of performance obligations or $12.7 million of options pending award related to offshore wind contracts. Approximately 18% of the Company’s dredging backlog at September 30, 2024 is expected to be completed during the remainder of 2024, with the remaining balance expected to be completed between 2025 and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the Company's revenue disaggregated by several categories.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are as follows:</w:t>
      </w:r>
    </w:p>
    <w:p>
      <w:pPr>
        <w:spacing w:after="0" w:line="178" w:lineRule="exact"/>
        <w:rPr>
          <w:sz w:val="20"/>
          <w:szCs w:val="20"/>
          <w:color w:val="auto"/>
        </w:rPr>
      </w:pPr>
    </w:p>
    <w:tbl>
      <w:tblPr>
        <w:tblLayout w:type="fixed"/>
        <w:tblInd w:w="170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43"/>
        </w:trPr>
        <w:tc>
          <w:tcPr>
            <w:tcW w:w="2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7"/>
                <w:szCs w:val="17"/>
                <w:color w:val="auto"/>
              </w:rPr>
            </w:pPr>
          </w:p>
        </w:tc>
        <w:tc>
          <w:tcPr>
            <w:tcW w:w="7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3"/>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108,682</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54,602</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125,234</w:t>
            </w:r>
          </w:p>
        </w:tc>
        <w:tc>
          <w:tcPr>
            <w:tcW w:w="80" w:type="dxa"/>
            <w:vAlign w:val="bottom"/>
          </w:tcPr>
          <w:p>
            <w:pPr>
              <w:spacing w:after="0"/>
              <w:rPr>
                <w:sz w:val="20"/>
                <w:szCs w:val="20"/>
                <w:color w:val="auto"/>
              </w:rPr>
            </w:pPr>
          </w:p>
        </w:tc>
      </w:tr>
      <w:tr>
        <w:trPr>
          <w:trHeight w:val="247"/>
        </w:trPr>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178,034</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131,362</w:t>
            </w:r>
          </w:p>
        </w:tc>
        <w:tc>
          <w:tcPr>
            <w:tcW w:w="80" w:type="dxa"/>
            <w:vAlign w:val="bottom"/>
            <w:shd w:val="clear" w:color="auto" w:fill="CFF0FC"/>
          </w:tcPr>
          <w:p>
            <w:pPr>
              <w:spacing w:after="0"/>
              <w:rPr>
                <w:sz w:val="21"/>
                <w:szCs w:val="21"/>
                <w:color w:val="auto"/>
              </w:rPr>
            </w:pPr>
          </w:p>
        </w:tc>
      </w:tr>
      <w:tr>
        <w:trPr>
          <w:trHeight w:val="239"/>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80" w:type="dxa"/>
            <w:vAlign w:val="bottom"/>
          </w:tcPr>
          <w:p>
            <w:pPr>
              <w:spacing w:after="0"/>
              <w:rPr>
                <w:sz w:val="20"/>
                <w:szCs w:val="20"/>
                <w:color w:val="auto"/>
              </w:rPr>
            </w:pPr>
          </w:p>
        </w:tc>
      </w:tr>
      <w:tr>
        <w:trPr>
          <w:trHeight w:val="243"/>
        </w:trPr>
        <w:tc>
          <w:tcPr>
            <w:tcW w:w="2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2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191,173</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117,185</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559,919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407,896</w:t>
            </w:r>
          </w:p>
        </w:tc>
        <w:tc>
          <w:tcPr>
            <w:tcW w:w="80" w:type="dxa"/>
            <w:vAlign w:val="bottom"/>
          </w:tcPr>
          <w:p>
            <w:pPr>
              <w:spacing w:after="0"/>
              <w:rPr>
                <w:sz w:val="20"/>
                <w:szCs w:val="20"/>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-187960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-187960</wp:posOffset>
            </wp:positionV>
            <wp:extent cx="431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80" w:type="dxa"/>
            <w:vAlign w:val="bottom"/>
          </w:tcPr>
          <w:p>
            <w:pPr>
              <w:spacing w:after="0"/>
              <w:rPr>
                <w:sz w:val="20"/>
                <w:szCs w:val="20"/>
                <w:color w:val="auto"/>
              </w:rPr>
            </w:pPr>
          </w:p>
        </w:tc>
      </w:tr>
      <w:tr>
        <w:trPr>
          <w:trHeight w:val="226"/>
        </w:trPr>
        <w:tc>
          <w:tcPr>
            <w:tcW w:w="17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6"/>
        </w:trPr>
        <w:tc>
          <w:tcPr>
            <w:tcW w:w="1700" w:type="dxa"/>
            <w:vAlign w:val="bottom"/>
          </w:tcPr>
          <w:p>
            <w:pPr>
              <w:spacing w:after="0"/>
              <w:rPr>
                <w:sz w:val="20"/>
                <w:szCs w:val="20"/>
                <w:color w:val="auto"/>
              </w:rPr>
            </w:pPr>
          </w:p>
        </w:tc>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government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78,681</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339,352</w:t>
            </w:r>
          </w:p>
        </w:tc>
        <w:tc>
          <w:tcPr>
            <w:tcW w:w="6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328,211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39,330</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108,493</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9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Private</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65,967</w:t>
            </w:r>
          </w:p>
        </w:tc>
        <w:tc>
          <w:tcPr>
            <w:tcW w:w="20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3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80" w:type="dxa"/>
            <w:vAlign w:val="bottom"/>
            <w:tcBorders>
              <w:bottom w:val="single" w:sz="8" w:color="CFF0FC"/>
            </w:tcBorders>
          </w:tcPr>
          <w:p>
            <w:pPr>
              <w:spacing w:after="0"/>
              <w:rPr>
                <w:sz w:val="20"/>
                <w:szCs w:val="20"/>
                <w:color w:val="auto"/>
              </w:rPr>
            </w:pPr>
          </w:p>
        </w:tc>
        <w:tc>
          <w:tcPr>
            <w:tcW w:w="1680" w:type="dxa"/>
            <w:vAlign w:val="bottom"/>
          </w:tcPr>
          <w:p>
            <w:pPr>
              <w:spacing w:after="0"/>
              <w:rPr>
                <w:sz w:val="20"/>
                <w:szCs w:val="20"/>
                <w:color w:val="auto"/>
              </w:rPr>
            </w:pPr>
          </w:p>
        </w:tc>
      </w:tr>
      <w:tr>
        <w:trPr>
          <w:trHeight w:val="281"/>
        </w:trPr>
        <w:tc>
          <w:tcPr>
            <w:tcW w:w="1700" w:type="dxa"/>
            <w:vAlign w:val="bottom"/>
          </w:tcPr>
          <w:p>
            <w:pPr>
              <w:spacing w:after="0"/>
              <w:rPr>
                <w:sz w:val="24"/>
                <w:szCs w:val="24"/>
                <w:color w:val="auto"/>
              </w:rPr>
            </w:pPr>
          </w:p>
        </w:tc>
        <w:tc>
          <w:tcPr>
            <w:tcW w:w="2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191,173</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559,919</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407,896</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r>
      <w:tr>
        <w:trPr>
          <w:trHeight w:val="628"/>
        </w:trPr>
        <w:tc>
          <w:tcPr>
            <w:tcW w:w="1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-933450</wp:posOffset>
            </wp:positionV>
            <wp:extent cx="514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-916305</wp:posOffset>
            </wp:positionV>
            <wp:extent cx="514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-1096645</wp:posOffset>
            </wp:positionV>
            <wp:extent cx="514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-933450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-916305</wp:posOffset>
            </wp:positionV>
            <wp:extent cx="514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-1096645</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-933450</wp:posOffset>
            </wp:positionV>
            <wp:extent cx="431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-916305</wp:posOffset>
            </wp:positionV>
            <wp:extent cx="431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-1096645</wp:posOffset>
            </wp:positionV>
            <wp:extent cx="431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-933450</wp:posOffset>
            </wp:positionV>
            <wp:extent cx="431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-916305</wp:posOffset>
            </wp:positionV>
            <wp:extent cx="431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-1096645</wp:posOffset>
            </wp:positionV>
            <wp:extent cx="431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Accounts receivable at September 30, 2024 and December 31, 2023 are as follows:</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80" w:type="dxa"/>
            <w:vAlign w:val="bottom"/>
            <w:shd w:val="clear" w:color="auto" w:fill="CFF0FC"/>
          </w:tcPr>
          <w:p>
            <w:pPr>
              <w:spacing w:after="0"/>
              <w:rPr>
                <w:sz w:val="20"/>
                <w:szCs w:val="20"/>
                <w:color w:val="auto"/>
              </w:rPr>
            </w:pPr>
          </w:p>
        </w:tc>
      </w:tr>
      <w:tr>
        <w:trPr>
          <w:trHeight w:val="23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80" w:type="dxa"/>
            <w:vAlign w:val="bottom"/>
          </w:tcPr>
          <w:p>
            <w:pPr>
              <w:spacing w:after="0"/>
              <w:rPr>
                <w:sz w:val="20"/>
                <w:szCs w:val="20"/>
                <w:color w:val="auto"/>
              </w:rPr>
            </w:pPr>
          </w:p>
        </w:tc>
      </w:tr>
      <w:tr>
        <w:trPr>
          <w:trHeight w:val="243"/>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55,174</w:t>
            </w:r>
          </w:p>
        </w:tc>
        <w:tc>
          <w:tcPr>
            <w:tcW w:w="80" w:type="dxa"/>
            <w:vAlign w:val="bottom"/>
          </w:tcPr>
          <w:p>
            <w:pPr>
              <w:spacing w:after="0"/>
              <w:rPr>
                <w:sz w:val="20"/>
                <w:szCs w:val="20"/>
                <w:color w:val="auto"/>
              </w:rPr>
            </w:pP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383"/>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42,506</w:t>
            </w: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54,810</w:t>
            </w:r>
          </w:p>
        </w:tc>
        <w:tc>
          <w:tcPr>
            <w:tcW w:w="80" w:type="dxa"/>
            <w:vAlign w:val="bottom"/>
            <w:tcBorders>
              <w:top w:val="single" w:sz="8" w:color="CFF0FC"/>
            </w:tcBorders>
          </w:tcPr>
          <w:p>
            <w:pPr>
              <w:spacing w:after="0"/>
              <w:rPr>
                <w:sz w:val="24"/>
                <w:szCs w:val="24"/>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-599440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-599440</wp:posOffset>
            </wp:positionV>
            <wp:extent cx="431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-282575</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-282575</wp:posOffset>
            </wp:positionV>
            <wp:extent cx="431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September 30, 2024 and December 31, 2023 are as follows:</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306,386</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206,330</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(231,134 )</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(196,520 )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75,252</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9,810</w:t>
            </w:r>
          </w:p>
        </w:tc>
        <w:tc>
          <w:tcPr>
            <w:tcW w:w="80" w:type="dxa"/>
            <w:vAlign w:val="bottom"/>
            <w:tcBorders>
              <w:top w:val="single" w:sz="8" w:color="CFF0FC"/>
            </w:tcBorders>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91,799</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68,735</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6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Amounts billed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(94,545 )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(258,948 )</w:t>
            </w:r>
          </w:p>
        </w:tc>
      </w:tr>
      <w:tr>
        <w:trPr>
          <w:trHeight w:val="239"/>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78,932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229,388</w:t>
            </w:r>
          </w:p>
        </w:tc>
        <w:tc>
          <w:tcPr>
            <w:tcW w:w="80" w:type="dxa"/>
            <w:vAlign w:val="bottom"/>
          </w:tcPr>
          <w:p>
            <w:pPr>
              <w:spacing w:after="0"/>
              <w:rPr>
                <w:sz w:val="20"/>
                <w:szCs w:val="20"/>
                <w:color w:val="auto"/>
              </w:rPr>
            </w:pPr>
          </w:p>
        </w:tc>
      </w:tr>
      <w:tr>
        <w:trPr>
          <w:trHeight w:val="25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(15,613 )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(29,560 )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-1936750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-1936750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-1619250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-1619250</wp:posOffset>
            </wp:positionV>
            <wp:extent cx="514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-993775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-993775</wp:posOffset>
            </wp:positionV>
            <wp:extent cx="514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costs to fulfill a contract with a customer recognized as an asset were $22.1 million and $22.2 million, respectively, and are recorded in other current assets and other noncurrent assets in the condensed consolidated balance sheets. These costs relate to pre-contract and pre-construction activities. During the three and nine months ended September 30, 2024, the Company amortized $4.4 million and $12.8 million, respectively, of pre-construction costs. During the three and nine months ended September 30, 2023, the Company amortized $1.6 million and $6.6 million, respectively, of pre-construction costs.</w:t>
      </w:r>
    </w:p>
    <w:p>
      <w:pPr>
        <w:spacing w:after="0" w:line="17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The Company has bonding agreements with Argonaut Insurance Company, ACE Holdings, Liberty Mutual Insurance Company, Philadelphia Indemnity Insurance Company, Ascot Insurance Companies and AXIS Insurance Company under which the Company can obtain performance, bid and payment bonds. The Company also has outstanding bonds with Travelers Casualty and Surety Company of America, Berkley Insurance Company and Zurich American Insurance Company. Bid bonds are generally obtained for a percentage of bid value and amounts outstanding typically range from $1.0 million to $10.0 million. At September 30, 2024, the Company had outstanding performance bonds with a notional amount of approximately $1.32 billion. The revenue value remaining in dredging backlog related to the outstanding performance bonds totaled approximately $875.8 million.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right="40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between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the Company is not currently a party to any material legal proceedings or environmental claims. The Company records an accrual when it is probable a liability has been incurred and the amount of loss can be reasonably estimated. The Company does not believe any of its proceedings, individually or in the aggregate, would be expected to have a material effect on results of operations, cash flows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obligations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under long-term operating and financing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ABL Amendment, or, in certain instances, cross default to other equipment leases and certain lease arrangements require that the Company maintain certain financial ratios comparable to those required by its ABL Amendment.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2023 and in other securities filings by Great Lakes with the SEC.</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spacing w:after="0" w:line="108"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the navigability of waterways or the protection of shorelines through the removal or replenishment of soil, sand or rock. Domestically, the Company's work generally is performed in coastal waterways and deep water ports. The U.S. dredging market consists of four primary types of work: capital, coastal protection, maintenance and rivers &amp; lakes.</w:t>
      </w:r>
    </w:p>
    <w:p>
      <w:pPr>
        <w:spacing w:after="0" w:line="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bid market is defined as the aggregate dollar value of domestic dredging projects on which the Company bid or could have bid if not for capacity constraints or other considerations (“bid market”). The Company experienced an average combined bid market share in the U.S. of 33% over the three-year period ended December 31, 2023, including 36%, 56%, 23% and 22% of the domestic capital, coastal protection, maintenance and rivers &amp; lakes sectors, respectively, exclusive of liquefied natural gas (“LNG”) projects.</w:t>
      </w:r>
    </w:p>
    <w:p>
      <w:pPr>
        <w:spacing w:after="0" w:line="11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largest domestic customer is the U.S. Army Corps of Engineers (the “Corps”), which has responsibility for federally funded projects related to navigation and flood control of U.S. waterways. In the first nine months of 2024, the Company’s dredging revenues earned from contracts with federal government agencies, including the Corps as well as other federal entities such as the U.S. Coast Guard and the U.S. Navy, were approximately 61% of dredging revenues, which is below the average of the three-year period ended December 31, 2023 of 74%. The decrease in the federal government revenue percentage is a result of additional revenues from state and local governments and private customers in the first nine months of 2024.</w:t>
      </w:r>
    </w:p>
    <w:p>
      <w:pPr>
        <w:spacing w:after="0" w:line="1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 repairs. During the third quarter of 2024, the Company commenced a regulatory dry dock inspection on one dredge, which was completed in the fourth quarter. By comparison, the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ind w:right="200"/>
        <w:spacing w:after="0" w:line="282" w:lineRule="auto"/>
        <w:rPr>
          <w:sz w:val="20"/>
          <w:szCs w:val="20"/>
          <w:color w:val="auto"/>
        </w:rPr>
      </w:pPr>
      <w:r>
        <w:rPr>
          <w:rFonts w:ascii="Times New Roman" w:cs="Times New Roman" w:eastAsia="Times New Roman" w:hAnsi="Times New Roman"/>
          <w:sz w:val="18"/>
          <w:szCs w:val="18"/>
          <w:color w:val="auto"/>
        </w:rPr>
        <w:t>Company did not dry dock any vessels for regulatory inspections and dry docked one vessel for maintenance and repairs in the third quarter of 2023. The Company does not have any regulatory dry dock inspections planned for the remainder of 2024.</w:t>
      </w:r>
    </w:p>
    <w:p>
      <w:pPr>
        <w:spacing w:after="0" w:line="9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As of the end of the third quarter of 2024, the Company had one dredge cold stacked. The cold stacked equipment can be easily reactivated when market conditions are favorable for the Company. During the second quarter of 2024, the Company began the reactivation of one of the previously cold stacked vessels in anticipation of commencing a contract in 2025.</w:t>
      </w:r>
    </w:p>
    <w:p>
      <w:pPr>
        <w:spacing w:after="0" w:line="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continues to tender bids on several pending LNG projects in an effort to diversify and expand its client base. Included in the Company’s backlog are two LNG projects that were awarded in 2023, the Port Arthur LNG Phase 1 project and the Brownsville Ship Channel project for Next Decade Corporation’s Rio Grande LNG project, which is the largest project undertaken in Great Lakes' history. Dredging began on both capital projects during the third quarter of 2024.</w:t>
      </w:r>
    </w:p>
    <w:p>
      <w:pPr>
        <w:spacing w:after="0" w:line="1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which is expected to be delivered and operational in the second half of 2025. This vessel represents a significant critical advancement in building the U.S. logistics infrastructure to support the future of the new U.S. offshore wind industry. Offshore wind has been recognized around the world as a reliable source of renewable energy. The Company continues to pursue and tender bids, both domestically and internationally, for multiple offshore wind projects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to protect and stabilize offshore wind structures, cables and pipelines.</w:t>
      </w:r>
    </w:p>
    <w:p>
      <w:pPr>
        <w:spacing w:after="0" w:line="12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offshore wind market reached historic milestones in the first quarter of 2024, with two commercial-scale offshore wind farms becoming operational and supplying power to the grid in New York and Massachusetts. New Jersey also awarded 3.7 gigawatts (“GW”) of Power Purchase Agreements in January 2024. On September 6, 2024, Massachusetts awarded 2.7 GW in total, which included 1.1 GW on the SouthCoast Wind project, 0.8 GW on New England Wind 1 and up to 0.8 GW on the Vineyard Wind 2 project, with Rhode Island awarding the remaining 0.2 GW on the SouthCoast Wind project. These projects are expected to power over 125,000 Rhode Island homes and 1.4 million Massachusetts homes.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February 2024, the Vineyard Wind project, located about 14 miles off Martha’s Vineyard, completed installation of five turbines and is supplying power to the New England grid, while continuing to install additional turbines. In March 2024, the South Fork Wind project was completed, with all 12 offshore wind turbines constructed and the wind farm successfully delivering power to Long Island and the Rockaways. In June 2024, Equinor and Ørsted finalized power deals with New York State Energy Research &amp; Development Authority for the Empire Wind I and Sunrise Wind projects. Notably, the Company has been awarded rock installation contracts for both projects, and expects to be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to protect and stabilize foundations and cables for these projects with combined capacity of 1.7 GW. On July 17, 2024, construction began on the Sunrise Wind project which is expected to provide power to approximately 600,000 New York homes. Additionally, in July 2024, the Bureau of Ocean Energy Management approved the construction and operation of two offshore wind energy facilities, New England Wind 1 and 2, which are estimated to power close to a million homes. Atlantic Shores 1 and 2 Construction and Operations Plans were approved in October for 2.8 GW, which are estimated to power more than 1 million New Jersey homes.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U.S. offshore wind development and operational pipeline expanded by 53% over the past year, now boasting a potential generating capacity of approximately 80.5 GW. This growth is attributed to new leasing areas and heightened sector investment. In addition to the U.S. offshore wind market, there are several other market opportunities that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is well suited for, such as rock placement in the international offshore wind market, rock protection over pipelines in the oil and gas and carbon capture markets and telecommunications and power cable protection. As such, we continue to pursue and bid on a number of other offshore wind farm and cable and pipeline protection projects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both domestically and internationally, with work planned for 2026 and beyond.</w:t>
      </w:r>
    </w:p>
    <w:p>
      <w:pPr>
        <w:spacing w:after="0" w:line="18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Post quarter end, we signed a vessel reservation agreement for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xml:space="preserve"> with an offshore wind developer for a project in the United States. This reservation agreement further demonstrates the unique proposition we bring to the U.S. offshore wind market and provides visibility for additional potential utilization.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and Adjusted EBITDA, as defined below, as a percentage of contract revenues for the three and nine months ended September 30, 2024 and 2023:</w:t>
      </w:r>
    </w:p>
    <w:p>
      <w:pPr>
        <w:spacing w:after="0" w:line="88" w:lineRule="exact"/>
        <w:rPr>
          <w:sz w:val="20"/>
          <w:szCs w:val="20"/>
          <w:color w:val="auto"/>
        </w:rPr>
      </w:pPr>
    </w:p>
    <w:tbl>
      <w:tblPr>
        <w:tblLayout w:type="fixed"/>
        <w:tblInd w:w="158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2160" w:type="dxa"/>
            <w:vAlign w:val="bottom"/>
            <w:gridSpan w:val="4"/>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8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660" w:type="dxa"/>
            <w:vAlign w:val="bottom"/>
          </w:tcPr>
          <w:p>
            <w:pPr>
              <w:spacing w:after="0"/>
              <w:rPr>
                <w:sz w:val="16"/>
                <w:szCs w:val="16"/>
                <w:color w:val="auto"/>
              </w:rPr>
            </w:pPr>
          </w:p>
        </w:tc>
        <w:tc>
          <w:tcPr>
            <w:tcW w:w="216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80" w:type="dxa"/>
            <w:vAlign w:val="bottom"/>
            <w:gridSpan w:val="5"/>
          </w:tcPr>
          <w:p>
            <w:pPr>
              <w:jc w:val="right"/>
              <w:ind w:right="77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36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r>
      <w:tr>
        <w:trPr>
          <w:trHeight w:val="232"/>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(81.0 )</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(92.3 )</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(80.1 )</w:t>
            </w:r>
          </w:p>
        </w:tc>
        <w:tc>
          <w:tcPr>
            <w:tcW w:w="2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(90.4 )</w:t>
            </w:r>
          </w:p>
        </w:tc>
      </w:tr>
      <w:tr>
        <w:trPr>
          <w:trHeight w:val="237"/>
        </w:trPr>
        <w:tc>
          <w:tcPr>
            <w:tcW w:w="3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top w:val="single" w:sz="8" w:color="CFF0FC"/>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tcBorders>
              <w:top w:val="single" w:sz="8" w:color="CFF0FC"/>
            </w:tcBorders>
          </w:tcPr>
          <w:p>
            <w:pPr>
              <w:spacing w:after="0"/>
              <w:rPr>
                <w:sz w:val="20"/>
                <w:szCs w:val="20"/>
                <w:color w:val="auto"/>
              </w:rPr>
            </w:pPr>
          </w:p>
        </w:tc>
      </w:tr>
      <w:tr>
        <w:trPr>
          <w:trHeight w:val="247"/>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shd w:val="clear" w:color="auto" w:fill="CFF0FC"/>
          </w:tcPr>
          <w:p>
            <w:pPr>
              <w:spacing w:after="0"/>
              <w:rPr>
                <w:sz w:val="21"/>
                <w:szCs w:val="21"/>
                <w:color w:val="auto"/>
              </w:rPr>
            </w:pP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gains</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3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1"/>
        </w:trPr>
        <w:tc>
          <w:tcPr>
            <w:tcW w:w="3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income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(0.5 )</w:t>
            </w:r>
          </w:p>
        </w:tc>
      </w:tr>
      <w:tr>
        <w:trPr>
          <w:trHeight w:val="23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expense—net</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(2.6 )</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FF0FC"/>
          </w:tcPr>
          <w:p>
            <w:pPr>
              <w:spacing w:after="0"/>
              <w:rPr>
                <w:sz w:val="21"/>
                <w:szCs w:val="2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237"/>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(2.3 )</w:t>
            </w:r>
          </w:p>
        </w:tc>
      </w:tr>
      <w:tr>
        <w:trPr>
          <w:trHeight w:val="243"/>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21"/>
                <w:szCs w:val="2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r>
      <w:tr>
        <w:trPr>
          <w:trHeight w:val="236"/>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(1.9 )</w:t>
            </w: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36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r>
      <w:tr>
        <w:trPr>
          <w:trHeight w:val="23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4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7.9 </w:t>
            </w:r>
            <w:r>
              <w:rPr>
                <w:rFonts w:ascii="Times New Roman" w:cs="Times New Roman" w:eastAsia="Times New Roman" w:hAnsi="Times New Roman"/>
                <w:sz w:val="27"/>
                <w:szCs w:val="27"/>
                <w:color w:val="auto"/>
                <w:vertAlign w:val="subscript"/>
              </w:rPr>
              <w:t>%</w:t>
            </w:r>
          </w:p>
        </w:tc>
      </w:tr>
      <w:tr>
        <w:trPr>
          <w:trHeight w:val="20"/>
        </w:trPr>
        <w:tc>
          <w:tcPr>
            <w:tcW w:w="3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-1791335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-1791335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-1791335</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-1791335</wp:posOffset>
            </wp:positionV>
            <wp:extent cx="431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-848360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-848360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-848360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-848360</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-530860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-530860</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-530860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-530860</wp:posOffset>
            </wp:positionV>
            <wp:extent cx="431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-187960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-187960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-187960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-187960</wp:posOffset>
            </wp:positionV>
            <wp:extent cx="431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Adjusted EBITDA,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is not a measure derived in accordance with accounting principles generally accepted in the United States of America (“GAAP”). The Company presents Adjusted EBITDA as an additional measure by which to evaluate the Company’s operating trends. The Company believes that Adjusted EBITDA is a measure frequently used to evaluate performance of companies with substantial leverage and that the Company’s primary stakeholders (i.e., its stockholders, bondholders and banks) use Adjusted EBITDA to evaluate the Company’s period to period performance. Additionally, management believes that Adjusted EBITDA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to assess performance for purposes of determining compensation under the Company’s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only as a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Adjusted EBITDA to net income (loss):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8"/>
                <w:szCs w:val="18"/>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(6,154 )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37,549</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(7,652 )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expense—net</w:t>
            </w:r>
          </w:p>
        </w:tc>
        <w:tc>
          <w:tcPr>
            <w:tcW w:w="1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12,977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(1,809 )</w:t>
            </w:r>
          </w:p>
        </w:tc>
        <w:tc>
          <w:tcPr>
            <w:tcW w:w="18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12,985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10,089</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32,217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95,728</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-1096645</wp:posOffset>
            </wp:positionV>
            <wp:extent cx="596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-1096645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-1096645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4"/>
                <w:szCs w:val="14"/>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Capital—U.S.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108,682</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54,602</w:t>
            </w:r>
          </w:p>
        </w:tc>
        <w:tc>
          <w:tcPr>
            <w:tcW w:w="18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99.0 %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125,234</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99.1 %</w:t>
            </w:r>
          </w:p>
        </w:tc>
        <w:tc>
          <w:tcPr>
            <w:tcW w:w="0" w:type="dxa"/>
            <w:vAlign w:val="bottom"/>
          </w:tcPr>
          <w:p>
            <w:pPr>
              <w:spacing w:after="0"/>
              <w:rPr>
                <w:sz w:val="1"/>
                <w:szCs w:val="1"/>
                <w:color w:val="auto"/>
              </w:rPr>
            </w:pPr>
          </w:p>
        </w:tc>
      </w:tr>
      <w:tr>
        <w:trPr>
          <w:trHeight w:val="238"/>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Coastal protection</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23,567</w:t>
            </w:r>
          </w:p>
        </w:tc>
        <w:tc>
          <w:tcPr>
            <w:tcW w:w="18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86.3 %</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131,362</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43"/>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18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12.0 %</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141,553</w:t>
            </w: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43"/>
        </w:trPr>
        <w:tc>
          <w:tcPr>
            <w:tcW w:w="1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Rivers &amp; lakes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(86.3 )%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6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0" w:type="dxa"/>
            <w:vAlign w:val="bottom"/>
          </w:tcPr>
          <w:p>
            <w:pPr>
              <w:spacing w:after="0"/>
              <w:rPr>
                <w:sz w:val="1"/>
                <w:szCs w:val="1"/>
                <w:color w:val="auto"/>
              </w:rPr>
            </w:pPr>
          </w:p>
        </w:tc>
      </w:tr>
      <w:tr>
        <w:trPr>
          <w:trHeight w:val="27"/>
        </w:trPr>
        <w:tc>
          <w:tcPr>
            <w:tcW w:w="1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17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191,173</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117,185</w:t>
            </w:r>
          </w:p>
        </w:tc>
        <w:tc>
          <w:tcPr>
            <w:tcW w:w="18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63.1 %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559,919</w:t>
            </w:r>
          </w:p>
        </w:tc>
        <w:tc>
          <w:tcPr>
            <w:tcW w:w="4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407,896</w:t>
            </w:r>
          </w:p>
        </w:tc>
        <w:tc>
          <w:tcPr>
            <w:tcW w:w="16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-650875</wp:posOffset>
            </wp:positionV>
            <wp:extent cx="570039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631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Total revenue was $191.2 million for the three months ended September 30, 2024, up $74.0 million, or 63%, from $117.2 million for the same period in the prior year. For the nine months ended September 30, 2024, total revenue was $559.9 million, up $152.0 million, or 37%, from $407.9 million for the same period in the prior year. For the three and nine months ended September 30, 2024, the Company experienced a significant increase in domestic capital and coastal protection revenues, due to a significant increase in capital and coastal protection project awards and the delivery of the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the Company’s newest hopper dredge which began operations in February 2024, as compared to the same periods in the prior year. These increases were partially offset by a decrease in rivers &amp; lakes revenues during the three months ended September 30, 2024 and decreases in maintenance and rivers &amp; lakes revenues during the nine months ended September 30, 2024.</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three months ended September 30, 2024, domestic capital dredging revenue was $108.7 million, up $54.1 million, or 99%, compared to $54.6 million for the same period in 2023. For the nine months ended September 30, 2024, domestic capital dredging revenue was $249.3 million, up $124.1 million, or 99%, compared to $125.2 million for the same period in the prior year. The increase in capital dredging revenues for the three and nine months ended September 30, 2024 was mostly due to a higher amount of revenue earned on projects in Texas in the current year periods when compared to the same periods in the prior year. These increases were partially offset by lower revenue earned on projects in Virginia and Florida in the current year periods.</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Coastal protection projects involve moving sand from the ocean floor to shoreline locations where erosion threatens shoreline assets. Coastal protection revenue for the quarter ended September 30, 2024 was $43.9 million, an increase of $20.3 million, or 86%, compared to $23.6 million in the prior year period. The increase in coastal protection revenue for the three months ended September 30, 2024 was attributable to an increase in the amount of revenue earned on projects in Florida in the current year when compared to the prior year period. This increase was partially offset by lower revenue earned on projects in New York and New Jersey in the current quarter. Coastal protection revenue for the nine months ended September 30, 2024 was $178.0 million, an increase of $46.6 million, or 36%, compared to $131.4 million in the prior year period. The increase in coastal protection revenue for the nine months ended September 30, 2024 was attributable to an increase in revenue earned on projects in Florida and Alabama in the current year when compared to the prior year period. This increase was partially offset by lower revenue earned on projects in New York and New Jersey in the current year to date period.</w:t>
      </w:r>
    </w:p>
    <w:p>
      <w:pPr>
        <w:spacing w:after="0" w:line="10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2024 was $37.9 million, up $4.1 million, or 12%, from $33.8 million in the same period of 2023. The increase in maintenance revenues for the three months ended September 30, 2024 was mostly attributable to an increase in revenue earned on a project in Puerto Rico when compared with prior year quarter. Maintenance revenue for the nine months ended September 30, 2024 was $130.7 million, down $10.9 million, or 8%, from $141.6 million in the prior year period. The decrease in maintenance revenues for the nine months ended September 30, 2024 was primarily attributable to a decrease in revenue earned on projects in North Carolina, South Carolina and Alabama when compared with prior year quarter. This decrease was offset by an increase in revenue earned on projects in Louisiana, Mississippi and Puerto Rico in the same period in the prior year.</w:t>
      </w:r>
    </w:p>
    <w:p>
      <w:pPr>
        <w:spacing w:after="0" w:line="11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Rivers &amp; lakes dredging and related operations typically consist of lake and river dredging, inland levee and construction dredging, environmental restoration and habitat improvement and other marine construction projects. During the three months ended September 30, 2024, rivers &amp; lakes revenue was $0.7 million, a decrease of $4.5 million, or 86%, from $5.2 million during the same period of 2023. During the nine months ended September 30, 2024, rivers &amp; lakes revenue was $1.8 million, a decrease of $7.9 million, or</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8"/>
          <w:szCs w:val="18"/>
          <w:color w:val="auto"/>
        </w:rPr>
        <w:t>81%, from $9.7 million in the prior year period. The decrease in river &amp; lakes revenue for the three and nine months ended September 30, 2024 was mostly attributable to a decrease in revenue earned on projects in Tennessee and Arkansas as compared to same periods of 2023.</w:t>
      </w:r>
    </w:p>
    <w:p>
      <w:pPr>
        <w:spacing w:after="0" w:line="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Consolidated gross profit for the three months ended September 30, 2024 was $36.2 million, up $27.2 million, or 302%, compared to $9.0 million in same period of 2023. Gross profit margin for the three months ended September 30, 2024 increased to 19.0% from 7.7% in the same period in the prior year. Consolidated gross profit for the nine months ended September 30, 2024 was $111.6 million, up $72.5 million, or 185%, compared to $39.1 million in the same period in the prior year. Gross profit margin for the nine months ended September 30, 2024 increased to 19.9% from 9.6% in the same period in the prior year. The higher gross profit and profit margins experienced for the three and nine months ended September 30, 2024 were driven by increased revenues as well as improved utilization and project performance in the current year quarter. Additionally, the project mix during the current year periods include a larger proportion of higher margin capital and coastal protection projects than the same periods in the prior year.</w:t>
      </w:r>
    </w:p>
    <w:p>
      <w:pPr>
        <w:spacing w:after="0" w:line="10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general and administrative expenses were $19.8 million and $52.1 million, respectively, compared to the same periods in the prior year in which the three and nine month periods totaled $14.2 million and $41.7 million, respectively. For the three and nine months ended September 30, 2024, general and administrative expenses include higher incentive compensation and employee benefit expenses, partially offset by lower severance and office expenses.</w:t>
      </w:r>
    </w:p>
    <w:p>
      <w:pPr>
        <w:spacing w:after="0" w:line="1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Operating income for the third quarter of 2024 was $16.7 million, up $21.8 million from an operating loss of $5.1 million in the same period of the prior year. Operating income for the nine months ended September 30, 2024 was $62.8 million, up $65.1 million from an operating loss of $2.3 million in the same period of the prior year. The increase in operating income for the three and nine months ended September 30, 2024 was a result of higher gross profit in the current year periods when compared to the same periods in the prior year, partially offset by higher general and administrative expenses in the current year periods when compared to the same periods in the prior year. Gains on the sale of assets in the current period also contributed to the increase in operating income during the nine months ended September 30, 2024 as compared to the prior year period.</w:t>
      </w:r>
    </w:p>
    <w:p>
      <w:pPr>
        <w:spacing w:after="0" w:line="12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net interest expense was $4.9 million, $2.1 million higher compared to $2.8 million for the same period in the prior year. Net interest expense for the nine months ended September 30, 2024 was $13.0 million, $3.7 million higher compared to $9.3 million for the same period in the prior year. The increase in net interest expense for the three and nine months ended September 30, 2024 was primarily due to higher borrowings and the execution of the Second Lien Credit Agreement during the second quarter of 2024.</w:t>
      </w:r>
    </w:p>
    <w:p>
      <w:pPr>
        <w:spacing w:after="0" w:line="9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Income tax provision for the three months ended September 30, 2024 was $3.2 million compared to an income tax benefit of $1.8 million for the same period in the prior year. For the nine months ended September 30, 2024, the income tax provision was $13.0 million compared to an income tax benefit of $1.8 million in the prior year period. The effective tax rate for the nine months ended September 30, 2024 was 25.7%, while the effective tax rate for the same period of 2023 was 19.1%. The lower effective tax rate incurred in 2023 was primarily due to near break-even net loss offset by lower deductions for stock compensation in that period.</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Net income for the three months ended September 30, 2024 was $8.9 million, up $15.1 million from a net loss of $6.2 million in the same period in the prior year. Diluted earnings per share was $0.13 per share for the three months ended September 30, 2024, compared to a diluted loss per share of $0.09 per share for the three months ended September 30, 2023. Net income for the nine months ended September 30, 2024 was $37.5 million, an increase of $45.2 million, or 587%, from a net loss of $7.7 million for the same period in the prior year. Diluted earnings per share was $0.55 for the nine months ended September 30, 2024, compared to a diluted loss per share of $0.12 for the nine months ended September 30, 2023. The increase in net income for the three and nine months ended September 30, 2024 was primarily driven by the substantial improvement to operating income in the current year periods when compared to the same periods in the prior year, partially offset by increases in net interest expense and the income tax provision in the current year periods when compared to the same periods in the prior year.</w:t>
      </w:r>
    </w:p>
    <w:p>
      <w:pPr>
        <w:spacing w:after="0" w:line="12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(as defined on page 21) for the three months ended September 30, 2024 was $27.0 million, up $21.7 million, from $5.3 million in the same quarter in the prior year. The increase in Adjusted EBITDA during the third quarter of 2024 was driven by the increase in gross profit, excluding depreciation partially offset by an increase in general and administrative expense. For the nine months ended September 30, 2024 Adjusted EBITDA was $95.7 million, up $63.5 million, from $32.2 million during the same period in the prior year. The increase in Adjusted EBITDA during the first nine months of 2024 was driven by the increase in gross profit, excluding depreciation, as well as an increased income tax provision in the current period, partially offset by an increase in general and administrative expense.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260" w:type="dxa"/>
            <w:vAlign w:val="bottom"/>
          </w:tcPr>
          <w:p>
            <w:pPr>
              <w:spacing w:after="0"/>
              <w:rPr>
                <w:sz w:val="20"/>
                <w:szCs w:val="20"/>
                <w:color w:val="auto"/>
              </w:rPr>
            </w:pPr>
          </w:p>
        </w:tc>
        <w:tc>
          <w:tcPr>
            <w:tcW w:w="14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0"/>
                <w:szCs w:val="20"/>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Dredging:</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Capital—U.S.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898,898</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741,839</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736,322</w:t>
            </w:r>
          </w:p>
        </w:tc>
        <w:tc>
          <w:tcPr>
            <w:tcW w:w="100" w:type="dxa"/>
            <w:vAlign w:val="bottom"/>
          </w:tcPr>
          <w:p>
            <w:pPr>
              <w:spacing w:after="0"/>
              <w:rPr>
                <w:sz w:val="20"/>
                <w:szCs w:val="20"/>
                <w:color w:val="auto"/>
              </w:rPr>
            </w:pPr>
          </w:p>
        </w:tc>
      </w:tr>
      <w:tr>
        <w:trPr>
          <w:trHeight w:val="247"/>
        </w:trPr>
        <w:tc>
          <w:tcPr>
            <w:tcW w:w="5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protection</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218,321</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138,394</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103,617</w:t>
            </w:r>
          </w:p>
        </w:tc>
        <w:tc>
          <w:tcPr>
            <w:tcW w:w="100" w:type="dxa"/>
            <w:vAlign w:val="bottom"/>
            <w:shd w:val="clear" w:color="auto" w:fill="CFF0FC"/>
          </w:tcPr>
          <w:p>
            <w:pPr>
              <w:spacing w:after="0"/>
              <w:rPr>
                <w:sz w:val="21"/>
                <w:szCs w:val="21"/>
                <w:color w:val="auto"/>
              </w:rPr>
            </w:pPr>
          </w:p>
        </w:tc>
      </w:tr>
      <w:tr>
        <w:trPr>
          <w:trHeight w:val="239"/>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152,104</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182,470</w:t>
            </w:r>
          </w:p>
        </w:tc>
        <w:tc>
          <w:tcPr>
            <w:tcW w:w="100" w:type="dxa"/>
            <w:vAlign w:val="bottom"/>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Rivers &amp; lakes</w:t>
            </w:r>
          </w:p>
        </w:tc>
        <w:tc>
          <w:tcPr>
            <w:tcW w:w="2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1,213,139</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1,039,102</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1,033,729</w:t>
            </w:r>
          </w:p>
        </w:tc>
        <w:tc>
          <w:tcPr>
            <w:tcW w:w="100" w:type="dxa"/>
            <w:vAlign w:val="bottom"/>
          </w:tcPr>
          <w:p>
            <w:pPr>
              <w:spacing w:after="0"/>
              <w:rPr>
                <w:sz w:val="20"/>
                <w:szCs w:val="20"/>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-187960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Total dredging backlog does not include $465.0 million of domestic low bids pending formal award and additional phases (“options”) pending on projects currently in dredging backlog at September 30, 2024. Additionally, it does not include $44.9 million of performance obligations or $12.7 million of options pending award related to offshore wind contracts. The Company expects to perform on its offshore wind contracts using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which is expected to be delivered and operational in the second half of 2025.</w:t>
      </w:r>
    </w:p>
    <w:p>
      <w:pPr>
        <w:spacing w:after="0" w:line="1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Additionally, 50% of our September 30, 2024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spacing w:after="0" w:line="1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2024 Energy and Water Appropriations Bill, which passed in the first quarter, provided a record $8.7 billion in total funding to the Corps for fiscal year 2024. This funding included $5.6 billion for the Corps’ Operations and Maintenance work and $2.8 billion for the Harbor Maintenance Trust Fund to maintain and modernize our nation’s waterways. In 2023, the Disaster Relief Supplemental Appropriations Act was also approved which included $1.5 billion for the Corps to make necessary repairs to infrastructure impacted by hurricanes and other natural disasters, and to initiate beach renourishment projects that will increase coastal resiliency. This increased budget and additional funding have supported a strong bid market 2024, with a robust beach renourishment market and several capital projects.</w:t>
      </w:r>
    </w:p>
    <w:p>
      <w:pPr>
        <w:spacing w:after="0" w:line="1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2025 Corps’ budget is expected to be another record appropriation. On June 28, 2024, disthe U.S. House of Representatives (the “House”) Energy and Water Appropriations Subcommittee passed their 2025 Appropriations Bill providing the Corps with a budget of $9.96 billion, which is $2.7 billion above the President’s Budget request. The bill includes $5.7 billion for Operations and Maintenance projects, of which $3.1 billion is from the Harbor Maintenance Trust Fund. On August 1, 2024, the Senate Appropriation Committee approved its draft of the 2025 Energy and Water spending bill which provides $10.3 billion in total funding for the Corps. On September 25, 2024, President Biden approved a continuing resolution through December 20, 2024 for the Corps’ fiscal year 2025 budget.</w:t>
      </w:r>
    </w:p>
    <w:p>
      <w:pPr>
        <w:spacing w:after="0" w:line="1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Water Resources Development Act (“WRDA”) is on a two-year renewal cycle and includes legislation that authorizes the financing of Corps’ projects for studies, flood and hurricane protection, dredging, ecosystem restoration and other construction projects aimed at improving rivers and harbors in the United States. WRDA 2022 featured authorization for the New York and New Jersey shipping channels to be deepened to 55 feet, as well as the Coastal Texas Protection and Restoration Program, which aims to protect the Texas Gulf Coast from hurricanes. WRDA 2024 appears to have strong bipartisan support and has already been approved by the U.S. Senate Environment and Public Works Committee and the House Transportation and Infrastructure Committee. The House and Senate approved their versions of WRDA 2024 on July 22, 2024 and August 1, 2024, respectively. Currently, the two chambers are working to reconcile the differences in their respective versions of the bill and, once completed, the final version will be sent to the President to be signed into law.</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right="80"/>
        <w:spacing w:after="0" w:line="256" w:lineRule="auto"/>
        <w:rPr>
          <w:sz w:val="20"/>
          <w:szCs w:val="20"/>
          <w:color w:val="auto"/>
        </w:rPr>
      </w:pPr>
      <w:r>
        <w:rPr>
          <w:rFonts w:ascii="Times New Roman" w:cs="Times New Roman" w:eastAsia="Times New Roman" w:hAnsi="Times New Roman"/>
          <w:sz w:val="18"/>
          <w:szCs w:val="18"/>
          <w:color w:val="auto"/>
        </w:rPr>
        <w:t>The domestic dredging bid market for the quarter ended September 30, 2024 was $1.31 billion, a $454.9 million increase compared to the same period in the prior year. Total domestic dredging bid market for the current year period included awards for seven domestic capital projects, seven coastal protection projects, nine maintenance projects, and two river maintenance projects. The total domestic dredging bid market through September 30, 2024 was $2.49 billion, of which the Company won 30%, which is close to the Company’s average of 33% for the three-year period ended December 31, 2023. The third quarter and year-to-date domestic dredging bid market totals do not include LNG or offshore wind projects. Variability in contract wins from quarter to quarter is not unusual and one quarter’s win rate is generally not indicative of the win rate the Company is likely to achieve for a full year.</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contracted dredging backlog was $1.21 billion at September 30, 2024 compared to $1.04 billion of dredging backlog at December 31, 2023. Total dredging backlog does not include $465.0 million of domestic low bids pending formal award and options pending on projects currently in dredging backlog at September 30, 2024. Additionally, it does not include $44.9 million of performance obligations or $12.7 million of options pending award related to offshore wind contracts. Subsequent to September 30, 2024, the Company was awarded additional projects totaling approximately $90 million. At December 31, 2023, the total dredging backlog does not include $44.6 million of performance obligations related to offshore wind contracts or $179.4 million of domestic low bids pending formal award and options pending on projects in dredging backlog as of that date. Included in the Company’s backlog at September 30, 2024 and December 31, 2023 are two LNG projects, including the Brownsville Ship Channel project for Next Decade Corporation’s Rio Grande LNG project, which is the largest project undertaken in the Company's history, and the Port Arthur LNG Phase 1 project for Marine Dredging and Disposal. Dredging on both capital projects began during the third quarter of 2024.</w:t>
      </w:r>
    </w:p>
    <w:p>
      <w:pPr>
        <w:spacing w:after="0" w:line="10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Domestic capital dredging backlog at September 30, 2024 was $898.9 million, an increase of $157.1 million from December 31, 2023. During the nine months ended September 30, 2024, the Company was awarded four domestic capital dredging projects in Florida, Alabama, Virginia and Texas totaling $389.1 million. During the nine months ended September 30, 2024, the Company continued to earn revenue on deepening projects in Virginia and Texas.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12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Coastal protection dredging backlog at September 30, 2024 was $218.3 million, an increase of $79.9 million from December 31, 2023. During the nine months ended September 30, 2024, the Company was awarded seven coastal protection projects in New Jersey, New York, Massachusetts and Florida totaling $327.2 million. During the nine months ended September 30, 2024, the Company continued to earn revenue on coastal protection projects in New York, New Jersey, Alabama and Florida, which were in dredging backlog at December 31, 2023.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Maintenance dredging backlog at September 30, 2024 was $89.1 million, a decrease of $63.1 million from December 31, 2023. In the nine months ended September 30, 2024, the Company was awarded two maintenance projects for a total of $18.1 million in Florida and Texas. During the nine months ended September 30, 2024, the Company continued to earn revenue on projects in Louisiana, Texas, Mississippi, Puerto Rico and Florida that were in dredging backlog at December 31, 2023.</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Rivers &amp; lakes backlog at September 30, 2024 was $6.9 million, an increase of $0.1 million compared to rivers &amp; lakes backlog at December 31, 2023. For the nine months ended September 30, 2024, the Company continued to earn revenue on a project Arkansas which was in dredging backlog at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continues to actively manage its liquidity. The Company’s principal sources of liquidity are net cash flows provided by operating activities, proceeds from previous issuances of long-term debt, and draws on our revolver. The Company’s principal uses of cash are to meet debt service requirements, finance capital expenditures, provide working capital and other general corporate purposes.</w:t>
      </w:r>
    </w:p>
    <w:p>
      <w:pPr>
        <w:spacing w:after="0" w:line="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cash provided by operating activities for the nine months ended September 30, 2024 and 2023 was $83.6 million and $49.6 million, respectively. Normal increases or decreases in the level of working capital relative to the level of operational activity impact cash flow from operating activities. The increase in cash provided by operating activities during the nine months ended September 30, 2024, relates primarily to significantly higher current period earnings in the current year, partially offset by the increases in contract revenues in excess of billings, decreases in billings in excess of contract revenues and changes in working capital compared to the same period in the prior year.</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5" w:name="page26"/>
    <w:bookmarkEnd w:id="25"/>
    <w:p>
      <w:pPr>
        <w:spacing w:after="0" w:line="258" w:lineRule="auto"/>
        <w:rPr>
          <w:sz w:val="20"/>
          <w:szCs w:val="20"/>
          <w:color w:val="auto"/>
        </w:rPr>
      </w:pPr>
      <w:r>
        <w:rPr>
          <w:rFonts w:ascii="Times New Roman" w:cs="Times New Roman" w:eastAsia="Times New Roman" w:hAnsi="Times New Roman"/>
          <w:sz w:val="18"/>
          <w:szCs w:val="18"/>
          <w:color w:val="auto"/>
        </w:rPr>
        <w:t xml:space="preserve">The Company’s cash flows used in investing activities for the nine months ended September 30, 2024 and 2023 were $93.2 million and $97.0 million, respectively. Investing activities primarily relate to investments in our new build program, normal course upgrades and capital maintenance of the Company’s dredging fleet. During the nine months ended September 30, 2024, the Company invested $5.1 million in the </w:t>
      </w:r>
      <w:r>
        <w:rPr>
          <w:rFonts w:ascii="Times New Roman" w:cs="Times New Roman" w:eastAsia="Times New Roman" w:hAnsi="Times New Roman"/>
          <w:sz w:val="18"/>
          <w:szCs w:val="18"/>
          <w:i w:val="1"/>
          <w:iCs w:val="1"/>
          <w:color w:val="auto"/>
        </w:rPr>
        <w:t>Galveston Island</w:t>
      </w:r>
      <w:r>
        <w:rPr>
          <w:rFonts w:ascii="Times New Roman" w:cs="Times New Roman" w:eastAsia="Times New Roman" w:hAnsi="Times New Roman"/>
          <w:sz w:val="18"/>
          <w:szCs w:val="18"/>
          <w:color w:val="auto"/>
        </w:rPr>
        <w:t xml:space="preserve">, $29.1 million in the </w:t>
      </w:r>
      <w:r>
        <w:rPr>
          <w:rFonts w:ascii="Times New Roman" w:cs="Times New Roman" w:eastAsia="Times New Roman" w:hAnsi="Times New Roman"/>
          <w:sz w:val="18"/>
          <w:szCs w:val="18"/>
          <w:i w:val="1"/>
          <w:iCs w:val="1"/>
          <w:color w:val="auto"/>
        </w:rPr>
        <w:t>Amelia Island</w:t>
      </w:r>
      <w:r>
        <w:rPr>
          <w:rFonts w:ascii="Times New Roman" w:cs="Times New Roman" w:eastAsia="Times New Roman" w:hAnsi="Times New Roman"/>
          <w:sz w:val="18"/>
          <w:szCs w:val="18"/>
          <w:color w:val="auto"/>
        </w:rPr>
        <w:t xml:space="preserve"> and $56.0 million in the </w:t>
      </w:r>
      <w:r>
        <w:rPr>
          <w:rFonts w:ascii="Times New Roman" w:cs="Times New Roman" w:eastAsia="Times New Roman" w:hAnsi="Times New Roman"/>
          <w:sz w:val="18"/>
          <w:szCs w:val="18"/>
          <w:i w:val="1"/>
          <w:iCs w:val="1"/>
          <w:color w:val="auto"/>
        </w:rPr>
        <w:t>Acadia</w:t>
      </w:r>
      <w:r>
        <w:rPr>
          <w:rFonts w:ascii="Times New Roman" w:cs="Times New Roman" w:eastAsia="Times New Roman" w:hAnsi="Times New Roman"/>
          <w:sz w:val="18"/>
          <w:szCs w:val="18"/>
          <w:color w:val="auto"/>
        </w:rPr>
        <w:t>, as well as maintenance capital expenditures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investments were partially offset by the disposition of certain equipment for approximately $9.3 million during the current year.</w:t>
      </w:r>
    </w:p>
    <w:p>
      <w:pPr>
        <w:spacing w:after="0" w:line="1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cash flows (used in) provided by financing activities for the nine months ended September 30, 2024 and 2023 totaled a use of $2.1 million and proceeds of $54.9 million, respectively. The decrease in net cash flows used in financing activities is primarily due to net borrowings under the Company’s revolving debt facility and Second Lien Credit Agreement during the nine months ended September 30, 2024 of $10.0 million, compared to net borrowings of $55.0 million on the Company’s revolving debt facility during the nine months ended September 30, 2023. On April 24, 2024, the Credit Parties entered into a $150.0 million second lien credit agreement (as amended, supplemented or otherwise modified from time to time, the “Second Lien Credit Agreement”) with Guggenheim Corporate Funding, LLC, on behalf of one or more clients, as the lender, and Guggenheim Credit Services, LLC as Administrative Agent, Collateral Agent and Lead Arranger. The Company borrowed $100.0 under the Second Lien Credit Agreement on the closing date and has the option to borrow an additional $50.0 million for a period of 12 months following the closing date of the initial loan. The net proceeds from the Second Lien Credit Agreement were used to repay amounts outstanding under the ABL Credit Agreement, to pay fees and expenses associated with the Second Lien Credit Agreement and ABL Amendment and for general corporate purposes, including to fund upcoming new build payments. Additionally, the deferred financing fees associated with the Second Lien Credit Agreement of approximately $10.9 million increased the net cash flows used in financing activities during the nine months ended September 30, 2024.</w:t>
      </w:r>
    </w:p>
    <w:p>
      <w:pPr>
        <w:spacing w:after="0" w:line="1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to spend between approximately $130 million and $150 million on capital expenditures in 2024 which is comprised of vessels in our new build program and maintenance capital expenditures. The Company anticipates that remaining new build program payments will be made with cash on hand, future cash flows generated from operations, revolver availability, proceeds from the Second Lien Credit Agreement and potential new sources of financing.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Note 5, Long-term debt, in the Notes to Condensed Consolidated Financial Statements for discussion of the Company’s ABL Amendment, Second Lien Credit Agreement and 2029 Notes. Additionally, refer to Note 9, Commitments and contingencies, in the Notes to Condensed Consolidated Financial Statements for discussion of the Company’s surety agreements.</w:t>
      </w:r>
    </w:p>
    <w:p>
      <w:pPr>
        <w:spacing w:after="0" w:line="9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long-or short-term financial prospects if the level of our business activity decreased due to a market downturn. If internal sources of liquidity prove to be insufficient, we may not be able to successfully obtain additional financing on favorable terms, or at all. During the second quarter of 2024, Moody’s Investor Services changed our outlook from negative to stable and reaffirmed our corporate credit rating at B2. In the third quarter of 2024, S&amp;P Global Ratings upgraded our corporate credit rating from CCC+ to B- and reaffirmed our outlook as stable.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spacing w:after="0" w:line="12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and the option to borrow additional funds under the Second Lien Credit Agreement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ABL Amendment, Second Lien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48"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Consolidated Financial Statements included in the Company’s Annual Report on Form 10-K for the year ended December 31, 2023.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Except as noted in Note 1, Basis of presentation, of the Company’s financial statements, there have been no material changes in the Company’s critical accounting policies or estimates since December 31, 2023.</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September 30, 2024 has not materially changed since December 31, 2023. The market risk profile of the Company on December 31, 2023 is disclosed in Item 7A. “Quantitative and Qualitative Disclosures about Market Risk” of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2024.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September 30, 2024 in providing such a reasonable assurance.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September 30, 2024 that have materially affected, or are reasonably likely to materially affect, our internal control over financial reporting.</w:t>
      </w:r>
    </w:p>
    <w:p>
      <w:pPr>
        <w:spacing w:after="0" w:line="2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Commitments and contingencies, in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provided below, there have been no material changes during the nine months ended September 30, 2024 to the risk factors previously disclosed in Item 1A. “Risk Factors” in the Company’s Annual Report on Form 10-K for the year ended December 31,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Our business and operating </w:t>
      </w:r>
      <w:r>
        <w:rPr>
          <w:rFonts w:ascii="Times New Roman" w:cs="Times New Roman" w:eastAsia="Times New Roman" w:hAnsi="Times New Roman"/>
          <w:sz w:val="18"/>
          <w:szCs w:val="18"/>
          <w:color w:val="auto"/>
        </w:rPr>
        <w:t>results</w:t>
      </w:r>
      <w:r>
        <w:rPr>
          <w:rFonts w:ascii="Times New Roman" w:cs="Times New Roman" w:eastAsia="Times New Roman" w:hAnsi="Times New Roman"/>
          <w:sz w:val="18"/>
          <w:szCs w:val="18"/>
          <w:i w:val="1"/>
          <w:iCs w:val="1"/>
          <w:color w:val="auto"/>
        </w:rPr>
        <w:t xml:space="preserve"> could be adversely affected by the political environment and governmental fiscal and monetary policies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 unpredictable or volatile political environment in the United States, including any social unrest and uncertainty as a result of the 2024 U.S. presidential election, could negatively impact business and market conditions, economic growth, financial stability, and business, consumer, investor, and regulatory sentiments, any one or more of which in turn could cause our business and financial results to be adversely impacted. It is difficult to predict the legislative and regulatory changes that may result due to the upcoming presidential election. A new administration, or a change in the make-up of either the Senate and/or House of Representatives, may cause broader economic changes due to changes in governing ideology and governing style. There is also no certainty that a new administration, or a change in the make-up of either the Senate and/or the House of Representatives, will maintain the level of federal spending and support for the dredging industry and offshore wind development. A significant reduction in such funding or support could materially adversely affect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Executive Officers and Directors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August 26, 2024, Lasse Petterson, Director and President and Chief Executive Officer, terminated a Rule 10b5-1 trading arrangement previously adopted on May 16, 2024. Such 10b5-1 trading arrangement was intended to satisfy the affirmative defense of Rule 10b5-1 (c) and provided for the sale of up to 500,000 shares of our common stock. 250,000 shares were sold under this 10b5-1 trading arrangement prior to its termination.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September 30, 2024, none of our other officers (as defined in Rule 16a-1(f) under the Exchange Act) or directors adopted or terminated a Rule 10b5-1 trading plan or adopted or terminated a non-Rule 10b5-1 trading arrangement (as defined in Item 408(c)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Document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2000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63049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049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14179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7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Certification Pursuant to Rules 13a-14 and 15d-14 under the Securities Exchange Act of 1934, as Adopted Pursuant to Section 302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63049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0491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-48260</wp:posOffset>
            </wp:positionV>
            <wp:extent cx="14179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spacing w:after="0" w:line="74" w:lineRule="exact"/>
        <w:rPr>
          <w:sz w:val="20"/>
          <w:szCs w:val="20"/>
          <w:color w:val="auto"/>
        </w:rPr>
      </w:pPr>
    </w:p>
    <w:p>
      <w:pPr>
        <w:ind w:right="1220"/>
        <w:spacing w:after="0" w:line="454" w:lineRule="auto"/>
        <w:rPr>
          <w:sz w:val="20"/>
          <w:szCs w:val="20"/>
          <w:color w:val="auto"/>
        </w:rPr>
      </w:pPr>
      <w:r>
        <w:rPr>
          <w:rFonts w:ascii="Times New Roman" w:cs="Times New Roman" w:eastAsia="Times New Roman" w:hAnsi="Times New Roman"/>
          <w:sz w:val="18"/>
          <w:szCs w:val="18"/>
          <w:u w:val="single" w:color="auto"/>
          <w:color w:val="0000FF"/>
        </w:rPr>
        <w:t>Certification Pursuant to 18 U.S.C. Section 1350, as Adopted Pursuant to Section 906 of the Sarbanes-Oxley Act of 2002. ** Certification Pursuant to 18 U.S.C. Section 1350, as Adopted Pursuant to Section 906 of the Sarbanes-Oxley Act of 2002.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-373380</wp:posOffset>
            </wp:positionV>
            <wp:extent cx="571817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1817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-142240</wp:posOffset>
            </wp:positionV>
            <wp:extent cx="571817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18175"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40" w:space="580"/>
            <w:col w:w="10240"/>
          </w:cols>
          <w:pgMar w:left="320" w:top="1305" w:right="419" w:bottom="1440" w:gutter="0" w:footer="0" w:header="0"/>
          <w:type w:val="continuous"/>
        </w:sectPr>
      </w:pPr>
    </w:p>
    <w:p>
      <w:pPr>
        <w:ind w:left="20"/>
        <w:spacing w:after="0"/>
        <w:tabs>
          <w:tab w:leader="none" w:pos="90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7"/>
          <w:szCs w:val="17"/>
          <w:color w:val="auto"/>
        </w:rPr>
        <w:t>Interactive Data Files pursuant to Rule 405 of Regulation S-T formatted in Inline Extensible Business Reporting Language ("Inline XBRL") *</w:t>
      </w:r>
    </w:p>
    <w:p>
      <w:pPr>
        <w:spacing w:after="0" w:line="169" w:lineRule="exact"/>
        <w:rPr>
          <w:sz w:val="20"/>
          <w:szCs w:val="20"/>
          <w:color w:val="auto"/>
        </w:rPr>
      </w:pPr>
    </w:p>
    <w:p>
      <w:pPr>
        <w:ind w:right="3580" w:firstLine="21"/>
        <w:spacing w:after="0" w:line="488" w:lineRule="auto"/>
        <w:tabs>
          <w:tab w:leader="none" w:pos="9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 * * Filed herewith</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type w:val="continuous"/>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(registrant)</w:t>
      </w:r>
    </w:p>
    <w:p>
      <w:pPr>
        <w:spacing w:after="0" w:line="306" w:lineRule="exact"/>
        <w:rPr>
          <w:sz w:val="20"/>
          <w:szCs w:val="20"/>
          <w:color w:val="auto"/>
        </w:rPr>
      </w:pPr>
    </w:p>
    <w:p>
      <w:pPr>
        <w:ind w:left="6660"/>
        <w:spacing w:after="0"/>
        <w:tabs>
          <w:tab w:leader="none" w:pos="8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26035</wp:posOffset>
            </wp:positionV>
            <wp:extent cx="26060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1"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Scott Kornblau</w:t>
      </w:r>
    </w:p>
    <w:p>
      <w:pPr>
        <w:spacing w:after="0" w:line="29"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Senior Vice President and Chief Financial Officer</w:t>
      </w:r>
    </w:p>
    <w:p>
      <w:pPr>
        <w:spacing w:after="0" w:line="26" w:lineRule="exact"/>
        <w:rPr>
          <w:sz w:val="20"/>
          <w:szCs w:val="20"/>
          <w:color w:val="auto"/>
        </w:rPr>
      </w:pPr>
    </w:p>
    <w:p>
      <w:pPr>
        <w:jc w:val="center"/>
        <w:ind w:left="7120"/>
        <w:spacing w:after="0"/>
        <w:rPr>
          <w:sz w:val="20"/>
          <w:szCs w:val="20"/>
          <w:color w:val="auto"/>
        </w:rPr>
      </w:pPr>
      <w:r>
        <w:rPr>
          <w:rFonts w:ascii="Times New Roman" w:cs="Times New Roman" w:eastAsia="Times New Roman" w:hAnsi="Times New Roman"/>
          <w:sz w:val="13"/>
          <w:szCs w:val="13"/>
          <w:b w:val="1"/>
          <w:bCs w:val="1"/>
          <w:color w:val="auto"/>
        </w:rPr>
        <w:t>(Principal Financial Officer and Duly Authorized Officer)</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Kornblau,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2024,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2024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SCOTT KORNBLAU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3515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Scott Kornblau</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
      <w:numFmt w:val="bullet"/>
      <w:start w:val="1"/>
    </w:lvl>
    <w:lvl w:ilvl="1">
      <w:lvlJc w:val="left"/>
      <w:lvlText w:val="%2"/>
      <w:numFmt w:val="decimal"/>
      <w:start w:val="104"/>
    </w:lvl>
  </w:abstractNum>
  <w:abstractNum w:abstractNumId="11">
    <w:nsid w:val="DED7263"/>
    <w:multiLevelType w:val="hybridMultilevel"/>
    <w:lvl w:ilvl="0">
      <w:lvlJc w:val="left"/>
      <w:lvlText w:val="**"/>
      <w:numFmt w:val="bullet"/>
      <w:start w:val="1"/>
    </w:lvl>
    <w:lvl w:ilvl="1">
      <w:lvlJc w:val="left"/>
      <w:lvlText w:val="%2"/>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2024-11-05T15:20:36Z</dcterms:created>
  <dcterms:modified xsi:type="dcterms:W3CDTF">2024-11-05T15:20:36Z</dcterms:modified>
</cp:coreProperties>
</file>