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1" w:lineRule="exact"/>
        <w:rPr>
          <w:sz w:val="24"/>
          <w:szCs w:val="24"/>
          <w:color w:val="auto"/>
        </w:rPr>
      </w:pPr>
    </w:p>
    <w:p>
      <w:pPr>
        <w:ind w:left="416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6350</wp:posOffset>
            </wp:positionV>
            <wp:extent cx="882650" cy="840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265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36830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tbl>
      <w:tblPr>
        <w:tblLayout w:type="fixed"/>
        <w:tblInd w:w="1540" w:type="dxa"/>
        <w:tblCellMar>
          <w:top w:w="0" w:type="dxa"/>
          <w:left w:w="0" w:type="dxa"/>
          <w:bottom w:w="0" w:type="dxa"/>
          <w:right w:w="0" w:type="dxa"/>
        </w:tblCellMar>
      </w:tblPr>
      <w:tr>
        <w:trPr>
          <w:trHeight w:val="184"/>
        </w:trPr>
        <w:tc>
          <w:tcPr>
            <w:tcW w:w="6240" w:type="dxa"/>
            <w:vAlign w:val="bottom"/>
          </w:tcPr>
          <w:p>
            <w:pPr>
              <w:jc w:val="center"/>
              <w:ind w:right="3226"/>
              <w:spacing w:after="0"/>
              <w:rPr>
                <w:sz w:val="20"/>
                <w:szCs w:val="20"/>
                <w:color w:val="auto"/>
              </w:rPr>
            </w:pPr>
            <w:r>
              <w:rPr>
                <w:rFonts w:ascii="Arial" w:cs="Arial" w:eastAsia="Arial" w:hAnsi="Arial"/>
                <w:sz w:val="15"/>
                <w:szCs w:val="15"/>
                <w:b w:val="1"/>
                <w:bCs w:val="1"/>
                <w:color w:val="auto"/>
                <w:w w:val="94"/>
              </w:rPr>
              <w:t>Delaware</w:t>
            </w:r>
          </w:p>
        </w:tc>
        <w:tc>
          <w:tcPr>
            <w:tcW w:w="1540" w:type="dxa"/>
            <w:vAlign w:val="bottom"/>
          </w:tcPr>
          <w:p>
            <w:pPr>
              <w:jc w:val="right"/>
              <w:ind w:right="126"/>
              <w:spacing w:after="0"/>
              <w:rPr>
                <w:sz w:val="20"/>
                <w:szCs w:val="20"/>
                <w:color w:val="auto"/>
              </w:rPr>
            </w:pPr>
            <w:r>
              <w:rPr>
                <w:rFonts w:ascii="Arial" w:cs="Arial" w:eastAsia="Arial" w:hAnsi="Arial"/>
                <w:sz w:val="15"/>
                <w:szCs w:val="15"/>
                <w:b w:val="1"/>
                <w:bCs w:val="1"/>
                <w:color w:val="auto"/>
              </w:rPr>
              <w:t>20-5336063</w:t>
            </w:r>
          </w:p>
        </w:tc>
      </w:tr>
      <w:tr>
        <w:trPr>
          <w:trHeight w:val="148"/>
        </w:trPr>
        <w:tc>
          <w:tcPr>
            <w:tcW w:w="6240" w:type="dxa"/>
            <w:vAlign w:val="bottom"/>
          </w:tcPr>
          <w:p>
            <w:pPr>
              <w:jc w:val="center"/>
              <w:ind w:right="324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246"/>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26"/>
              <w:spacing w:after="0"/>
              <w:rPr>
                <w:sz w:val="20"/>
                <w:szCs w:val="20"/>
                <w:color w:val="auto"/>
              </w:rPr>
            </w:pPr>
            <w:r>
              <w:rPr>
                <w:rFonts w:ascii="Arial" w:cs="Arial" w:eastAsia="Arial" w:hAnsi="Arial"/>
                <w:sz w:val="14"/>
                <w:szCs w:val="14"/>
                <w:b w:val="1"/>
                <w:bCs w:val="1"/>
                <w:color w:val="auto"/>
                <w:w w:val="96"/>
              </w:rPr>
              <w:t>Identification No.)</w:t>
            </w:r>
          </w:p>
        </w:tc>
      </w:tr>
      <w:tr>
        <w:trPr>
          <w:trHeight w:val="219"/>
        </w:trPr>
        <w:tc>
          <w:tcPr>
            <w:tcW w:w="6240" w:type="dxa"/>
            <w:vAlign w:val="bottom"/>
          </w:tcPr>
          <w:p>
            <w:pPr>
              <w:jc w:val="center"/>
              <w:ind w:right="3246"/>
              <w:spacing w:after="0"/>
              <w:rPr>
                <w:sz w:val="20"/>
                <w:szCs w:val="20"/>
                <w:color w:val="auto"/>
              </w:rPr>
            </w:pPr>
            <w:r>
              <w:rPr>
                <w:rFonts w:ascii="Arial" w:cs="Arial" w:eastAsia="Arial" w:hAnsi="Arial"/>
                <w:sz w:val="15"/>
                <w:szCs w:val="15"/>
                <w:b w:val="1"/>
                <w:bCs w:val="1"/>
                <w:color w:val="auto"/>
                <w:w w:val="93"/>
              </w:rPr>
              <w:t>9811 Katy Freeway, Suite 1200, Houston, TX</w:t>
            </w:r>
          </w:p>
        </w:tc>
        <w:tc>
          <w:tcPr>
            <w:tcW w:w="1540" w:type="dxa"/>
            <w:vAlign w:val="bottom"/>
          </w:tcPr>
          <w:p>
            <w:pPr>
              <w:jc w:val="right"/>
              <w:ind w:right="306"/>
              <w:spacing w:after="0"/>
              <w:rPr>
                <w:sz w:val="20"/>
                <w:szCs w:val="20"/>
                <w:color w:val="auto"/>
              </w:rPr>
            </w:pPr>
            <w:r>
              <w:rPr>
                <w:rFonts w:ascii="Arial" w:cs="Arial" w:eastAsia="Arial" w:hAnsi="Arial"/>
                <w:sz w:val="15"/>
                <w:szCs w:val="15"/>
                <w:b w:val="1"/>
                <w:bCs w:val="1"/>
                <w:color w:val="auto"/>
              </w:rPr>
              <w:t>77024</w:t>
            </w:r>
          </w:p>
        </w:tc>
      </w:tr>
      <w:tr>
        <w:trPr>
          <w:trHeight w:val="186"/>
        </w:trPr>
        <w:tc>
          <w:tcPr>
            <w:tcW w:w="6240" w:type="dxa"/>
            <w:vAlign w:val="bottom"/>
          </w:tcPr>
          <w:p>
            <w:pPr>
              <w:jc w:val="center"/>
              <w:ind w:right="322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26"/>
              <w:spacing w:after="0"/>
              <w:rPr>
                <w:sz w:val="20"/>
                <w:szCs w:val="20"/>
                <w:color w:val="auto"/>
              </w:rPr>
            </w:pPr>
            <w:r>
              <w:rPr>
                <w:rFonts w:ascii="Arial" w:cs="Arial" w:eastAsia="Arial" w:hAnsi="Arial"/>
                <w:sz w:val="14"/>
                <w:szCs w:val="14"/>
                <w:b w:val="1"/>
                <w:bCs w:val="1"/>
                <w:color w:val="auto"/>
                <w:w w:val="95"/>
              </w:rPr>
              <w:t>(Zip Code)</w:t>
            </w:r>
          </w:p>
        </w:tc>
      </w:tr>
      <w:tr>
        <w:trPr>
          <w:trHeight w:val="165"/>
        </w:trPr>
        <w:tc>
          <w:tcPr>
            <w:tcW w:w="6240" w:type="dxa"/>
            <w:vAlign w:val="bottom"/>
          </w:tcPr>
          <w:p>
            <w:pPr>
              <w:jc w:val="center"/>
              <w:ind w:left="1846"/>
              <w:spacing w:after="0" w:line="165" w:lineRule="exact"/>
              <w:rPr>
                <w:sz w:val="20"/>
                <w:szCs w:val="20"/>
                <w:color w:val="auto"/>
              </w:rPr>
            </w:pPr>
            <w:r>
              <w:rPr>
                <w:rFonts w:ascii="Arial" w:cs="Arial" w:eastAsia="Arial" w:hAnsi="Arial"/>
                <w:sz w:val="15"/>
                <w:szCs w:val="15"/>
                <w:b w:val="1"/>
                <w:bCs w:val="1"/>
                <w:color w:val="auto"/>
                <w:w w:val="93"/>
              </w:rPr>
              <w:t>(346) 359-1010</w:t>
            </w:r>
          </w:p>
        </w:tc>
        <w:tc>
          <w:tcPr>
            <w:tcW w:w="1540" w:type="dxa"/>
            <w:vAlign w:val="bottom"/>
          </w:tcPr>
          <w:p>
            <w:pPr>
              <w:spacing w:after="0"/>
              <w:rPr>
                <w:sz w:val="14"/>
                <w:szCs w:val="14"/>
                <w:color w:val="auto"/>
              </w:rPr>
            </w:pPr>
          </w:p>
        </w:tc>
      </w:tr>
      <w:tr>
        <w:trPr>
          <w:trHeight w:val="186"/>
        </w:trPr>
        <w:tc>
          <w:tcPr>
            <w:tcW w:w="6240" w:type="dxa"/>
            <w:vAlign w:val="bottom"/>
          </w:tcPr>
          <w:p>
            <w:pPr>
              <w:jc w:val="center"/>
              <w:ind w:left="184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6"/>
                <w:szCs w:val="16"/>
                <w:color w:val="auto"/>
              </w:rPr>
            </w:pPr>
          </w:p>
        </w:tc>
      </w:tr>
      <w:tr>
        <w:trPr>
          <w:trHeight w:val="189"/>
        </w:trPr>
        <w:tc>
          <w:tcPr>
            <w:tcW w:w="6240" w:type="dxa"/>
            <w:vAlign w:val="bottom"/>
          </w:tcPr>
          <w:p>
            <w:pPr>
              <w:jc w:val="center"/>
              <w:ind w:left="184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540" w:type="dxa"/>
            <w:vAlign w:val="bottom"/>
          </w:tcPr>
          <w:p>
            <w:pPr>
              <w:spacing w:after="0"/>
              <w:rPr>
                <w:sz w:val="16"/>
                <w:szCs w:val="16"/>
                <w:color w:val="auto"/>
              </w:rPr>
            </w:pPr>
          </w:p>
        </w:tc>
      </w:tr>
    </w:tbl>
    <w:p>
      <w:pPr>
        <w:spacing w:after="0" w:line="166"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2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1"/>
              </w:rPr>
              <w:t>Trading Symbol(s)</w:t>
            </w:r>
          </w:p>
        </w:tc>
        <w:tc>
          <w:tcPr>
            <w:tcW w:w="220" w:type="dxa"/>
            <w:vAlign w:val="bottom"/>
          </w:tcPr>
          <w:p>
            <w:pPr>
              <w:spacing w:after="0"/>
              <w:rPr>
                <w:sz w:val="16"/>
                <w:szCs w:val="16"/>
                <w:color w:val="auto"/>
              </w:rPr>
            </w:pPr>
          </w:p>
        </w:tc>
        <w:tc>
          <w:tcPr>
            <w:tcW w:w="3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51"/>
        </w:trPr>
        <w:tc>
          <w:tcPr>
            <w:tcW w:w="2860" w:type="dxa"/>
            <w:vAlign w:val="bottom"/>
            <w:gridSpan w:val="3"/>
          </w:tcPr>
          <w:p>
            <w:pPr>
              <w:jc w:val="center"/>
              <w:ind w:left="288"/>
              <w:spacing w:after="0"/>
              <w:rPr>
                <w:sz w:val="20"/>
                <w:szCs w:val="20"/>
                <w:color w:val="auto"/>
              </w:rPr>
            </w:pPr>
            <w:r>
              <w:rPr>
                <w:rFonts w:ascii="Arial" w:cs="Arial" w:eastAsia="Arial" w:hAnsi="Arial"/>
                <w:sz w:val="14"/>
                <w:szCs w:val="14"/>
                <w:color w:val="auto"/>
                <w:w w:val="93"/>
              </w:rPr>
              <w:t>Common Stock, (Par Value $0.0001)</w:t>
            </w:r>
          </w:p>
        </w:tc>
        <w:tc>
          <w:tcPr>
            <w:tcW w:w="1600" w:type="dxa"/>
            <w:vAlign w:val="bottom"/>
          </w:tcPr>
          <w:p>
            <w:pPr>
              <w:spacing w:after="0"/>
              <w:rPr>
                <w:sz w:val="21"/>
                <w:szCs w:val="21"/>
                <w:color w:val="auto"/>
              </w:rPr>
            </w:pPr>
          </w:p>
        </w:tc>
        <w:tc>
          <w:tcPr>
            <w:tcW w:w="2420" w:type="dxa"/>
            <w:vAlign w:val="bottom"/>
            <w:gridSpan w:val="2"/>
          </w:tcPr>
          <w:p>
            <w:pPr>
              <w:jc w:val="center"/>
              <w:ind w:right="1140"/>
              <w:spacing w:after="0"/>
              <w:rPr>
                <w:sz w:val="20"/>
                <w:szCs w:val="20"/>
                <w:color w:val="auto"/>
              </w:rPr>
            </w:pPr>
            <w:r>
              <w:rPr>
                <w:rFonts w:ascii="Arial" w:cs="Arial" w:eastAsia="Arial" w:hAnsi="Arial"/>
                <w:sz w:val="14"/>
                <w:szCs w:val="14"/>
                <w:color w:val="auto"/>
              </w:rPr>
              <w:t>GLDD</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tcPr>
          <w:p>
            <w:pPr>
              <w:jc w:val="center"/>
              <w:ind w:right="268"/>
              <w:spacing w:after="0"/>
              <w:rPr>
                <w:sz w:val="20"/>
                <w:szCs w:val="20"/>
                <w:color w:val="auto"/>
              </w:rPr>
            </w:pPr>
            <w:r>
              <w:rPr>
                <w:rFonts w:ascii="Arial" w:cs="Arial" w:eastAsia="Arial" w:hAnsi="Arial"/>
                <w:sz w:val="14"/>
                <w:szCs w:val="14"/>
                <w:color w:val="auto"/>
                <w:w w:val="95"/>
              </w:rPr>
              <w:t>Nasdaq Stock Market, LLC</w:t>
            </w:r>
          </w:p>
        </w:tc>
      </w:tr>
      <w:tr>
        <w:trPr>
          <w:trHeight w:val="247"/>
        </w:trPr>
        <w:tc>
          <w:tcPr>
            <w:tcW w:w="1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580" w:type="dxa"/>
            <w:vAlign w:val="bottom"/>
            <w:gridSpan w:val="5"/>
          </w:tcPr>
          <w:p>
            <w:pPr>
              <w:jc w:val="center"/>
              <w:ind w:right="19"/>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2660" w:type="dxa"/>
            <w:vAlign w:val="bottom"/>
          </w:tcPr>
          <w:p>
            <w:pPr>
              <w:spacing w:after="0"/>
              <w:rPr>
                <w:sz w:val="21"/>
                <w:szCs w:val="21"/>
                <w:color w:val="auto"/>
              </w:rPr>
            </w:pPr>
          </w:p>
        </w:tc>
      </w:tr>
      <w:tr>
        <w:trPr>
          <w:trHeight w:val="326"/>
        </w:trPr>
        <w:tc>
          <w:tcPr>
            <w:tcW w:w="688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2660" w:type="dxa"/>
            <w:vAlign w:val="bottom"/>
          </w:tcPr>
          <w:p>
            <w:pPr>
              <w:ind w:left="2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r>
        <w:trPr>
          <w:trHeight w:val="201"/>
        </w:trPr>
        <w:tc>
          <w:tcPr>
            <w:tcW w:w="68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4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p>
        </w:tc>
        <w:tc>
          <w:tcPr>
            <w:tcW w:w="2660" w:type="dxa"/>
            <w:vAlign w:val="bottom"/>
          </w:tcPr>
          <w:p>
            <w:pPr>
              <w:ind w:left="14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r>
    </w:tbl>
    <w:p>
      <w:pPr>
        <w:ind w:right="80" w:firstLine="509"/>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ind w:right="60" w:firstLine="509"/>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20" w:firstLine="509"/>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06" w:right="339" w:bottom="1440" w:gutter="0" w:footer="0" w:header="0"/>
        </w:sectPr>
      </w:pPr>
    </w:p>
    <w:p>
      <w:pPr>
        <w:spacing w:after="0" w:line="48" w:lineRule="exact"/>
        <w:rPr>
          <w:sz w:val="24"/>
          <w:szCs w:val="24"/>
          <w:color w:val="auto"/>
        </w:rPr>
      </w:pPr>
    </w:p>
    <w:p>
      <w:pPr>
        <w:ind w:left="1420"/>
        <w:spacing w:after="0"/>
        <w:rPr>
          <w:sz w:val="20"/>
          <w:szCs w:val="20"/>
          <w:color w:val="auto"/>
        </w:rPr>
      </w:pPr>
      <w:r>
        <w:rPr>
          <w:rFonts w:ascii="Arial" w:cs="Arial" w:eastAsia="Arial" w:hAnsi="Arial"/>
          <w:sz w:val="14"/>
          <w:szCs w:val="14"/>
          <w:color w:val="auto"/>
        </w:rPr>
        <w:t>Large accelerated filer</w:t>
      </w:r>
    </w:p>
    <w:p>
      <w:pPr>
        <w:spacing w:after="0" w:line="42" w:lineRule="exact"/>
        <w:rPr>
          <w:sz w:val="24"/>
          <w:szCs w:val="24"/>
          <w:color w:val="auto"/>
        </w:rPr>
      </w:pPr>
    </w:p>
    <w:p>
      <w:pPr>
        <w:ind w:left="1420"/>
        <w:spacing w:after="0"/>
        <w:rPr>
          <w:sz w:val="20"/>
          <w:szCs w:val="20"/>
          <w:color w:val="auto"/>
        </w:rPr>
      </w:pPr>
      <w:r>
        <w:rPr>
          <w:rFonts w:ascii="Arial" w:cs="Arial" w:eastAsia="Arial" w:hAnsi="Arial"/>
          <w:sz w:val="14"/>
          <w:szCs w:val="14"/>
          <w:color w:val="auto"/>
        </w:rPr>
        <w:t>Non-accelerated filer</w:t>
      </w:r>
    </w:p>
    <w:p>
      <w:pPr>
        <w:spacing w:after="0" w:line="42" w:lineRule="exact"/>
        <w:rPr>
          <w:sz w:val="24"/>
          <w:szCs w:val="24"/>
          <w:color w:val="auto"/>
        </w:rPr>
      </w:pPr>
    </w:p>
    <w:p>
      <w:pPr>
        <w:ind w:left="14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75" w:lineRule="exact"/>
        <w:rPr>
          <w:sz w:val="20"/>
          <w:szCs w:val="20"/>
          <w:color w:val="auto"/>
        </w:rPr>
      </w:pPr>
      <w:r>
        <w:rPr>
          <w:rFonts w:ascii="Arial Unicode MS" w:cs="Arial Unicode MS" w:eastAsia="Arial Unicode MS" w:hAnsi="Arial Unicode MS"/>
          <w:sz w:val="14"/>
          <w:szCs w:val="14"/>
          <w:color w:val="auto"/>
        </w:rPr>
        <w:t>☒</w:t>
      </w:r>
    </w:p>
    <w:p>
      <w:pPr>
        <w:spacing w:after="0" w:line="38"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75" w:lineRule="exact"/>
        <w:rPr>
          <w:sz w:val="20"/>
          <w:szCs w:val="20"/>
          <w:color w:val="auto"/>
        </w:rPr>
      </w:pPr>
      <w:r>
        <w:rPr>
          <w:rFonts w:ascii="Arial Unicode MS" w:cs="Arial Unicode MS" w:eastAsia="Arial Unicode MS" w:hAnsi="Arial Unicode MS"/>
          <w:sz w:val="14"/>
          <w:szCs w:val="14"/>
          <w:color w:val="auto"/>
        </w:rPr>
        <w:t>☐</w:t>
      </w:r>
    </w:p>
    <w:p>
      <w:pPr>
        <w:spacing w:after="0" w:line="38"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17" w:lineRule="exact"/>
        <w:rPr>
          <w:sz w:val="24"/>
          <w:szCs w:val="24"/>
          <w:color w:val="auto"/>
        </w:rPr>
      </w:pPr>
    </w:p>
    <w:p>
      <w:pPr>
        <w:sectPr>
          <w:pgSz w:w="11900" w:h="16838" w:orient="portrait"/>
          <w:cols w:equalWidth="0" w:num="4">
            <w:col w:w="4780" w:space="720"/>
            <w:col w:w="140" w:space="300"/>
            <w:col w:w="3020" w:space="720"/>
            <w:col w:w="1560"/>
          </w:cols>
          <w:pgMar w:left="320" w:top="206" w:right="339" w:bottom="1440" w:gutter="0" w:footer="0" w:header="0"/>
          <w:type w:val="continuous"/>
        </w:sectPr>
      </w:pPr>
    </w:p>
    <w:p>
      <w:pPr>
        <w:ind w:right="60" w:firstLine="509"/>
        <w:spacing w:after="0" w:line="17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ind w:firstLine="509"/>
        <w:spacing w:after="0" w:line="16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ind w:right="80" w:firstLine="509"/>
        <w:spacing w:after="0" w:line="162" w:lineRule="exact"/>
        <w:rPr>
          <w:sz w:val="20"/>
          <w:szCs w:val="20"/>
          <w:color w:val="auto"/>
        </w:rPr>
      </w:pPr>
      <w:r>
        <w:rPr>
          <w:rFonts w:ascii="Arial" w:cs="Arial" w:eastAsia="Arial" w:hAnsi="Arial"/>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000000"/>
        </w:rPr>
        <w:t>☐</w:t>
      </w:r>
    </w:p>
    <w:p>
      <w:pPr>
        <w:ind w:right="360" w:firstLine="509"/>
        <w:spacing w:after="0" w:line="166" w:lineRule="exact"/>
        <w:rPr>
          <w:sz w:val="20"/>
          <w:szCs w:val="20"/>
          <w:color w:val="auto"/>
        </w:rPr>
      </w:pPr>
      <w:r>
        <w:rPr>
          <w:rFonts w:ascii="Arial" w:cs="Arial" w:eastAsia="Arial" w:hAnsi="Arial"/>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Arial" w:cs="Arial" w:eastAsia="Arial" w:hAnsi="Arial"/>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ind w:left="520"/>
        <w:spacing w:after="0" w:line="182"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3"/>
          <w:szCs w:val="13"/>
          <w:color w:val="auto"/>
        </w:rPr>
        <w:t>The aggregate market value of voting stock held by non-affiliates of the Registrant was $848,574,365 at June 30, 2022. The aggregate market value was computed using the closing price</w:t>
      </w:r>
    </w:p>
    <w:p>
      <w:pPr>
        <w:spacing w:after="0" w:line="13" w:lineRule="exact"/>
        <w:rPr>
          <w:sz w:val="24"/>
          <w:szCs w:val="24"/>
          <w:color w:val="auto"/>
        </w:rPr>
      </w:pPr>
    </w:p>
    <w:p>
      <w:pPr>
        <w:ind w:right="200"/>
        <w:spacing w:after="0" w:line="221" w:lineRule="auto"/>
        <w:rPr>
          <w:sz w:val="20"/>
          <w:szCs w:val="20"/>
          <w:color w:val="auto"/>
        </w:rPr>
      </w:pPr>
      <w:r>
        <w:rPr>
          <w:rFonts w:ascii="Arial" w:cs="Arial" w:eastAsia="Arial" w:hAnsi="Arial"/>
          <w:sz w:val="14"/>
          <w:szCs w:val="14"/>
          <w:color w:val="auto"/>
        </w:rPr>
        <w:t>of the common stock as of June 30, 2022 on the Nasdaq Stock Market. (For purposes of a calculating this amount only, all directors and executive officers of the registrant have been treated as affiliates.)</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14, 2023, 66,187,623 shares of Registrant’s Common Stock, par value $.0001 per share, were outstanding.</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7680" w:type="dxa"/>
            <w:vAlign w:val="bottom"/>
            <w:gridSpan w:val="3"/>
          </w:tcPr>
          <w:p>
            <w:pPr>
              <w:ind w:left="420"/>
              <w:spacing w:after="0"/>
              <w:rPr>
                <w:sz w:val="20"/>
                <w:szCs w:val="20"/>
                <w:color w:val="auto"/>
              </w:rPr>
            </w:pPr>
            <w:r>
              <w:rPr>
                <w:rFonts w:ascii="Arial" w:cs="Arial" w:eastAsia="Arial" w:hAnsi="Arial"/>
                <w:sz w:val="14"/>
                <w:szCs w:val="14"/>
                <w:b w:val="1"/>
                <w:bCs w:val="1"/>
                <w:color w:val="auto"/>
              </w:rPr>
              <w:t>DOCUMENTS INCORPORATED BY REFERENCE</w:t>
            </w:r>
          </w:p>
        </w:tc>
      </w:tr>
      <w:tr>
        <w:trPr>
          <w:trHeight w:val="201"/>
        </w:trPr>
        <w:tc>
          <w:tcPr>
            <w:tcW w:w="3560" w:type="dxa"/>
            <w:vAlign w:val="bottom"/>
            <w:tcBorders>
              <w:bottom w:val="single" w:sz="8" w:color="auto"/>
            </w:tcBorders>
          </w:tcPr>
          <w:p>
            <w:pPr>
              <w:jc w:val="center"/>
              <w:ind w:left="1888"/>
              <w:spacing w:after="0"/>
              <w:rPr>
                <w:sz w:val="20"/>
                <w:szCs w:val="20"/>
                <w:color w:val="auto"/>
              </w:rPr>
            </w:pPr>
            <w:r>
              <w:rPr>
                <w:rFonts w:ascii="Arial" w:cs="Arial" w:eastAsia="Arial" w:hAnsi="Arial"/>
                <w:sz w:val="14"/>
                <w:szCs w:val="14"/>
                <w:b w:val="1"/>
                <w:bCs w:val="1"/>
                <w:color w:val="auto"/>
                <w:w w:val="96"/>
              </w:rPr>
              <w:t>Part of 10-K</w:t>
            </w:r>
          </w:p>
        </w:tc>
        <w:tc>
          <w:tcPr>
            <w:tcW w:w="19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Documents Incorporated by Reference</w:t>
            </w:r>
          </w:p>
        </w:tc>
      </w:tr>
      <w:tr>
        <w:trPr>
          <w:trHeight w:val="137"/>
        </w:trPr>
        <w:tc>
          <w:tcPr>
            <w:tcW w:w="3560" w:type="dxa"/>
            <w:vAlign w:val="bottom"/>
          </w:tcPr>
          <w:p>
            <w:pPr>
              <w:jc w:val="center"/>
              <w:ind w:left="1888"/>
              <w:spacing w:after="0" w:line="137" w:lineRule="exact"/>
              <w:rPr>
                <w:sz w:val="20"/>
                <w:szCs w:val="20"/>
                <w:color w:val="auto"/>
              </w:rPr>
            </w:pPr>
            <w:r>
              <w:rPr>
                <w:rFonts w:ascii="Arial" w:cs="Arial" w:eastAsia="Arial" w:hAnsi="Arial"/>
                <w:sz w:val="14"/>
                <w:szCs w:val="14"/>
                <w:color w:val="auto"/>
                <w:w w:val="96"/>
              </w:rPr>
              <w:t>Part III</w:t>
            </w:r>
          </w:p>
        </w:tc>
        <w:tc>
          <w:tcPr>
            <w:tcW w:w="1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60" w:type="dxa"/>
            <w:vAlign w:val="bottom"/>
          </w:tcPr>
          <w:p>
            <w:pPr>
              <w:jc w:val="center"/>
              <w:spacing w:after="0" w:line="137" w:lineRule="exact"/>
              <w:rPr>
                <w:sz w:val="20"/>
                <w:szCs w:val="20"/>
                <w:color w:val="auto"/>
              </w:rPr>
            </w:pPr>
            <w:r>
              <w:rPr>
                <w:rFonts w:ascii="Arial" w:cs="Arial" w:eastAsia="Arial" w:hAnsi="Arial"/>
                <w:sz w:val="14"/>
                <w:szCs w:val="14"/>
                <w:color w:val="auto"/>
                <w:w w:val="93"/>
              </w:rPr>
              <w:t>Portions of the Proxy Statement to be filed with the Securities and Exchange Commission in</w:t>
            </w:r>
          </w:p>
        </w:tc>
      </w:tr>
      <w:tr>
        <w:trPr>
          <w:trHeight w:val="181"/>
        </w:trPr>
        <w:tc>
          <w:tcPr>
            <w:tcW w:w="35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connection with the 2023 Annual Meeting of Stockholders.</w:t>
            </w:r>
          </w:p>
        </w:tc>
      </w:tr>
      <w:tr>
        <w:trPr>
          <w:trHeight w:val="540"/>
        </w:trPr>
        <w:tc>
          <w:tcPr>
            <w:tcW w:w="3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17"/>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0"/>
                <w:szCs w:val="20"/>
                <w:color w:val="auto"/>
              </w:rPr>
            </w:pPr>
          </w:p>
        </w:tc>
      </w:tr>
      <w:tr>
        <w:trPr>
          <w:trHeight w:val="405"/>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3"/>
          </w:tcPr>
          <w:p>
            <w:pPr>
              <w:jc w:val="center"/>
              <w:ind w:right="4600"/>
              <w:spacing w:after="0"/>
              <w:rPr>
                <w:sz w:val="20"/>
                <w:szCs w:val="20"/>
                <w:color w:val="auto"/>
              </w:rPr>
            </w:pPr>
            <w:r>
              <w:rPr>
                <w:rFonts w:ascii="Arial" w:cs="Arial" w:eastAsia="Arial" w:hAnsi="Arial"/>
                <w:sz w:val="18"/>
                <w:szCs w:val="18"/>
                <w:b w:val="1"/>
                <w:bCs w:val="1"/>
                <w:color w:val="0000FF"/>
                <w:w w:val="98"/>
              </w:rPr>
              <w:t>PART I</w:t>
            </w:r>
          </w:p>
        </w:tc>
        <w:tc>
          <w:tcPr>
            <w:tcW w:w="1060" w:type="dxa"/>
            <w:vAlign w:val="bottom"/>
          </w:tcPr>
          <w:p>
            <w:pPr>
              <w:spacing w:after="0"/>
              <w:rPr>
                <w:sz w:val="24"/>
                <w:szCs w:val="24"/>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4"/>
              </w:rPr>
              <w:t>Business</w:t>
            </w:r>
          </w:p>
        </w:tc>
        <w:tc>
          <w:tcPr>
            <w:tcW w:w="20" w:type="dxa"/>
            <w:vAlign w:val="bottom"/>
            <w:tcBorders>
              <w:bottom w:val="single" w:sz="8" w:color="0000EE"/>
            </w:tcBorders>
          </w:tcPr>
          <w:p>
            <w:pPr>
              <w:spacing w:after="0"/>
              <w:rPr>
                <w:sz w:val="24"/>
                <w:szCs w:val="24"/>
                <w:color w:val="auto"/>
              </w:rPr>
            </w:pPr>
          </w:p>
        </w:tc>
        <w:tc>
          <w:tcPr>
            <w:tcW w:w="3360" w:type="dxa"/>
            <w:vAlign w:val="bottom"/>
            <w:gridSpan w:val="17"/>
          </w:tcPr>
          <w:p>
            <w:pPr>
              <w:spacing w:after="0"/>
              <w:rPr>
                <w:sz w:val="24"/>
                <w:szCs w:val="24"/>
                <w:color w:val="auto"/>
              </w:rPr>
            </w:pPr>
          </w:p>
        </w:tc>
        <w:tc>
          <w:tcPr>
            <w:tcW w:w="580" w:type="dxa"/>
            <w:vAlign w:val="bottom"/>
            <w:tcBorders>
              <w:top w:val="single" w:sz="8" w:color="0000FF"/>
            </w:tcBorders>
            <w:gridSpan w:val="3"/>
          </w:tcPr>
          <w:p>
            <w:pPr>
              <w:spacing w:after="0"/>
              <w:rPr>
                <w:sz w:val="24"/>
                <w:szCs w:val="24"/>
                <w:color w:val="auto"/>
              </w:rPr>
            </w:pPr>
          </w:p>
        </w:tc>
        <w:tc>
          <w:tcPr>
            <w:tcW w:w="4600" w:type="dxa"/>
            <w:vAlign w:val="bottom"/>
            <w:gridSpan w:val="10"/>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bottom w:val="single" w:sz="8" w:color="0000EE"/>
            </w:tcBorders>
          </w:tcPr>
          <w:p>
            <w:pPr>
              <w:spacing w:after="0"/>
              <w:rPr>
                <w:sz w:val="24"/>
                <w:szCs w:val="24"/>
                <w:color w:val="auto"/>
              </w:rPr>
            </w:pPr>
          </w:p>
        </w:tc>
        <w:tc>
          <w:tcPr>
            <w:tcW w:w="8280" w:type="dxa"/>
            <w:vAlign w:val="bottom"/>
            <w:gridSpan w:val="26"/>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Unresolved Staff Comments</w:t>
            </w:r>
          </w:p>
        </w:tc>
        <w:tc>
          <w:tcPr>
            <w:tcW w:w="7160" w:type="dxa"/>
            <w:vAlign w:val="bottom"/>
            <w:gridSpan w:val="20"/>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33"/>
          </w:tcPr>
          <w:p>
            <w:pPr>
              <w:spacing w:after="0"/>
              <w:rPr>
                <w:sz w:val="20"/>
                <w:szCs w:val="20"/>
                <w:color w:val="auto"/>
              </w:rPr>
            </w:pPr>
            <w:r>
              <w:rPr>
                <w:rFonts w:ascii="Arial" w:cs="Arial" w:eastAsia="Arial" w:hAnsi="Arial"/>
                <w:sz w:val="18"/>
                <w:szCs w:val="18"/>
                <w:color w:val="0000FF"/>
              </w:rPr>
              <w:t>Properties</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9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33"/>
          </w:tcPr>
          <w:p>
            <w:pPr>
              <w:spacing w:after="0"/>
              <w:rPr>
                <w:sz w:val="20"/>
                <w:szCs w:val="20"/>
                <w:color w:val="auto"/>
              </w:rPr>
            </w:pPr>
            <w:r>
              <w:rPr>
                <w:rFonts w:ascii="Arial" w:cs="Arial" w:eastAsia="Arial" w:hAnsi="Arial"/>
                <w:sz w:val="18"/>
                <w:szCs w:val="18"/>
                <w:color w:val="0000FF"/>
              </w:rPr>
              <w:t>Legal Proceedings</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9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33"/>
          </w:tcPr>
          <w:p>
            <w:pPr>
              <w:spacing w:after="0"/>
              <w:rPr>
                <w:sz w:val="20"/>
                <w:szCs w:val="20"/>
                <w:color w:val="auto"/>
              </w:rPr>
            </w:pPr>
            <w:r>
              <w:rPr>
                <w:rFonts w:ascii="Arial" w:cs="Arial" w:eastAsia="Arial" w:hAnsi="Arial"/>
                <w:sz w:val="18"/>
                <w:szCs w:val="18"/>
                <w:color w:val="0000FF"/>
              </w:rPr>
              <w:t>Mine Safety Disclosures</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72"/>
        </w:trPr>
        <w:tc>
          <w:tcPr>
            <w:tcW w:w="9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rPr>
              <w:t>PART II</w:t>
            </w:r>
          </w:p>
        </w:tc>
        <w:tc>
          <w:tcPr>
            <w:tcW w:w="20" w:type="dxa"/>
            <w:vAlign w:val="bottom"/>
            <w:tcBorders>
              <w:bottom w:val="single" w:sz="8" w:color="0000EE"/>
            </w:tcBorders>
          </w:tcPr>
          <w:p>
            <w:pPr>
              <w:spacing w:after="0"/>
              <w:rPr>
                <w:sz w:val="24"/>
                <w:szCs w:val="24"/>
                <w:color w:val="auto"/>
              </w:rPr>
            </w:pPr>
          </w:p>
        </w:tc>
        <w:tc>
          <w:tcPr>
            <w:tcW w:w="454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34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0"/>
              </w:rPr>
              <w:t>Market for the Registrant’s Common Equity, Related Stockholder Matters and Issuer Purchases of Equity Securities</w:t>
            </w:r>
          </w:p>
        </w:tc>
        <w:tc>
          <w:tcPr>
            <w:tcW w:w="8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33"/>
          </w:tcPr>
          <w:p>
            <w:pPr>
              <w:spacing w:after="0"/>
              <w:rPr>
                <w:sz w:val="20"/>
                <w:szCs w:val="20"/>
                <w:color w:val="auto"/>
              </w:rPr>
            </w:pPr>
            <w:r>
              <w:rPr>
                <w:rFonts w:ascii="Arial" w:cs="Arial" w:eastAsia="Arial" w:hAnsi="Arial"/>
                <w:sz w:val="18"/>
                <w:szCs w:val="18"/>
                <w:color w:val="0000FF"/>
              </w:rPr>
              <w:t>[Reserved]</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9200" w:type="dxa"/>
            <w:vAlign w:val="bottom"/>
            <w:gridSpan w:val="3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760" w:type="dxa"/>
            <w:vAlign w:val="bottom"/>
            <w:gridSpan w:val="4"/>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Financial Statements and Supplementary Data</w:t>
            </w:r>
          </w:p>
        </w:tc>
        <w:tc>
          <w:tcPr>
            <w:tcW w:w="490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9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9200" w:type="dxa"/>
            <w:vAlign w:val="bottom"/>
            <w:gridSpan w:val="3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Controls and Procedures</w:t>
            </w:r>
          </w:p>
        </w:tc>
        <w:tc>
          <w:tcPr>
            <w:tcW w:w="2700" w:type="dxa"/>
            <w:vAlign w:val="bottom"/>
            <w:gridSpan w:val="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Other Information</w:t>
            </w:r>
          </w:p>
        </w:tc>
        <w:tc>
          <w:tcPr>
            <w:tcW w:w="7440" w:type="dxa"/>
            <w:vAlign w:val="bottom"/>
            <w:gridSpan w:val="2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9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4300" w:type="dxa"/>
            <w:vAlign w:val="bottom"/>
            <w:gridSpan w:val="6"/>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71"/>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Borders>
              <w:bottom w:val="single" w:sz="8" w:color="0000FF"/>
            </w:tcBorders>
            <w:gridSpan w:val="9"/>
          </w:tcPr>
          <w:p>
            <w:pPr>
              <w:jc w:val="center"/>
              <w:spacing w:after="0"/>
              <w:rPr>
                <w:sz w:val="20"/>
                <w:szCs w:val="20"/>
                <w:color w:val="auto"/>
              </w:rPr>
            </w:pPr>
            <w:r>
              <w:rPr>
                <w:rFonts w:ascii="Arial" w:cs="Arial" w:eastAsia="Arial" w:hAnsi="Arial"/>
                <w:sz w:val="18"/>
                <w:szCs w:val="18"/>
                <w:b w:val="1"/>
                <w:bCs w:val="1"/>
                <w:color w:val="0000FF"/>
              </w:rPr>
              <w:t>PART III</w:t>
            </w:r>
          </w:p>
        </w:tc>
        <w:tc>
          <w:tcPr>
            <w:tcW w:w="452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3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89"/>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9"/>
          </w:tcPr>
          <w:p>
            <w:pPr>
              <w:spacing w:after="0"/>
              <w:rPr>
                <w:sz w:val="24"/>
                <w:szCs w:val="24"/>
                <w:color w:val="auto"/>
              </w:rPr>
            </w:pPr>
          </w:p>
        </w:tc>
        <w:tc>
          <w:tcPr>
            <w:tcW w:w="5120" w:type="dxa"/>
            <w:vAlign w:val="bottom"/>
            <w:gridSpan w:val="1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9200" w:type="dxa"/>
            <w:vAlign w:val="bottom"/>
            <w:gridSpan w:val="3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3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920" w:type="dxa"/>
            <w:vAlign w:val="bottom"/>
            <w:gridSpan w:val="2"/>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8"/>
          </w:tcPr>
          <w:p>
            <w:pPr>
              <w:spacing w:after="0"/>
              <w:rPr>
                <w:sz w:val="20"/>
                <w:szCs w:val="20"/>
                <w:color w:val="auto"/>
              </w:rPr>
            </w:pPr>
            <w:r>
              <w:rPr>
                <w:rFonts w:ascii="Arial" w:cs="Arial" w:eastAsia="Arial" w:hAnsi="Arial"/>
                <w:sz w:val="18"/>
                <w:szCs w:val="18"/>
                <w:color w:val="0000FF"/>
              </w:rPr>
              <w:t>Principal Accounting Fees and Services</w:t>
            </w:r>
          </w:p>
        </w:tc>
        <w:tc>
          <w:tcPr>
            <w:tcW w:w="3760" w:type="dxa"/>
            <w:vAlign w:val="bottom"/>
            <w:gridSpan w:val="5"/>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71"/>
        </w:trPr>
        <w:tc>
          <w:tcPr>
            <w:tcW w:w="9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60" w:type="dxa"/>
            <w:vAlign w:val="bottom"/>
            <w:gridSpan w:val="16"/>
          </w:tcPr>
          <w:p>
            <w:pPr>
              <w:jc w:val="center"/>
              <w:ind w:right="4520"/>
              <w:spacing w:after="0"/>
              <w:rPr>
                <w:sz w:val="20"/>
                <w:szCs w:val="20"/>
                <w:color w:val="auto"/>
              </w:rPr>
            </w:pPr>
            <w:r>
              <w:rPr>
                <w:rFonts w:ascii="Arial" w:cs="Arial" w:eastAsia="Arial" w:hAnsi="Arial"/>
                <w:sz w:val="18"/>
                <w:szCs w:val="18"/>
                <w:b w:val="1"/>
                <w:bCs w:val="1"/>
                <w:color w:val="0000FF"/>
                <w:w w:val="98"/>
              </w:rPr>
              <w:t>PART IV</w:t>
            </w:r>
          </w:p>
        </w:tc>
        <w:tc>
          <w:tcPr>
            <w:tcW w:w="1060" w:type="dxa"/>
            <w:vAlign w:val="bottom"/>
          </w:tcPr>
          <w:p>
            <w:pPr>
              <w:spacing w:after="0"/>
              <w:rPr>
                <w:sz w:val="24"/>
                <w:szCs w:val="24"/>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Exhibits, Financial Statement Schedules</w:t>
            </w:r>
          </w:p>
        </w:tc>
        <w:tc>
          <w:tcPr>
            <w:tcW w:w="1060" w:type="dxa"/>
            <w:vAlign w:val="bottom"/>
            <w:gridSpan w:val="3"/>
          </w:tcPr>
          <w:p>
            <w:pPr>
              <w:spacing w:after="0"/>
              <w:rPr>
                <w:sz w:val="24"/>
                <w:szCs w:val="24"/>
                <w:color w:val="auto"/>
              </w:rPr>
            </w:pPr>
          </w:p>
        </w:tc>
        <w:tc>
          <w:tcPr>
            <w:tcW w:w="700" w:type="dxa"/>
            <w:vAlign w:val="bottom"/>
            <w:tcBorders>
              <w:top w:val="single" w:sz="8" w:color="0000FF"/>
            </w:tcBorders>
            <w:gridSpan w:val="7"/>
          </w:tcPr>
          <w:p>
            <w:pPr>
              <w:spacing w:after="0"/>
              <w:rPr>
                <w:sz w:val="24"/>
                <w:szCs w:val="24"/>
                <w:color w:val="auto"/>
              </w:rPr>
            </w:pPr>
          </w:p>
        </w:tc>
        <w:tc>
          <w:tcPr>
            <w:tcW w:w="4540" w:type="dxa"/>
            <w:vAlign w:val="bottom"/>
            <w:gridSpan w:val="8"/>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Item 16.</w:t>
            </w:r>
          </w:p>
        </w:tc>
        <w:tc>
          <w:tcPr>
            <w:tcW w:w="9200" w:type="dxa"/>
            <w:vAlign w:val="bottom"/>
            <w:gridSpan w:val="33"/>
          </w:tcPr>
          <w:p>
            <w:pPr>
              <w:spacing w:after="0"/>
              <w:rPr>
                <w:sz w:val="20"/>
                <w:szCs w:val="20"/>
                <w:color w:val="auto"/>
              </w:rPr>
            </w:pPr>
            <w:r>
              <w:rPr>
                <w:rFonts w:ascii="Arial" w:cs="Arial" w:eastAsia="Arial" w:hAnsi="Arial"/>
                <w:sz w:val="18"/>
                <w:szCs w:val="18"/>
                <w:color w:val="0000FF"/>
              </w:rPr>
              <w:t>Form 10-K Summary</w:t>
            </w: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9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7660" w:type="dxa"/>
            <w:vAlign w:val="bottom"/>
            <w:gridSpan w:val="2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140" w:type="dxa"/>
            <w:vAlign w:val="bottom"/>
            <w:gridSpan w:val="34"/>
          </w:tcPr>
          <w:p>
            <w:pPr>
              <w:spacing w:after="0"/>
              <w:rPr>
                <w:sz w:val="20"/>
                <w:szCs w:val="20"/>
                <w:color w:val="auto"/>
              </w:rPr>
            </w:pPr>
            <w:r>
              <w:rPr>
                <w:rFonts w:ascii="Arial" w:cs="Arial" w:eastAsia="Arial" w:hAnsi="Arial"/>
                <w:sz w:val="18"/>
                <w:szCs w:val="18"/>
                <w:b w:val="1"/>
                <w:bCs w:val="1"/>
                <w:color w:val="0000FF"/>
              </w:rPr>
              <w:t>SIGNATURES</w:t>
            </w: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940" w:type="dxa"/>
            <w:vAlign w:val="bottom"/>
            <w:tcBorders>
              <w:left w:val="single" w:sz="8" w:color="0000EE"/>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58"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2022, and in other securities filings by Great Lakes with the SEC.</w:t>
      </w:r>
    </w:p>
    <w:p>
      <w:pPr>
        <w:spacing w:after="0" w:line="16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“we,” “our,” “ours,” “us,” “Great Lakes” and “Company” refer to Great Lakes Dredge &amp; Dock Corporation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35" w:lineRule="exact"/>
        <w:rPr>
          <w:sz w:val="20"/>
          <w:szCs w:val="20"/>
          <w:color w:val="auto"/>
        </w:rPr>
      </w:pPr>
    </w:p>
    <w:p>
      <w:pPr>
        <w:ind w:right="280" w:firstLine="509"/>
        <w:spacing w:after="0" w:line="342" w:lineRule="auto"/>
        <w:rPr>
          <w:sz w:val="20"/>
          <w:szCs w:val="20"/>
          <w:color w:val="auto"/>
        </w:rPr>
      </w:pPr>
      <w:r>
        <w:rPr>
          <w:rFonts w:ascii="Arial" w:cs="Arial" w:eastAsia="Arial" w:hAnsi="Arial"/>
          <w:sz w:val="16"/>
          <w:szCs w:val="16"/>
          <w:color w:val="auto"/>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w:t>
      </w:r>
    </w:p>
    <w:p>
      <w:pPr>
        <w:spacing w:after="0" w:line="124"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The Company now operates on the East and Gulf coastlines and throughout many inland U.S. waterways. Since its founding, Great Lakes has been a leader in the building and maintenance of the nation's navigation system, the protection of shore lines, the restoration of sensitive habitats, and the creation of critical aquatic infrastructure.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operates in one operating segment, which is also the Company’s one reportable segment and reporting unit.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35% over the prior three years, including 49%, 54%, 17% and 23% of the domestic capital, coastal protection, maintenance and rivers &amp; lakes sectors, respectively.</w:t>
      </w:r>
    </w:p>
    <w:p>
      <w:pPr>
        <w:spacing w:after="0" w:line="17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Over its 132 year history, the Company has grown to be a leader in capital, coastal protection and maintenance dredging in the United States and is one of the oldest and most experienced dredging companies in the country. The Company’s foreign projects are typically categorized in the capital work type, but are not included in the aforementioned bid market.</w:t>
      </w:r>
    </w:p>
    <w:p>
      <w:pPr>
        <w:spacing w:after="0" w:line="184"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i w:val="1"/>
          <w:iCs w:val="1"/>
          <w:color w:val="auto"/>
        </w:rPr>
        <w:t xml:space="preserve">Capital (domestic is 53% of 2022 revenues). </w:t>
      </w:r>
      <w:r>
        <w:rPr>
          <w:rFonts w:ascii="Arial" w:cs="Arial" w:eastAsia="Arial" w:hAnsi="Arial"/>
          <w:sz w:val="17"/>
          <w:szCs w:val="17"/>
          <w:color w:val="auto"/>
        </w:rPr>
        <w:t>Capital dredging consists primarily of port expansion projects, which involve the deepening of</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76"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i w:val="1"/>
          <w:iCs w:val="1"/>
          <w:color w:val="auto"/>
        </w:rPr>
        <w:t xml:space="preserve">Coastal protection (30% of 2022 revenues). </w:t>
      </w:r>
      <w:r>
        <w:rPr>
          <w:rFonts w:ascii="Arial" w:cs="Arial" w:eastAsia="Arial" w:hAnsi="Arial"/>
          <w:sz w:val="17"/>
          <w:szCs w:val="17"/>
          <w:color w:val="auto"/>
        </w:rPr>
        <w:t>Coastal protection projects generally involve moving sand from the ocean floor to shoreline locations</w:t>
      </w:r>
      <w:r>
        <w:rPr>
          <w:rFonts w:ascii="Arial" w:cs="Arial" w:eastAsia="Arial" w:hAnsi="Arial"/>
          <w:sz w:val="17"/>
          <w:szCs w:val="17"/>
          <w:i w:val="1"/>
          <w:iCs w:val="1"/>
          <w:color w:val="auto"/>
        </w:rPr>
        <w:t xml:space="preserve"> </w:t>
      </w:r>
      <w:r>
        <w:rPr>
          <w:rFonts w:ascii="Arial" w:cs="Arial" w:eastAsia="Arial" w:hAnsi="Arial"/>
          <w:sz w:val="17"/>
          <w:szCs w:val="17"/>
          <w:color w:val="auto"/>
        </w:rPr>
        <w:t>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spacing w:after="0" w:line="178"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i w:val="1"/>
          <w:iCs w:val="1"/>
          <w:color w:val="auto"/>
        </w:rPr>
        <w:t xml:space="preserve">Maintenance (15% of 2022 revenues). </w:t>
      </w:r>
      <w:r>
        <w:rPr>
          <w:rFonts w:ascii="Arial" w:cs="Arial" w:eastAsia="Arial" w:hAnsi="Arial"/>
          <w:sz w:val="16"/>
          <w:szCs w:val="16"/>
          <w:color w:val="auto"/>
        </w:rPr>
        <w:t>Maintenance dredging consists of the re-dredging of previously deepened waterways and harbors to remove</w:t>
      </w:r>
      <w:r>
        <w:rPr>
          <w:rFonts w:ascii="Arial" w:cs="Arial" w:eastAsia="Arial" w:hAnsi="Arial"/>
          <w:sz w:val="16"/>
          <w:szCs w:val="16"/>
          <w:i w:val="1"/>
          <w:iCs w:val="1"/>
          <w:color w:val="auto"/>
        </w:rPr>
        <w:t xml:space="preserve"> </w:t>
      </w:r>
      <w:r>
        <w:rPr>
          <w:rFonts w:ascii="Arial" w:cs="Arial" w:eastAsia="Arial" w:hAnsi="Arial"/>
          <w:sz w:val="16"/>
          <w:szCs w:val="16"/>
          <w:color w:val="auto"/>
        </w:rPr>
        <w:t>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and drive the need for maintenance dredging.</w:t>
      </w:r>
    </w:p>
    <w:p>
      <w:pPr>
        <w:spacing w:after="0" w:line="15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i w:val="1"/>
          <w:iCs w:val="1"/>
          <w:color w:val="auto"/>
        </w:rPr>
        <w:t xml:space="preserve">Foreign (less than 1% of 2022 revenues). </w:t>
      </w:r>
      <w:r>
        <w:rPr>
          <w:rFonts w:ascii="Arial" w:cs="Arial" w:eastAsia="Arial" w:hAnsi="Arial"/>
          <w:sz w:val="18"/>
          <w:szCs w:val="18"/>
          <w:color w:val="auto"/>
        </w:rPr>
        <w:t>Foreign capital projects typically involve land reclamations, channel deepening and port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The Company targets foreign opportunities that are well suited to the Company’s equipment and where it faces reduced competition from its European competitors. Maintaining a presence in foreign markets has enabled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40"/>
        <w:spacing w:after="0" w:line="277" w:lineRule="auto"/>
        <w:rPr>
          <w:sz w:val="20"/>
          <w:szCs w:val="20"/>
          <w:color w:val="auto"/>
        </w:rPr>
      </w:pPr>
      <w:r>
        <w:rPr>
          <w:rFonts w:ascii="Arial" w:cs="Arial" w:eastAsia="Arial" w:hAnsi="Arial"/>
          <w:sz w:val="18"/>
          <w:szCs w:val="18"/>
          <w:color w:val="auto"/>
        </w:rPr>
        <w:t>Company to diversify its customer base and take advantage of differences in global economic development. Over the last two decades, the Company has performed dredging work in the Middle East, Africa, Australia, the Caribbean and Central and South America.</w:t>
      </w:r>
    </w:p>
    <w:p>
      <w:pPr>
        <w:spacing w:after="0" w:line="17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i w:val="1"/>
          <w:iCs w:val="1"/>
          <w:color w:val="auto"/>
        </w:rPr>
        <w:t xml:space="preserve">Rivers &amp; lakes (2% of 2022 revenues). </w:t>
      </w:r>
      <w:r>
        <w:rPr>
          <w:rFonts w:ascii="Arial" w:cs="Arial" w:eastAsia="Arial" w:hAnsi="Arial"/>
          <w:sz w:val="17"/>
          <w:szCs w:val="17"/>
          <w:color w:val="auto"/>
        </w:rPr>
        <w:t>Domestic rivers and lakes dredging and related operations typically consist of lake and river dredging, inland</w:t>
      </w:r>
      <w:r>
        <w:rPr>
          <w:rFonts w:ascii="Arial" w:cs="Arial" w:eastAsia="Arial" w:hAnsi="Arial"/>
          <w:sz w:val="17"/>
          <w:szCs w:val="17"/>
          <w:i w:val="1"/>
          <w:iCs w:val="1"/>
          <w:color w:val="auto"/>
        </w:rPr>
        <w:t xml:space="preserve"> </w:t>
      </w:r>
      <w:r>
        <w:rPr>
          <w:rFonts w:ascii="Arial" w:cs="Arial" w:eastAsia="Arial" w:hAnsi="Arial"/>
          <w:sz w:val="17"/>
          <w:szCs w:val="17"/>
          <w:color w:val="auto"/>
        </w:rPr>
        <w:t>levee and construction dredging, environmental restoration and habitat improvement and other marine construction projects. Although the Mississippi River has a large source of projects on which the Company bids, certain dredges used on these projects are more portable and able to be transported to take advantage of the fragmented market. Generally, inland river and lake projects in the northern U.S. take place in non-winter months because frozen waterways significantly reduce contractors’ ability to operate and transport its equipment in the relevant geographies.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Offshore Wind Market</w:t>
      </w:r>
    </w:p>
    <w:p>
      <w:pPr>
        <w:spacing w:after="0" w:line="225"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While the Company continues to reinvest in our core dredging business and renew our dredging fleet, we are strategically entering the nascent U.S. offshore wind market. Entering the U.S. offshore wind market offers us the opportunity to diversify our client base, enter a different market and grow our bottom line, while also enhancing the Company’s efforts towards sustainability and renewable energy.</w:t>
      </w:r>
    </w:p>
    <w:p>
      <w:pPr>
        <w:spacing w:after="0" w:line="18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Company has already established a first mover advantage in scour protection installation for offshore wind foundations, cables, and offshore substations. We are building the first Jones Act compliant rock installation vessel in the U.S. and winning the first rock installation contract for the Empire Wind I and II wind farms.</w:t>
      </w:r>
    </w:p>
    <w:p>
      <w:pPr>
        <w:spacing w:after="0" w:line="18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expect to continue to build our offshore wind capabilities, win rock installation projects and position for growth in the accelerating U.S. offshore wind market, as many of our European competitors have done in the international offshore wind markets.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 Demand Drivers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services:</w:t>
      </w:r>
    </w:p>
    <w:p>
      <w:pPr>
        <w:spacing w:after="0" w:line="131" w:lineRule="exact"/>
        <w:rPr>
          <w:sz w:val="20"/>
          <w:szCs w:val="20"/>
          <w:color w:val="auto"/>
        </w:rPr>
      </w:pPr>
    </w:p>
    <w:p>
      <w:pPr>
        <w:ind w:left="1020" w:hanging="503"/>
        <w:spacing w:after="0" w:line="28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Deep port capital projects. </w:t>
      </w:r>
      <w:r>
        <w:rPr>
          <w:rFonts w:ascii="Arial" w:cs="Arial" w:eastAsia="Arial" w:hAnsi="Arial"/>
          <w:sz w:val="16"/>
          <w:szCs w:val="16"/>
          <w:color w:val="auto"/>
        </w:rPr>
        <w:t>Since the Panama Canal Expansion project, the market for dredging has expanded as most of the East Coast and</w:t>
      </w:r>
      <w:r>
        <w:rPr>
          <w:rFonts w:ascii="Arial" w:cs="Arial" w:eastAsia="Arial" w:hAnsi="Arial"/>
          <w:sz w:val="16"/>
          <w:szCs w:val="16"/>
          <w:i w:val="1"/>
          <w:iCs w:val="1"/>
          <w:color w:val="auto"/>
        </w:rPr>
        <w:t xml:space="preserve"> </w:t>
      </w:r>
      <w:r>
        <w:rPr>
          <w:rFonts w:ascii="Arial" w:cs="Arial" w:eastAsia="Arial" w:hAnsi="Arial"/>
          <w:sz w:val="16"/>
          <w:szCs w:val="16"/>
          <w:color w:val="auto"/>
        </w:rPr>
        <w:t>Gulf ports have deepening and widening projects that are required to better meet the needs of maritime trade and enhance the capabilities to compete for international trade. In addition, shipping line manufacturers continue to deploy larger and deeper ships which require greater channel depths for travel. Many U.S. ports are constrained due to the channel dimension requirements that are needed to accommodate these vessels. The Company has worked on several port deepenings along the East and Gulf coasts over the past years, starting with Miami in 2015 and continuing through today including our current projects in Houston and Corpus Christi. In December 2022, the Omnibus Appropriations Bill for the fiscal year 2023 was passed which included a record budget of $8.66 billion for the U.S. Army Corps of Engineers (the "Corps"). These appropriations are expected to fund the continuation of port deepening bids in 2023 for the ports of Sabine, Freeport, Mobile, San Juan, Houston, Corpus Christi and additional phases of Norfolk. Also, at the end of the year, the Water Resources Development Act ("WRDA") of 2022 ("WRDA 2022"), was approved by Congress and signed into law by the President. WRDA 2022 is on a two-year renewal cycle and includes legislation that authorizes the financing of Corps’ projects for flood and hurricane protection, dredging, ecosystem restoration and other construction projects. WRDA 2022 featured among many other things authorization for New York and New Jersey shipping channels to be deepened to 55 feet, estimated at $6 billion. The Company views this legislation as a positive catalyst for the domestic dredging industry as it authorizes funding for critical infrastructure improvements that are needed throughout the U.S. Further, the WRDA 2022 bill authorizes studies for future water resources improvements and make modifications to previous authorizations. Port deepening projects are essential to maintaining safe and efficient navigation channels in ports and harbors along our coastlines. The Company believes that port deepening and expansion work authorized under current and anticipated future legislation will continue to provide significant opportunities for the domestic dredging industry. The annual bid market for domestic capital dredging, which includes deep port capital dredging and Gulf Coast restoration, averaged $561 million over the prior three years.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503" w:right="20" w:hanging="503"/>
        <w:spacing w:after="0" w:line="287"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Substantial need for coastal protection. </w:t>
      </w:r>
      <w:r>
        <w:rPr>
          <w:rFonts w:ascii="Arial" w:cs="Arial" w:eastAsia="Arial" w:hAnsi="Arial"/>
          <w:sz w:val="16"/>
          <w:szCs w:val="16"/>
          <w:color w:val="auto"/>
        </w:rPr>
        <w:t>Beach erosion is a recurring problem due to the normal ebb and flow of coastlines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As a result of the extreme storm systems in prior years involving Hurricanes Harvey, Irma, and Maria,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In addition, the Disaster Relief Supplemental Appropriations Act for fiscal year 2023 was approved which included $1.48 billion for the Corps to make necessary repairs to infrastructure impacted by hurricanes and other natural disasters and to initiate coastal protection projects that will increase coastal resiliency. This increased budget and additional funding support our expectation for a stronger market in 2023. The annual bid market for coastal protection over the prior three years averaged $365 million.</w:t>
      </w:r>
    </w:p>
    <w:p>
      <w:pPr>
        <w:spacing w:after="0" w:line="73" w:lineRule="exact"/>
        <w:rPr>
          <w:rFonts w:ascii="Arial" w:cs="Arial" w:eastAsia="Arial" w:hAnsi="Arial"/>
          <w:sz w:val="16"/>
          <w:szCs w:val="16"/>
          <w:color w:val="auto"/>
        </w:rPr>
      </w:pPr>
    </w:p>
    <w:p>
      <w:pPr>
        <w:ind w:left="503" w:right="60" w:hanging="503"/>
        <w:spacing w:after="0" w:line="286"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Required maintenance of U.S. ports. </w:t>
      </w:r>
      <w:r>
        <w:rPr>
          <w:rFonts w:ascii="Arial" w:cs="Arial" w:eastAsia="Arial" w:hAnsi="Arial"/>
          <w:sz w:val="16"/>
          <w:szCs w:val="16"/>
          <w:color w:val="auto"/>
        </w:rPr>
        <w:t>The channels and waterways leading to U.S. ports have stated depths on which shippers rely when</w:t>
      </w:r>
      <w:r>
        <w:rPr>
          <w:rFonts w:ascii="Arial" w:cs="Arial" w:eastAsia="Arial" w:hAnsi="Arial"/>
          <w:sz w:val="16"/>
          <w:szCs w:val="16"/>
          <w:i w:val="1"/>
          <w:iCs w:val="1"/>
          <w:color w:val="auto"/>
        </w:rPr>
        <w:t xml:space="preserve"> </w:t>
      </w:r>
      <w:r>
        <w:rPr>
          <w:rFonts w:ascii="Arial" w:cs="Arial" w:eastAsia="Arial" w:hAnsi="Arial"/>
          <w:sz w:val="16"/>
          <w:szCs w:val="16"/>
          <w:color w:val="auto"/>
        </w:rPr>
        <w:t>entering 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Additionally, on March 27, 2020, the U.S. government enacted the Coronavirus Aid, Relief and Economic Security Act (the “CARES Act”) which includes a provision that lifts caps on the Harbor Maintenance Trust Fund (“HMTF”), thereby allowing full access to future annual revenues. In December 2022, the Omnibus Appropriations Bill for fiscal year 2023 was passed which included another record budget of $8.66 billion for the Corps civil works program of which $2.32 billion is provided for the Harbor Maintenance Trust Fund to maintain and modernize our nation’s waterways, an increase of $269 million above the FY22 level. Through the increased appropriation of HMTF monies, the Company anticipates increased funding for harbor maintenance projects to be let for bid throughout 2023 and beyond. Corps projects involving deepening, maintenance and coastal dredging are in line for robust funding continuing the trend of recent years. The annual bid market for maintenance dredging over the prior three years averaged $776 million.</w:t>
      </w:r>
    </w:p>
    <w:p>
      <w:pPr>
        <w:spacing w:after="0" w:line="65" w:lineRule="exact"/>
        <w:rPr>
          <w:rFonts w:ascii="Arial" w:cs="Arial" w:eastAsia="Arial" w:hAnsi="Arial"/>
          <w:sz w:val="16"/>
          <w:szCs w:val="16"/>
          <w:color w:val="auto"/>
        </w:rPr>
      </w:pPr>
    </w:p>
    <w:p>
      <w:pPr>
        <w:ind w:left="503" w:right="80" w:hanging="503"/>
        <w:spacing w:after="0" w:line="268"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Gulf coast restoration. </w:t>
      </w:r>
      <w:r>
        <w:rPr>
          <w:rFonts w:ascii="Arial" w:cs="Arial" w:eastAsia="Arial" w:hAnsi="Arial"/>
          <w:sz w:val="17"/>
          <w:szCs w:val="17"/>
          <w:color w:val="auto"/>
        </w:rPr>
        <w:t>There has been continued focus on restoring the barrier islands and wetlands that provide natural protection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storms in the Gulf Coast area. Many restoration projects have commenced to repair coastal areas. Several additional projects are being planned by state and local governments to restore natural barriers. The State of Louisiana has proposed an update to its master plan calling for a $50 billion investment in its coastal infrastructure. By law, the Louisiana Coastal Protection and Restoration Authority (“CPRA”) must update its coastal master plan every six years and let the latest science guide each iteration. The 2023 draft plan marks the fourth released by the agency since it formed in 2005 following Hurricane Katrina. The 2023 draft plan contains 73 proposed projects aimed to lower the threat of storm surge and maintain as much of a natural buffer between communities and the Gulf of Mexico as possible. Most of those specific projects are for coastal restoration, such as dredging sediment from water bottoms and pumping it elsewhere to create marsh, ridges or other natural features that provide habitat and storm protection. A handful of the projects involve diverting Mississippi River water into nearby bays to reconnect to a natural source of fresh water and sediment. Coastal restoration accounts for half the cost of the plan’s $50 billion aspirations. Many of the Gulf States, including Louisiana, have previously committed to spending a portion of the nearly $20 billion in fines received from the 2015 BP settlement of the Deepwater Horizon oil spill to repair the natural resources impacted by the event including coastal restoration projects that include dredging.</w:t>
      </w:r>
    </w:p>
    <w:p>
      <w:pPr>
        <w:spacing w:after="0" w:line="78" w:lineRule="exact"/>
        <w:rPr>
          <w:rFonts w:ascii="Arial" w:cs="Arial" w:eastAsia="Arial" w:hAnsi="Arial"/>
          <w:sz w:val="17"/>
          <w:szCs w:val="17"/>
          <w:color w:val="auto"/>
        </w:rPr>
      </w:pPr>
    </w:p>
    <w:p>
      <w:pPr>
        <w:ind w:left="503" w:hanging="503"/>
        <w:spacing w:after="0" w:line="269"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Renewable energy projects. </w:t>
      </w:r>
      <w:r>
        <w:rPr>
          <w:rFonts w:ascii="Arial" w:cs="Arial" w:eastAsia="Arial" w:hAnsi="Arial"/>
          <w:sz w:val="17"/>
          <w:szCs w:val="17"/>
          <w:color w:val="auto"/>
        </w:rPr>
        <w:t>The growth in demand for transportation of energy worldwide has driven the need for dredging to support new</w:t>
      </w:r>
      <w:r>
        <w:rPr>
          <w:rFonts w:ascii="Arial" w:cs="Arial" w:eastAsia="Arial" w:hAnsi="Arial"/>
          <w:sz w:val="17"/>
          <w:szCs w:val="17"/>
          <w:i w:val="1"/>
          <w:iCs w:val="1"/>
          <w:color w:val="auto"/>
        </w:rPr>
        <w:t xml:space="preserve"> </w:t>
      </w:r>
      <w:r>
        <w:rPr>
          <w:rFonts w:ascii="Arial" w:cs="Arial" w:eastAsia="Arial" w:hAnsi="Arial"/>
          <w:sz w:val="17"/>
          <w:szCs w:val="17"/>
          <w:color w:val="auto"/>
        </w:rPr>
        <w:t>terminals, harbors, channels and pipelines. Europe is currently re-evaluating their sourcing of energy after the Russian invasion of Ukraine which will require imports of large quantities of Liquefied Natural Gas (“LNG”). In turn, several LNG, petrochemical and crude oil projects are creating the need for port development in support of energy exports. Several North American LNG export projects have been delayed in the past couple of years during the pandemic but with the increase in LNG prices, some of these LNG projects are currently gaining momentum and are targeting final investment decisions in 2023. Additionally, as the offshore wind market develops in the U.S., port facilities will need to meet specific requirements to be able to service this industry. We anticipate these ports will require investments for port improvements that will include some dredging in order to serve as marshaling ports for various offshore wind projects. The Company continues to expect that future global energy demand will necessitate improvements in the renewable energy infrastructure base and around sources of rich resources and in countries that import or export global energy.</w:t>
      </w:r>
    </w:p>
    <w:p>
      <w:pPr>
        <w:spacing w:after="0" w:line="185"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5" w:right="339" w:bottom="1440" w:gutter="0" w:footer="0" w:header="0"/>
        </w:sectPr>
      </w:pPr>
    </w:p>
    <w:bookmarkStart w:id="6" w:name="page7"/>
    <w:bookmarkEnd w:id="6"/>
    <w:p>
      <w:pPr>
        <w:jc w:val="both"/>
        <w:ind w:right="60" w:firstLine="509"/>
        <w:spacing w:after="0" w:line="263" w:lineRule="auto"/>
        <w:rPr>
          <w:sz w:val="20"/>
          <w:szCs w:val="20"/>
          <w:color w:val="auto"/>
        </w:rPr>
      </w:pPr>
      <w:r>
        <w:rPr>
          <w:rFonts w:ascii="Arial" w:cs="Arial" w:eastAsia="Arial" w:hAnsi="Arial"/>
          <w:sz w:val="18"/>
          <w:szCs w:val="18"/>
          <w:color w:val="auto"/>
        </w:rPr>
        <w:t>For additional details regarding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dredging industry’s customers include federal, state and local governments, foreign governments and both domestic and foreign private concerns, such as utilities and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2022, approximately 67% of the Company’s dredging revenues were generated from 34 different contracts with federal agencies or third parties operating under contracts with federal agencies.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12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spacing w:after="0" w:line="18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among other things, the contractor’s experience, equipment and schedule, contractual terms, as well as price. While substantially all of the Company’s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Project Guarantees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85"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Company has bonding agreements with Argonaut Insurance Company ("Argo"), Berkley Insurance Company, Chubb Surety ("Chubb"), Travelers Casualty and Surety Company of America ("Travelers"), Zurich American Insurance Company, and Liberty Mutual Insurance Company ("Liberty"), (collectively, the “Sureties”) under which the Company can obtain performance, bid and payment bonds. The Company also currently has outstanding bonds with Argo, Chubb, Travelers, and Liberty. Great Lakes has never experienced difficulty in obtaining bonding for any of its projects and Great Lakes has never failed to complete a marine project in its 132 year history.</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For certain projects, including foreign, private, and offshore wind projects, letters of credit or bank guarantees are required as security for the performance and, if applicable, bid or advance payment guarantees. The Company obtains its letters of credit under the Amended Credit Agreement (as defined below). Bid guarantees are usually 2% to 5% of the service provider’s bid. Performance and advance payment guarantees are each typically 5% to 10% of the contract value.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 U.S. dredging industry is highly fragmented composed of many small operators,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three other companies comprised approximately 80% of the Company’s defined bid market related to domestic capital, coastal protection, maintenance and rivers</w:t>
      </w:r>
    </w:p>
    <w:p>
      <w:pPr>
        <w:spacing w:after="0" w:line="2" w:lineRule="exact"/>
        <w:rPr>
          <w:sz w:val="20"/>
          <w:szCs w:val="20"/>
          <w:color w:val="auto"/>
        </w:rPr>
      </w:pPr>
    </w:p>
    <w:p>
      <w:pPr>
        <w:ind w:right="200" w:firstLine="8"/>
        <w:spacing w:after="0" w:line="253"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lakes over the prior three years. Within the Company’s bid market, competition is determined primarily on the basis of price. In addition, the Foreign Dredge Act of 1906 (the “Dredging Act”) and Section 27 of the Merchant Marine Act of 1920 (the “Jones Act”) provide significant barriers to entry with respect to foreign competition. Together these two laws prohibit foreign-built, chartered or operated vessels from competing in the U.S. See “Business— Government Regulations” below.</w:t>
      </w:r>
    </w:p>
    <w:p>
      <w:pPr>
        <w:spacing w:after="0" w:line="193"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Competition in the international market is dominated by four large European dredging companies all of which operate larger equipment and fleets that are more extensive than the Company’s fleet. Additionally, a large Chinese dredging company controls most of its home market and is a key player in the international market. There are also several governmentally supported dredging companies that operate on a local or regional basis. The Company targets opportunities that are well suited to its equipment and where it can be most competitive.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70"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i w:val="1"/>
          <w:iCs w:val="1"/>
          <w:color w:val="auto"/>
        </w:rPr>
        <w:t xml:space="preserve">Hopper Dredges. </w:t>
      </w:r>
      <w:r>
        <w:rPr>
          <w:rFonts w:ascii="Arial" w:cs="Arial" w:eastAsia="Arial" w:hAnsi="Arial"/>
          <w:sz w:val="17"/>
          <w:szCs w:val="17"/>
          <w:color w:val="auto"/>
        </w:rPr>
        <w:t>Hopper dredges are typically self-propelled and have the general appearance of an ocean-going vessel. The dredge has hollow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hulls, 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The Company is currently building a 6,500 cubic yard trailing suction hopper dredge, the </w:t>
      </w:r>
      <w:r>
        <w:rPr>
          <w:rFonts w:ascii="Arial" w:cs="Arial" w:eastAsia="Arial" w:hAnsi="Arial"/>
          <w:sz w:val="17"/>
          <w:szCs w:val="17"/>
          <w:i w:val="1"/>
          <w:iCs w:val="1"/>
          <w:color w:val="auto"/>
        </w:rPr>
        <w:t>Galveston Island</w:t>
      </w:r>
      <w:r>
        <w:rPr>
          <w:rFonts w:ascii="Arial" w:cs="Arial" w:eastAsia="Arial" w:hAnsi="Arial"/>
          <w:sz w:val="17"/>
          <w:szCs w:val="17"/>
          <w:color w:val="auto"/>
        </w:rPr>
        <w:t xml:space="preserve">, which is expected to be operational mid-year 2023, additionally, in June 2022 the Company exercised the contract option with the same builder to build a second 6,500 cubic yard trailing suction hopper dredge, the </w:t>
      </w:r>
      <w:r>
        <w:rPr>
          <w:rFonts w:ascii="Arial" w:cs="Arial" w:eastAsia="Arial" w:hAnsi="Arial"/>
          <w:sz w:val="17"/>
          <w:szCs w:val="17"/>
          <w:i w:val="1"/>
          <w:iCs w:val="1"/>
          <w:color w:val="auto"/>
        </w:rPr>
        <w:t>Amelia Island</w:t>
      </w:r>
      <w:r>
        <w:rPr>
          <w:rFonts w:ascii="Arial" w:cs="Arial" w:eastAsia="Arial" w:hAnsi="Arial"/>
          <w:sz w:val="17"/>
          <w:szCs w:val="17"/>
          <w:color w:val="auto"/>
        </w:rPr>
        <w:t xml:space="preserve">, with expected delivery in the first half of 2025. The delivery of the new </w:t>
      </w:r>
      <w:r>
        <w:rPr>
          <w:rFonts w:ascii="Arial" w:cs="Arial" w:eastAsia="Arial" w:hAnsi="Arial"/>
          <w:sz w:val="17"/>
          <w:szCs w:val="17"/>
          <w:i w:val="1"/>
          <w:iCs w:val="1"/>
          <w:color w:val="auto"/>
        </w:rPr>
        <w:t>Galveston Island</w:t>
      </w:r>
      <w:r>
        <w:rPr>
          <w:rFonts w:ascii="Arial" w:cs="Arial" w:eastAsia="Arial" w:hAnsi="Arial"/>
          <w:sz w:val="17"/>
          <w:szCs w:val="17"/>
          <w:color w:val="auto"/>
        </w:rPr>
        <w:t xml:space="preserve"> and </w:t>
      </w:r>
      <w:r>
        <w:rPr>
          <w:rFonts w:ascii="Arial" w:cs="Arial" w:eastAsia="Arial" w:hAnsi="Arial"/>
          <w:sz w:val="17"/>
          <w:szCs w:val="17"/>
          <w:i w:val="1"/>
          <w:iCs w:val="1"/>
          <w:color w:val="auto"/>
        </w:rPr>
        <w:t>Amelia Island</w:t>
      </w:r>
      <w:r>
        <w:rPr>
          <w:rFonts w:ascii="Arial" w:cs="Arial" w:eastAsia="Arial" w:hAnsi="Arial"/>
          <w:sz w:val="17"/>
          <w:szCs w:val="17"/>
          <w:color w:val="auto"/>
        </w:rPr>
        <w:t xml:space="preserve"> hopper dredges will provide the Company with added capacity and the opportunity to potentially retire older dredges.</w:t>
      </w:r>
    </w:p>
    <w:p>
      <w:pPr>
        <w:spacing w:after="0" w:line="18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i w:val="1"/>
          <w:iCs w:val="1"/>
          <w:color w:val="auto"/>
        </w:rPr>
        <w:t xml:space="preserve">Hydraulic Dredges. </w:t>
      </w:r>
      <w:r>
        <w:rPr>
          <w:rFonts w:ascii="Arial" w:cs="Arial" w:eastAsia="Arial" w:hAnsi="Arial"/>
          <w:sz w:val="17"/>
          <w:szCs w:val="17"/>
          <w:color w:val="auto"/>
        </w:rPr>
        <w:t>Hydraulic dredges remove material using a revolving cutterhead which cuts and churns the sediment on the channel or ocean</w:t>
      </w:r>
      <w:r>
        <w:rPr>
          <w:rFonts w:ascii="Arial" w:cs="Arial" w:eastAsia="Arial" w:hAnsi="Arial"/>
          <w:sz w:val="17"/>
          <w:szCs w:val="17"/>
          <w:i w:val="1"/>
          <w:iCs w:val="1"/>
          <w:color w:val="auto"/>
        </w:rPr>
        <w:t xml:space="preserve"> </w:t>
      </w:r>
      <w:r>
        <w:rPr>
          <w:rFonts w:ascii="Arial" w:cs="Arial" w:eastAsia="Arial" w:hAnsi="Arial"/>
          <w:sz w:val="17"/>
          <w:szCs w:val="17"/>
          <w:color w:val="auto"/>
        </w:rPr>
        <w:t>floor 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There is a wide range of hydraulic dredges from our smaller rivers &amp; lakes vessels that use pipe sizes ranging from 10” to 22” and operate at between 365 and 3,200 total horsepower, while the Company’s other hydraulic dredges use pipe sizes ranging from 18” to 30” and operate at between 1,900 and 16,650 total horsepower.</w:t>
      </w:r>
    </w:p>
    <w:p>
      <w:pPr>
        <w:spacing w:after="0" w:line="178"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i w:val="1"/>
          <w:iCs w:val="1"/>
          <w:color w:val="auto"/>
        </w:rPr>
        <w:t xml:space="preserve">Mechanical Dredges. </w:t>
      </w:r>
      <w:r>
        <w:rPr>
          <w:rFonts w:ascii="Arial" w:cs="Arial" w:eastAsia="Arial" w:hAnsi="Arial"/>
          <w:sz w:val="16"/>
          <w:szCs w:val="16"/>
          <w:color w:val="auto"/>
        </w:rPr>
        <w:t>There are two basic types of mechanical dredges: clamshell and backhoe. In both types, the dredge uses a bucket to excavate</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from the channel or ocean floor. The dredged material is placed by the bucket into material barges, or “scows,” for transport to the designated disposal area. The scows are emptied by bottom-dumping, direct pump-out or removal by a crane with a bucket. The backhoe dredge is capable of removing hard-packed sediments, blasted rock and debris and can work in tight areas such as along docks or terminals. Clamshell dredges with specialized buckets are ideally suited to handle softer silts and maintenance material requiring environmentally controlled excavation and disposal. Additionally, the Company owns an electric clamshell dredge which provides an advantage in those markets with stringent emissions standards.</w:t>
      </w:r>
    </w:p>
    <w:p>
      <w:pPr>
        <w:spacing w:after="0" w:line="164"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i w:val="1"/>
          <w:iCs w:val="1"/>
          <w:color w:val="auto"/>
        </w:rPr>
        <w:t xml:space="preserve">Scows. </w:t>
      </w:r>
      <w:r>
        <w:rPr>
          <w:rFonts w:ascii="Arial" w:cs="Arial" w:eastAsia="Arial" w:hAnsi="Arial"/>
          <w:sz w:val="16"/>
          <w:szCs w:val="16"/>
          <w:color w:val="auto"/>
        </w:rPr>
        <w:t>The Company has the largest fleet of material barges in the domestic industry, which provides cost advantages when dredged material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disposed far offshore or when material requires controlled disposal. The Company uses scows with its hydraulic dredges and mechanical dredges. Scows are an efficient and cost-effective way to move material and increase dredging production. The Company has twelve scows in its fleet with a capacity ranging from 5,000 to 8,800 cubic yards. The Company placed into service three new scows during 2022, each 7,100 cubic yards in size.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ind w:right="140" w:firstLine="509"/>
        <w:spacing w:after="0" w:line="311" w:lineRule="auto"/>
        <w:rPr>
          <w:sz w:val="20"/>
          <w:szCs w:val="20"/>
          <w:color w:val="auto"/>
        </w:rPr>
      </w:pPr>
      <w:r>
        <w:rPr>
          <w:rFonts w:ascii="Arial" w:cs="Arial" w:eastAsia="Arial" w:hAnsi="Arial"/>
          <w:sz w:val="16"/>
          <w:szCs w:val="16"/>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w:t>
      </w:r>
    </w:p>
    <w:p>
      <w:pPr>
        <w:spacing w:after="0" w:line="14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 and retire older, less efficient dredges.</w:t>
      </w:r>
    </w:p>
    <w:p>
      <w:pPr>
        <w:spacing w:after="0" w:line="170"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 is also committed to a reliability-assured maintenance program, which it believes is reflected in the long lives of most if its equipment and its low level of unscheduled downtime on jobs. To the extent that market conditions warrant the expenditures, Great Lakes can prolong the useful life of its vessels.</w:t>
      </w:r>
    </w:p>
    <w:p>
      <w:pPr>
        <w:spacing w:after="0" w:line="1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Seasonality generally does have a significant impact on the Company’s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2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6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Recent years have seen a marked change in weather patterns, particularly in the Northeastern U.S., which has adversely impacted our projects.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At December 31, 2022, the Company employed 426 full-time salaried and non-exempt personnel in the U.S., including those in a corporate function. In addition, the Company employs U.S. hourly personnel, most of whom are unionized, on a project-by-project basis. Crews are generally available for hire on relatively short notice. During 2022, the Company employed an average of approximately 750 hourly personnel to meet domestic project requirements.</w:t>
      </w:r>
    </w:p>
    <w:p>
      <w:pPr>
        <w:spacing w:after="0" w:line="79"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The U.S. salary and non-exempt full-time employees are comprised of approximately 90% men and 10% women. The Company's employees are based across the U.S. with several project locations on the coasts and office locations in Houston, Texas; Oakbrook Terrace, Illinois; Staten Island, New York; and Jacksonville, Florida. Based on self-reporting, employee demographics are composed of approximately 65% White, 16% Hispanic or Latino, 13% African American or Black, 3% Asian, less than 1% American Indian or Alaska Native and less than 1% Native Hawaiian or Other Pacific Islander.</w:t>
      </w:r>
    </w:p>
    <w:p>
      <w:pPr>
        <w:spacing w:after="0" w:line="4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At December 31, 2022, the Company employed 2 foreign nationals and 1 local staff to manage and administer its Middle East operations. During 2022, the Company also employed an average of 2 hourly personnel to meet project requirements in the Middle East.</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Company seeks to attract, select, hire, retain, incentivize, and integrate our existing and future employees. To achieve our goal of attracting and retaining the most talented employees in the industry, we offer a respectful and safe work environment with competitive compensation and benefits that support employees physical, financial, and emotional health. The principal objective of our equity incentive plans is to attract, retain and motivate executives and selected employees through the granting of stock-based compensation awards. We offer employees benefits including a 401(k) plan with employer contributions; health, life, and disability insurance; additional voluntary insurance; paid time off, parental leave; and paid employee assistance programs.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Safety is a core value at GLDD, and our Incident &amp; Injury Free® (IIF®) safety approach management program is integrated into all aspects of our culture. The Company’s safety culture is committed to training, behavioral based awareness and mutual responsibility for the wellbeing of its employees. The Company’s goal is sustainable safety excellence. Incident prevention in all areas has top priority in the Company’s business planning, in the overall conduct of its business, and in the operation and maintenance of our equipment (marine and land) and facilities.</w:t>
      </w:r>
    </w:p>
    <w:p>
      <w:pPr>
        <w:spacing w:after="0" w:line="63"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During the recent COVID-19 pandemic, the health and safety of our employees is our primary goal. Our commitment to health and safety reaches far beyond our employees and embraces their families, our customers, and our community. The unique nature of our business requires many of our employees to live and work in close proximity to one another. We instituted and strictly adhere to rigorous measures designed to provide our employees with a safe working environment and allow them to safely execute tasks.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Relocation of our Corporate Headquarters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move of the Company’s headquarters from Oakbrook Terrace, Illinois, to Houston, Texas, was substantially completed in 2021, although some support staff members remain in Oakbrook Terrace. While one of the objectives of the relocation was improving our ability to secure more public and private business opportunities in our core coastal areas, including the Gulf of Mexico, our relocation also provided us access to a unique talent pool that has roots in the maritime industries as well as world class engineering experience and innovation. Access to research and development initiatives at Texas A&amp;M University, boasting the only dredging-focused course of study in the United States, is only 90 miles away, and two other campuses with emphasis on coastal and offshore studies are also nearby. The region is known for its robust community college and technical school system that provides skilled labor and training to the maritime trades. Our new Houston location allows us to increase our engagement with other local maritime businesses, giving us the opportunity to learn and improve by sharing the best industry practices for safety, operations, and innovation.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Unions</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The Company’s master and ancillary contracts with IUOE Local 25 expire in September 2024. Our agreements with the Seafarers International Union expire in February 2023, however, negotiations began in January for a renewal agreement to be effective on March 1, 2023 and the Company expects that the membership will have a tentative agreement before expiration of the current agreement.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Company is subject to government regulations pursuant to the Dredging Act, the Jones Act, the Shipping Act, 1916 (the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and control standards require the vessel-owning entity to be at least 75% U.S. citizen owned and prohibit the chartering of the vessel to any entity that does not meet the 75% U.S. citizen ownership test.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Company’s operations, facilities and vessels are subject to various environmental laws and regulations related to, among other things: dredging operations; the disposal of dredged material; protection of wetlands; storm water and waste water discharges; and air emissions.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76"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the Clean Water Act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names and ages of all of the Company’s executive officers and the positions and offices presently held by them.</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3"/>
                <w:szCs w:val="2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60" w:type="dxa"/>
            <w:vAlign w:val="bottom"/>
          </w:tcPr>
          <w:p>
            <w:pPr>
              <w:spacing w:after="0"/>
              <w:rPr>
                <w:sz w:val="23"/>
                <w:szCs w:val="23"/>
                <w:color w:val="auto"/>
              </w:rPr>
            </w:pPr>
          </w:p>
        </w:tc>
        <w:tc>
          <w:tcPr>
            <w:tcW w:w="7780" w:type="dxa"/>
            <w:vAlign w:val="bottom"/>
            <w:tcBorders>
              <w:bottom w:val="single" w:sz="8" w:color="auto"/>
            </w:tcBorders>
          </w:tcPr>
          <w:p>
            <w:pPr>
              <w:ind w:left="3580"/>
              <w:spacing w:after="0"/>
              <w:rPr>
                <w:sz w:val="20"/>
                <w:szCs w:val="20"/>
                <w:color w:val="auto"/>
              </w:rPr>
            </w:pPr>
            <w:r>
              <w:rPr>
                <w:rFonts w:ascii="Arial" w:cs="Arial" w:eastAsia="Arial" w:hAnsi="Arial"/>
                <w:sz w:val="18"/>
                <w:szCs w:val="18"/>
                <w:b w:val="1"/>
                <w:bCs w:val="1"/>
                <w:color w:val="auto"/>
              </w:rPr>
              <w:t>Position</w:t>
            </w: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Lasse J. Petterson</w:t>
            </w:r>
          </w:p>
        </w:tc>
        <w:tc>
          <w:tcPr>
            <w:tcW w:w="3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36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49"/>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Scott Kornblau</w:t>
            </w:r>
          </w:p>
        </w:tc>
        <w:tc>
          <w:tcPr>
            <w:tcW w:w="78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89"/>
              </w:rPr>
              <w:t>51</w:t>
            </w:r>
          </w:p>
        </w:tc>
        <w:tc>
          <w:tcPr>
            <w:tcW w:w="360" w:type="dxa"/>
            <w:vAlign w:val="bottom"/>
            <w:shd w:val="clear" w:color="auto" w:fill="CFF0FC"/>
          </w:tcPr>
          <w:p>
            <w:pPr>
              <w:spacing w:after="0"/>
              <w:rPr>
                <w:sz w:val="21"/>
                <w:szCs w:val="21"/>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Senior Vice President, Chief Financial Officer &amp; Treasurer</w:t>
            </w: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David Johanson</w:t>
            </w:r>
          </w:p>
        </w:tc>
        <w:tc>
          <w:tcPr>
            <w:tcW w:w="7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51</w:t>
            </w:r>
          </w:p>
        </w:tc>
        <w:tc>
          <w:tcPr>
            <w:tcW w:w="36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Senior Vice President, Project Acquisition &amp; Operations</w:t>
            </w:r>
          </w:p>
        </w:tc>
      </w:tr>
      <w:tr>
        <w:trPr>
          <w:trHeight w:val="249"/>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Christopher G. Gunsten</w:t>
            </w:r>
          </w:p>
        </w:tc>
        <w:tc>
          <w:tcPr>
            <w:tcW w:w="78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89"/>
              </w:rPr>
              <w:t>53</w:t>
            </w:r>
          </w:p>
        </w:tc>
        <w:tc>
          <w:tcPr>
            <w:tcW w:w="360" w:type="dxa"/>
            <w:vAlign w:val="bottom"/>
            <w:shd w:val="clear" w:color="auto" w:fill="CFF0FC"/>
          </w:tcPr>
          <w:p>
            <w:pPr>
              <w:spacing w:after="0"/>
              <w:rPr>
                <w:sz w:val="21"/>
                <w:szCs w:val="21"/>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Senior Vice President, Project Services &amp; Fleet Engineering</w:t>
            </w: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Eleni Beyko</w:t>
            </w:r>
          </w:p>
        </w:tc>
        <w:tc>
          <w:tcPr>
            <w:tcW w:w="7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57</w:t>
            </w:r>
          </w:p>
        </w:tc>
        <w:tc>
          <w:tcPr>
            <w:tcW w:w="36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Senior Vice President, Offshore Wind</w:t>
            </w:r>
          </w:p>
        </w:tc>
      </w:tr>
      <w:tr>
        <w:trPr>
          <w:trHeight w:val="249"/>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Vivienne R. Schiffer</w:t>
            </w:r>
          </w:p>
        </w:tc>
        <w:tc>
          <w:tcPr>
            <w:tcW w:w="78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89"/>
              </w:rPr>
              <w:t>63</w:t>
            </w:r>
          </w:p>
        </w:tc>
        <w:tc>
          <w:tcPr>
            <w:tcW w:w="360" w:type="dxa"/>
            <w:vAlign w:val="bottom"/>
            <w:shd w:val="clear" w:color="auto" w:fill="CFF0FC"/>
          </w:tcPr>
          <w:p>
            <w:pPr>
              <w:spacing w:after="0"/>
              <w:rPr>
                <w:sz w:val="21"/>
                <w:szCs w:val="21"/>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Senior Vice President, Chief Legal Officer &amp; Chief Compliance Officer</w:t>
            </w: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James J. Tastard</w:t>
            </w:r>
          </w:p>
        </w:tc>
        <w:tc>
          <w:tcPr>
            <w:tcW w:w="78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58</w:t>
            </w:r>
          </w:p>
        </w:tc>
        <w:tc>
          <w:tcPr>
            <w:tcW w:w="36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Senior Vice President, Chief Human Resources &amp; Administrative Officer</w:t>
            </w:r>
          </w:p>
        </w:tc>
      </w:tr>
      <w:tr>
        <w:trPr>
          <w:trHeight w:val="249"/>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William H. Hanson</w:t>
            </w:r>
          </w:p>
        </w:tc>
        <w:tc>
          <w:tcPr>
            <w:tcW w:w="78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89"/>
              </w:rPr>
              <w:t>66</w:t>
            </w:r>
          </w:p>
        </w:tc>
        <w:tc>
          <w:tcPr>
            <w:tcW w:w="360" w:type="dxa"/>
            <w:vAlign w:val="bottom"/>
            <w:shd w:val="clear" w:color="auto" w:fill="CFF0FC"/>
          </w:tcPr>
          <w:p>
            <w:pPr>
              <w:spacing w:after="0"/>
              <w:rPr>
                <w:sz w:val="21"/>
                <w:szCs w:val="21"/>
                <w:color w:val="auto"/>
              </w:rPr>
            </w:pPr>
          </w:p>
        </w:tc>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Senior Vice President, Market Development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Lasse J. Petterson, President, Chief Executive Officer and Director</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Mr. Petterson has served as Chief Executive Officer (“CEO”) since May 2017 and was also named President in 2020. Mr. Petterson most recently had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 of 20 years. He spent the first nine years of his career in various positions at Norwegian Contractors, an offshore oil &amp; gas platform contractor. Mr. Petterson holds both master’s and bachelor’s degrees from the Norwegian University of Technology.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Scott Kornblau, Senior Vice President, Chief Financial Officer and Treasurer</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Mr. Kornblau was named Senior Vice President and Chief Financial Officer (“CFO”) when he joined the Company in October 2021 and was additionally named Treasurer in January 2022. In his over 25 years of professional experience prior, Mr. Kornblau has held various finance and leadership positions at Diamond Offshore Drilling, Inc. (“Diamond”), most recently as Senior Vice President and Chief Financial Officer since July 2018. Prior to Mr. Kornblau’s appointment as CFO, he held the roles of acting CFO since December 2017 in addition to his Vice President and Treasurer position at Diamond since January 2017. Mr. Kornblau earned a Bachelor of Arts degree in Accounting from the University of Texas at Austin. Mr. Kornblau is a certified public accountant.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Johanson, Senior Vice President, Project Acquisition and Operations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Mr. Johanson was named Senior Vice President, Project Acquisition &amp; Operation in July 2022 after serving as Senior Vice President, Gulf Region. Before that, Mr. Johanson was promoted to Vice President and Hydraulic Division Manager in 2015 and served as Vice President Project Director of Charleston Deepening Projects from 2018-2020, which included the largest dredging contract ever awarded by the U.S. Army Corps of Engineers. He joined the Company in 1994 as a field engineer and has held positions of increasing responsibility in project management. Mr. Johanson earned a Bachelor of Science degree in Ocean Engineering from the Virginia Polytechnic Institute &amp; State University and a MBA with a finance specialization from the University of South Carolina. He is a current board member of the Western Dredging Association Eastern Branch and is a member of American Society of Civil Engineers.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G. Gunsten, Senior Vice President, Project Services and Fleet Engineering</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Mr. Gunsten was appointed to the position of Senior Vice President, Project Services &amp; Fleet Engineering in July 2022 after serving as Senior Vice President, Project Services. Previously he served as Vice President, International Operations with responsibility for acquiring projects, providing estimation data and leading field supervision of work in progress. Mr. Gunsten began his career with the Company as a field engineer in 1992. His career highlights include serving as Deputy Project Manager for Chevron’s Wheatstone LNG Project’s Engineering, Procure and Construct dredging subcontract in Onslow, WA, Australia valued at $1.2 billion AUD, as Project Manager executing a series of capital projects for the USACE New York District’s 45 and 50 Foot Harbor Deepening Programs and as Operations Manager for the Company's Øresund Fixed Link Project in Copenhagen, Denmark. He received his Bachelor of Science degree in Civil Engineering from Rutgers University and his MBA from Loyola University Chicago.</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Eleni Beyko, Senior Vice President, Offshore Wind</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Ms. Beyko joined Great Lakes in January 2021 as Senior Vice President, Offshore Wind, and is responsible for Offshore Wind strategy and business development, as well as leading the Company's Offshore Wind Operations. Ms. Beyko has over 20 years’ experience in program engineering, business leadership, and project execution for the automobile and offshore oil and gas markets. Her experience has also included Engineering, Technical Manager, Research &amp; Development – Offshore Technology, and offshore projects. She most recently served as Director, Energy Transition for Americas at TechnipFMC. At TechnipFMC, she was responsible for positioning TechnipFMC to support the transition into new and economically viable wind energy resources, and managing the Makani wind-borne energy spar offshore platform installation in partnership with Shell and Google X. Ms. Beyko graduated with a Diploma from National Technical University Athens in Mechanical Engineering, Naval Architecture &amp; Marine Engineering. She attended the University of Michigan where she earned her MSE, Naval Architecture and Marine Engineering, MSE Applied Mechanics, Mechanical Engineering, Master of Business Administration (MBA) and Ph.D., Naval Architecture and Marine Engineering.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Vivienne R. Schiffer, Senior Vice President, Chief Legal Officer and Chief Compliance Officer</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Ms. Schiffer was named Senior Vice President, Chief Legal Officer, Chief Compliance Officer and Corporate Secretary in December 2020 when she joined the Company. Ms. Schiffer leads the Company's legal and compliance organization, providing legal counsel. Ms. Schiffer’s specific responsibilities include the oversight of corporate governance, policy and regulatory strategy development, litigation, environmental matters, intellectual property, global corporate compliance and labor and employment laws. Ms. Schiffer was a corporate and securities partner in the global firm of Thompson &amp; Knight, LLP, now Holland &amp; Knight, LLP, from 2003 to 2010. She was of counsel in the firm’s corporate and securities section from 2011 until 2020. She has over 39 years of experience and has held significant legal, business and operational leadership roles in the industrials sector. Ms. Schiffer earned a Bachelor of Science degree from the University of Central Arkansas and a Juris Doctor degree from Tulane University.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James J. Tastard, Senior Vice President, Chief Human Resources and Administrative Officer</w:t>
      </w:r>
    </w:p>
    <w:p>
      <w:pPr>
        <w:spacing w:after="0" w:line="11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 xml:space="preserve">Mr. </w:t>
      </w:r>
      <w:r>
        <w:rPr>
          <w:rFonts w:ascii="Arial" w:cs="Arial" w:eastAsia="Arial" w:hAnsi="Arial"/>
          <w:sz w:val="16"/>
          <w:szCs w:val="16"/>
          <w:color w:val="2E2E2E"/>
        </w:rPr>
        <w:t>Tastard was named Senior Vice President and Chief Human Resources and Administrative Officer in October 2020. He is responsible for the</w:t>
      </w:r>
      <w:r>
        <w:rPr>
          <w:rFonts w:ascii="Arial" w:cs="Arial" w:eastAsia="Arial" w:hAnsi="Arial"/>
          <w:sz w:val="16"/>
          <w:szCs w:val="16"/>
          <w:color w:val="auto"/>
        </w:rPr>
        <w:t xml:space="preserve"> </w:t>
      </w:r>
      <w:r>
        <w:rPr>
          <w:rFonts w:ascii="Arial" w:cs="Arial" w:eastAsia="Arial" w:hAnsi="Arial"/>
          <w:sz w:val="16"/>
          <w:szCs w:val="16"/>
          <w:color w:val="2E2E2E"/>
        </w:rPr>
        <w:t xml:space="preserve">Company’s Human Resources organization, talent management, leadership development and learning, compensation and benefits, employee relations, and payroll. Mr. Tastard most recently served as President and Founder of High Performance Network, LLC since 2018 as a strategic talent and leadership consultant. Prior to consulting, he worked as Senior Vice President, Chief Human Resource Officer at Geokinetics, a global seismic oil and gas exploration company, from 2017 to 2018. From 2014 to 2016, Mr. Tastard was Vice President of Human Resources at Freeport LNG and from 2010 to 2014, Mr. Tastard was Vice President of Human Resources at Statoil (now Equinor). Prior to Statoil, between 2002 to 2009, Mr. Tastard was Senior Vice President Human Resources and Health, Safety and Environment at Aker Solutions. Mr. Tastard earned a bachelor’s degree from California State University, Long Beach, an MBA from the University of Phoenix and a Ph.D. in Business, Organization and Management from Capella </w:t>
      </w:r>
      <w:r>
        <w:rPr>
          <w:rFonts w:ascii="Arial" w:cs="Arial" w:eastAsia="Arial" w:hAnsi="Arial"/>
          <w:sz w:val="16"/>
          <w:szCs w:val="16"/>
          <w:color w:val="000000"/>
        </w:rPr>
        <w:t>University.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William </w:t>
      </w:r>
      <w:r>
        <w:rPr>
          <w:rFonts w:ascii="Arial" w:cs="Arial" w:eastAsia="Arial" w:hAnsi="Arial"/>
          <w:sz w:val="18"/>
          <w:szCs w:val="18"/>
          <w:i w:val="1"/>
          <w:iCs w:val="1"/>
          <w:color w:val="2E2E2E"/>
        </w:rPr>
        <w:t>H. Hanson, Senior Vice President, Market</w:t>
      </w:r>
      <w:r>
        <w:rPr>
          <w:rFonts w:ascii="Arial" w:cs="Arial" w:eastAsia="Arial" w:hAnsi="Arial"/>
          <w:sz w:val="18"/>
          <w:szCs w:val="18"/>
          <w:i w:val="1"/>
          <w:iCs w:val="1"/>
          <w:color w:val="auto"/>
        </w:rPr>
        <w:t xml:space="preserve"> Development</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 xml:space="preserve">Mr. </w:t>
      </w:r>
      <w:r>
        <w:rPr>
          <w:rFonts w:ascii="Arial" w:cs="Arial" w:eastAsia="Arial" w:hAnsi="Arial"/>
          <w:sz w:val="17"/>
          <w:szCs w:val="17"/>
          <w:color w:val="2E2E2E"/>
        </w:rPr>
        <w:t>Hanson was named the Senior Vice President, Market Development in January 2023 after serving as Senior Vice President - Government</w:t>
      </w:r>
      <w:r>
        <w:rPr>
          <w:rFonts w:ascii="Arial" w:cs="Arial" w:eastAsia="Arial" w:hAnsi="Arial"/>
          <w:sz w:val="17"/>
          <w:szCs w:val="17"/>
          <w:color w:val="auto"/>
        </w:rPr>
        <w:t xml:space="preserve"> </w:t>
      </w:r>
      <w:r>
        <w:rPr>
          <w:rFonts w:ascii="Arial" w:cs="Arial" w:eastAsia="Arial" w:hAnsi="Arial"/>
          <w:sz w:val="17"/>
          <w:szCs w:val="17"/>
          <w:color w:val="2E2E2E"/>
        </w:rPr>
        <w:t xml:space="preserve">Relations &amp; Business Development, a position he had held since March 2020. He was named Vice President of the Company in 2004. Mr. Hanson worked for Connolly Pacific of Long Beach, California before joining GLDD in 1988. Prior to his work at Connolly Pacific, Mr. Hanson was with the U.S. Army Corps of Engineers. Mr. Hanson serves on several Federal Advisory Committees as well as on boards of groups with national and regional interest to the Company and several academic advisory boards related to ocean and coastal engineering. Mr. Hanson is an Ocean Engineering graduate of Texas A&amp;M University where he was named a distinguished alumnus in </w:t>
      </w:r>
      <w:r>
        <w:rPr>
          <w:rFonts w:ascii="Arial" w:cs="Arial" w:eastAsia="Arial" w:hAnsi="Arial"/>
          <w:sz w:val="17"/>
          <w:szCs w:val="17"/>
          <w:color w:val="000000"/>
        </w:rPr>
        <w:t>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21"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You may read and obtain copies of any materials Great Lakes files with the SEC, including without limitation, the Company’s Annual Report on Form 10-K, quarterly reports on Form 10-Q, current reports on Form 8-K, and amendments to those reports, free of charge, at the SEC’s website, www.sec.gov. Great Lakes’ SEC filings are also available to the public, free of charge, on our corporate website, www.gldd.com, at “Investors – Financials</w:t>
      </w:r>
    </w:p>
    <w:p>
      <w:pPr>
        <w:spacing w:after="0" w:line="2" w:lineRule="exact"/>
        <w:rPr>
          <w:sz w:val="20"/>
          <w:szCs w:val="20"/>
          <w:color w:val="auto"/>
        </w:rPr>
      </w:pPr>
    </w:p>
    <w:p>
      <w:pPr>
        <w:ind w:right="420" w:firstLine="8"/>
        <w:spacing w:after="0" w:line="290" w:lineRule="auto"/>
        <w:tabs>
          <w:tab w:leader="none" w:pos="185"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Filings”, as soon as reasonably practicable after Great Lakes electronically files such material with, or furnishes it to, the SEC. The reference to the Company’s website does not constitute incorporation by reference of information contained on or accessible through such website.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Risks not currently known to the Company or that the Company currently deems to be immaterial may also materially and adversely affect the Company's business, operating results, financial condition and the actual outcome of matters as to which forward-looking statements are made in this report.</w:t>
      </w:r>
    </w:p>
    <w:p>
      <w:pPr>
        <w:spacing w:after="0" w:line="7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We have grouped our Risk Factors under captions that we believe describe various categories of potential risk. For the reader’s convenience, we have not duplicated risk factors that could be considered to be included in more than one category.</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or have adversely affected, the Company’s business, operating results and financial condition:</w:t>
      </w:r>
    </w:p>
    <w:p>
      <w:pPr>
        <w:spacing w:after="0" w:line="62" w:lineRule="exact"/>
        <w:rPr>
          <w:sz w:val="20"/>
          <w:szCs w:val="20"/>
          <w:color w:val="auto"/>
        </w:rPr>
      </w:pPr>
    </w:p>
    <w:p>
      <w:pPr>
        <w:jc w:val="both"/>
        <w:ind w:left="1260" w:hanging="368"/>
        <w:spacing w:after="0" w:line="311" w:lineRule="auto"/>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and retain federal government dredging and other contracts, which is impacted by the amount of government funding for dredging and other projects and the degree to which government funding is directed to the Corps and certain other customers, which in turn could be impacted by extended federal government shutdowns or declarations of additional national emergencies;</w:t>
      </w:r>
    </w:p>
    <w:p>
      <w:pPr>
        <w:spacing w:after="0" w:line="40" w:lineRule="exact"/>
        <w:rPr>
          <w:rFonts w:ascii="Arial" w:cs="Arial" w:eastAsia="Arial" w:hAnsi="Arial"/>
          <w:sz w:val="16"/>
          <w:szCs w:val="16"/>
          <w:color w:val="auto"/>
        </w:rPr>
      </w:pPr>
    </w:p>
    <w:p>
      <w:pPr>
        <w:ind w:left="1260" w:right="40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of our largest customer, the Corps, to bring projects to market, which significantly impacted our results of operations in 2022;</w:t>
      </w:r>
    </w:p>
    <w:p>
      <w:pPr>
        <w:spacing w:after="0" w:line="62" w:lineRule="exact"/>
        <w:rPr>
          <w:rFonts w:ascii="Arial" w:cs="Arial" w:eastAsia="Arial" w:hAnsi="Arial"/>
          <w:sz w:val="18"/>
          <w:szCs w:val="18"/>
          <w:color w:val="auto"/>
        </w:rPr>
      </w:pPr>
    </w:p>
    <w:p>
      <w:pPr>
        <w:ind w:left="1260" w:right="10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qualify as an eligible bidder under government contract criteria and to compete successfully against other qualified bidders in order to obtain government dredging and other contracts;</w:t>
      </w:r>
    </w:p>
    <w:p>
      <w:pPr>
        <w:spacing w:after="0" w:line="62" w:lineRule="exact"/>
        <w:rPr>
          <w:rFonts w:ascii="Arial" w:cs="Arial" w:eastAsia="Arial" w:hAnsi="Arial"/>
          <w:sz w:val="18"/>
          <w:szCs w:val="18"/>
          <w:color w:val="auto"/>
        </w:rPr>
      </w:pPr>
    </w:p>
    <w:p>
      <w:pPr>
        <w:ind w:left="1260" w:right="480" w:hanging="368"/>
        <w:spacing w:after="0" w:line="277"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liabilities that could be imposed were we to fail to comply with government contracting regulations, including proposed regulations which may be promulgated;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left="368" w:hanging="368"/>
        <w:spacing w:after="0"/>
        <w:tabs>
          <w:tab w:leader="none" w:pos="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over-runs, operating cost inflation and potential claims for liquidated damages, particularly with respect to our fixed cost contracts;</w:t>
      </w:r>
    </w:p>
    <w:p>
      <w:pPr>
        <w:spacing w:after="0" w:line="140" w:lineRule="exact"/>
        <w:rPr>
          <w:rFonts w:ascii="Arial" w:cs="Arial" w:eastAsia="Arial" w:hAnsi="Arial"/>
          <w:sz w:val="16"/>
          <w:szCs w:val="16"/>
          <w:color w:val="auto"/>
        </w:rPr>
      </w:pPr>
    </w:p>
    <w:p>
      <w:pPr>
        <w:ind w:left="368"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our performance on contracts and new contracts being awarded to us, which adversely impacted our results of operations in 2022;</w:t>
      </w:r>
    </w:p>
    <w:p>
      <w:pPr>
        <w:spacing w:after="0" w:line="62"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 delays related to the increasingly negative impacts of climate change or other unusual, non-historical weather patterns, which has impacted our ability to perform projects on time and on budget in 2022;</w:t>
      </w:r>
    </w:p>
    <w:p>
      <w:pPr>
        <w:spacing w:after="0" w:line="62" w:lineRule="exact"/>
        <w:rPr>
          <w:rFonts w:ascii="Arial" w:cs="Arial" w:eastAsia="Arial" w:hAnsi="Arial"/>
          <w:sz w:val="18"/>
          <w:szCs w:val="18"/>
          <w:color w:val="auto"/>
        </w:rPr>
      </w:pPr>
    </w:p>
    <w:p>
      <w:pPr>
        <w:ind w:left="368" w:right="580" w:hanging="368"/>
        <w:spacing w:after="0" w:line="342" w:lineRule="auto"/>
        <w:tabs>
          <w:tab w:leader="none" w:pos="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delays and cost overruns related to maintenance of our existing vessels and the construction of new vessels, including potential mechanical and engineering issues, supply chain issues and unforeseen changes in environmental regulations;</w:t>
      </w:r>
    </w:p>
    <w:p>
      <w:pPr>
        <w:spacing w:after="0" w:line="15" w:lineRule="exact"/>
        <w:rPr>
          <w:rFonts w:ascii="Arial" w:cs="Arial" w:eastAsia="Arial" w:hAnsi="Arial"/>
          <w:sz w:val="16"/>
          <w:szCs w:val="16"/>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or mechanical failures, which adversely impacted our results of operations in 2022;</w:t>
      </w:r>
    </w:p>
    <w:p>
      <w:pPr>
        <w:spacing w:after="0" w:line="117" w:lineRule="exact"/>
        <w:rPr>
          <w:rFonts w:ascii="Arial" w:cs="Arial" w:eastAsia="Arial" w:hAnsi="Arial"/>
          <w:sz w:val="18"/>
          <w:szCs w:val="18"/>
          <w:color w:val="auto"/>
        </w:rPr>
      </w:pPr>
    </w:p>
    <w:p>
      <w:pPr>
        <w:ind w:left="368" w:right="10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Impacts to our supply chain for procurement of new vessel build materials or maintenance on our existing vessels, which had an adverse impact on our results of operations in 2022;</w:t>
      </w:r>
    </w:p>
    <w:p>
      <w:pPr>
        <w:spacing w:after="0" w:line="62" w:lineRule="exact"/>
        <w:rPr>
          <w:rFonts w:ascii="Arial" w:cs="Arial" w:eastAsia="Arial" w:hAnsi="Arial"/>
          <w:sz w:val="18"/>
          <w:szCs w:val="18"/>
          <w:color w:val="auto"/>
        </w:rPr>
      </w:pPr>
    </w:p>
    <w:p>
      <w:pPr>
        <w:ind w:left="368" w:right="32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Rising costs related to inflation, particularly with the cost of materials needed for maintenance of our dredges, and increasing costs to operate and maintain aging vessels and comply with applicable regulations or standards, which significantly impacted our results of operations in 2022;</w:t>
      </w:r>
    </w:p>
    <w:p>
      <w:pPr>
        <w:spacing w:after="0" w:line="7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and operational costs due to environmental regulations;</w:t>
      </w:r>
    </w:p>
    <w:p>
      <w:pPr>
        <w:spacing w:after="0" w:line="117" w:lineRule="exact"/>
        <w:rPr>
          <w:rFonts w:ascii="Arial" w:cs="Arial" w:eastAsia="Arial" w:hAnsi="Arial"/>
          <w:sz w:val="18"/>
          <w:szCs w:val="18"/>
          <w:color w:val="auto"/>
        </w:rPr>
      </w:pPr>
    </w:p>
    <w:p>
      <w:pPr>
        <w:ind w:left="368" w:right="10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and regulatory responses to climate change, including proposed regulations concerning emissions reporting and future emissions reduction goals;</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penalties for any projects that are completed late;</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Force majeure events, including natural disasters, pandemics and terrorists’ actions;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amount of our estimated backlog;</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negative changes attributable to large, single customer contracts;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financing for the construction of new vessels, including our new offshore wind vessel;</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secure contracts to utilize our new offshore wind vessel;</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failure to comply with Section 27 of the Jones Act provisions on coastwise trade, or if those provisions were modified or repealed;</w:t>
      </w:r>
    </w:p>
    <w:p>
      <w:pPr>
        <w:spacing w:after="0" w:line="140" w:lineRule="exact"/>
        <w:rPr>
          <w:rFonts w:ascii="Arial" w:cs="Arial" w:eastAsia="Arial" w:hAnsi="Arial"/>
          <w:sz w:val="16"/>
          <w:szCs w:val="16"/>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rulings by Customs and Border Protection concerning the Jones Act or other matters impacting our business;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fuel prices, particularly given our dependence on petroleum-based products;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Impacts of nationwide inflation on procurement of new build materials;</w:t>
      </w:r>
    </w:p>
    <w:p>
      <w:pPr>
        <w:spacing w:after="0" w:line="117" w:lineRule="exact"/>
        <w:rPr>
          <w:rFonts w:ascii="Arial" w:cs="Arial" w:eastAsia="Arial" w:hAnsi="Arial"/>
          <w:sz w:val="18"/>
          <w:szCs w:val="18"/>
          <w:color w:val="auto"/>
        </w:rPr>
      </w:pPr>
    </w:p>
    <w:p>
      <w:pPr>
        <w:ind w:left="368" w:right="5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bonding or letters of credit and risks associated with draws by the surety on outstanding bonds or calls by the beneficiary on outstanding letters of credit;</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impact of COVID-19 or new worldwide infections and related responsive measures, including negative supply chain impacts;</w:t>
      </w:r>
    </w:p>
    <w:p>
      <w:pPr>
        <w:spacing w:after="0" w:line="128" w:lineRule="exact"/>
        <w:rPr>
          <w:rFonts w:ascii="Arial" w:cs="Arial" w:eastAsia="Arial" w:hAnsi="Arial"/>
          <w:sz w:val="17"/>
          <w:szCs w:val="17"/>
          <w:color w:val="auto"/>
        </w:rPr>
      </w:pPr>
    </w:p>
    <w:p>
      <w:pPr>
        <w:ind w:left="368" w:hanging="368"/>
        <w:spacing w:after="0"/>
        <w:tabs>
          <w:tab w:leader="none" w:pos="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Acquisition integration and consolidation, including transaction expenses, unexpected liabilities and operational challenges and risks;</w:t>
      </w:r>
    </w:p>
    <w:p>
      <w:pPr>
        <w:spacing w:after="0" w:line="140" w:lineRule="exact"/>
        <w:rPr>
          <w:rFonts w:ascii="Arial" w:cs="Arial" w:eastAsia="Arial" w:hAnsi="Arial"/>
          <w:sz w:val="16"/>
          <w:szCs w:val="16"/>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Divestitures and discontinued operations, including retained liabilities from businesses that we sell or discontinue;</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penalties and reputational damage as a result of legal and regulatory proceedings;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liabilities imposed on us for the obligations of joint ventures, partners and subcontractors;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of certain material used in our operations due to newly imposed tariffs;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Unionized labor force work stoppages;</w:t>
      </w:r>
    </w:p>
    <w:p>
      <w:pPr>
        <w:spacing w:after="0" w:line="117" w:lineRule="exact"/>
        <w:rPr>
          <w:rFonts w:ascii="Arial" w:cs="Arial" w:eastAsia="Arial" w:hAnsi="Arial"/>
          <w:sz w:val="18"/>
          <w:szCs w:val="18"/>
          <w:color w:val="auto"/>
        </w:rPr>
      </w:pPr>
    </w:p>
    <w:p>
      <w:pPr>
        <w:ind w:left="368" w:right="22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liabilities for job-related claims under federal law, which does not provide for the liability limitations typically present under state law;</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hazards, including any liabilities or losses relating to personal or property damage resulting from our operations;</w:t>
      </w:r>
    </w:p>
    <w:p>
      <w:pPr>
        <w:spacing w:after="0" w:line="225" w:lineRule="exact"/>
        <w:rPr>
          <w:sz w:val="20"/>
          <w:szCs w:val="20"/>
          <w:color w:val="auto"/>
        </w:rPr>
      </w:pPr>
    </w:p>
    <w:p>
      <w:pPr>
        <w:ind w:left="464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8"/>
          </w:cols>
          <w:pgMar w:left="1212" w:top="233" w:right="399" w:bottom="1440" w:gutter="0" w:footer="0" w:header="0"/>
        </w:sectPr>
      </w:pPr>
    </w:p>
    <w:bookmarkStart w:id="14" w:name="page15"/>
    <w:bookmarkEnd w:id="14"/>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contract with qualified MBE or DBE contractors to perform as subcontractors;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substantial amount of indebtedness, which makes us more vulnerable to adverse economic and competitive conditions;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operation of our business imposed by financing terms and covenants;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Impacts of adverse capital and credit market conditions on our ability to meet liquidity needs and access capital;</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hedging strategy imposed by statutory and regulatory requirements for derivative transactions;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exchange risks, in particular, as it relates to the new offshore wind vessel build;</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Losses attributable to our investments in privately financed projects;</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foreign ownership of our common stock;</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Restrictions imposed by Delaware law and our charter on takeover transactions that stockholders may consider to be favorable;</w:t>
      </w:r>
    </w:p>
    <w:p>
      <w:pPr>
        <w:spacing w:after="0" w:line="128" w:lineRule="exact"/>
        <w:rPr>
          <w:rFonts w:ascii="Arial" w:cs="Arial" w:eastAsia="Arial" w:hAnsi="Arial"/>
          <w:sz w:val="17"/>
          <w:szCs w:val="17"/>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our ability to declare dividends imposed by our financing agreements and Delaware law;</w:t>
      </w:r>
    </w:p>
    <w:p>
      <w:pPr>
        <w:spacing w:after="0" w:line="117" w:lineRule="exact"/>
        <w:rPr>
          <w:rFonts w:ascii="Arial" w:cs="Arial" w:eastAsia="Arial" w:hAnsi="Arial"/>
          <w:sz w:val="18"/>
          <w:szCs w:val="18"/>
          <w:color w:val="auto"/>
        </w:rPr>
      </w:pPr>
    </w:p>
    <w:p>
      <w:pPr>
        <w:ind w:left="1260" w:right="38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fluctuations in the market price of our common stock, which may make it difficult for holders to resell our common stock when they want or at prices that they find attractive;</w:t>
      </w:r>
    </w:p>
    <w:p>
      <w:pPr>
        <w:spacing w:after="0" w:line="62" w:lineRule="exact"/>
        <w:rPr>
          <w:rFonts w:ascii="Arial" w:cs="Arial" w:eastAsia="Arial" w:hAnsi="Arial"/>
          <w:sz w:val="18"/>
          <w:szCs w:val="18"/>
          <w:color w:val="auto"/>
        </w:rPr>
      </w:pPr>
    </w:p>
    <w:p>
      <w:pPr>
        <w:ind w:left="1260" w:right="34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previously recorded net revenue and profit as a result of the significant estimates made in connection with our methods of accounting for recognized revenue;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 adequate level of insurance coverage;</w:t>
      </w:r>
    </w:p>
    <w:p>
      <w:pPr>
        <w:spacing w:after="0" w:line="117"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find, attract and retain key personnel and skilled labor;</w:t>
      </w:r>
    </w:p>
    <w:p>
      <w:pPr>
        <w:spacing w:after="0" w:line="117" w:lineRule="exact"/>
        <w:rPr>
          <w:rFonts w:ascii="Arial" w:cs="Arial" w:eastAsia="Arial" w:hAnsi="Arial"/>
          <w:sz w:val="18"/>
          <w:szCs w:val="18"/>
          <w:color w:val="auto"/>
        </w:rPr>
      </w:pPr>
    </w:p>
    <w:p>
      <w:pPr>
        <w:ind w:left="1260" w:right="140" w:hanging="368"/>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failures, data corruptions, cyber-based attacks or security breaches of the information technology systems on which we rely to conduct our business;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Impairments of our goodwill or other intangible assets.</w:t>
      </w:r>
    </w:p>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reduction in government funding for dredging or other contracts, or government cancellation of such contracts, or the inability of the Corps to let bids to market could materially adversely affect our business operations, revenues and profits.</w:t>
      </w:r>
    </w:p>
    <w:p>
      <w:pPr>
        <w:spacing w:after="0" w:line="62"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2022, 2021 and 2020 were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167"/>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revenue (in US $1,000)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431,705</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568,980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582,949</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Percent of revenue from federal government</w:t>
            </w:r>
          </w:p>
        </w:tc>
        <w:tc>
          <w:tcPr>
            <w:tcW w:w="2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67 %</w:t>
            </w:r>
          </w:p>
        </w:tc>
        <w:tc>
          <w:tcPr>
            <w:tcW w:w="2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78 %</w:t>
            </w: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79 %</w:t>
            </w:r>
          </w:p>
        </w:tc>
      </w:tr>
    </w:tbl>
    <w:p>
      <w:pPr>
        <w:spacing w:after="0" w:line="25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projects for any specified period. In addition, Congress must approve budgets that govern spending by many of the federal agencies we support. When Congress is unable to agree on budget priorities, and thus is unable to pass the annual budget on a timely basis, Congress typically enacts a continuing resolution. A continuing resolution allows U.S. federal government agencies to operate at spending levels approved in the previous budget cycle. Under a continuing resolution, funding may not be available for new projects or may be delayed on current projects. Any such funding delays would likely result in new projects being delayed or canceled and could have a material adverse effect on our revenue and operating results. Furthermore, a failure to complete the budget process and fund government operations pursuant to a continuing resolution may result in a U.S. federal government shutdown. An extended shutdown may result in us incurring substantial costs without reimbursement under our contracts and the delay or cancellation of key projects, which could have a material adverse effect on our revenue and operating results.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5" w:name="page16"/>
    <w:bookmarkEnd w:id="15"/>
    <w:p>
      <w:pPr>
        <w:ind w:right="60" w:firstLine="509"/>
        <w:spacing w:after="0" w:line="290" w:lineRule="auto"/>
        <w:rPr>
          <w:sz w:val="20"/>
          <w:szCs w:val="20"/>
          <w:color w:val="auto"/>
        </w:rPr>
      </w:pPr>
      <w:r>
        <w:rPr>
          <w:rFonts w:ascii="Arial" w:cs="Arial" w:eastAsia="Arial" w:hAnsi="Arial"/>
          <w:sz w:val="16"/>
          <w:szCs w:val="16"/>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There is no guarantee that the current presidential administration or Congress will not divert funds away from the Corps or from our other customers relying on funding from the federal government. There is also no guarantee that additional national emergencies will not be declared in the future. A significant reduction in government funding for dredging or remediation contracts could materially adversely affect our business, operations, revenues and profits.</w:t>
      </w:r>
    </w:p>
    <w:p>
      <w:pPr>
        <w:spacing w:after="0" w:line="165"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Further, if the Corps is unable to let bids to market, it could adversely affect our business, operations, revenues and profits. In 2022, our business was adversely impacted by the inability of the Corps to let bids to market, and that inability may continue and may adversely impact our results of operations. Additionally, most of the projects the Corps did bring to market in 2022 were lower margin maintenance projects. If the Corps does not bring higher margin capital projects to market, it may adversely impact our results of operations.</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inability to qualify as an eligible bidder for government contracts or to compete successfully with other qualified bidders for certain contracts could materially adversely affect our business operations, revenues and profits.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Further, much of our work depends on our compliance with environmental and other regulations. Any claim by the government that we have violated any laws or regulations could result in our suspension or debarment from bidding for or being awarded government contracts.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304"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Our significant number of fixed-price contracts subjects us to risks associated with cost over-runs, operating cost inflation and potential claims for liquidated damages. If we are unable to accurately estimate our project costs our profitability could suffer.</w:t>
      </w:r>
    </w:p>
    <w:p>
      <w:pPr>
        <w:spacing w:after="0" w:line="38" w:lineRule="exact"/>
        <w:rPr>
          <w:sz w:val="20"/>
          <w:szCs w:val="20"/>
          <w:color w:val="auto"/>
        </w:rPr>
      </w:pPr>
    </w:p>
    <w:p>
      <w:pPr>
        <w:ind w:right="160" w:firstLine="509"/>
        <w:spacing w:after="0" w:line="288" w:lineRule="auto"/>
        <w:rPr>
          <w:sz w:val="20"/>
          <w:szCs w:val="20"/>
          <w:color w:val="auto"/>
        </w:rPr>
      </w:pPr>
      <w:r>
        <w:rPr>
          <w:rFonts w:ascii="Arial" w:cs="Arial" w:eastAsia="Arial" w:hAnsi="Arial"/>
          <w:sz w:val="16"/>
          <w:szCs w:val="16"/>
          <w:color w:val="auto"/>
        </w:rPr>
        <w:t>We conduct our business under various types of contracts where costs are estimated in advance of our performance. Most dredging contracts are fixed-price contracts where the customer pays a fixed price per unit (e.g., cubic yard) of material dredged. Fixed-price contracts carry inherent risks, including risks of losses from underestimating costs, weather delays,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If we were to significantly underestimate the costs on one or more significant contracts, the resulting losses could have a material adverse effect on our business, operating results, cash flows or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i w:val="1"/>
          <w:iCs w:val="1"/>
          <w:color w:val="auto"/>
        </w:rPr>
        <w:t>Our quarterly and annual operating results may vary significantly based on the timing of contract awards and performance.</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76"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contract awards and the commencement or progress of work under awarded contracts;</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inclement or hazardous weather conditions, including non-historical weather patterns, particularly in the Northeastern United States, that may result in underestimated delays in dredging, disruption or early termination of projects, unanticipated recovery costs or liability exposure, and additional contract expenses;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site conditions that differ from those presented by our customers, which results in delays or slower than anticipated progress on projects;</w:t>
      </w:r>
    </w:p>
    <w:p>
      <w:pPr>
        <w:spacing w:after="0" w:line="140" w:lineRule="exact"/>
        <w:rPr>
          <w:rFonts w:ascii="Arial" w:cs="Arial" w:eastAsia="Arial" w:hAnsi="Arial"/>
          <w:sz w:val="16"/>
          <w:szCs w:val="16"/>
          <w:color w:val="auto"/>
        </w:rPr>
      </w:pPr>
    </w:p>
    <w:p>
      <w:pPr>
        <w:ind w:left="1020" w:right="7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planned and unplanned equipment downtime, or equipment mobilization to and from projects, including those due to the impacts of unplanned national health emergencies;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recognize revenue from pending change orders, which is recognized only when the parties to a contract approve a modification that either creates new, or changes existing, enforceable rights and obligations of the parties to the contract;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w:t>
      </w:r>
    </w:p>
    <w:p>
      <w:pPr>
        <w:spacing w:after="0" w:line="225"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government contracting regulations, we could be subject to significant potential liabilities and loss of revenue.</w:t>
      </w:r>
    </w:p>
    <w:p>
      <w:pPr>
        <w:spacing w:after="0" w:line="129"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9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which could include claims for up to treble damages.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actions have been filed against us and that we are not aware of such actions or have been ordered by the court not to discuss them until the seal is lifted.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Thus, it is possible that we are subject to liability exposure arising out of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government contracting regulations, we could be subject to significant potential liabilities and loss of revenue.</w:t>
      </w:r>
    </w:p>
    <w:p>
      <w:pPr>
        <w:spacing w:after="0" w:line="23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92"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which could include claims for up to treble damages.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7"/>
          <w:szCs w:val="17"/>
          <w:i w:val="1"/>
          <w:iCs w:val="1"/>
          <w:color w:val="auto"/>
        </w:rPr>
        <w:t>qui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tam </w:t>
      </w:r>
      <w:r>
        <w:rPr>
          <w:rFonts w:ascii="Arial" w:cs="Arial" w:eastAsia="Arial" w:hAnsi="Arial"/>
          <w:sz w:val="17"/>
          <w:szCs w:val="17"/>
          <w:color w:val="auto"/>
        </w:rPr>
        <w:t>actions have been filed against us. Thus, it is possible that we are subject to liability exposure arising out of</w:t>
      </w:r>
      <w:r>
        <w:rPr>
          <w:rFonts w:ascii="Arial" w:cs="Arial" w:eastAsia="Arial" w:hAnsi="Arial"/>
          <w:sz w:val="17"/>
          <w:szCs w:val="17"/>
          <w:i w:val="1"/>
          <w:iCs w:val="1"/>
          <w:color w:val="auto"/>
        </w:rPr>
        <w:t xml:space="preserve"> qui tam </w:t>
      </w:r>
      <w:r>
        <w:rPr>
          <w:rFonts w:ascii="Arial" w:cs="Arial" w:eastAsia="Arial" w:hAnsi="Arial"/>
          <w:sz w:val="17"/>
          <w:szCs w:val="17"/>
          <w:color w:val="auto"/>
        </w:rPr>
        <w:t>actions.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line="263" w:lineRule="auto"/>
        <w:rPr>
          <w:sz w:val="20"/>
          <w:szCs w:val="20"/>
          <w:color w:val="auto"/>
        </w:rPr>
      </w:pPr>
      <w:r>
        <w:rPr>
          <w:rFonts w:ascii="Arial" w:cs="Arial" w:eastAsia="Arial" w:hAnsi="Arial"/>
          <w:sz w:val="18"/>
          <w:szCs w:val="18"/>
          <w:b w:val="1"/>
          <w:bCs w:val="1"/>
          <w:i w:val="1"/>
          <w:iCs w:val="1"/>
          <w:color w:val="auto"/>
        </w:rPr>
        <w:t>Project delays related to the increasingly negative impacts of climate change or other unusual, non-historical weather patterns has and may continue to impact our ability to perform projects on time and on budget and therefore could materially adversely affect our business operations, revenues and profits.</w:t>
      </w:r>
    </w:p>
    <w:p>
      <w:pPr>
        <w:spacing w:after="0" w:line="76"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timely and efficient performance of our projects are dependent on weather conditions. Severe storms or other weather-related problems, which are becoming increasing variable and which deviate from expected historical weather patterns as a result of climate change or other factors, can, and have, caused substantial delays on our projects. Delays, such which we experienced in 2022, may affect our ability to perform on our projects or increase the cost of our performing certain projects, and may result in our inability to perform certain projects on time and on budget. While we attempt to plan for all scenarios when bidding on projects, weather events caused by climate change or other unanticipated variables have made that planning increasing difficult. We expect that the severity of unusual storms and weather patterns will continue to fluctuate and may continue to adversely impact our ability to complete projects on time and on budget and therefore could materially adversely affect our business operations, revenues and profits.</w:t>
      </w:r>
    </w:p>
    <w:p>
      <w:pPr>
        <w:spacing w:after="0" w:line="166" w:lineRule="exact"/>
        <w:rPr>
          <w:sz w:val="20"/>
          <w:szCs w:val="20"/>
          <w:color w:val="auto"/>
        </w:rPr>
      </w:pPr>
    </w:p>
    <w:p>
      <w:pPr>
        <w:ind w:right="620"/>
        <w:spacing w:after="0" w:line="375" w:lineRule="auto"/>
        <w:rPr>
          <w:sz w:val="20"/>
          <w:szCs w:val="20"/>
          <w:color w:val="auto"/>
        </w:rPr>
      </w:pPr>
      <w:r>
        <w:rPr>
          <w:rFonts w:ascii="Arial" w:cs="Arial" w:eastAsia="Arial" w:hAnsi="Arial"/>
          <w:sz w:val="15"/>
          <w:szCs w:val="15"/>
          <w:b w:val="1"/>
          <w:bCs w:val="1"/>
          <w:i w:val="1"/>
          <w:iCs w:val="1"/>
          <w:color w:val="auto"/>
        </w:rPr>
        <w:t>Costs necessary to operate and maintain our vessels tend to increase with the age of the vessel, and costs of such maintenance, as well as costs associated with new build programs, may also increase due to changes in applicable regulations or standards, which could decrease our profits.</w:t>
      </w:r>
    </w:p>
    <w:p>
      <w:pPr>
        <w:spacing w:after="0" w:line="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average age of our more significant vessels as of December 31, 2022, by equipment type,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Type of Equipment</w:t>
            </w:r>
          </w:p>
        </w:tc>
        <w:tc>
          <w:tcPr>
            <w:tcW w:w="120" w:type="dxa"/>
            <w:vAlign w:val="bottom"/>
          </w:tcPr>
          <w:p>
            <w:pPr>
              <w:spacing w:after="0"/>
              <w:rPr>
                <w:sz w:val="14"/>
                <w:szCs w:val="14"/>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Quantity</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4"/>
              </w:rPr>
              <w:t>Average Age in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Hydraulic Dredges</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Hopper Dredges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Mechanical Dredges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Unloaders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Drillboats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Material and Other Barges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22"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Remaining economic life has not been presented, because it is not reasonably quantifiable. That is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spacing w:after="0" w:line="18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significant additional expenditures. For example, if the U.S. Coast Guard enacts new standards, we may be required to incur expenditures for alterations or the addition of new equipment (e.g. more fuel-efficient engines). In order to satisfy any such requirements, we may need to take our vessels out of service for extended periods of time, with corresponding losses of revenues.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or mechanical failures could result in increased costs, project delays and reduced revenues.</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 xml:space="preserve">The successful performance of contracts requires a high degree of reliability of our vessels, barges and other equipment. The average age of our marine fleet as of December 31, 2022 was 26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resulting in loss of revenue. For example, we experienced an unexpected engine failure on our dredge </w:t>
      </w:r>
      <w:r>
        <w:rPr>
          <w:rFonts w:ascii="Arial" w:cs="Arial" w:eastAsia="Arial" w:hAnsi="Arial"/>
          <w:sz w:val="17"/>
          <w:szCs w:val="17"/>
          <w:i w:val="1"/>
          <w:iCs w:val="1"/>
          <w:color w:val="auto"/>
        </w:rPr>
        <w:t>Terrapin Island</w:t>
      </w:r>
      <w:r>
        <w:rPr>
          <w:rFonts w:ascii="Arial" w:cs="Arial" w:eastAsia="Arial" w:hAnsi="Arial"/>
          <w:sz w:val="17"/>
          <w:szCs w:val="17"/>
          <w:color w:val="auto"/>
        </w:rPr>
        <w:t>, which resulted in a negative impact to our results of operations in 2022.</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affecting our markets or impacting our facilities or suppliers could adversely impact our business.</w:t>
      </w:r>
    </w:p>
    <w:p>
      <w:pPr>
        <w:spacing w:after="0" w:line="17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If another pandemic, epidemic or outbreak of an infectious disease or other public health crisis were to affect our markets or facilities or those of our suppliers, our business could be adversely affected. Another pandemic could cause disruptions in and restrictions on our ability to travel, and in the future these disruptions and restrictions could restrict our ability to perform work for future projects in different locations. If an infectious disease were to have a widespread outbreak at one or more of our vessels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60"/>
        <w:spacing w:after="0" w:line="253" w:lineRule="auto"/>
        <w:rPr>
          <w:sz w:val="20"/>
          <w:szCs w:val="20"/>
          <w:color w:val="auto"/>
        </w:rPr>
      </w:pPr>
      <w:r>
        <w:rPr>
          <w:rFonts w:ascii="Arial" w:cs="Arial" w:eastAsia="Arial" w:hAnsi="Arial"/>
          <w:sz w:val="18"/>
          <w:szCs w:val="18"/>
          <w:color w:val="auto"/>
        </w:rPr>
        <w:t>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Our clients, which are the Corps, private clients and other federal, state or local agencies, may be impacted by a pandemic, and if prolonged, these impacts may lead to cancelations or delays in projects. Funds for dredging projects may also be diverted for public health, economic or other priorities. Overall, the potential impact of a pandemic, epidemic or outbreak of an infectious disease with respect to our markets or our facilities is difficult to predict and could adversely impact our business.</w:t>
      </w:r>
    </w:p>
    <w:p>
      <w:pPr>
        <w:spacing w:after="0" w:line="19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Disruptions to our supply chain affecting our markets or impacting our facilities or suppliers could prohibit procurement of materials necessary for maintenance of our existing vessels and new vessel build materials and adversely impact our business.</w:t>
      </w:r>
    </w:p>
    <w:p>
      <w:pPr>
        <w:spacing w:after="0" w:line="14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Supply chain issues could cause disruptions that restrict our ability to perform work for future projects. In 2022, we experienced supply chain disruptions which led to a delay in the delivery of our multifunctional all-purpose vessels (“multicats”). Our ability to complete projects in accordance with our contractual obligations may be affected, and we may incur increased labor and materials costs. If the shipyards with which we contract are affected, regulatory drydocking and repairs and general maintenance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 and suspension or debarment from future government contracting.</w:t>
      </w:r>
    </w:p>
    <w:p>
      <w:pPr>
        <w:spacing w:after="0" w:line="17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64"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right="400" w:firstLine="509"/>
        <w:spacing w:after="0" w:line="311" w:lineRule="auto"/>
        <w:rPr>
          <w:sz w:val="20"/>
          <w:szCs w:val="20"/>
          <w:color w:val="auto"/>
        </w:rPr>
      </w:pPr>
      <w:r>
        <w:rPr>
          <w:rFonts w:ascii="Arial" w:cs="Arial" w:eastAsia="Arial" w:hAnsi="Arial"/>
          <w:sz w:val="16"/>
          <w:szCs w:val="16"/>
          <w:color w:val="auto"/>
        </w:rPr>
        <w:t>Environmental requirements have generally become more stringent over time, for example in the areas of air emissions controls for vessels and ballast treatment and handling. New laws or stricter enforcement of existing laws or, the discovery of currently unknown conditions or accidental discharges of regulated materials in the future could cause us to incur additional costs for environmental matters which might be significant.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225"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164"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Both the Securities Exchange Commission and the Federal Acquisition Regulatory Council have proposed regulations which would require us to report emissions data from our operations. If implemented, these regulations may require a substantial outlay of capital by the Company, as well as management time and attention to ensure the Company's compliance.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Penalties for late completion of contracts could reduce our profits.</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Force majeure events could negatively impact our business, operations, revenues, cash flows and profits.</w:t>
      </w:r>
    </w:p>
    <w:p>
      <w:pPr>
        <w:spacing w:after="0" w:line="117" w:lineRule="exact"/>
        <w:rPr>
          <w:sz w:val="20"/>
          <w:szCs w:val="20"/>
          <w:color w:val="auto"/>
        </w:rPr>
      </w:pPr>
    </w:p>
    <w:p>
      <w:pPr>
        <w:jc w:val="both"/>
        <w:ind w:right="340" w:firstLine="509"/>
        <w:spacing w:after="0" w:line="301" w:lineRule="auto"/>
        <w:rPr>
          <w:sz w:val="20"/>
          <w:szCs w:val="20"/>
          <w:color w:val="auto"/>
        </w:rPr>
      </w:pPr>
      <w:r>
        <w:rPr>
          <w:rFonts w:ascii="Arial" w:cs="Arial" w:eastAsia="Arial" w:hAnsi="Arial"/>
          <w:sz w:val="16"/>
          <w:szCs w:val="16"/>
          <w:color w:val="auto"/>
        </w:rPr>
        <w:t>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w:t>
      </w:r>
    </w:p>
    <w:p>
      <w:pPr>
        <w:spacing w:after="0" w:line="15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may change and may not be indicative of future revenues.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contract backlog represents our estimate of the revenues that we will realize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6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Because of these factors, as well as factors affecting the time required to complete each job, backlog is not necessarily indicative of future revenues or profitability. In addition, a significant amount of our backlog (77% as of December 31, 2022)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320" w:firstLine="509"/>
        <w:spacing w:after="0" w:line="277" w:lineRule="auto"/>
        <w:rPr>
          <w:sz w:val="20"/>
          <w:szCs w:val="20"/>
          <w:color w:val="auto"/>
        </w:rPr>
      </w:pPr>
      <w:r>
        <w:rPr>
          <w:rFonts w:ascii="Arial" w:cs="Arial" w:eastAsia="Arial" w:hAnsi="Arial"/>
          <w:sz w:val="18"/>
          <w:szCs w:val="18"/>
          <w:color w:val="auto"/>
        </w:rPr>
        <w:t>Below is our backlog from federal government contracts as of December 31, 2022, 2021, and 2020 and the percentage of those contracts to total backlog as of the same date.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backlog (in US $1,000)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290,694</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341,768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390,345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Percentage of backlog from federal government</w:t>
            </w:r>
          </w:p>
        </w:tc>
        <w:tc>
          <w:tcPr>
            <w:tcW w:w="26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77 %</w:t>
            </w:r>
          </w:p>
        </w:tc>
        <w:tc>
          <w:tcPr>
            <w:tcW w:w="3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62 %</w:t>
            </w:r>
          </w:p>
        </w:tc>
        <w:tc>
          <w:tcPr>
            <w:tcW w:w="2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70 %</w:t>
            </w:r>
          </w:p>
        </w:tc>
      </w:tr>
    </w:tbl>
    <w:p>
      <w:pPr>
        <w:spacing w:after="0" w:line="255" w:lineRule="exact"/>
        <w:rPr>
          <w:sz w:val="20"/>
          <w:szCs w:val="20"/>
          <w:color w:val="auto"/>
        </w:rPr>
      </w:pPr>
    </w:p>
    <w:p>
      <w:pPr>
        <w:jc w:val="both"/>
        <w:ind w:right="280" w:firstLine="509"/>
        <w:spacing w:after="0" w:line="275" w:lineRule="auto"/>
        <w:rPr>
          <w:sz w:val="20"/>
          <w:szCs w:val="20"/>
          <w:color w:val="auto"/>
        </w:rPr>
      </w:pPr>
      <w:r>
        <w:rPr>
          <w:rFonts w:ascii="Arial" w:cs="Arial" w:eastAsia="Arial" w:hAnsi="Arial"/>
          <w:sz w:val="17"/>
          <w:szCs w:val="17"/>
          <w:color w:val="auto"/>
        </w:rPr>
        <w:t>Although we do not currently have any international projects, if we were to engage in a new foreign project, we may have backlog with foreign governments that use local laws and regulations to change terms of a contract in backlog or to limit our ability to receive payment on a timely basis. In addition to our United States federal contracts, our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 single customer contract could significantly decrease revenue.</w:t>
      </w:r>
    </w:p>
    <w:p>
      <w:pPr>
        <w:spacing w:after="0" w:line="22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Prospective customers may be incentivized to use another dredging company other than the Company. The Company could lose future contracts for work to competitors or could be forced to accept lower margins on contracts. Lower utilization, workforce reductions or asset relocations could have a material adverse effect on our business, operating results, cash flows or financial condition.</w:t>
      </w:r>
    </w:p>
    <w:p>
      <w:pPr>
        <w:spacing w:after="0" w:line="18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While the Company does not currently have significant operations or equipment in the Middle East, we may seek contracts there in the future. Certain factors have occurred suggesting that future revenues from projects with governments in the Middle East could decrease. The contraction in Middle East commercial and real estate development have slowed the rate of the region’s infrastructure development. If the diplomatic relationship of the United States or our commercial relationship with governments in the Middle East is significantly negatively impacted or terminated, or we encounter significant difficulties in obtaining licensing or permits to do business in these countries, the Company’s international revenues would be materially and adversely impacted. If the government of Bahrain or Saudi Arabia further curtails its infrastructure investment or diversifies its use of dredging vendors, our revenue from these customers could decline further.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obtain secure financing or financing on favorable terms for our new vessels.</w:t>
      </w:r>
    </w:p>
    <w:p>
      <w:pPr>
        <w:spacing w:after="0" w:line="225"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We have previously disclosed our plans to build new vessels which requires significant capital expenditures. Unforeseen issues could arise in our ability to obtain secure financing or to obtain secure financing on terms favorable to us for building such vessels. This includes our new offshore wind vessel, the second new build hopper dredge, and other potential future vessels. The inability to obtain favorable financing may also impact our ability to bring the new vessels into service within the timeline anticipated by the Company, which may have an adverse effect on our business, financial position and/or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secure contracts to utilize new offshore wind vessel.</w:t>
      </w:r>
    </w:p>
    <w:p>
      <w:pPr>
        <w:spacing w:after="0" w:line="22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have previously disclosed the build of our new offshore wind vessel that is in progress. Our ability to obtain customers and/or contracts on terms favorable to the Company to utilize this new vessel for subsea rock installation for wind turbines could be impacted by unforeseen market conditions. As the costs to build this new vessel have already been incurred, the lack of a secure customer base and favorable secure contracts could have a material adverse effect on the Company’s business, financial position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Unforeseen delays and cost overruns could delay or halt plans to build new vessels and, as a result, negatively impact our business strategy.</w:t>
      </w:r>
    </w:p>
    <w:p>
      <w:pPr>
        <w:spacing w:after="0" w:line="140"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We have previously disclosed our plans to build new vessels. Unknown mechanical or engineering issues involving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Delays may also occur as a result of a shipyard giving priority to other customers. A significant delay in the construction of new vessels or a shipyard’s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ind w:right="200"/>
        <w:spacing w:after="0" w:line="275" w:lineRule="auto"/>
        <w:rPr>
          <w:sz w:val="20"/>
          <w:szCs w:val="20"/>
          <w:color w:val="auto"/>
        </w:rPr>
      </w:pPr>
      <w:r>
        <w:rPr>
          <w:rFonts w:ascii="Arial" w:cs="Arial" w:eastAsia="Arial" w:hAnsi="Arial"/>
          <w:sz w:val="17"/>
          <w:szCs w:val="17"/>
          <w:color w:val="auto"/>
        </w:rPr>
        <w:t>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spacing w:after="0" w:line="6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have previously disclosed our plans to expand into the offshore wind market. Unknown changes to environmental needs and regulations and changes in the policies of the U.S. Presidential Administration could delay or halt plans to expand our new offshore wind projects, which would adversely impact our business strategy and affect the Company’s operating results, cash flows or financial condition. Our future revenues and profitability will also be impacted to some extent if we are unable to obtain favorable steel prices or unable to obtain secure financing for new offshore wind vessels and bring them into service within the timeline anticipated by the Company.</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Jones Act provisions on coastwise trade, or if those provisions were modified or repealed.</w:t>
      </w:r>
    </w:p>
    <w:p>
      <w:pPr>
        <w:spacing w:after="0" w:line="6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6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171"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In addition, Customs and Border Protection (“CBP”), the federal agency that interprets the Jones Act, may issue letter rulings which adversely impact our business. In the past, CBP has issued letter rulings which have the potential to adversely impact Jones Act qualified vessels to be the exclusive operators in certain sectors of the new United States offshore wind industry. The Company has challenged these CBP letter rulings in federal court in Houston, Texas, citing the “Plain Language” of the Jones Act. An adverse ruling in this suit, as well as other adverse letter rulings by CBP, may adversely impact our competitive advantage in the United States offshore wind industry, which could have a material adverse effect on our business, results of operations, cash flows or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costs depend significantly on the price of petroleum-based products, and price increases could adversely affect our profits.</w:t>
      </w:r>
    </w:p>
    <w:p>
      <w:pPr>
        <w:spacing w:after="0" w:line="12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Fuel prices fluctuate based on market events outside of our control. We use diesel fuel and other petroleum-based products to operate our equipment used in our dredging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In addition, the International Maritime Organization issued regulations regarding use of low sulfur fuel, which has increased the demand for low sulfur fuel. We use low sulfur fuel in many of our domestic operations, and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investing and operating costs depend significantly on the prices of new build and general maintenance and repair materials, and price increases due to high nationwide inflation could adversely affect our profits.</w:t>
      </w:r>
    </w:p>
    <w:p>
      <w:pPr>
        <w:spacing w:after="0" w:line="62"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The prices of steel and other materials to build and develop new vessels, as well as to maintain and/or repair our existing vessels, fluctuate based on market events outside of our control, which had an adverse effect on our results of operations in 2022. Most of our new build contracts do not allow us to adjust our pricing for higher material costs during a contract term. When renewing contracts, we may be unable to secure price increases reflecting the rising costs of inflation. Such future increases in the costs of steel and other materials used to build new vessels, particularly if a bid or renewal has been submitted for a contract and the costs of the required products have been estimated at amounts less than the actual costs incurred, could result in a lower profit, or even a loss, on one or more contracts. Additionally, the increased cost of steel and other materials may adversely impact the cost of general maintenance and/or repairs of our existing vessels.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ind w:right="500"/>
        <w:spacing w:after="0" w:line="277" w:lineRule="auto"/>
        <w:rPr>
          <w:sz w:val="20"/>
          <w:szCs w:val="20"/>
          <w:color w:val="auto"/>
        </w:rPr>
      </w:pPr>
      <w:r>
        <w:rPr>
          <w:rFonts w:ascii="Arial" w:cs="Arial" w:eastAsia="Arial" w:hAnsi="Arial"/>
          <w:sz w:val="18"/>
          <w:szCs w:val="18"/>
          <w:b w:val="1"/>
          <w:bCs w:val="1"/>
          <w:i w:val="1"/>
          <w:iCs w:val="1"/>
          <w:color w:val="auto"/>
        </w:rPr>
        <w:t>An inability to obtain bonding or letters of credit would limit our ability to obtain future contracts, which could, along with any draws on existing arrangements, adversely affect our business, operating results, cash flows and financial condition.</w:t>
      </w:r>
    </w:p>
    <w:p>
      <w:pPr>
        <w:spacing w:after="0" w:line="62"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We are generally required to post bonds in connection with our domestic dredging contracts and bonds or letters of credit with our foreign dredging contracts, certain private domestic dredging contracts, and offshore wind contracts to ensure job completion if we ever fail to finish a project. We have entered into bonding agreements with the sureties, or the “Sureties”, pursuant to which the Sureties issue bid bonds, performance bonds and payment bonds, and provide guarantees required by us in the day-to-day operations of our dredging business. The Company currently has outstanding bonds with Argo, Chubb, Travelers, and Liberty. Historically, we have had a strong bonding capacity, but surety companies issue bonds on a project-by-project basis and can decline to issue bonds at any time or require the posting of collateral as a condition to issuing any bonds. With respect to our foreign dredging, certain private domestic dredging, and our offshore wind business, we generally obtain letters of credit under our Amended Credit Agreement. However, access to our senior credit facility under our Amended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spacing w:after="0" w:line="18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connection with the sale of our historical demolition business, we were obligated to keep in place the surety bonds on pending demolition projects for the period required under the respective contract for a project. In 2017, we were notified by Zurich of an alleged default triggered on a historical demolition surety performance bond in the aggregate amount of approximately $20 million for failure of the contractor to perform in accordance with the terms of a project. Zurich drew upon the letter of credit in the amount of $20.9 million. In order to fund the draw on the letter of credit, we had to increase the borrowings on our revolving credit facility. As the outstanding letters of credit previously reduced our availability under the revolving credit facility, this draw down on our letter of credit did not impact our liquidity or capital availability. However, in the future, other defaults (or alleged defaults) triggered under any of our surety bonds could have a material adverse effect on our business, results of operations, cash flows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global health concerns.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have experienced, and may continue to experience, project delays and supply chain issues as a result of COVID-19 and its variants. In addition, certain of our contractors, such as shipyards and subcontractors on projects, have experienced and may continue to experience personnel issues, which might delay our new build program and maintenance of our vessels. These delays and increased costs could continue in the future, and may increase if new, more deadly, variants arise and become widespread, or if a new, unanticipated global or domestic health emergency should arise. We may have additional delays or cancelations in current or future projects. Funds for dredging projects may also be diverted for public health, economic, or other priorities. We may experience adverse impacts to our business as a result of COVID-19 and its variants, as well as currently unknown or anticipated global health emergencies, and their respective effects on global economies and financial markets, including any recession or economic downturn that has occurred or may occur in the future.</w:t>
      </w:r>
    </w:p>
    <w:p>
      <w:pPr>
        <w:spacing w:after="0" w:line="19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If another pandemic, epidemic or outbreak of an infectious disease or other public health crisis were to affect our markets or facilities or those of our suppliers, our business could be adversely affected. Another pandemic could cause disruptions in and restrictions on our ability to travel, and in the future these disruptions and restrictions could restrict our ability to perform work for future projects in different locations. If an infectious disease were to have a widespread outbreak at one or more of our vessels or 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 new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spacing w:after="0" w:line="181" w:lineRule="exact"/>
        <w:rPr>
          <w:sz w:val="20"/>
          <w:szCs w:val="20"/>
          <w:color w:val="auto"/>
        </w:rPr>
      </w:pPr>
    </w:p>
    <w:p>
      <w:pPr>
        <w:ind w:right="640" w:firstLine="509"/>
        <w:spacing w:after="0" w:line="311" w:lineRule="auto"/>
        <w:rPr>
          <w:sz w:val="20"/>
          <w:szCs w:val="20"/>
          <w:color w:val="auto"/>
        </w:rPr>
      </w:pPr>
      <w:r>
        <w:rPr>
          <w:rFonts w:ascii="Arial" w:cs="Arial" w:eastAsia="Arial" w:hAnsi="Arial"/>
          <w:sz w:val="16"/>
          <w:szCs w:val="16"/>
          <w:color w:val="auto"/>
        </w:rPr>
        <w:t>Our clients, which are the Corps, private clients and other federal, state or local agencies, may be impacted by a pandemic or other health emergency, and if prolonged, these impacts may lead to cancelations or delays in projects. Overall, the potential impact of a pandemic, epidemic or outbreak of an infectious disease with respect to our markets or our facilities is difficult to predict and could adversely impact our business.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b w:val="1"/>
          <w:bCs w:val="1"/>
          <w:i w:val="1"/>
          <w:iCs w:val="1"/>
          <w:color w:val="auto"/>
        </w:rPr>
        <w:t>Acquisitions involve integration, consolidation and strategic risks and may involve significant transaction expenses and unexpected liabilities, which could adversely affect our business and results of operations.</w:t>
      </w:r>
    </w:p>
    <w:p>
      <w:pPr>
        <w:spacing w:after="0" w:line="6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may seek business acquisition activities in the future as a means of broadening our offerings and capturing additional market opportunities by our business units. We may be exposed to certain additional risks resulting from these activities. Acquisitions may expose us to operational challenges and risks, including:</w:t>
      </w:r>
    </w:p>
    <w:p>
      <w:pPr>
        <w:spacing w:after="0" w:line="7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valuation methodologies which may not accurately capture the value proposition;</w:t>
      </w:r>
    </w:p>
    <w:p>
      <w:pPr>
        <w:spacing w:after="0" w:line="117" w:lineRule="exact"/>
        <w:rPr>
          <w:rFonts w:ascii="Arial" w:cs="Arial" w:eastAsia="Arial" w:hAnsi="Arial"/>
          <w:sz w:val="18"/>
          <w:szCs w:val="18"/>
          <w:color w:val="auto"/>
        </w:rPr>
      </w:pPr>
    </w:p>
    <w:p>
      <w:pPr>
        <w:ind w:left="1020" w:right="100" w:hanging="503"/>
        <w:spacing w:after="0" w:line="30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management of the growth resulting from acquisition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capitalize on expected synergies;</w:t>
      </w:r>
    </w:p>
    <w:p>
      <w:pPr>
        <w:spacing w:after="0" w:line="117"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75"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 of unprofitable projects that pose future risks to our working capital needs, cash flows and the profitability of related operations;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associated with entering new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retain key personnel, customers or contracts of any acquired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adverse effects on our ability to comply with terms and covenants in our existing debt financing;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impairment of acquired intangible assets;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debt financing, which may not be available on attractive terms.</w:t>
      </w:r>
    </w:p>
    <w:p>
      <w:pPr>
        <w:spacing w:after="0" w:line="225"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Divestitures and discontinued operations could negatively impact our business, and any retained liabilities could adversely affect our financial results.</w:t>
      </w:r>
    </w:p>
    <w:p>
      <w:pPr>
        <w:spacing w:after="0" w:line="15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As part of our strategic process, we review our operations for assets and businesses which may no longer be aligned with our strategic initiatives and long-term objectives. For example, we have divested our historical environmental &amp; infrastructure business and historical demolition business. We continue to review our assets and strategy and may pursue additional divestitures.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or fail to close a transaction at all. Dispositions may also involve continued financial involvement, as we may be required to retain responsibility for, or agree to indemnify buyers against contingent liabilities related to businesses sold, such as lawsuits, surety obligations, tax liabilities, or environmental matters. It may also be difficult to determine whether a claim from a third party stemmed from actions taken by us or by another party and we may expend substantial resources trying to determine which party has responsibility for the claim. Under these types of arrangements, performance by the divested businesses or other conditions outside of our control could affect future financial results and such claims or conditions may divert management attention from our continuing business.</w:t>
      </w:r>
    </w:p>
    <w:p>
      <w:pPr>
        <w:spacing w:after="0" w:line="168"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During the second quarter of 2014, the Company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by virtue of the agreement pursuant to which the Company’s historical demolition business was sold. In connection with the sale of our historical demolition business, we were obligated to keep in place the surety bonds on pending demolition projects for the period required under the respective contract for a project. As noted above, if there should be a default (or alleged default) triggered under any of the surety bonds for the historical demolition business, it could have a material adverse effect on our ability to obtain bonds and on our business, results of operations, cash flows or financial condition.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180" w:firstLine="509"/>
        <w:spacing w:after="0" w:line="259" w:lineRule="auto"/>
        <w:rPr>
          <w:sz w:val="20"/>
          <w:szCs w:val="20"/>
          <w:color w:val="auto"/>
        </w:rPr>
      </w:pPr>
      <w:r>
        <w:rPr>
          <w:rFonts w:ascii="Arial" w:cs="Arial" w:eastAsia="Arial" w:hAnsi="Arial"/>
          <w:sz w:val="18"/>
          <w:szCs w:val="18"/>
          <w:color w:val="auto"/>
        </w:rPr>
        <w:t>During the second quarter of 2019, the Company completed the sale of the historical environmental &amp; infrastructure business. The Company retained responsibility for pre-closing liabilities and indemnification for breaches of our representations and warranties in the sale agreement. If the buyer made a claim against any of our indemnifications or if any payments became due in connection with any pre-closing liability, they could be material to results of operations, cash flows or financial condition.</w:t>
      </w:r>
    </w:p>
    <w:p>
      <w:pPr>
        <w:spacing w:after="0" w:line="18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If we do not realize the expected benefits or synergies of any divestiture transaction or if we underestimated the valuation of the charge related to placing an asset held for sale in discontinued operations, our consolidated financial position, results of operations and cash flows could be negatively impacted. Any divestiture may result in a dilutive impact to our future earnings if we are unable to offset the dilutive impact from the loss of revenue associated with the divestiture, as well as significant write-offs, including those related to goodwill and other intangible assets, which could have a material adverse effect on our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liabilities and/or damage to our reputation as a result of legal and regulatory proceedings.</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From time to time, we are subject to legal and regulatory proceedings in the ordinary course of our business. These include proceedings relating to aspects of our businesses that are specific to us and proceedings that are typical in the businesses in which we operate.</w:t>
      </w:r>
    </w:p>
    <w:p>
      <w:pPr>
        <w:spacing w:after="0" w:line="184"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are currently a defendant in a number of litigation matters, including those described in Item 3. “Legal Proceedings” of this Annual Report on Form 10-K. In certain of these matters, the plaintiffs are seeking large and/or indeterminate amounts of damages. These matters are also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spacing w:after="0" w:line="15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Furthermore, whether the ultimate outcomes are favorable or unfavorable, these matters can also have significant adverse reputational impacts, including negative publicity and press speculation about us, whether valid or not, which may be damaging to our business, results of operations, cash flows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Liabilities for the obligations of our joint ventures, partners and subcontractors could materially decrease our profitability and liquidity.</w:t>
      </w:r>
    </w:p>
    <w:p>
      <w:pPr>
        <w:spacing w:after="0" w:line="129"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8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risks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New tariffs have increased our costs and could adversely affect our business operations, revenues and profits.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recent years, the United States has imposed Section 232 tariffs and other import taxes on certain steel and aluminum products, such as imported dredge-related machinery and pipes. These tariffs and other import taxes have increased the prices of these inputs. Increased prices for imported steel and aluminum products have led domestic sellers to respond with market-based increases to prices for such inputs as well. We cannot be sure of the ultimate effect such tariffs or any additional import taxes will have on our operating profits. If we are not able to pass these price increases on to our customers or to secure adequate alternative sources for such inputs on a timely basis, the tariffs and other import taxes may have a material adverse effect on our business operations, revenues and profits.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17"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We are a party to numerous collective bargaining agreements in the U.S. that govern our industry’s relationships with our unionized hourly workforce. Two unions represent approximately 74% of our hourly dredging employees—the IUOE Local 25 and the Seafarers International Union. The Company’s master and ancillary contracts with IUOE Local 25 expire in September 2024. Our agreements with the Seafarers International Union will expire on February 28, 2023, however, negotiations began in January for a renewal agreement to be effective on March 1, 2023. While we expect that the membership will have a tentative agreement before expiration of the current agreement, we cannot be certain that will occur.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Liabilities imposed by federal laws for job-related claims by seagoing employees could increase our costs and reduce our profitability.</w:t>
      </w:r>
    </w:p>
    <w:p>
      <w:pPr>
        <w:spacing w:after="0" w:line="1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 Successful claims could materially increase our costs and reduce our profitability. Further, the number and resolution of these claims could increase our insurance costs.</w:t>
      </w:r>
    </w:p>
    <w:p>
      <w:pPr>
        <w:spacing w:after="0" w:line="3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significant operating risks and hazards inherent in the operation of our business could result in personal or property damage, which could result in losses or liabilities to us.</w:t>
      </w:r>
    </w:p>
    <w:p>
      <w:pPr>
        <w:spacing w:after="0" w:line="6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 dredging business is generally subject to a number of risks and hazards, including environmental hazards, industrial accidents, encountering unusual or unexpected geological formations, cave-ins below water levels, collisions, disruption of transportation services, flooding and unexploded ordnance.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7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were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3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identify and contract with qualified MBE or DBE contractors to perform as subcontractors, which could materially and adversely impact our financial position, results of operations, cash flows and liquidity.</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Certain of our government agency projects contain goals for minimum minority business enterprise (“MBE”) and/or disadvantaged business enterprise (“DBE”) participation clauses. If we subsequently fail to reach our goals for the minimum MBE and/or DBE participation, we may be held responsible for breach of contract, which may include restrictions on our ability to bid on 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financial position, results of operations, cash flows and liquidity.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makes us more vulnerable to adverse economic and competitive conditions.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currently have a substantial amount of indebtedness. As of December 31, 2022, we had indebtedness of $325.0 million, consisting of our senior subordinated notes. As of December 31, 2022, we had no borrowings on our revolving credit facility and approximately $16.4 million of undrawn letters of credit, leaving $245.7 million of additional borrowing capacity under our revolving credit facility. These figures exclude contingent obligations, including $0.7 billion of performance bonds outstanding under the Company’s agreements with the Sureties and other bonding agreements. Our level of indebtedness could:</w:t>
      </w:r>
    </w:p>
    <w:p>
      <w:pPr>
        <w:spacing w:after="0" w:line="80" w:lineRule="exact"/>
        <w:rPr>
          <w:sz w:val="20"/>
          <w:szCs w:val="20"/>
          <w:color w:val="auto"/>
        </w:rPr>
      </w:pPr>
    </w:p>
    <w:p>
      <w:pPr>
        <w:ind w:left="1020" w:right="240" w:hanging="503"/>
        <w:spacing w:after="0" w:line="30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 and issue performance letters of credit.</w:t>
      </w:r>
    </w:p>
    <w:p>
      <w:pPr>
        <w:spacing w:after="0" w:line="22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We and our subsidiaries also may be able to incur substantial additional indebtedness in the future. The terms of our revolving credit facility and the indenture under which our senior subordinated notes are issued limit, but do not prohibit, us or our subsidiaries from incurring additional indebtedness. If new indebtedness is added to our current debt levels, the related risks that we and our subsidiaries now face could intensify.</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covenants in our financing arrangements limit, and other future financing agreements may limit, our ability to operate our business.</w:t>
      </w:r>
    </w:p>
    <w:p>
      <w:pPr>
        <w:spacing w:after="0" w:line="140"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credit agreement governing our senior revolving credit facility and the indenture governing our senior notes contain, and any of our other future financing agreements may contain terms and covenants imposing operating and financial restrictions on our business.</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For example, the maximum borrowing capacity under the Amended Credit Agreement is determined by a formula and may fluctuate depending on the value of the collateral included in such formula at the time of determination. If the value of our collateral were to decrease, our borrowing capacity on which we are able to draw additional funds or issue letters of credit could be limited. In addition, the credit agreement governing our senior revolving credit facility requires us to satisfy a fixed charge coverage ratio under certain circumstances. If we fail to satisfy such covenant, we would be in default and the lenders (through the administrative agent or collateral agent, as applicable) could elect to declare all amounts outstanding to be immediately due and payable, enforce their interests in the collateral pledged and/or restrict our ability to make additional borrowings, as applicable. The covenants in the credit agreement governing our senior revolving credit facility and the indenture governing our senior notes, subject to specified exceptions and to varying degrees, restrict our ability to, among other things:</w:t>
      </w:r>
    </w:p>
    <w:p>
      <w:pPr>
        <w:spacing w:after="0" w:line="70"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incur, assume or permit to exist any liens;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operating leases;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 loans and advancements;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consolidate or reorganize with, or dispose of all or substantially all assets to, a third party;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acquisitions;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 or redeem other indebtedness;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certain types of capital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7" w:name="page28"/>
    <w:bookmarkEnd w:id="27"/>
    <w:p>
      <w:pPr>
        <w:ind w:right="220" w:firstLine="509"/>
        <w:spacing w:after="0" w:line="277" w:lineRule="auto"/>
        <w:rPr>
          <w:sz w:val="20"/>
          <w:szCs w:val="20"/>
          <w:color w:val="auto"/>
        </w:rPr>
      </w:pPr>
      <w:r>
        <w:rPr>
          <w:rFonts w:ascii="Arial" w:cs="Arial" w:eastAsia="Arial" w:hAnsi="Arial"/>
          <w:sz w:val="18"/>
          <w:szCs w:val="18"/>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access capital and meet liquidity needs.</w:t>
      </w:r>
    </w:p>
    <w:p>
      <w:pPr>
        <w:spacing w:after="0" w:line="117"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or refinancing on acceptable terms, or at all.</w:t>
      </w:r>
    </w:p>
    <w:p>
      <w:pPr>
        <w:spacing w:after="0" w:line="184" w:lineRule="exact"/>
        <w:rPr>
          <w:sz w:val="20"/>
          <w:szCs w:val="20"/>
          <w:color w:val="auto"/>
        </w:rPr>
      </w:pPr>
    </w:p>
    <w:p>
      <w:pPr>
        <w:ind w:right="240" w:firstLine="509"/>
        <w:spacing w:after="0" w:line="272" w:lineRule="auto"/>
        <w:rPr>
          <w:sz w:val="20"/>
          <w:szCs w:val="20"/>
          <w:color w:val="auto"/>
        </w:rPr>
      </w:pPr>
      <w:r>
        <w:rPr>
          <w:rFonts w:ascii="Arial" w:cs="Arial" w:eastAsia="Arial" w:hAnsi="Arial"/>
          <w:sz w:val="17"/>
          <w:szCs w:val="17"/>
          <w:color w:val="auto"/>
        </w:rPr>
        <w:t>We need liquidity to pay our operating and capital expenses, interest on our debt and remaining obligations on our new build program.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in the future require us to borrow on our line of credit from time to time to meet the needs of our operations.</w:t>
      </w:r>
    </w:p>
    <w:p>
      <w:pPr>
        <w:spacing w:after="0" w:line="17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requirements for derivative transactions could adversely impact our ability to hedge interest rate, currency or commodity risks.</w:t>
      </w:r>
    </w:p>
    <w:p>
      <w:pPr>
        <w:spacing w:after="0" w:line="129"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foreign exchange risks, which could result in large cash losses.</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exposed to market risk associated with changes in foreign currency exchange rates. The primary foreign currencies to which the Company has exposure are the Bahraini Dinar and the Euro. We have unhedged foreign currency exposure related to the new inclined fall-pipe vessel for subsea rock installation build, in particular, as it relates to the procurement of steel for this build.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and extensions of payment terms for, privately financed projects could result in significant losses.</w:t>
      </w:r>
    </w:p>
    <w:p>
      <w:pPr>
        <w:spacing w:after="0" w:line="11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We have participated and may continue to participate in privately financed projects that enable state and local governments and other customers to finance dredging, such as dredging of local navigable waterways and lakes, coastal protection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29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they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our stockholders may consider favorable.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provisions of our certificate of incorporation and bylaws may deter, delay or prevent a third-party from acquiring us. These provisions include:</w:t>
      </w:r>
    </w:p>
    <w:p>
      <w:pPr>
        <w:spacing w:after="0" w:line="14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limitations on the ability of stockholders to amend our charter documents, including stockholder supermajority voting requirements;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70"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8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not receive dividends because of restrictions in our debt agreements or Delaware law.</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Our ability to pay dividends is restricted by the agreements governing our debt, including our Amended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ind w:right="260"/>
        <w:spacing w:after="0" w:line="277" w:lineRule="auto"/>
        <w:rPr>
          <w:sz w:val="20"/>
          <w:szCs w:val="20"/>
          <w:color w:val="auto"/>
        </w:rPr>
      </w:pPr>
      <w:r>
        <w:rPr>
          <w:rFonts w:ascii="Arial" w:cs="Arial" w:eastAsia="Arial" w:hAnsi="Arial"/>
          <w:sz w:val="18"/>
          <w:szCs w:val="18"/>
          <w:b w:val="1"/>
          <w:bCs w:val="1"/>
          <w:i w:val="1"/>
          <w:iCs w:val="1"/>
          <w:color w:val="auto"/>
        </w:rPr>
        <w:t>Significant fluctuations in the market price of our common stock may affect the ability of holders to resell our common stock at prices that they find attractive.</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76"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announcements of strategic developments, significant contracts, acquisitions and other material events by us or our competitors;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22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184"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 Additionally, volatility or a lack of positive performance in our stock price may adversely affect our ability to retain key employees, many of whom are awarded equity securities, the value of which is dependent on the performance of our stock price.</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methods of accounting for recognizing revenue involve significant estimates and could result in a change in previously recorded revenue and profit.</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recognize revenue on our projects using generally accepted accounting principles in the United States (“GAAP”) including guidance from Revenue from Contracts with Customers, as amended (commonly referred to as ASC 606) subsequent to year-end December 31, 2017. The majority of our work is performed on a fixed-price basis. Contract revenue is recorded over time based on estimates which we develop from information known to us at the time of recording, but which may change.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1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2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find, attract and retain skilled labor and key personnel, including governance personnel, our business, results of operations, cash flows or financial condition could be materially and adversely affected.</w:t>
      </w:r>
    </w:p>
    <w:p>
      <w:pPr>
        <w:spacing w:after="0" w:line="62"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We have experienced, and may continue to experience, some difficulty finding skilled labor in the current labor shortage market.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19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members of our board of directors or senior management team could be disruptive to our operations, jeopardize our ability to raise additional funding and have an adverse effect on our business. The failure of our directors or any new members of our board of directors or management to perform effectively could have a significant negative impact on our business, financial condition and results of operations.</w:t>
      </w:r>
    </w:p>
    <w:p>
      <w:pPr>
        <w:spacing w:after="0" w:line="2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Disruption, failure, data corruption, cyber-based attacks or security breaches of our IT systems could adversely affect our business and results of operations.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rely on information technology (“IT”) systems in order to achieve our business objectives, including to transmit and store electronic information, to capture knowledge of our business including vessel operation systems containing information about production, efficiency and vessel positioning, to conduct our accounting, financial and treasury activities, to store historical financial, project and proprietary information, to monitor our vessel maintenance and engine systems, and to communicate within the organization and with customers, suppliers, partners and other third parties. Our portfolio of hardware and software products, solutions and services and our enterprise IT systems may be vulnerable to damage or disruption caused by circumstances beyond our control such as catastrophic events, power outages, natural disasters and computer system or network failures. The Company’s IT systems may also be subject to cybersecurity attacks including malware, other computer viruses or malicious software, spoofing or phishing email attacks, attempts to gain unauthorized access to our data, the unauthorized release, corruption or loss of its data, loss or damage to its data delivery systems and other electronic security breaches.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 to our goodwill or other intangible assets could negatively affect our financial condition and results of operations.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or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owns or leases the properties described below. The Company believes that its existing facilities are adequate for its operations.</w:t>
      </w:r>
    </w:p>
    <w:p>
      <w:pPr>
        <w:spacing w:after="0" w:line="129"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The Company’s headquarters are located at 9811 Katy Freeway, Suites 1000 and 1200, Houston, Texas 77024 with approximately 31,336 square feet of office space that it leases with a term expiring in 2030. As of December 31, 2022, the Company owns or leases the following additional facilities: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Location</w:t>
            </w:r>
          </w:p>
        </w:tc>
        <w:tc>
          <w:tcPr>
            <w:tcW w:w="36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Type of</w:t>
            </w:r>
          </w:p>
        </w:tc>
        <w:tc>
          <w:tcPr>
            <w:tcW w:w="36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Size</w:t>
            </w: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Leased or</w:t>
            </w:r>
          </w:p>
        </w:tc>
        <w:tc>
          <w:tcPr>
            <w:tcW w:w="0" w:type="dxa"/>
            <w:vAlign w:val="bottom"/>
          </w:tcPr>
          <w:p>
            <w:pPr>
              <w:spacing w:after="0"/>
              <w:rPr>
                <w:sz w:val="1"/>
                <w:szCs w:val="1"/>
                <w:color w:val="auto"/>
              </w:rPr>
            </w:pPr>
          </w:p>
        </w:tc>
      </w:tr>
      <w:tr>
        <w:trPr>
          <w:trHeight w:val="185"/>
        </w:trPr>
        <w:tc>
          <w:tcPr>
            <w:tcW w:w="36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Facility</w:t>
            </w:r>
          </w:p>
        </w:tc>
        <w:tc>
          <w:tcPr>
            <w:tcW w:w="36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37"/>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Staten Island, NY</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Yard</w:t>
            </w:r>
          </w:p>
        </w:tc>
        <w:tc>
          <w:tcPr>
            <w:tcW w:w="360" w:type="dxa"/>
            <w:vAlign w:val="bottom"/>
            <w:shd w:val="clear" w:color="auto" w:fill="CFF0FC"/>
          </w:tcPr>
          <w:p>
            <w:pPr>
              <w:spacing w:after="0"/>
              <w:rPr>
                <w:sz w:val="20"/>
                <w:szCs w:val="20"/>
                <w:color w:val="auto"/>
              </w:rPr>
            </w:pPr>
          </w:p>
        </w:tc>
        <w:tc>
          <w:tcPr>
            <w:tcW w:w="204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4.4</w:t>
            </w: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Acres</w:t>
            </w:r>
          </w:p>
        </w:tc>
        <w:tc>
          <w:tcPr>
            <w:tcW w:w="300" w:type="dxa"/>
            <w:vAlign w:val="bottom"/>
            <w:shd w:val="clear" w:color="auto" w:fill="CFF0FC"/>
          </w:tcPr>
          <w:p>
            <w:pPr>
              <w:spacing w:after="0"/>
              <w:rPr>
                <w:sz w:val="20"/>
                <w:szCs w:val="20"/>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Morgan City, LA</w:t>
            </w:r>
          </w:p>
        </w:tc>
        <w:tc>
          <w:tcPr>
            <w:tcW w:w="3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Yard</w:t>
            </w:r>
          </w:p>
        </w:tc>
        <w:tc>
          <w:tcPr>
            <w:tcW w:w="2400" w:type="dxa"/>
            <w:vAlign w:val="bottom"/>
            <w:gridSpan w:val="2"/>
          </w:tcPr>
          <w:p>
            <w:pPr>
              <w:jc w:val="right"/>
              <w:ind w:right="139"/>
              <w:spacing w:after="0"/>
              <w:rPr>
                <w:sz w:val="20"/>
                <w:szCs w:val="20"/>
                <w:color w:val="auto"/>
              </w:rPr>
            </w:pPr>
            <w:r>
              <w:rPr>
                <w:rFonts w:ascii="Arial" w:cs="Arial" w:eastAsia="Arial" w:hAnsi="Arial"/>
                <w:sz w:val="18"/>
                <w:szCs w:val="18"/>
                <w:color w:val="auto"/>
              </w:rPr>
              <w:t>6.4</w:t>
            </w:r>
          </w:p>
        </w:tc>
        <w:tc>
          <w:tcPr>
            <w:tcW w:w="1780" w:type="dxa"/>
            <w:vAlign w:val="bottom"/>
          </w:tcPr>
          <w:p>
            <w:pPr>
              <w:spacing w:after="0"/>
              <w:rPr>
                <w:sz w:val="20"/>
                <w:szCs w:val="20"/>
                <w:color w:val="auto"/>
              </w:rPr>
            </w:pPr>
            <w:r>
              <w:rPr>
                <w:rFonts w:ascii="Arial" w:cs="Arial" w:eastAsia="Arial" w:hAnsi="Arial"/>
                <w:sz w:val="18"/>
                <w:szCs w:val="18"/>
                <w:color w:val="auto"/>
              </w:rPr>
              <w:t>Acres</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4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Norfolk, VA</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Yard</w:t>
            </w:r>
          </w:p>
        </w:tc>
        <w:tc>
          <w:tcPr>
            <w:tcW w:w="240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15.3</w:t>
            </w: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Acres</w:t>
            </w: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Norfolk, VA</w:t>
            </w:r>
          </w:p>
        </w:tc>
        <w:tc>
          <w:tcPr>
            <w:tcW w:w="3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Yard</w:t>
            </w:r>
          </w:p>
        </w:tc>
        <w:tc>
          <w:tcPr>
            <w:tcW w:w="2400" w:type="dxa"/>
            <w:vAlign w:val="bottom"/>
            <w:gridSpan w:val="2"/>
          </w:tcPr>
          <w:p>
            <w:pPr>
              <w:jc w:val="right"/>
              <w:ind w:right="139"/>
              <w:spacing w:after="0"/>
              <w:rPr>
                <w:sz w:val="20"/>
                <w:szCs w:val="20"/>
                <w:color w:val="auto"/>
              </w:rPr>
            </w:pPr>
            <w:r>
              <w:rPr>
                <w:rFonts w:ascii="Arial" w:cs="Arial" w:eastAsia="Arial" w:hAnsi="Arial"/>
                <w:sz w:val="18"/>
                <w:szCs w:val="18"/>
                <w:color w:val="auto"/>
              </w:rPr>
              <w:t>16.2</w:t>
            </w:r>
          </w:p>
        </w:tc>
        <w:tc>
          <w:tcPr>
            <w:tcW w:w="1780" w:type="dxa"/>
            <w:vAlign w:val="bottom"/>
          </w:tcPr>
          <w:p>
            <w:pPr>
              <w:spacing w:after="0"/>
              <w:rPr>
                <w:sz w:val="20"/>
                <w:szCs w:val="20"/>
                <w:color w:val="auto"/>
              </w:rPr>
            </w:pPr>
            <w:r>
              <w:rPr>
                <w:rFonts w:ascii="Arial" w:cs="Arial" w:eastAsia="Arial" w:hAnsi="Arial"/>
                <w:sz w:val="18"/>
                <w:szCs w:val="18"/>
                <w:color w:val="auto"/>
              </w:rPr>
              <w:t>Acres</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4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Little Rock, AR</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Yard</w:t>
            </w:r>
          </w:p>
        </w:tc>
        <w:tc>
          <w:tcPr>
            <w:tcW w:w="240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11.8</w:t>
            </w: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Acres</w:t>
            </w: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Cape Girardeau, MO</w:t>
            </w:r>
          </w:p>
        </w:tc>
        <w:tc>
          <w:tcPr>
            <w:tcW w:w="3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Office</w:t>
            </w:r>
          </w:p>
        </w:tc>
        <w:tc>
          <w:tcPr>
            <w:tcW w:w="2400" w:type="dxa"/>
            <w:vAlign w:val="bottom"/>
            <w:gridSpan w:val="2"/>
          </w:tcPr>
          <w:p>
            <w:pPr>
              <w:jc w:val="right"/>
              <w:ind w:right="139"/>
              <w:spacing w:after="0"/>
              <w:rPr>
                <w:sz w:val="20"/>
                <w:szCs w:val="20"/>
                <w:color w:val="auto"/>
              </w:rPr>
            </w:pPr>
            <w:r>
              <w:rPr>
                <w:rFonts w:ascii="Arial" w:cs="Arial" w:eastAsia="Arial" w:hAnsi="Arial"/>
                <w:sz w:val="18"/>
                <w:szCs w:val="18"/>
                <w:color w:val="auto"/>
              </w:rPr>
              <w:t>726</w:t>
            </w:r>
          </w:p>
        </w:tc>
        <w:tc>
          <w:tcPr>
            <w:tcW w:w="1780" w:type="dxa"/>
            <w:vAlign w:val="bottom"/>
          </w:tcPr>
          <w:p>
            <w:pPr>
              <w:spacing w:after="0"/>
              <w:rPr>
                <w:sz w:val="20"/>
                <w:szCs w:val="20"/>
                <w:color w:val="auto"/>
              </w:rPr>
            </w:pPr>
            <w:r>
              <w:rPr>
                <w:rFonts w:ascii="Arial" w:cs="Arial" w:eastAsia="Arial" w:hAnsi="Arial"/>
                <w:sz w:val="18"/>
                <w:szCs w:val="18"/>
                <w:color w:val="auto"/>
              </w:rPr>
              <w:t>Square feet</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4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Cape Girardeau, MO</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Storage</w:t>
            </w:r>
          </w:p>
        </w:tc>
        <w:tc>
          <w:tcPr>
            <w:tcW w:w="240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7,200</w:t>
            </w: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Square feet</w:t>
            </w: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Cape Girardeau, MO</w:t>
            </w:r>
          </w:p>
        </w:tc>
        <w:tc>
          <w:tcPr>
            <w:tcW w:w="3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Yard</w:t>
            </w:r>
          </w:p>
        </w:tc>
        <w:tc>
          <w:tcPr>
            <w:tcW w:w="2400" w:type="dxa"/>
            <w:vAlign w:val="bottom"/>
            <w:gridSpan w:val="2"/>
          </w:tcPr>
          <w:p>
            <w:pPr>
              <w:jc w:val="right"/>
              <w:ind w:right="139"/>
              <w:spacing w:after="0"/>
              <w:rPr>
                <w:sz w:val="20"/>
                <w:szCs w:val="20"/>
                <w:color w:val="auto"/>
              </w:rPr>
            </w:pPr>
            <w:r>
              <w:rPr>
                <w:rFonts w:ascii="Arial" w:cs="Arial" w:eastAsia="Arial" w:hAnsi="Arial"/>
                <w:sz w:val="18"/>
                <w:szCs w:val="18"/>
                <w:color w:val="auto"/>
              </w:rPr>
              <w:t>18.4</w:t>
            </w:r>
          </w:p>
        </w:tc>
        <w:tc>
          <w:tcPr>
            <w:tcW w:w="1780" w:type="dxa"/>
            <w:vAlign w:val="bottom"/>
          </w:tcPr>
          <w:p>
            <w:pPr>
              <w:spacing w:after="0"/>
              <w:rPr>
                <w:sz w:val="20"/>
                <w:szCs w:val="20"/>
                <w:color w:val="auto"/>
              </w:rPr>
            </w:pPr>
            <w:r>
              <w:rPr>
                <w:rFonts w:ascii="Arial" w:cs="Arial" w:eastAsia="Arial" w:hAnsi="Arial"/>
                <w:sz w:val="18"/>
                <w:szCs w:val="18"/>
                <w:color w:val="auto"/>
              </w:rPr>
              <w:t>Acres</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4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Jacksonville, FL</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w:t>
            </w:r>
          </w:p>
        </w:tc>
        <w:tc>
          <w:tcPr>
            <w:tcW w:w="240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4,171</w:t>
            </w: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Square feet</w:t>
            </w: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Oakbrook Terrace, IL</w:t>
            </w:r>
          </w:p>
        </w:tc>
        <w:tc>
          <w:tcPr>
            <w:tcW w:w="36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Office</w:t>
            </w:r>
          </w:p>
        </w:tc>
        <w:tc>
          <w:tcPr>
            <w:tcW w:w="2400" w:type="dxa"/>
            <w:vAlign w:val="bottom"/>
            <w:gridSpan w:val="2"/>
          </w:tcPr>
          <w:p>
            <w:pPr>
              <w:jc w:val="right"/>
              <w:ind w:right="139"/>
              <w:spacing w:after="0"/>
              <w:rPr>
                <w:sz w:val="20"/>
                <w:szCs w:val="20"/>
                <w:color w:val="auto"/>
              </w:rPr>
            </w:pPr>
            <w:r>
              <w:rPr>
                <w:rFonts w:ascii="Arial" w:cs="Arial" w:eastAsia="Arial" w:hAnsi="Arial"/>
                <w:sz w:val="18"/>
                <w:szCs w:val="18"/>
                <w:color w:val="auto"/>
              </w:rPr>
              <w:t>44,219</w:t>
            </w:r>
          </w:p>
        </w:tc>
        <w:tc>
          <w:tcPr>
            <w:tcW w:w="1780" w:type="dxa"/>
            <w:vAlign w:val="bottom"/>
          </w:tcPr>
          <w:p>
            <w:pPr>
              <w:spacing w:after="0"/>
              <w:rPr>
                <w:sz w:val="20"/>
                <w:szCs w:val="20"/>
                <w:color w:val="auto"/>
              </w:rPr>
            </w:pPr>
            <w:r>
              <w:rPr>
                <w:rFonts w:ascii="Arial" w:cs="Arial" w:eastAsia="Arial" w:hAnsi="Arial"/>
                <w:sz w:val="18"/>
                <w:szCs w:val="18"/>
                <w:color w:val="auto"/>
              </w:rPr>
              <w:t>Square feet</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For additional discussion of certain litigation involving the Company, see the disclosures under “Legal proceedings and other contingencies” included within Note 12, “Commitments and contingencies,” to the Company’s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Arial" w:cs="Arial" w:eastAsia="Arial" w:hAnsi="Arial"/>
          <w:sz w:val="18"/>
          <w:szCs w:val="18"/>
          <w:color w:val="auto"/>
        </w:rPr>
        <w:t>Our common stock is traded under the symbol “GLDD” on the NASDAQ Global Market.</w:t>
      </w:r>
    </w:p>
    <w:p>
      <w:pPr>
        <w:spacing w:after="0" w:line="225"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The graph below shows the cumulative total return to stockholders of the Company’s common stock during a five year period ended December 30, 2022, the last trading day of our 2022 fiscal year, compared with the return on the NASDAQ Composite Index and a group of our peers which we use internally as a benchmark for our performance. The graph assumes initial investments of $100 each on December 31, 2017, in GLDD stock (assuming reinvestment of all dividends paid during the period), the NASDAQ Composite Index and the peer group companies,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108585</wp:posOffset>
            </wp:positionV>
            <wp:extent cx="6172200" cy="4440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12/31/2017</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12/31/2018</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12/31/2019</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12/31/2020</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12/31/2021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12/31/2022</w:t>
            </w:r>
          </w:p>
        </w:tc>
        <w:tc>
          <w:tcPr>
            <w:tcW w:w="100" w:type="dxa"/>
            <w:vAlign w:val="bottom"/>
          </w:tcPr>
          <w:p>
            <w:pPr>
              <w:spacing w:after="0"/>
              <w:rPr>
                <w:sz w:val="16"/>
                <w:szCs w:val="16"/>
                <w:color w:val="auto"/>
              </w:rPr>
            </w:pPr>
          </w:p>
        </w:tc>
      </w:tr>
      <w:tr>
        <w:trPr>
          <w:trHeight w:val="236"/>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Great Lakes Dredge &amp; Dock Corp</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243.89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110.19</w:t>
            </w:r>
          </w:p>
        </w:tc>
        <w:tc>
          <w:tcPr>
            <w:tcW w:w="100" w:type="dxa"/>
            <w:vAlign w:val="bottom"/>
            <w:shd w:val="clear" w:color="auto" w:fill="CFF0FC"/>
          </w:tcPr>
          <w:p>
            <w:pPr>
              <w:spacing w:after="0"/>
              <w:rPr>
                <w:sz w:val="20"/>
                <w:szCs w:val="20"/>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Peer Average (see below)</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142.66</w:t>
            </w:r>
          </w:p>
        </w:tc>
        <w:tc>
          <w:tcPr>
            <w:tcW w:w="100" w:type="dxa"/>
            <w:vAlign w:val="bottom"/>
          </w:tcPr>
          <w:p>
            <w:pPr>
              <w:spacing w:after="0"/>
              <w:rPr>
                <w:sz w:val="20"/>
                <w:szCs w:val="20"/>
                <w:color w:val="auto"/>
              </w:rPr>
            </w:pPr>
          </w:p>
        </w:tc>
      </w:tr>
      <w:tr>
        <w:trPr>
          <w:trHeight w:val="24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NASDAQ Composite Index</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129.97</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226.63</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151.61</w:t>
            </w:r>
          </w:p>
        </w:tc>
        <w:tc>
          <w:tcPr>
            <w:tcW w:w="100" w:type="dxa"/>
            <w:vAlign w:val="bottom"/>
            <w:shd w:val="clear" w:color="auto" w:fill="CFF0FC"/>
          </w:tcPr>
          <w:p>
            <w:pPr>
              <w:spacing w:after="0"/>
              <w:rPr>
                <w:sz w:val="21"/>
                <w:szCs w:val="21"/>
                <w:color w:val="auto"/>
              </w:rPr>
            </w:pPr>
          </w:p>
        </w:tc>
      </w:tr>
      <w:tr>
        <w:trPr>
          <w:trHeight w:val="648"/>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color w:val="auto"/>
        </w:rPr>
        <w:t>The peer group in the graph above is composed of the following member companies: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6"/>
                <w:szCs w:val="16"/>
                <w:color w:val="auto"/>
              </w:rPr>
            </w:pPr>
          </w:p>
        </w:tc>
        <w:tc>
          <w:tcPr>
            <w:tcW w:w="20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Ticker</w:t>
            </w:r>
          </w:p>
        </w:tc>
      </w:tr>
      <w:tr>
        <w:trPr>
          <w:trHeight w:val="236"/>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Aegion Corporation (prior to acquisition by New Mountain Capital, LLC on May 17, 2021)</w:t>
            </w:r>
          </w:p>
        </w:tc>
        <w:tc>
          <w:tcPr>
            <w:tcW w:w="120" w:type="dxa"/>
            <w:vAlign w:val="bottom"/>
            <w:shd w:val="clear" w:color="auto" w:fill="CFF0FC"/>
          </w:tcPr>
          <w:p>
            <w:pPr>
              <w:spacing w:after="0"/>
              <w:rPr>
                <w:sz w:val="20"/>
                <w:szCs w:val="20"/>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AEGN</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Ameresco</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AMRC</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Argan, Inc.</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AGX</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Badger Daylighting Ltd</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BADFF</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Construction Partners Inc</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ROAD</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Helix Energy Solutions group, Inc.</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HLX</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Helmerich &amp; Payne, Inc.</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HP</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Hill International</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HIL</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IES Holdings</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IESC</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Infrastructure &amp; Energy Alternatives (prior to acquisition by MasTec Inc on October 7, 2022)</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IEA</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Limbach Holdings</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LMB</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Logistec Corporation</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LGT</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Matrix Service Company</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MTRX</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Mistras Group</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MG</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MYR Group Inc.</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MYRG</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NV5 Global Inc</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NVEE</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Oceaneering International, Inc.</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OII</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Orion Marine Group, Inc.</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ORN</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Seacor Holdings (prior to merger with U.S. Shipping Corp on August 13, 2021)</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CKH</w:t>
            </w:r>
          </w:p>
        </w:tc>
      </w:tr>
      <w:tr>
        <w:trPr>
          <w:trHeight w:val="237"/>
        </w:trPr>
        <w:tc>
          <w:tcPr>
            <w:tcW w:w="7980" w:type="dxa"/>
            <w:vAlign w:val="bottom"/>
          </w:tcPr>
          <w:p>
            <w:pPr>
              <w:spacing w:after="0"/>
              <w:rPr>
                <w:sz w:val="20"/>
                <w:szCs w:val="20"/>
                <w:color w:val="auto"/>
              </w:rPr>
            </w:pPr>
            <w:r>
              <w:rPr>
                <w:rFonts w:ascii="Arial" w:cs="Arial" w:eastAsia="Arial" w:hAnsi="Arial"/>
                <w:sz w:val="18"/>
                <w:szCs w:val="18"/>
                <w:color w:val="auto"/>
              </w:rPr>
              <w:t>Sterling Construction Company, Inc.</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STRL</w:t>
            </w:r>
          </w:p>
        </w:tc>
      </w:tr>
      <w:tr>
        <w:trPr>
          <w:trHeight w:val="24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Team, Inc.</w:t>
            </w:r>
          </w:p>
        </w:tc>
        <w:tc>
          <w:tcPr>
            <w:tcW w:w="120" w:type="dxa"/>
            <w:vAlign w:val="bottom"/>
            <w:shd w:val="clear" w:color="auto" w:fill="CFF0FC"/>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TISI</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Tidewater Inc.</w:t>
            </w: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TDW</w:t>
            </w:r>
          </w:p>
        </w:tc>
      </w:tr>
    </w:tbl>
    <w:p>
      <w:pPr>
        <w:spacing w:after="0" w:line="174" w:lineRule="exact"/>
        <w:rPr>
          <w:sz w:val="20"/>
          <w:szCs w:val="20"/>
          <w:color w:val="auto"/>
        </w:rPr>
      </w:pPr>
    </w:p>
    <w:p>
      <w:pPr>
        <w:ind w:right="440" w:firstLine="509"/>
        <w:spacing w:after="0" w:line="308" w:lineRule="auto"/>
        <w:rPr>
          <w:sz w:val="20"/>
          <w:szCs w:val="20"/>
          <w:color w:val="auto"/>
        </w:rPr>
      </w:pPr>
      <w:r>
        <w:rPr>
          <w:rFonts w:ascii="Arial" w:cs="Arial" w:eastAsia="Arial" w:hAnsi="Arial"/>
          <w:sz w:val="17"/>
          <w:szCs w:val="17"/>
          <w:color w:val="auto"/>
        </w:rPr>
        <w:t>Given the usage of this peer group for compensation purposes and the fact that each peer is a capital-intensive business, the Company deems it appropriate to also use this peer group for showing the comparative cumulative total return to stockholders of Great Lakes.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As of February 14, 2023, the Company had approximately 17 shareholders of record of the Company’s common stock. A substantial number of holders of the Company’s common stock are “street name” or beneficial holders, whose shares are held of record by banks, brokers and other financial institutions.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repurchase any shares of its common stock during the quarter ended December 31,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80" w:firstLine="509"/>
        <w:spacing w:after="0" w:line="286" w:lineRule="auto"/>
        <w:rPr>
          <w:sz w:val="20"/>
          <w:szCs w:val="20"/>
          <w:color w:val="auto"/>
        </w:rPr>
      </w:pPr>
      <w:r>
        <w:rPr>
          <w:rFonts w:ascii="Arial" w:cs="Arial" w:eastAsia="Arial" w:hAnsi="Arial"/>
          <w:sz w:val="17"/>
          <w:szCs w:val="17"/>
          <w:color w:val="auto"/>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 The Company operates in one operating segment, which is also the Company’s one reportable segment and reporting unit.</w:t>
      </w:r>
    </w:p>
    <w:p>
      <w:pPr>
        <w:spacing w:after="0" w:line="16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w:t>
      </w:r>
      <w:r>
        <w:rPr>
          <w:rFonts w:ascii="Arial" w:cs="Arial" w:eastAsia="Arial" w:hAnsi="Arial"/>
          <w:sz w:val="17"/>
          <w:szCs w:val="17"/>
          <w:color w:val="0000FF"/>
        </w:rPr>
        <w:t>.</w:t>
      </w:r>
      <w:r>
        <w:rPr>
          <w:rFonts w:ascii="Arial" w:cs="Arial" w:eastAsia="Arial" w:hAnsi="Arial"/>
          <w:sz w:val="17"/>
          <w:szCs w:val="17"/>
          <w:color w:val="auto"/>
        </w:rPr>
        <w:t xml:space="preserve">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generally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or severe erosion and drive the need for maintenance and coastal protection dredging. Rivers &amp; lakes dredging and related operations typically consist of lake and river dredging, flood control dredging, inland levee and construction dredging, environmental restoration and habitat improvement and other marine construction projects.</w:t>
      </w:r>
    </w:p>
    <w:p>
      <w:pPr>
        <w:spacing w:after="0" w:line="186"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The Company’s bid market is defined as the aggregate dollar value of domestic dredging projects on which we bid or could have bid if not for capacity constraints or other considerations (“bid market”). We experienced an average combined bid market share in the U.S. of 35% over the prior three years, including 49%, 54%, 17% and 23% of the domestic capital, coastal protection, maintenance and rivers &amp; lakes sectors, respectively.</w:t>
      </w:r>
    </w:p>
    <w:p>
      <w:pPr>
        <w:spacing w:after="0" w:line="14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Company’s largest domestic customer is the U.S. Army Corps of Engineers (the “Corps”), which has responsibility for federally funded projects related to navigation and flood control of U.S. waterways.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our customer. In 2022, our revenues earned from contracts with federal government agencies were approximately 67% of total revenue, down from our prior three-year average of 79%.</w:t>
      </w:r>
    </w:p>
    <w:p>
      <w:pPr>
        <w:spacing w:after="0" w:line="19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The Company’s fleet, which includes 17 dredges, 17 material transportation barges, one drillboat, and numerous other support vessels, is the largest and most diverse fleet of any U.S. dredging company. Our fleet of dredging equipment can be utilized on one or many types of work and in various geographic locations. This flexible approach to our fleet utilization, driven by the project scope and equipment, enables us to move equipment in response to changes in demand for dredging services to take advantage of the most attractive opportunities.</w:t>
      </w:r>
    </w:p>
    <w:p>
      <w:pPr>
        <w:spacing w:after="0" w:line="17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The Company experienced regulatory dry dock inspections on five dredges in 2022. In addition, we performed emission upgrades, which required dry docking, to another vessel in preparation for a project.</w:t>
      </w:r>
    </w:p>
    <w:p>
      <w:pPr>
        <w:spacing w:after="0" w:line="17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which is expected to be delivered and operational in the first half of 2025. This vessel represents a significant critical advancement in building the U.S. logistics infrastructure to support the future of the new U.S. offshore wind industry. The Company has begun bidding on select projects in the offshore wind market and on July 14, 2022, the Company, in consortium with Van Oord, entered into its first contract with Empire Offshore Wind, a joint venture between Equinor and BP, to perform subsea rock installation work for the Empire I and Empire II offshore wind farms in New York in 2025 and 2026. These wind farms are expected to provide over 2 Gigawatts (“GW”) of renewable energy to the state of New York, which is enough renewable energy to power more than one million households in New York.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right="100" w:firstLine="509"/>
        <w:spacing w:after="0" w:line="263" w:lineRule="auto"/>
        <w:rPr>
          <w:sz w:val="20"/>
          <w:szCs w:val="20"/>
          <w:color w:val="auto"/>
        </w:rPr>
      </w:pPr>
      <w:r>
        <w:rPr>
          <w:rFonts w:ascii="Arial" w:cs="Arial" w:eastAsia="Arial" w:hAnsi="Arial"/>
          <w:sz w:val="18"/>
          <w:szCs w:val="18"/>
          <w:color w:val="auto"/>
        </w:rPr>
        <w:t>In 2021, the current presidential administration announced the ambitious goal of 30 GW of Offshore Wind by 2030 and provided $3.0 billion in federal loan guarantees for offshore wind projects. Great Lakes continues to tender bids on multiple offshore wind projects for our subsea rock installation vessel and additional contract awards are anticipated in 2023.</w:t>
      </w:r>
    </w:p>
    <w:p>
      <w:pPr>
        <w:spacing w:after="0" w:line="18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During the recent COVID-19 pandemic, the health and safety of our employees was and remains our primary goal. Our commitment to health and safety reaches far beyond our employees and embraces their families, our customers, and our community. The unique nature of our business requires many of our employees to live and work in close proximity to one another. We instituted and strictly adhere to rigorous measures designed to provide our employees with a safe working environment and allow them to safely execute tasks. Direct COVID-19 related costs were approximately $1.5 million and $9.9 million for the years ending December 31, 2022 and 2021,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2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spacing w:after="0" w:line="184"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We capitalize certain pre-contract and pre-construction costs, and defer recognition over the life of the contract. Our performance obligations are satisfied over time and revenue is recognized using contract fulfillment costs incurred to date compared to total estimated costs at completion, also known as cost-to-cost, to measure progress towards completion. 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our contracts are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our relationships with our unionized hourly workforce.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results of operations for a calendar or quarterly period are generally determined by the following three factors:</w:t>
      </w:r>
    </w:p>
    <w:p>
      <w:pPr>
        <w:spacing w:after="0" w:line="117" w:lineRule="exact"/>
        <w:rPr>
          <w:sz w:val="20"/>
          <w:szCs w:val="20"/>
          <w:color w:val="auto"/>
        </w:rPr>
      </w:pPr>
    </w:p>
    <w:p>
      <w:pPr>
        <w:ind w:left="1020" w:hanging="503"/>
        <w:spacing w:after="0" w:line="293"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Bid wins and dredge employment</w:t>
      </w:r>
      <w:r>
        <w:rPr>
          <w:rFonts w:ascii="Arial" w:cs="Arial" w:eastAsia="Arial" w:hAnsi="Arial"/>
          <w:sz w:val="16"/>
          <w:szCs w:val="16"/>
          <w:color w:val="auto"/>
        </w:rPr>
        <w:t>— The Company recognizes backlog upon a project being awarded. We begin to recognize revenues when a</w:t>
      </w:r>
      <w:r>
        <w:rPr>
          <w:rFonts w:ascii="Arial" w:cs="Arial" w:eastAsia="Arial" w:hAnsi="Arial"/>
          <w:sz w:val="16"/>
          <w:szCs w:val="16"/>
          <w:i w:val="1"/>
          <w:iCs w:val="1"/>
          <w:color w:val="auto"/>
        </w:rPr>
        <w:t xml:space="preserve"> </w:t>
      </w:r>
      <w:r>
        <w:rPr>
          <w:rFonts w:ascii="Arial" w:cs="Arial" w:eastAsia="Arial" w:hAnsi="Arial"/>
          <w:sz w:val="16"/>
          <w:szCs w:val="16"/>
          <w:color w:val="auto"/>
        </w:rPr>
        <w:t>dredging contract commences a major activity on the project. The period prior to the commencement of a major activity for dredging projects can range from 45 days to six months depending on the complexity of the project and environmental work windows. Although our dredging fleet is subject to downtime for scheduled periodic maintenance and regulatory dry dockings, we seek to maximize our revenues by employing our dredging fleet on a full-time basis. If a dredge is idle (i.e., the dredge is not employed on a dredging project or undergoing scheduled periodic maintenance and repair), we do not earn revenue with respect to that dredge during the time period for which it is idle.</w:t>
      </w:r>
    </w:p>
    <w:p>
      <w:pPr>
        <w:spacing w:after="0" w:line="56"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Project and dredge mix </w:t>
      </w:r>
      <w:r>
        <w:rPr>
          <w:rFonts w:ascii="Arial" w:cs="Arial" w:eastAsia="Arial" w:hAnsi="Arial"/>
          <w:sz w:val="18"/>
          <w:szCs w:val="18"/>
          <w:color w:val="auto"/>
        </w:rPr>
        <w:t>— The Company’s domestic dredging projects generally involve capital, maintenance, coastal protection and rivers</w:t>
      </w:r>
      <w:r>
        <w:rPr>
          <w:rFonts w:ascii="Arial" w:cs="Arial" w:eastAsia="Arial" w:hAnsi="Arial"/>
          <w:sz w:val="18"/>
          <w:szCs w:val="18"/>
          <w:i w:val="1"/>
          <w:iCs w:val="1"/>
          <w:color w:val="auto"/>
        </w:rPr>
        <w:t xml:space="preserve"> </w:t>
      </w:r>
      <w:r>
        <w:rPr>
          <w:rFonts w:ascii="Arial" w:cs="Arial" w:eastAsia="Arial" w:hAnsi="Arial"/>
          <w:sz w:val="18"/>
          <w:szCs w:val="18"/>
          <w:color w:val="auto"/>
        </w:rPr>
        <w:t>&amp; lakes work, while our foreign dredging projects generally involve capital work. In addition, our projects vary in duration which is generally driven by the type of work undertaken. In general, projects of longer duration result in less dredge downtime in a given period. For example, capital deepening projects generally span several years due to their complexity and environmental windows. Moreover, our dredges have different physical performance capabilities and typically work on certain types of dredging projects. Accordingly, our dredges have different daily revenue generating capacities.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6" w:name="page37"/>
    <w:bookmarkEnd w:id="36"/>
    <w:p>
      <w:pPr>
        <w:ind w:left="1020" w:right="40"/>
        <w:spacing w:after="0" w:line="271" w:lineRule="auto"/>
        <w:rPr>
          <w:sz w:val="20"/>
          <w:szCs w:val="20"/>
          <w:color w:val="auto"/>
        </w:rPr>
      </w:pPr>
      <w:r>
        <w:rPr>
          <w:rFonts w:ascii="Arial" w:cs="Arial" w:eastAsia="Arial" w:hAnsi="Arial"/>
          <w:sz w:val="17"/>
          <w:szCs w:val="17"/>
          <w:color w:val="auto"/>
        </w:rPr>
        <w:t>We generally expect to achieve different levels of gross profit margin (i.e., gross profit divided by revenues) for work performed on the different types of dredging projects and for work performed by different types of dredges. Our expected gross margin for a project is based upon our estimates at the time of the bid. Although we seek to bid on and win projects that will maximize our gross margin, we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we work on a mix of dredging projects that, in the aggregate, have relatively low expected gross margins (based on project type and dredges employed).</w:t>
      </w:r>
    </w:p>
    <w:p>
      <w:pPr>
        <w:spacing w:after="0" w:line="70" w:lineRule="exact"/>
        <w:rPr>
          <w:sz w:val="20"/>
          <w:szCs w:val="20"/>
          <w:color w:val="auto"/>
        </w:rPr>
      </w:pPr>
    </w:p>
    <w:p>
      <w:pPr>
        <w:ind w:left="1020" w:right="80" w:hanging="503"/>
        <w:spacing w:after="0" w:line="293"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Project execution</w:t>
      </w:r>
      <w:r>
        <w:rPr>
          <w:rFonts w:ascii="Arial" w:cs="Arial" w:eastAsia="Arial" w:hAnsi="Arial"/>
          <w:sz w:val="16"/>
          <w:szCs w:val="16"/>
          <w:color w:val="auto"/>
        </w:rPr>
        <w:t>—The Company seeks to execute all of our projects consistent with or at a higher production than our as-bid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In general, our ability to achieve our project estimates depends upon many factors including soil conditions, weather, variances from estimated project conditions, equipment mobilization time periods, unplanned equipment downtime or other events or circumstances beyond our control. If we experience any of these events and circumstances, the completion of a project will often be accelerated or delayed, as applicable, and, consequently, we will experience project results that are better or worse than our estimates. We do our best to estimate for events and circumstances that are not within our control; however, these situations are inherent in dredging.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Company’s significant accounting policies are discussed in the Notes to the consolidated financial statements included in Item 15 of this Annual Report on Form 10-K. The application of certain of these policies requires significant judgments or an estimation process that can affect our results of operations, financial position and cash flows, as well as the related footnote disclosures. We base our estimates on historical experience and other assumptions that we believe are reasonable. If actual amounts are ultimately different from previous estimates, the revisions are included in our results of operations for the period in which the actual amounts become known. The following accounting policies comprise those that management believes are the most critical to aid in fully understanding and evaluating our reported financial results.</w:t>
      </w:r>
    </w:p>
    <w:p>
      <w:pPr>
        <w:spacing w:after="0" w:line="178"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i w:val="1"/>
          <w:iCs w:val="1"/>
          <w:color w:val="auto"/>
        </w:rPr>
        <w:t>Cost-to-cost method of revenue recognition</w:t>
      </w:r>
      <w:r>
        <w:rPr>
          <w:rFonts w:ascii="Arial" w:cs="Arial" w:eastAsia="Arial" w:hAnsi="Arial"/>
          <w:sz w:val="17"/>
          <w:szCs w:val="17"/>
          <w:color w:val="auto"/>
        </w:rPr>
        <w:t>— Revenue is recognized using contract fulfillment costs incurred to date compared to total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at completion, also known as cost-to-cost, to measure progress towards completion. Additionally, we capitalize certain pre-contract and pre-construction costs, and defer recognition over the life of the contract. In preparing estimates, we draw on our extensive experience in the dredging businesses. We use this experience in conjunction with the project specifications to select equipment and to design a production technique for a project. We also utilize our database of historical dredging information which includes daily costs, mobilization and dredge production references on the same or similar projects to ensure that our estimates are as accurate as possible, given current circumstances. The daily costs and project duration are significant factors in our cost estimates to complete the project. Weather events, mechanical delays or other unplanned downtime instances may cause the actual costs to complete the project to differ from these estimates.</w:t>
      </w:r>
    </w:p>
    <w:p>
      <w:pPr>
        <w:spacing w:after="0" w:line="17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2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i w:val="1"/>
          <w:iCs w:val="1"/>
          <w:color w:val="auto"/>
        </w:rPr>
        <w:t>Impairment of goodwill</w:t>
      </w:r>
      <w:r>
        <w:rPr>
          <w:rFonts w:ascii="Arial" w:cs="Arial" w:eastAsia="Arial" w:hAnsi="Arial"/>
          <w:sz w:val="17"/>
          <w:szCs w:val="17"/>
          <w:color w:val="auto"/>
        </w:rPr>
        <w:t>—Goodwill is tested for impairment at the reporting unit level on an annual basis and between annual tests if an event occurs</w:t>
      </w:r>
      <w:r>
        <w:rPr>
          <w:rFonts w:ascii="Arial" w:cs="Arial" w:eastAsia="Arial" w:hAnsi="Arial"/>
          <w:sz w:val="17"/>
          <w:szCs w:val="17"/>
          <w:i w:val="1"/>
          <w:iCs w:val="1"/>
          <w:color w:val="auto"/>
        </w:rPr>
        <w:t xml:space="preserve"> </w:t>
      </w:r>
      <w:r>
        <w:rPr>
          <w:rFonts w:ascii="Arial" w:cs="Arial" w:eastAsia="Arial" w:hAnsi="Arial"/>
          <w:sz w:val="17"/>
          <w:szCs w:val="17"/>
          <w:color w:val="auto"/>
        </w:rPr>
        <w:t>or 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We perform our annual impairment test as of July 1 each year.</w:t>
      </w:r>
    </w:p>
    <w:p>
      <w:pPr>
        <w:spacing w:after="0" w:line="17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Otherwise, no further analysis is required. The Company also may elect to forego this step and just perform the quantitative impairment test.</w:t>
      </w:r>
    </w:p>
    <w:p>
      <w:pPr>
        <w:spacing w:after="0" w:line="225"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6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the current year, the Company performed both a qualitative and a quantitative goodwill impairment test. The Company performed its annual test of impairment as of July 1, 2022 and an interim test of impairment as of October 1, 2022 with no indication of impairment as of either test date. When performing the qualitative test, the Company determined that it is not more likely than not that the fair value of the reporting unit is less than its carrying amount. The Company has documented the qualitative considerations and determinations to support this conclusion.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As of the test date, the fair value of the reporting unit was in excess of its carrying value by at least 10%. The Company will continue to monitor for changes in facts or circumstances that may impact our estimates. The Company will perform its next scheduled annual test of goodwill in the third quarter of 2023 should no triggering events occur which would require a test prior to the next annual test. At December 31, 2022 and 2021, our goodwill was $76.6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Years Ended December 31, 2022, 2021 and 2020</w:t>
      </w:r>
    </w:p>
    <w:p>
      <w:pPr>
        <w:spacing w:after="0" w:line="121"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The following table sets forth the components of net income attributable to common stockholders of Great Lakes Dredge &amp; Dock Corporation and Adjusted EBITDA, as defined below, as a percentage of contract revenues for the years ended December 31 2022, 2021 and 2020. The selected financial data presented below have been derived from the Company’s consolidated financial statements; items may not sum due to rounding.</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Contract revenues</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(95.2 )</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(80.0 )</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(76.7 )</w:t>
            </w:r>
          </w:p>
        </w:tc>
        <w:tc>
          <w:tcPr>
            <w:tcW w:w="180" w:type="dxa"/>
            <w:vAlign w:val="bottom"/>
            <w:shd w:val="clear" w:color="auto" w:fill="CFF0FC"/>
          </w:tcPr>
          <w:p>
            <w:pPr>
              <w:spacing w:after="0"/>
              <w:rPr>
                <w:sz w:val="21"/>
                <w:szCs w:val="21"/>
                <w:color w:val="auto"/>
              </w:rPr>
            </w:pPr>
          </w:p>
        </w:tc>
      </w:tr>
      <w:tr>
        <w:trPr>
          <w:trHeight w:val="230"/>
        </w:trPr>
        <w:tc>
          <w:tcPr>
            <w:tcW w:w="510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r>
      <w:tr>
        <w:trPr>
          <w:trHeight w:val="24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(7.9 )</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(8.6 )</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(8.6 )</w:t>
            </w:r>
          </w:p>
        </w:tc>
        <w:tc>
          <w:tcPr>
            <w:tcW w:w="180" w:type="dxa"/>
            <w:vAlign w:val="bottom"/>
            <w:shd w:val="clear" w:color="auto" w:fill="CFF0FC"/>
          </w:tcPr>
          <w:p>
            <w:pPr>
              <w:spacing w:after="0"/>
              <w:rPr>
                <w:sz w:val="21"/>
                <w:szCs w:val="21"/>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color w:val="auto"/>
                <w:highlight w:val="white"/>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(3.0 )</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(3.6 )</w:t>
            </w:r>
          </w:p>
        </w:tc>
        <w:tc>
          <w:tcPr>
            <w:tcW w:w="180" w:type="dxa"/>
            <w:vAlign w:val="bottom"/>
            <w:shd w:val="clear" w:color="auto" w:fill="CFF0FC"/>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(loss) before income taxes</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(2.8 )</w:t>
            </w:r>
          </w:p>
        </w:tc>
        <w:tc>
          <w:tcPr>
            <w:tcW w:w="180" w:type="dxa"/>
            <w:vAlign w:val="bottom"/>
          </w:tcPr>
          <w:p>
            <w:pPr>
              <w:spacing w:after="0"/>
              <w:rPr>
                <w:sz w:val="21"/>
                <w:szCs w:val="21"/>
                <w:color w:val="auto"/>
              </w:rPr>
            </w:pPr>
          </w:p>
        </w:tc>
      </w:tr>
      <w:tr>
        <w:trPr>
          <w:trHeight w:val="237"/>
        </w:trPr>
        <w:tc>
          <w:tcPr>
            <w:tcW w:w="51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income (loss)</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148"/>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83"/>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-1851025</wp:posOffset>
            </wp:positionV>
            <wp:extent cx="6032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-1851025</wp:posOffset>
            </wp:positionV>
            <wp:extent cx="60325"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-1851025</wp:posOffset>
            </wp:positionV>
            <wp:extent cx="5143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-1224915</wp:posOffset>
            </wp:positionV>
            <wp:extent cx="6032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-1224915</wp:posOffset>
            </wp:positionV>
            <wp:extent cx="51435"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51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0"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Adjusted EBITDA, as provided herein, represents net income (loss) attributable to common stockholders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as an additional measure by which to evaluate our operating trends. We believe that Adjusted EBITDA is a measure frequently used to evaluate performance of companies with substantial leverage and that our primary stakeholders (i.e., its stockholders, bondholders and banks) use Adjusted EBITDA to evaluate our period to period performance. Additionally, management believes that Adjusted EBITDA provides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right="80"/>
        <w:spacing w:after="0" w:line="269" w:lineRule="auto"/>
        <w:rPr>
          <w:sz w:val="20"/>
          <w:szCs w:val="20"/>
          <w:color w:val="auto"/>
        </w:rPr>
      </w:pPr>
      <w:r>
        <w:rPr>
          <w:rFonts w:ascii="Arial" w:cs="Arial" w:eastAsia="Arial" w:hAnsi="Arial"/>
          <w:sz w:val="17"/>
          <w:szCs w:val="17"/>
          <w:color w:val="auto"/>
        </w:rPr>
        <w:t>transparent measure of our recurring operating performance and allows management to readily view operating trends, perform analytical comparisons and identify strategies to improve operating performance. For this reason, we use a measure based upon Adjusted EBITDA to assess performance for purposes of determining compensation under our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our business. For these reasons, we use operating income to measure our operating performance and use Adjusted EBITDA only as a supplement. The following is a reconciliation of Adjusted EBITDA to net income attributable to common stockholders of Great Lakes Dredge &amp; Dock Corporation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7"/>
          </w:tcPr>
          <w:p>
            <w:pPr>
              <w:ind w:left="7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5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37"/>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(34,055</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80" w:type="dxa"/>
            <w:vAlign w:val="bottom"/>
            <w:shd w:val="clear" w:color="auto" w:fill="CFF0FC"/>
          </w:tcPr>
          <w:p>
            <w:pPr>
              <w:spacing w:after="0"/>
              <w:rPr>
                <w:sz w:val="20"/>
                <w:szCs w:val="20"/>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Adjusted for:</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expense—net</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26,585</w:t>
            </w:r>
          </w:p>
        </w:tc>
        <w:tc>
          <w:tcPr>
            <w:tcW w:w="80" w:type="dxa"/>
            <w:vAlign w:val="bottom"/>
            <w:shd w:val="clear" w:color="auto" w:fill="CFF0FC"/>
          </w:tcPr>
          <w:p>
            <w:pPr>
              <w:spacing w:after="0"/>
              <w:rPr>
                <w:sz w:val="21"/>
                <w:szCs w:val="21"/>
                <w:color w:val="auto"/>
              </w:rPr>
            </w:pPr>
          </w:p>
        </w:tc>
      </w:tr>
      <w:tr>
        <w:trPr>
          <w:trHeight w:val="237"/>
        </w:trPr>
        <w:tc>
          <w:tcPr>
            <w:tcW w:w="518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(9,360 )</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20,187</w:t>
            </w:r>
          </w:p>
        </w:tc>
        <w:tc>
          <w:tcPr>
            <w:tcW w:w="80" w:type="dxa"/>
            <w:vAlign w:val="bottom"/>
          </w:tcPr>
          <w:p>
            <w:pPr>
              <w:spacing w:after="0"/>
              <w:rPr>
                <w:sz w:val="20"/>
                <w:szCs w:val="20"/>
                <w:color w:val="auto"/>
              </w:rPr>
            </w:pPr>
          </w:p>
        </w:tc>
      </w:tr>
      <w:tr>
        <w:trPr>
          <w:trHeight w:val="249"/>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Depreciation expense</w:t>
            </w:r>
          </w:p>
        </w:tc>
        <w:tc>
          <w:tcPr>
            <w:tcW w:w="3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43,016</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38,183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16,966</w:t>
            </w:r>
          </w:p>
        </w:tc>
        <w:tc>
          <w:tcPr>
            <w:tcW w:w="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127,440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151,058</w:t>
            </w:r>
          </w:p>
        </w:tc>
        <w:tc>
          <w:tcPr>
            <w:tcW w:w="8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-187960</wp:posOffset>
            </wp:positionV>
            <wp:extent cx="5969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-187960</wp:posOffset>
            </wp:positionV>
            <wp:extent cx="5143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contract revenues for the years ended December 31,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Dredging:</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5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Capital—U.S.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342,461</w:t>
            </w:r>
          </w:p>
        </w:tc>
        <w:tc>
          <w:tcPr>
            <w:tcW w:w="5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397,034</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336,163</w:t>
            </w:r>
          </w:p>
        </w:tc>
        <w:tc>
          <w:tcPr>
            <w:tcW w:w="80" w:type="dxa"/>
            <w:vAlign w:val="bottom"/>
            <w:shd w:val="clear" w:color="auto" w:fill="CFF0FC"/>
          </w:tcPr>
          <w:p>
            <w:pPr>
              <w:spacing w:after="0"/>
              <w:rPr>
                <w:sz w:val="21"/>
                <w:szCs w:val="21"/>
                <w:color w:val="auto"/>
              </w:rPr>
            </w:pPr>
          </w:p>
        </w:tc>
      </w:tr>
      <w:tr>
        <w:trPr>
          <w:trHeight w:val="237"/>
        </w:trPr>
        <w:tc>
          <w:tcPr>
            <w:tcW w:w="5220" w:type="dxa"/>
            <w:vAlign w:val="bottom"/>
          </w:tcPr>
          <w:p>
            <w:pPr>
              <w:ind w:left="100"/>
              <w:spacing w:after="0"/>
              <w:rPr>
                <w:sz w:val="20"/>
                <w:szCs w:val="20"/>
                <w:color w:val="auto"/>
              </w:rPr>
            </w:pPr>
            <w:r>
              <w:rPr>
                <w:rFonts w:ascii="Arial" w:cs="Arial" w:eastAsia="Arial" w:hAnsi="Arial"/>
                <w:sz w:val="18"/>
                <w:szCs w:val="18"/>
                <w:color w:val="auto"/>
              </w:rPr>
              <w:t>Capital—foreign</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25,892</w:t>
            </w:r>
          </w:p>
        </w:tc>
        <w:tc>
          <w:tcPr>
            <w:tcW w:w="80" w:type="dxa"/>
            <w:vAlign w:val="bottom"/>
          </w:tcPr>
          <w:p>
            <w:pPr>
              <w:spacing w:after="0"/>
              <w:rPr>
                <w:sz w:val="20"/>
                <w:szCs w:val="20"/>
                <w:color w:val="auto"/>
              </w:rPr>
            </w:pPr>
          </w:p>
        </w:tc>
      </w:tr>
      <w:tr>
        <w:trPr>
          <w:trHeight w:val="249"/>
        </w:trPr>
        <w:tc>
          <w:tcPr>
            <w:tcW w:w="5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Coastal protection</w:t>
            </w: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192,567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169,678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201,361</w:t>
            </w:r>
          </w:p>
        </w:tc>
        <w:tc>
          <w:tcPr>
            <w:tcW w:w="80" w:type="dxa"/>
            <w:vAlign w:val="bottom"/>
            <w:shd w:val="clear" w:color="auto" w:fill="CFF0FC"/>
          </w:tcPr>
          <w:p>
            <w:pPr>
              <w:spacing w:after="0"/>
              <w:rPr>
                <w:sz w:val="21"/>
                <w:szCs w:val="21"/>
                <w:color w:val="auto"/>
              </w:rPr>
            </w:pPr>
          </w:p>
        </w:tc>
      </w:tr>
      <w:tr>
        <w:trPr>
          <w:trHeight w:val="237"/>
        </w:trPr>
        <w:tc>
          <w:tcPr>
            <w:tcW w:w="5220" w:type="dxa"/>
            <w:vAlign w:val="bottom"/>
          </w:tcPr>
          <w:p>
            <w:pPr>
              <w:ind w:left="100"/>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132,551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148,767</w:t>
            </w:r>
          </w:p>
        </w:tc>
        <w:tc>
          <w:tcPr>
            <w:tcW w:w="80" w:type="dxa"/>
            <w:vAlign w:val="bottom"/>
          </w:tcPr>
          <w:p>
            <w:pPr>
              <w:spacing w:after="0"/>
              <w:rPr>
                <w:sz w:val="20"/>
                <w:szCs w:val="20"/>
                <w:color w:val="auto"/>
              </w:rPr>
            </w:pPr>
          </w:p>
        </w:tc>
      </w:tr>
      <w:tr>
        <w:trPr>
          <w:trHeight w:val="249"/>
        </w:trPr>
        <w:tc>
          <w:tcPr>
            <w:tcW w:w="5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Rivers &amp; lakes</w:t>
            </w:r>
          </w:p>
        </w:tc>
        <w:tc>
          <w:tcPr>
            <w:tcW w:w="3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20,290</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648,781</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726,149</w:t>
            </w: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733,601</w:t>
            </w:r>
          </w:p>
        </w:tc>
        <w:tc>
          <w:tcPr>
            <w:tcW w:w="8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-187960</wp:posOffset>
            </wp:positionV>
            <wp:extent cx="5969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51435"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12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Total revenue was $648.8 million in 2022, a decrease of $77.3 million, or 10.6%, from 2021 total revenue of $726.1 million. The decrease in revenues from the prior year was largely attributable to decreases in domestic capital, foreign capital, maintenance revenues and rivers &amp; lakes. This decrease was partially offset by an increase in coastal protection revenues during the current year as compared to the prior year. The Company categorizes revenue by service type to understand the market in which we operate and to assess how we are performing on bidding work or projects and are generating revenue from backlog.</w:t>
      </w:r>
    </w:p>
    <w:p>
      <w:pPr>
        <w:spacing w:after="0" w:line="188"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Domestic capital dredging revenues decreased $54.5 million, or 13.7%, to $342.5 million in 2022 when compared to 2021 revenues of $397.0 million. The decrease in domestic capital dredging revenue from the prior year was primarily driven by lower revenue earned from deepening projects in Alabama, Massachusetts, Florida and South Carolina. This decrease was partially offset by an increase in revenue earned on projects in Texas and Virginia. We earned 79% of backlog relating to our domestic capital dredging operations that had been carried forward from December 31, 2021.</w:t>
      </w:r>
    </w:p>
    <w:p>
      <w:pPr>
        <w:spacing w:after="0" w:line="15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Revenues from foreign dredging operations in 2022 totaled $0.1 million, a decrease of $6.5 million, or 98.5%, from 2021 revenues of $6.6 million. We have temporarily moved out of foreign operations to focus on domestic projects and do not anticipate any foreign capital project revenue in the immediate future.</w:t>
      </w:r>
    </w:p>
    <w:p>
      <w:pPr>
        <w:spacing w:after="0" w:line="1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Coastal protection revenues were $192.6 million in 2022, an increase of $22.9 million, or 13.5%, from $169.7 million in 2021. The increase in coastal protection revenue for the year ended December 31, 2022 was mostly attributable to a higher amount of revenue earned on projects in Virginia, North Carolina and New York in the current year as compared to the prior year. This increase was partially offset by a lower amount of revenue earned on projects in Florida and Louisiana in the current year compared to the prior year. We earned 86% of backlog relating to coastal protection operations that had been carried forward from December 31, 2021.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ind w:right="80" w:firstLine="509"/>
        <w:spacing w:after="0" w:line="301" w:lineRule="auto"/>
        <w:rPr>
          <w:sz w:val="20"/>
          <w:szCs w:val="20"/>
          <w:color w:val="auto"/>
        </w:rPr>
      </w:pPr>
      <w:r>
        <w:rPr>
          <w:rFonts w:ascii="Arial" w:cs="Arial" w:eastAsia="Arial" w:hAnsi="Arial"/>
          <w:sz w:val="16"/>
          <w:szCs w:val="16"/>
          <w:color w:val="auto"/>
        </w:rPr>
        <w:t>Revenues from maintenance dredging projects in 2022 were $98.1 million, a decrease of $34.5 million, or 26.0%, from $132.6 million in 2021. The decrease in maintenance revenue during the current year was mostly attributable to lower revenue earned on projects in Louisiana, Florida, and North Carolina in the current year compared to the prior year. This decrease was partially offset by greater revenue earned on projects in Mississippi and South Carolina in the current year. We earned 98% of backlog relating to maintenance dredging projects that had been carried forward from December 31, 2021.</w:t>
      </w:r>
    </w:p>
    <w:p>
      <w:pPr>
        <w:spacing w:after="0" w:line="15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Rivers &amp; lakes revenues were $15.5 million for 2022, a decrease of $4.8 million, or 23.7%, from $20.3 million in 2021. The decrease in rivers &amp; lakes revenue during the current year was mostly attributable to lower revenue earned on projects in Mississippi and Texas in the current year compared to the prior year. This decrease was partially offset by revenue earned on projects in Arkansas and Tennessee in the current year. We earned 100% of backlog relating to rivers &amp; lakes operations that had been carried forward from December 31, 2021.</w:t>
      </w:r>
    </w:p>
    <w:p>
      <w:pPr>
        <w:spacing w:after="0" w:line="18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Gross profit for the year ended December 31, 2022 decreased by $114.1 million, or 78.5%, to $31.2 million from $145.3 million for the year ended December 31, 2021. Gross profit margin (gross profit divided by revenue) for the full year 2022 decreased to 4.8%, compared to the prior year's gross profit margin of 20.0%. The lower gross profit for 2022 was mostly driven by high inflation, supply chain delays, fewer high margin capital projects, differing site conditions, more than the usual number of weather impacts, and the high number of drydocks. Supply chain delays impacted drydockings and caused dredges to be delayed when mobilizing to their projects and rapidly increasing inflation impacted the cost of labor, cost of fuel, operating supplies, subcontractor pricing and drydockings, all of which negatively impacted gross margin.</w:t>
      </w:r>
    </w:p>
    <w:p>
      <w:pPr>
        <w:spacing w:after="0" w:line="178" w:lineRule="exact"/>
        <w:rPr>
          <w:sz w:val="20"/>
          <w:szCs w:val="20"/>
          <w:color w:val="auto"/>
        </w:rPr>
      </w:pPr>
    </w:p>
    <w:p>
      <w:pPr>
        <w:jc w:val="both"/>
        <w:ind w:right="460" w:firstLine="509"/>
        <w:spacing w:after="0" w:line="311" w:lineRule="auto"/>
        <w:rPr>
          <w:sz w:val="20"/>
          <w:szCs w:val="20"/>
          <w:color w:val="auto"/>
        </w:rPr>
      </w:pPr>
      <w:r>
        <w:rPr>
          <w:rFonts w:ascii="Arial" w:cs="Arial" w:eastAsia="Arial" w:hAnsi="Arial"/>
          <w:sz w:val="16"/>
          <w:szCs w:val="16"/>
          <w:color w:val="auto"/>
        </w:rPr>
        <w:t>General and administrative expenses totaled $51.1 million for the year ended December 31, 2022, down from $62.1 million for the year ended December 31, 2021. The decrease was mainly attributable to lower incentive pay and profit sharing from the decreased gross profit. In addition, 2022 expenses were lower for technical and consulting expenses, severance expenses and relocation expenses related to the headquarters move to Texas.</w:t>
      </w:r>
    </w:p>
    <w:p>
      <w:pPr>
        <w:spacing w:after="0" w:line="149"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Operating loss was $27.7 million and operating income was $83.4 million for the years ended December 31, 2022 and 2021, respectively. The decrease in operating income during the year ended December 31, 2022 was a result of lower gross profit and a one-time non-cash $8.1 million loss from the write-down for an asset retirement. This is partially offset by a decrease in general and administrative expenses, as described above.</w:t>
      </w:r>
    </w:p>
    <w:p>
      <w:pPr>
        <w:spacing w:after="0" w:line="149"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The Company’s net interest expense for 2022 totaled $14.1 million compared to $21.6 million in 2021. The decrease in net interest expense was primarily due to the refinancing of the senior notes in May 2021 at a lower interest rate and an increase in capitalized interest due to the extensive new build program.</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benefit in 2022 was $9.4 million, compared to an income tax provision of $13.4 million in 2021 due to the change in pretax net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year ended December 31, 2022 was 21.3%, unchanged from the year ended December 31, 2021.</w:t>
      </w:r>
    </w:p>
    <w:p>
      <w:pPr>
        <w:spacing w:after="0" w:line="211"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For the year ended December 31, 2022, net loss was $34.1 million compared to net income of $49.4 million for the year ended December 31, 2021. The decrease in net income of $83.5 million, down 168.9% from 2021, was driven by a substantial decrease in gross profit, as described above. The decrease was partially offset by a $22.8 million decrease in the income tax provision resulting in net tax benefit, a $7.5 million decrease in net interest expense and a $11.0 million decrease to general and administrative expenses during the current year when compared to the prior year.</w:t>
      </w:r>
    </w:p>
    <w:p>
      <w:pPr>
        <w:spacing w:after="0" w:line="15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Adjusted EBITDA (as defined and reconciled on pages 36 and 37) was $17.0 million and $127.4 million for the years ended December 31, 2022 and 2021, respectively. The decrease in Adjusted EBITDA of $110.4 million, down 86.7% from 2021 was attributable to lower gross profit, excluding depreciation, partially offset by a decrease in general and administrative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35"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For a discussion comparing our consolidated operating results from the year ended December 31, 2021 with the year ended December 31, 2020, refer to Part II, Item 7. “Management’s Discussion and Analysis of Financial Condition and Results of Operation – Year Ended December 31, 2021 Compared to Year Ended December 31, 2020” in our Annual Report on Form 10-K for the year ended December 31, 2021, which was filed with the Commission on February 23, 2022.</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type of work, the Company’s backlog as of the dates indicated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6"/>
        </w:trPr>
        <w:tc>
          <w:tcPr>
            <w:tcW w:w="5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Dredging backlog</w:t>
            </w:r>
          </w:p>
        </w:tc>
        <w:tc>
          <w:tcPr>
            <w:tcW w:w="240" w:type="dxa"/>
            <w:vAlign w:val="bottom"/>
          </w:tcPr>
          <w:p>
            <w:pPr>
              <w:spacing w:after="0"/>
              <w:rPr>
                <w:sz w:val="16"/>
                <w:szCs w:val="16"/>
                <w:color w:val="auto"/>
              </w:rPr>
            </w:pPr>
          </w:p>
        </w:tc>
        <w:tc>
          <w:tcPr>
            <w:tcW w:w="146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8"/>
        </w:trPr>
        <w:tc>
          <w:tcPr>
            <w:tcW w:w="574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Capital—U.S.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148,429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398,748</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320,920</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Capital—foreign</w:t>
            </w:r>
          </w:p>
        </w:tc>
        <w:tc>
          <w:tcPr>
            <w:tcW w:w="240" w:type="dxa"/>
            <w:vAlign w:val="bottom"/>
          </w:tcPr>
          <w:p>
            <w:pPr>
              <w:spacing w:after="0"/>
              <w:rPr>
                <w:sz w:val="20"/>
                <w:szCs w:val="20"/>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4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Coastal protection</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97,819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99,048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97,986</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Maintenance</w:t>
            </w:r>
          </w:p>
        </w:tc>
        <w:tc>
          <w:tcPr>
            <w:tcW w:w="240" w:type="dxa"/>
            <w:vAlign w:val="bottom"/>
          </w:tcPr>
          <w:p>
            <w:pPr>
              <w:spacing w:after="0"/>
              <w:rPr>
                <w:sz w:val="20"/>
                <w:szCs w:val="20"/>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125,671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50,966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Rivers &amp; lakes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5,221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2,826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Total dredging backlog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377,140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551,588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559,376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-187960</wp:posOffset>
            </wp:positionV>
            <wp:extent cx="16256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16256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560" cy="188595"/>
                    </a:xfrm>
                    <a:prstGeom prst="rect">
                      <a:avLst/>
                    </a:prstGeom>
                    <a:noFill/>
                  </pic:spPr>
                </pic:pic>
              </a:graphicData>
            </a:graphic>
          </wp:anchor>
        </w:drawing>
      </w:r>
    </w:p>
    <w:p>
      <w:pPr>
        <w:spacing w:after="0" w:line="222" w:lineRule="exact"/>
        <w:rPr>
          <w:sz w:val="20"/>
          <w:szCs w:val="20"/>
          <w:color w:val="auto"/>
        </w:rPr>
      </w:pPr>
    </w:p>
    <w:p>
      <w:pPr>
        <w:jc w:val="both"/>
        <w:ind w:right="500" w:firstLine="509"/>
        <w:spacing w:after="0" w:line="263" w:lineRule="auto"/>
        <w:rPr>
          <w:sz w:val="20"/>
          <w:szCs w:val="20"/>
          <w:color w:val="auto"/>
        </w:rPr>
      </w:pPr>
      <w:r>
        <w:rPr>
          <w:rFonts w:ascii="Arial" w:cs="Arial" w:eastAsia="Arial" w:hAnsi="Arial"/>
          <w:sz w:val="18"/>
          <w:szCs w:val="18"/>
          <w:color w:val="auto"/>
        </w:rPr>
        <w:t>Total dredging backlog does not include approximately $50,000 of performance obligations related to offshore wind contracts. The Company expects to perform on its offshore wind contracts using the inclined fall-pipe vessel for subsea rock installation which is expected to be delivered and operational in the first half of 2025.</w:t>
      </w:r>
    </w:p>
    <w:p>
      <w:pPr>
        <w:spacing w:after="0" w:line="251" w:lineRule="exact"/>
        <w:rPr>
          <w:sz w:val="20"/>
          <w:szCs w:val="20"/>
          <w:color w:val="auto"/>
        </w:rPr>
      </w:pPr>
    </w:p>
    <w:p>
      <w:pPr>
        <w:ind w:right="140" w:firstLine="509"/>
        <w:spacing w:after="0" w:line="289" w:lineRule="auto"/>
        <w:rPr>
          <w:sz w:val="20"/>
          <w:szCs w:val="20"/>
          <w:color w:val="auto"/>
        </w:rPr>
      </w:pPr>
      <w:r>
        <w:rPr>
          <w:rFonts w:ascii="Arial" w:cs="Arial" w:eastAsia="Arial" w:hAnsi="Arial"/>
          <w:sz w:val="16"/>
          <w:szCs w:val="16"/>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77% of our December 31, 2022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Approximately 100% of the Company’s dredging backlog at December 31, 2022 is expected to be completed and converted to revenue in 2023.</w:t>
      </w:r>
    </w:p>
    <w:p>
      <w:pPr>
        <w:spacing w:after="0" w:line="248"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2022 domestic dredging bid market totaled $1.97 billion, an increase of $156 million, or 8.6%, compared to the 2021 bid market total of $1.82 billion. Total domestic dredging bid market for the current year period included awards for multiple coastal protection projects in North Carolina, Florida, New York and New Jersey, another phase of the Houston channel deepening, an access channel dredging project in New Jersey, and a coastal storm risk management project. Additionally, the 2022 bid market included awards for maintenance work in Charleston harbor, a channel maintenance project in New York, a harbor maintenance project in Virginia and river maintenance projects in Arkansas and Mississippi. There were increases in domestic capital, coastal protection and maintenance projects let to bid in the current period with decreases experienced in rivers &amp; lakes projects. The Company won 26% of the overall 2022 domestic bid market, down from a 40% win rate of the overall 2021 domestic bid market and down from the win rate of 35% over the prior three years. In 2022, the Corps delayed letting bids to market and many of those projects were lower margin maintenance projects. So far in 2023, we have seen these delays continue, but we expect the bid market to return to normal levels later in the year. Variability in contract wins from period to period is not unusual. We believe trends in our win rate over the prior three-year periods provide a historical background against which current year results can be compared.</w:t>
      </w:r>
    </w:p>
    <w:p>
      <w:pPr>
        <w:spacing w:after="0" w:line="18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Company’s December 31, 2022 contracted dredging backlog was $377.1 million. This represents a decrease of $174.4 million, or 31.6%, over our December 31, 2021 backlog of $551.6 million. Backlog at the end of 2022 does not reflect approximately $584.7 million of domestic low bids pending formal award and additional phases (“options”) pending on projects currently in dredging backlog. At December 31, 2021, the amount of domestic low bids pending award was $567.3 million. Included in our low bids pending at December 31, 2022 and 2021 are two liquified natural gas (“LNG”) projects that have been awaiting Notice to Proceed from our clients. Several North American LNG export projects have been delayed in the past couple of years during the pandemic but with the increase in LNG prices, some of these LNG projects are currently gaining momentum and are targeting final investment decisions in 2023.</w:t>
      </w:r>
    </w:p>
    <w:p>
      <w:pPr>
        <w:spacing w:after="0" w:line="195"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At the end of the year, the Water Resources Development Act ("WRDA") of 2022 ("WRDA 2022"), was approved by Congress and signed into law by the President. WRDA 2022 is on a two-year renewal cycle and includes legislation that authorizes the financing of Corps' projects for flood and hurricane protection, dredging, ecosystem restoration and other construction projects. WRDA 2022 featured among many other things authorization for New York and New Jersey shipping channels to be deepened to 55 feet, estimated at $6 billion, as well as the Coastal Texas Program, estimated at $30 billion. In addition, this legislation includes policy changes that will allow future port, waterways, and coastal projects to be more readily approved and funded.</w:t>
      </w:r>
    </w:p>
    <w:p>
      <w:pPr>
        <w:spacing w:after="0" w:line="192"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won 8%, or $63.8 million, of the domestic capital dredging projects awarded in 2022, compared to 64%, or $457.7 million, in the prior year. During 2022, the Company was awarded an access channel project in New Jersey for $7.0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ind w:right="80"/>
        <w:spacing w:after="0" w:line="269" w:lineRule="auto"/>
        <w:rPr>
          <w:sz w:val="20"/>
          <w:szCs w:val="20"/>
          <w:color w:val="auto"/>
        </w:rPr>
      </w:pPr>
      <w:r>
        <w:rPr>
          <w:rFonts w:ascii="Arial" w:cs="Arial" w:eastAsia="Arial" w:hAnsi="Arial"/>
          <w:sz w:val="17"/>
          <w:szCs w:val="17"/>
          <w:color w:val="auto"/>
        </w:rPr>
        <w:t>and the Norfolk Harbor capital project for $56.8 million. Domestic capital dredging work made up $148.4 million, or 39%, of our December 31, 2022 contracted dredging backlog. During 2022, the Company earned revenue from deepening projects in Houston, Corpus Christi, Charleston, Jacksonville, Chesapeake Bay and Mobile which were in dredging backlog at December 31, 2021. We expect substantially all of our domestic capital dredging backlog at December 31, 2022 to be performed in 2023. We continue to see strong support from the current presidential administration and Congress for the dredging industry. In December 2022, the Omnibus Appropriations Bill for fiscal year 2023 was passed which included another record budget of $8.66 billion for the Corps' civil works program of which $2.318 billion is provided for the Harbor Maintenance Trust Fund ("HMTF") to maintain and modernize our nation’s waterways. We expect these budgeted appropriations and the 2022 Corps budget to support the funding of several delayed capital port improvement projects including Sabine, Freeport, Mobile, San Juan, Houston, Corpus Christi and additional phases of Norfolk.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85"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 Company won 57%, or $204.0 million, of the coastal protection projects awarded in 2022, compared to 58%, or $195.9 million, in the prior year. During 2022, the Company was awarded three coastal protection projects of $25.9 million, $20.3 million and $11.6 million in North Carolina, four coastal protection projects of $37.2 million, $28.8 million, $24.5 million and $21.5 million in New York and New Jersey, one coastal protection project of $8.5 million in Florida and one coastal protection project of $5.2 million in Virginia. We have contracted dredging backlog related to coastal protection of $97.8 million at December 31, 2022 compared to $99.0 million at the end of 2021. During the year ended December 31, 2022, the Company continued to earn revenue on coastal protection projects in North Carolina, Florida, New York and New Jersey which were in dredging backlog at December 31, 2021. We expect substantially all of our coastal protection dredging backlog at December 31, 2022 to be performed in 2023. Coastal protection and storm impacts continue to provide the major impetus for coastal project investment at federal and state levels. As a result of the extreme storm systems in prior years involving Hurricanes Harvey, Irma, and Maria,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In addition, the Disaster Relief Supplemental Appropriations Act for fiscal year 2023 was approved which included $1.48 billion for the Corps to make necessary repairs to infrastructure impacted by hurricanes and other natural disasters and to initiate coastal protection projects that will increase coastal resiliency. This increased budget and additional funding support our expectation for a stronger market in 2023.</w:t>
      </w:r>
    </w:p>
    <w:p>
      <w:pPr>
        <w:spacing w:after="0" w:line="18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Company won 26%, or $191.4 million, of the maintenance dredging projects awarded in 2022 compared to 8%, or $57.4 million, in 2021. During 2022 the Company was awarded multiple maintenance projects including four maintenance projects in South and North Carolina totaling $48.8 million, two projects in Florida totaling $29.3 million, and three projects in Texas, Louisiana, and Alabama for $20.0 million, $14.8 million and $12.2 million respectively. During the year ended December 31, 2022, the Company continued to earn revenue on projects in Georgia, Florida, Louisiana, Mississippi and North and South Carolina which were in dredging backlog at December 31, 2021. Our contracted maintenance dredging backlog at December 31, 2022 of $125.7 million is $74.7 million lower than the backlog of $51.0 million at December 31, 2021</w:t>
      </w:r>
      <w:r>
        <w:rPr>
          <w:rFonts w:ascii="Arial" w:cs="Arial" w:eastAsia="Arial" w:hAnsi="Arial"/>
          <w:sz w:val="17"/>
          <w:szCs w:val="17"/>
          <w:color w:val="FF0000"/>
        </w:rPr>
        <w:t>.</w:t>
      </w:r>
      <w:r>
        <w:rPr>
          <w:rFonts w:ascii="Arial" w:cs="Arial" w:eastAsia="Arial" w:hAnsi="Arial"/>
          <w:sz w:val="17"/>
          <w:szCs w:val="17"/>
          <w:color w:val="auto"/>
        </w:rPr>
        <w:t xml:space="preserve"> We expect substantially all of our maintenance dredging backlog at December 31, 2022 to be performed in 2023.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anticipates increased funding for harbor maintenance projects to be let for bid.</w:t>
      </w:r>
    </w:p>
    <w:p>
      <w:pPr>
        <w:spacing w:after="0" w:line="185"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The Company won 48%, $59.1 million, of the rivers &amp; lakes projects in the markets where the group operates during the current year, compared to 31%, or $24.0 million, in 2021. During 2022, the Company was awarded one rivers &amp; lakes project in Arkansas. For the year ended December 31, 2022, we continued to earn revenue on projects in Mississippi, Tennessee and Arkansas which were in dredging backlog at December 31, 2021. We have contracted dredging backlog related to rivers &amp; lakes of $5.2 million at December 31, 2022, which is $2.4 million lower than the backlog of $2.8 million at December 31, 2021. We expect substantially all of our rivers &amp; lakes dredging backlog at December 31, 2022 to be performed in 2023.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availability under our revolving credit facility and proceeds from issuances of long-term debt. See Note 6, “Long-term debt,” to our consolidated financial statements included in Item 15 of this Annual Report on Form 10-K. Our principal uses of cash are to meet debt service requirements, finance capital expenditures, and provide working capital and other general corporate purposes.</w:t>
      </w:r>
    </w:p>
    <w:p>
      <w:pPr>
        <w:spacing w:after="0" w:line="18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Company’s net cash provided by operating activities for the years ended December 31, 2022, 2021 and 2020 totaled $1.7 million, $49.0 million and $78.9 million, respectively. Normal increases or decreases in the level of working capital relative to the level of operational activity impact cash flow from operating activities. The decrease in cash provided by operating activities during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right="60"/>
        <w:spacing w:after="0" w:line="263" w:lineRule="auto"/>
        <w:rPr>
          <w:sz w:val="20"/>
          <w:szCs w:val="20"/>
          <w:color w:val="auto"/>
        </w:rPr>
      </w:pPr>
      <w:r>
        <w:rPr>
          <w:rFonts w:ascii="Arial" w:cs="Arial" w:eastAsia="Arial" w:hAnsi="Arial"/>
          <w:sz w:val="18"/>
          <w:szCs w:val="18"/>
          <w:color w:val="auto"/>
        </w:rPr>
        <w:t>2022 compared to the same period in the prior year was driven by a decrease in net income and an increase in working capital due to an increase in inventories during the current year when compared to the same period in the prior year. Cash provided by operating activities for the year ended December 31, 2021 was down compared to 2020 due to lower net income and higher working capital during 2021.</w:t>
      </w:r>
    </w:p>
    <w:p>
      <w:pPr>
        <w:spacing w:after="0" w:line="184" w:lineRule="exact"/>
        <w:rPr>
          <w:sz w:val="20"/>
          <w:szCs w:val="20"/>
          <w:color w:val="auto"/>
        </w:rPr>
      </w:pPr>
    </w:p>
    <w:p>
      <w:pPr>
        <w:ind w:right="100" w:firstLine="509"/>
        <w:spacing w:after="0" w:line="286" w:lineRule="auto"/>
        <w:rPr>
          <w:sz w:val="20"/>
          <w:szCs w:val="20"/>
          <w:color w:val="auto"/>
        </w:rPr>
      </w:pPr>
      <w:r>
        <w:rPr>
          <w:rFonts w:ascii="Arial" w:cs="Arial" w:eastAsia="Arial" w:hAnsi="Arial"/>
          <w:sz w:val="16"/>
          <w:szCs w:val="16"/>
          <w:color w:val="auto"/>
        </w:rPr>
        <w:t xml:space="preserve">The Company’s net cash flows used in investing activities for the years ended December 31, 2022, 2021 and 2020 totaled $140.9 million, $112.2 million and $43.2 million, respectively. Investing activities in all periods primarily relate to normal course upgrades and capital maintenance of our dredging fleet. The Company is currently building a 6,500 cubic yard trailing suction hopper dredge, the </w:t>
      </w:r>
      <w:r>
        <w:rPr>
          <w:rFonts w:ascii="Arial" w:cs="Arial" w:eastAsia="Arial" w:hAnsi="Arial"/>
          <w:sz w:val="16"/>
          <w:szCs w:val="16"/>
          <w:i w:val="1"/>
          <w:iCs w:val="1"/>
          <w:color w:val="auto"/>
        </w:rPr>
        <w:t>Galveston Island</w:t>
      </w:r>
      <w:r>
        <w:rPr>
          <w:rFonts w:ascii="Arial" w:cs="Arial" w:eastAsia="Arial" w:hAnsi="Arial"/>
          <w:sz w:val="16"/>
          <w:szCs w:val="16"/>
          <w:color w:val="auto"/>
        </w:rPr>
        <w:t xml:space="preserve">, which is expected to be operational mid-year 2023, additionally, in June 2022 the Company exercised the contract option with the same builder to build a second 6,500 cubic yard trailing suction hopper dredge, the </w:t>
      </w:r>
      <w:r>
        <w:rPr>
          <w:rFonts w:ascii="Arial" w:cs="Arial" w:eastAsia="Arial" w:hAnsi="Arial"/>
          <w:sz w:val="16"/>
          <w:szCs w:val="16"/>
          <w:i w:val="1"/>
          <w:iCs w:val="1"/>
          <w:color w:val="auto"/>
        </w:rPr>
        <w:t>Amelia Island</w:t>
      </w:r>
      <w:r>
        <w:rPr>
          <w:rFonts w:ascii="Arial" w:cs="Arial" w:eastAsia="Arial" w:hAnsi="Arial"/>
          <w:sz w:val="16"/>
          <w:szCs w:val="16"/>
          <w:color w:val="auto"/>
        </w:rPr>
        <w:t xml:space="preserve">, with expected delivery in the first half of 2025. The delivery of the new </w:t>
      </w:r>
      <w:r>
        <w:rPr>
          <w:rFonts w:ascii="Arial" w:cs="Arial" w:eastAsia="Arial" w:hAnsi="Arial"/>
          <w:sz w:val="16"/>
          <w:szCs w:val="16"/>
          <w:i w:val="1"/>
          <w:iCs w:val="1"/>
          <w:color w:val="auto"/>
        </w:rPr>
        <w:t>Galveston Island</w:t>
      </w:r>
      <w:r>
        <w:rPr>
          <w:rFonts w:ascii="Arial" w:cs="Arial" w:eastAsia="Arial" w:hAnsi="Arial"/>
          <w:sz w:val="16"/>
          <w:szCs w:val="16"/>
          <w:color w:val="auto"/>
        </w:rPr>
        <w:t xml:space="preserve"> and </w:t>
      </w:r>
      <w:r>
        <w:rPr>
          <w:rFonts w:ascii="Arial" w:cs="Arial" w:eastAsia="Arial" w:hAnsi="Arial"/>
          <w:sz w:val="16"/>
          <w:szCs w:val="16"/>
          <w:i w:val="1"/>
          <w:iCs w:val="1"/>
          <w:color w:val="auto"/>
        </w:rPr>
        <w:t>Amelia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Island </w:t>
      </w:r>
      <w:r>
        <w:rPr>
          <w:rFonts w:ascii="Arial" w:cs="Arial" w:eastAsia="Arial" w:hAnsi="Arial"/>
          <w:sz w:val="16"/>
          <w:szCs w:val="16"/>
          <w:color w:val="auto"/>
        </w:rPr>
        <w:t>hopper dredges will provide the Company with added capacity and the opportunity to potentially retire older dredges. In November 2021,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entered into a $197 million contract with Philly Shipyard to build the first U.S. flagged Jones Act compliant, inclined fall-pipe vessel for subsea rock installation for wind turbine foundations to support the new U.S. offshore wind industry which is expected to be delivered and operational in the first half of 2025. In 2021, the Company began building three 7,100 cubic yard dump scow barges, and in July 2021, the Company announced a contract to build two multifunctional all-purpose vessels (“multicats”). During the year ended December 31, 2022, the Company invested $58.3 million in the new hopper dredges, $29.8 million in multicats and scows and $17.1 million in the rock installation vessel. The Company anticipates that remaining new build program payments will be made with cash on hand, future cash flows generated from operations and revolver availability. In 2022, 2021 and 2020, we received $2.1 million, $4.5 million and $4.5 million, respectively, in proceeds from dispositions of property and equipment.</w:t>
      </w:r>
    </w:p>
    <w:p>
      <w:pPr>
        <w:spacing w:after="0" w:line="17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Company’s net cash flows used in financing activities for the years ended December 31, 2022, 2021 and 2020 totaled $1.7 million, $5.9 million and $6.3 million, respectively. The decrease in cash used in financing activities relates to greater new debt financing fees in the prior year period in addition to changes in the taxes paid on settlement of vested shares awards and a decrease in the exercise of options and purchases from the Company’s employee stock purchase plan. In addition, the Company repurchased $3.9 million of common stock during 2020 and none during the periods ended December 31, 2022 or 2021.</w:t>
      </w:r>
    </w:p>
    <w:p>
      <w:pPr>
        <w:spacing w:after="0" w:line="18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expects to spend approximately $175 million on capital expenditures in 2023 which is comprised of vessels in our new build program and maintenance capital expenditures. Subsequent to year end 2022, the Company has drawn $65 million on the Amended Credit Agreement to support payments related to the new build program. In January 2023, the Company applied with the Maritime Administration or MARAD, which is a unit of the U.S. Department of Transportation, for Title XI financing. If approved, we could borrow a portion of the acquisition cost of the subsea rock installation vessel with repayment terms of up to 25 years at rates tied to U.S. Treasury rates. MARAD announced in 2022 that they want to facilitate more offshore wind construction and have designated vessels like our subsea rock installation ship, “Vessels of National Interest” which will prioritize our application for review and funding through Title XI. The review and approval process is expected to be completed later in 2023. The Company anticipates that remaining new build program payments will be made with cash on hand, future cash flows generated from operations, revolver availability and potential new sources of financing.</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Commitments, contingencies and liquidity matters</w:t>
      </w:r>
    </w:p>
    <w:p>
      <w:pPr>
        <w:spacing w:after="0" w:line="13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Refer to Note 6, “Long-term debt,” in the Company’s consolidated financial statements for discussion of the Company’s Amended Credit Agreement and Senior Notes. Additionally, refer to Note 12, “Commitments and contingencies,” in the consolidated financial statements for discussion of the Company’s surety agreements.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The future declaration and payment of dividends will be at the discretion of the Company’s board of directors and will depend on many factors, including general economic and business conditions, our strategic plans, our financial results and condition and legal requirements, including restrictions and limitations contained in the Amended Credit Agreement, surety bonding agreement and the indenture relating to our senior notes. Accordingly, we cannot make any assurances as to the size of any such dividend or that it will pay any such dividend in future quarters.</w:t>
      </w:r>
    </w:p>
    <w:p>
      <w:pPr>
        <w:spacing w:after="0" w:line="198"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The Company believes our cash and cash equivalents, our anticipated cash flows from operations and availability under our revolving credit facility will be sufficient to fund our operations, capital expenditures and the scheduled debt service requirements for the next twelve months. Beyond the next twelve months, our ability to fund our working capital needs, planned capital expenditures, scheduled debt payments and dividends, if any, and to comply with all the financial terms and covenants required under the Amended Credit Agreement, depends on our future operating performance and cash flows, which in turn are subject to prevailing economic conditions and to financial, business and other factors, some of which are beyond our control.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Additional information related to contractual obligations can be found within this Item 7 in our “Liquidity and Capital Resources” section and also in Note 6, “Long-term debt,” and Note 12, “Commitments and contingencies,” to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1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The Company had outstanding letters of credit relating to contract guarantees and insurance payment liabilities totaling $16.4 million at December 31, 2022. We have granted liens on a substantial portion of the owned operating equipment as security for borrowings under the Amended Credit Agreement and other indebtedness.</w:t>
      </w:r>
    </w:p>
    <w:p>
      <w:pPr>
        <w:spacing w:after="0" w:line="18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At December 31, 2022, the Company had outstanding performance bonds with a notional amount of $730.3 million of which $17.4 million relates to projects from our historical environmental &amp; infrastructure businesses. The revenue value remaining in backlog related to the projects totaled $308.5 million.</w:t>
      </w:r>
    </w:p>
    <w:p>
      <w:pPr>
        <w:spacing w:after="0" w:line="184" w:lineRule="exact"/>
        <w:rPr>
          <w:sz w:val="20"/>
          <w:szCs w:val="20"/>
          <w:color w:val="auto"/>
        </w:rPr>
      </w:pPr>
    </w:p>
    <w:p>
      <w:pPr>
        <w:jc w:val="both"/>
        <w:ind w:right="420" w:firstLine="509"/>
        <w:spacing w:after="0" w:line="311"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we retain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it unlikely that it would have to perform under any of its contingent obligations.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May 2021, the Company sold $325 million of unsecured 5.25% Senior Notes due June 1, 2029 pursuant to a private offering. The Company used the net proceeds from the offering, together with cash on hand, to redeem all $325 million aggregate principal amount of its prior outstanding 8% Notes. The 2029 Notes were priced to investors at par and will mature on June 1, 2029. At December 31, 2022, the Company had long-term senior notes outstanding with a recorded face value of $325.0 million. The fair value of these existing notes, which bear interest at a fixed rate of 5.25%, was $252.7 million at December 31, 2022 based on market prices. Assuming a 10% decrease in interest rates from the rates at December 31, 2022 the fair value of this fixed rate debt would have increased to $265.6 million.</w:t>
      </w:r>
    </w:p>
    <w:p>
      <w:pPr>
        <w:spacing w:after="0" w:line="192"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A significant operating cost for the Company is diesel fuel, which represents approximately 11% of our costs of contract revenues. We use fuel commodity forward contracts, typically with durations of less than one year, to reduce the impacts of changing fuel prices on operations. We do not purchase fuel hedges for trading purposes. Based on our 2023 projected domestic fuel consumption, an approximate 10% increase in the average price per gallon of fuel would have a $0.4 million effect on fuel expense, after the effect of fuel commodity contracts in place at December 31, 2022. At December 31, 2022 we had outstanding arrangements to hedge the price of a portion of our fuel purchases related to domestic dredging work in backlog, representing approximately 80% of its anticipated domestic fuel requirements through December 2022. As of December 31, 2022, there were 7.3 million gallons remaining on these contracts. Under these agreements, we will pay fixed prices ranging from $2.29 to $3.95 per gallon. At December 31, 2022, the fair value liabilities on these contracts was $0.6 million, based on quoted market prices and is recorded in accrued liabilities. A 10% change in forward fuel prices would result in a 2.4. million change in the fair value of fuel hedges outstanding at December 31, 2022.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consolidated financial statements (including financial statement schedules listed under Item 15 of this Report) of the Company called for by this Item, together with the Report of Independent Registered Public Accounting Firm dated February 17, 2023, are set forth on pages 49 to 76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2022.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Based on that evaluation, the Chief Executive Officer and the Chief Financial Officer have concluded that the Company’s disclosure controls and procedures, as designed and implemented, were effective as of December 31, 2022.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our periodic reports.</w:t>
      </w:r>
    </w:p>
    <w:p>
      <w:pPr>
        <w:spacing w:after="0" w:line="295"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December 31, 2022 that have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ind w:left="1020" w:hanging="503"/>
        <w:spacing w:after="0"/>
        <w:tabs>
          <w:tab w:leader="none" w:pos="10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published by the Committee of Sponsoring Organizations of the Treadway Commission (“COSO”) to evaluate the effectiveness of the Company’s internal control over financial reporting.</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1020" w:right="14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020" w:right="34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77" w:lineRule="exact"/>
        <w:rPr>
          <w:sz w:val="20"/>
          <w:szCs w:val="20"/>
          <w:color w:val="auto"/>
        </w:rPr>
      </w:pPr>
    </w:p>
    <w:p>
      <w:pPr>
        <w:ind w:right="60" w:firstLine="509"/>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concluded that our internal control over financial reporting was effective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We have audited the internal control over financial reporting of Great Lakes Dredge &amp; Dock Corporation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37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17, 2023, expressed an unqualified opinion on those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Information regarding our executive officers is incorporated by reference herein from the discussion under Item 1. “Business—Information about our Executive Officers”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Company has adopted a written code of business conduct and ethics that applies to all of our employees, including our principal executive officer, principal financial officer, principal accounting officer, controller, and persons performing similar functions. The Company’s code of ethics can be found on our website at www.gldd.com. We will post on our website any amendments to or waivers of the code of business conduct and ethics for executive officers or directors, in accordance with applicable laws and regulations.</w:t>
      </w:r>
    </w:p>
    <w:p>
      <w:pPr>
        <w:spacing w:after="0" w:line="18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remaining information called for by this Item 10 is incorporated by reference herein from the discussions under the headings “Election of Directors,” “Corporate Governance,” “Security Ownership of Certain Beneficial Owners and Management” and “Delinquent Section 16(a) Reports” in the definitive Proxy Statement for the 2023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Tables,” “Compensation Discussion and Analysis,” “Corporate Governance” and “CEO Pay Ratio” in the definitive Proxy Statement for the 2023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headings “Security Ownership of Certain Beneficial Owners and Management” and “Equity Compensation Plan Information” in our definitive Proxy Statement for the 2023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“Corporate Governance” and “Potential Payments Upon Termination or Change of Control” and “Certain Relationships and Related Transactions” in the definitive Proxy Statement for the 2023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independent registered public accounting firm is Deloitte &amp; Touche LLP (PCAOB ID No. 34).</w:t>
      </w:r>
    </w:p>
    <w:p>
      <w:pPr>
        <w:spacing w:after="0" w:line="117" w:lineRule="exact"/>
        <w:rPr>
          <w:sz w:val="20"/>
          <w:szCs w:val="20"/>
          <w:color w:val="auto"/>
        </w:rPr>
      </w:pPr>
    </w:p>
    <w:p>
      <w:pPr>
        <w:ind w:right="180" w:firstLine="509"/>
        <w:spacing w:after="0" w:line="308" w:lineRule="auto"/>
        <w:rPr>
          <w:sz w:val="20"/>
          <w:szCs w:val="20"/>
          <w:color w:val="auto"/>
        </w:rPr>
      </w:pPr>
      <w:r>
        <w:rPr>
          <w:rFonts w:ascii="Arial" w:cs="Arial" w:eastAsia="Arial" w:hAnsi="Arial"/>
          <w:sz w:val="17"/>
          <w:szCs w:val="17"/>
          <w:color w:val="auto"/>
        </w:rPr>
        <w:t>The information required by Item 14 of Form 10-K is incorporated by reference herein from the discussion under the heading “Matters Related to Independent Registered Public Accounting Firm” in the definitive Proxy Statement for the 2023 Annual Meeting of Stockholders.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0" w:name="page51"/>
    <w:bookmarkEnd w:id="50"/>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right="7920" w:firstLine="8"/>
        <w:spacing w:after="0" w:line="377" w:lineRule="auto"/>
        <w:tabs>
          <w:tab w:leader="none" w:pos="2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 1. Financial Statements</w:t>
      </w:r>
    </w:p>
    <w:p>
      <w:pPr>
        <w:spacing w:after="0" w:line="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49 to 76 of this Report and are incorporated by reference in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All other schedules, except Schedule II—Valuation and Qualifying Accounts on page 76, are omitted because they are not required or the required information is shown in the financial statements or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183"/>
        </w:trPr>
        <w:tc>
          <w:tcPr>
            <w:tcW w:w="580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5"/>
              </w:rPr>
              <w:t>REPORT OF INDEPENDENT REGISTERED PUBLIC ACCOUNTING FIRM</w:t>
            </w:r>
          </w:p>
        </w:tc>
        <w:tc>
          <w:tcPr>
            <w:tcW w:w="466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49"/>
        </w:trPr>
        <w:tc>
          <w:tcPr>
            <w:tcW w:w="10460" w:type="dxa"/>
            <w:vAlign w:val="bottom"/>
            <w:gridSpan w:val="9"/>
          </w:tcPr>
          <w:p>
            <w:pPr>
              <w:spacing w:after="0"/>
              <w:rPr>
                <w:sz w:val="20"/>
                <w:szCs w:val="20"/>
                <w:color w:val="auto"/>
              </w:rPr>
            </w:pPr>
            <w:r>
              <w:rPr>
                <w:rFonts w:ascii="Arial" w:cs="Arial" w:eastAsia="Arial" w:hAnsi="Arial"/>
                <w:sz w:val="18"/>
                <w:szCs w:val="18"/>
                <w:color w:val="auto"/>
                <w:w w:val="97"/>
              </w:rPr>
              <w:t>CONSOLIDATED FINANCIAL STATEMENTS AS OF DECEMBER 31, 2022 AND 2021, AND FOR THE YEARS ENDED DECEMBER</w:t>
            </w:r>
          </w:p>
        </w:tc>
        <w:tc>
          <w:tcPr>
            <w:tcW w:w="760" w:type="dxa"/>
            <w:vAlign w:val="bottom"/>
          </w:tcPr>
          <w:p>
            <w:pPr>
              <w:spacing w:after="0"/>
              <w:rPr>
                <w:sz w:val="21"/>
                <w:szCs w:val="21"/>
                <w:color w:val="auto"/>
              </w:rPr>
            </w:pPr>
          </w:p>
        </w:tc>
      </w:tr>
      <w:tr>
        <w:trPr>
          <w:trHeight w:val="230"/>
        </w:trPr>
        <w:tc>
          <w:tcPr>
            <w:tcW w:w="10460" w:type="dxa"/>
            <w:vAlign w:val="bottom"/>
            <w:gridSpan w:val="9"/>
          </w:tcPr>
          <w:p>
            <w:pPr>
              <w:spacing w:after="0"/>
              <w:rPr>
                <w:sz w:val="20"/>
                <w:szCs w:val="20"/>
                <w:color w:val="auto"/>
              </w:rPr>
            </w:pPr>
            <w:r>
              <w:rPr>
                <w:rFonts w:ascii="Arial" w:cs="Arial" w:eastAsia="Arial" w:hAnsi="Arial"/>
                <w:sz w:val="18"/>
                <w:szCs w:val="18"/>
                <w:color w:val="auto"/>
              </w:rPr>
              <w:t>31, 2022, 2021 AND 2020</w:t>
            </w:r>
          </w:p>
        </w:tc>
        <w:tc>
          <w:tcPr>
            <w:tcW w:w="760" w:type="dxa"/>
            <w:vAlign w:val="bottom"/>
          </w:tcPr>
          <w:p>
            <w:pPr>
              <w:spacing w:after="0"/>
              <w:rPr>
                <w:sz w:val="20"/>
                <w:szCs w:val="20"/>
                <w:color w:val="auto"/>
              </w:rPr>
            </w:pPr>
          </w:p>
        </w:tc>
      </w:tr>
      <w:tr>
        <w:trPr>
          <w:trHeight w:val="203"/>
        </w:trPr>
        <w:tc>
          <w:tcPr>
            <w:tcW w:w="260" w:type="dxa"/>
            <w:vAlign w:val="bottom"/>
          </w:tcPr>
          <w:p>
            <w:pPr>
              <w:spacing w:after="0"/>
              <w:rPr>
                <w:sz w:val="17"/>
                <w:szCs w:val="17"/>
                <w:color w:val="auto"/>
              </w:rPr>
            </w:pPr>
          </w:p>
        </w:tc>
        <w:tc>
          <w:tcPr>
            <w:tcW w:w="10200" w:type="dxa"/>
            <w:vAlign w:val="bottom"/>
            <w:gridSpan w:val="8"/>
          </w:tcPr>
          <w:p>
            <w:pPr>
              <w:spacing w:after="0" w:line="202" w:lineRule="exact"/>
              <w:rPr>
                <w:sz w:val="20"/>
                <w:szCs w:val="20"/>
                <w:color w:val="auto"/>
              </w:rPr>
            </w:pPr>
            <w:r>
              <w:rPr>
                <w:rFonts w:ascii="Arial" w:cs="Arial" w:eastAsia="Arial" w:hAnsi="Arial"/>
                <w:sz w:val="18"/>
                <w:szCs w:val="18"/>
                <w:color w:val="0000FF"/>
              </w:rPr>
              <w:t>Consolidated Balance Sheets</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0000FF"/>
              </w:rPr>
              <w:t>Consolidated Statements of Equity</w:t>
            </w: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w:t>
            </w: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60" w:type="dxa"/>
            <w:vAlign w:val="bottom"/>
          </w:tcPr>
          <w:p>
            <w:pPr>
              <w:spacing w:after="0"/>
              <w:rPr>
                <w:sz w:val="19"/>
                <w:szCs w:val="19"/>
                <w:color w:val="auto"/>
              </w:rPr>
            </w:pPr>
          </w:p>
        </w:tc>
        <w:tc>
          <w:tcPr>
            <w:tcW w:w="1020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Great Lakes Dredge &amp; Dock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Great Lakes Dredge &amp; Dock Corporation and subsidiaries (the "Company") as of December 31, 2022 and 2021, the related consolidated statements of operations, comprehensive income/(loss), equity,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17, 2023,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Revenue Recognition – Estimated Costs at Completion— Refer to Notes 1 and 10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r>
        <w:rPr>
          <w:rFonts w:ascii="Arial" w:cs="Arial" w:eastAsia="Arial" w:hAnsi="Arial"/>
          <w:sz w:val="18"/>
          <w:szCs w:val="18"/>
          <w:color w:val="auto"/>
        </w:rPr>
        <w:t>:</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During 2022, the Company’s contract revenues were $648.8 million, all of which represented revenue recognized over time as work progressed on individual contracts. The Company recognizes revenue on its contracts utilizing the cost-to-cost method for determining progress toward completion of each contract. Revenue is recognized using contract fulfillment costs incurred to date compared to total estimated fulfillment costs at completion. Daily costs and project duration are significant factors in management’s estimate of fulfillment costs at completion.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identified estimated contract fulfillment costs at completion used in revenue recognition as a critical audit matter because of the judgments inherent in management’s estimates related to contracts that were in progress at December 31, 2022. This required extensive audit effort and a high degree of auditor judgment when performing audit procedures on the total estimated contract fulfillment costs which underlie management’s determination of revenue on contracts in progress.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audit procedures related to contract fulfillment costs incurred to date and management’s estimates of the total costs at completion for contracts in progress included the following, among others:</w:t>
      </w:r>
    </w:p>
    <w:p>
      <w:pPr>
        <w:spacing w:after="0" w:line="278" w:lineRule="exact"/>
        <w:rPr>
          <w:sz w:val="20"/>
          <w:szCs w:val="20"/>
          <w:color w:val="auto"/>
        </w:rPr>
      </w:pPr>
    </w:p>
    <w:p>
      <w:pPr>
        <w:ind w:left="520" w:right="2200" w:hanging="512"/>
        <w:spacing w:after="0" w:line="277" w:lineRule="auto"/>
        <w:tabs>
          <w:tab w:leader="none" w:pos="4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revenue recognition, including management’s internal controls over contract fulfillment costs incurred to date and estimated total costs at completion.</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selected a sample of contracts with customers, and we performed the following:</w:t>
      </w:r>
    </w:p>
    <w:p>
      <w:pPr>
        <w:spacing w:after="0" w:line="117" w:lineRule="exact"/>
        <w:rPr>
          <w:rFonts w:ascii="Arial" w:cs="Arial" w:eastAsia="Arial" w:hAnsi="Arial"/>
          <w:sz w:val="18"/>
          <w:szCs w:val="18"/>
          <w:color w:val="auto"/>
        </w:rPr>
      </w:pPr>
    </w:p>
    <w:p>
      <w:pPr>
        <w:ind w:left="1020" w:right="180" w:hanging="503"/>
        <w:spacing w:after="0" w:line="259"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Tested management’s process of determining the estimated cost to complete the contract and evaluated management’s ability to achieve the estimates of total cost by obtaining relevant support and inquiring with the Company’s project managers and engineers, comparing the estimates to management’s work plans, and comparing expected profit margins to those achieved on similar contracts to determine whether the estimates were within an acceptable range.</w:t>
      </w:r>
    </w:p>
    <w:p>
      <w:pPr>
        <w:spacing w:after="0" w:line="78"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 certain contracts, we performed in-person site visits and held meetings with the project site managers and project sponsors, who are a part of GLDD operations outside of the accounting and finance function, to discuss the contract activities. Further, we utilized a global positioning system tracking technology to validate equipment deployed on-site.</w:t>
      </w:r>
    </w:p>
    <w:p>
      <w:pPr>
        <w:spacing w:after="0" w:line="75"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contract fulfillment costs at completion by performing a hindsight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analysis using historical contracts and comparing the margin at contract inception compared to margin at contract completion.</w:t>
      </w:r>
    </w:p>
    <w:p>
      <w:pPr>
        <w:spacing w:after="0" w:line="103"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accuracy and occurrence of contract fulfillment costs incurred to date by selecting a sample of costs from contract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 general ledger detail and obtaining supporting documentation in the form of invoices or pay statements and time-charged records.</w:t>
      </w:r>
    </w:p>
    <w:p>
      <w:pPr>
        <w:spacing w:after="0" w:line="103" w:lineRule="exact"/>
        <w:rPr>
          <w:sz w:val="20"/>
          <w:szCs w:val="20"/>
          <w:color w:val="auto"/>
        </w:rPr>
      </w:pPr>
    </w:p>
    <w:p>
      <w:pPr>
        <w:ind w:left="520" w:right="1800" w:hanging="512"/>
        <w:spacing w:after="0" w:line="308" w:lineRule="auto"/>
        <w:tabs>
          <w:tab w:leader="none" w:pos="4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compared total actual costs incurred on projects completed during the year to management’s estimates as of the prior year end to evaluate management’s ability to accurately forecast total contract fulfillment costs at completion.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Refer to Notes 1 and 7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one reportable segment which is also the Company’s one operating segment and reporting unit for which the Company tests goodwill for impairment. The Company tests goodwill for impairment as of July 1 each year, or more frequently should circumstances change or events occur that would more likely than not reduce the fair value of the reporting unit below its carrying amount. The Company performed a qualitative goodwill impairment assessment as of its annual test date of July 1, 2022, and determined that it was not more likely than not that the fair value of the reporting unit was below its carrying amount as of such date.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interim period after the annual test date, the Company performed a quantitative goodwill impairment assessment with a valuation date of October 1, 2022. The Company’s quantitative goodwill impairment assessment involved comparing the carrying value of the Company’s reporting unit to the estimated fair value of the reporting unit which is based on both the market-based approach using the guideline public company method and income-based approach using a discounted cash flow method. The quantitative goodwill impairment assessment requires the Company to make significant estimates and assumptions related to the valuation of the reporting unit. Changes in these assumptions could have a significant impact on either the fair value of the reporting unit, the amount of any goodwill impairment charge, or both.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The Company's goodwill balance is $76.6 million as of December 31, 2022, and the quantitative goodwill impairment assessment as of the interim test date resulted with the fair value of the reporting unit in excess of its carrying value by at least 10%. Therefore, no goodwill impairment charge was recorded. However, the excess fair value over carrying value is low and as a result, there exists sensitivity to changes in estimates and assumptions between the carrying value and estimated fair value of the reporting unit.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goodwill as a critical audit matter because of (i) the significant judgment inherent in management’s estimates while developing the fair value measurement of the reporting unit including forecasted revenue growth rates, forecasted earnings before income taxes, depreciation and amortization (“EBITDA”) margins, and forecasted contract margin; (ii) a high degree of auditor judgment and subjectivity in performing our audit procedures; and (iii) an increased extent of effort involved using professionals with specialized skill and knowledge to evaluate the reasonableness of management's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selection of the forecasted revenue growth rates, forecasted EBITDA margins, and forecasted contract margin used in the quantitative goodwill impairment assessment for the Company’s reporting unit included the following:</w:t>
      </w:r>
    </w:p>
    <w:p>
      <w:pPr>
        <w:spacing w:after="0" w:line="278"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management's quantitative goodwill impairment assessment, including</w:t>
      </w:r>
    </w:p>
    <w:p>
      <w:pPr>
        <w:spacing w:after="0" w:line="23" w:lineRule="exact"/>
        <w:rPr>
          <w:sz w:val="20"/>
          <w:szCs w:val="20"/>
          <w:color w:val="auto"/>
        </w:rPr>
      </w:pPr>
    </w:p>
    <w:p>
      <w:pPr>
        <w:ind w:left="520" w:right="220"/>
        <w:spacing w:after="0" w:line="260" w:lineRule="auto"/>
        <w:rPr>
          <w:sz w:val="20"/>
          <w:szCs w:val="20"/>
          <w:color w:val="auto"/>
        </w:rPr>
      </w:pPr>
      <w:r>
        <w:rPr>
          <w:rFonts w:ascii="Arial" w:cs="Arial" w:eastAsia="Arial" w:hAnsi="Arial"/>
          <w:sz w:val="18"/>
          <w:szCs w:val="18"/>
          <w:color w:val="auto"/>
        </w:rPr>
        <w:t>those over the selection of the forecasted revenue growth rates, forecasted EBITDA margins, and forecasted contract margin used in the fair value measurement.</w:t>
      </w:r>
    </w:p>
    <w:p>
      <w:pPr>
        <w:spacing w:after="0" w:line="77" w:lineRule="exact"/>
        <w:rPr>
          <w:sz w:val="20"/>
          <w:szCs w:val="20"/>
          <w:color w:val="auto"/>
        </w:rPr>
      </w:pPr>
    </w:p>
    <w:p>
      <w:pPr>
        <w:ind w:left="520" w:right="1660" w:hanging="512"/>
        <w:spacing w:after="0" w:line="277" w:lineRule="auto"/>
        <w:tabs>
          <w:tab w:leader="none" w:pos="4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performed sensitivity analyses of the forecasted revenue growth rates, forecasted EBITDA margins, and forecasted contract margins to evaluate the reasonableness of management’s assumptions.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the reasonableness of the forecasted revenue growth rates, forecasted EBITDA margins, and forecasted contract</w:t>
      </w:r>
    </w:p>
    <w:p>
      <w:pPr>
        <w:spacing w:after="0" w:line="23" w:lineRule="exact"/>
        <w:rPr>
          <w:sz w:val="20"/>
          <w:szCs w:val="20"/>
          <w:color w:val="auto"/>
        </w:rPr>
      </w:pPr>
    </w:p>
    <w:p>
      <w:pPr>
        <w:ind w:left="520" w:right="280"/>
        <w:spacing w:after="0" w:line="260" w:lineRule="auto"/>
        <w:rPr>
          <w:sz w:val="20"/>
          <w:szCs w:val="20"/>
          <w:color w:val="auto"/>
        </w:rPr>
      </w:pPr>
      <w:r>
        <w:rPr>
          <w:rFonts w:ascii="Arial" w:cs="Arial" w:eastAsia="Arial" w:hAnsi="Arial"/>
          <w:sz w:val="18"/>
          <w:szCs w:val="18"/>
          <w:color w:val="auto"/>
        </w:rPr>
        <w:t>margins by performing inquiries of the Company’s executives and those outside of the accounting and finance function and also by comparing to historical forecasts and backlog amounts.</w:t>
      </w:r>
    </w:p>
    <w:p>
      <w:pPr>
        <w:spacing w:after="0" w:line="77"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the reasonableness of the forecasted revenue growth rates and forecasted EBITDA margins by comparing the</w:t>
      </w:r>
    </w:p>
    <w:p>
      <w:pPr>
        <w:spacing w:after="0" w:line="23" w:lineRule="exact"/>
        <w:rPr>
          <w:sz w:val="20"/>
          <w:szCs w:val="20"/>
          <w:color w:val="auto"/>
        </w:rPr>
      </w:pPr>
    </w:p>
    <w:p>
      <w:pPr>
        <w:ind w:left="520" w:right="420"/>
        <w:spacing w:after="0" w:line="260" w:lineRule="auto"/>
        <w:rPr>
          <w:sz w:val="20"/>
          <w:szCs w:val="20"/>
          <w:color w:val="auto"/>
        </w:rPr>
      </w:pPr>
      <w:r>
        <w:rPr>
          <w:rFonts w:ascii="Arial" w:cs="Arial" w:eastAsia="Arial" w:hAnsi="Arial"/>
          <w:sz w:val="18"/>
          <w:szCs w:val="18"/>
          <w:color w:val="auto"/>
        </w:rPr>
        <w:t>assumptions to (i) similar metrics for guideline public companies, (ii) internal communications to management and the Board of Directors, (iii) analyst reports, and (iv) third-party macroeconomic and industry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As of December 31, 2022 and 2021</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145,459</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receivable—net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44,890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82,953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Contract revenues in excess of billings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39,844</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29,229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30,760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26,399</w:t>
            </w:r>
          </w:p>
        </w:tc>
        <w:tc>
          <w:tcPr>
            <w:tcW w:w="100" w:type="dxa"/>
            <w:vAlign w:val="bottom"/>
          </w:tcPr>
          <w:p>
            <w:pPr>
              <w:spacing w:after="0"/>
              <w:rPr>
                <w:sz w:val="21"/>
                <w:szCs w:val="21"/>
                <w:color w:val="auto"/>
              </w:rPr>
            </w:pPr>
          </w:p>
        </w:tc>
      </w:tr>
      <w:tr>
        <w:trPr>
          <w:trHeight w:val="23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182,841</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327,432</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EQUIPMENT—Net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543,910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455,102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89,733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62,233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INVENTORIES—Noncurrent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80,044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65,049</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8,676</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981,780</w:t>
            </w:r>
          </w:p>
        </w:tc>
        <w:tc>
          <w:tcPr>
            <w:tcW w:w="28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997,670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94,077</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85,566</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29,469</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37,626</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26,873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16,729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Billings in excess of contract revenues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9,914</w:t>
            </w:r>
          </w:p>
        </w:tc>
        <w:tc>
          <w:tcPr>
            <w:tcW w:w="2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shd w:val="clear" w:color="auto" w:fill="CFF0FC"/>
          </w:tcPr>
          <w:p>
            <w:pPr>
              <w:spacing w:after="0"/>
              <w:rPr>
                <w:sz w:val="21"/>
                <w:szCs w:val="21"/>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160,333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154,735</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321,521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320,971</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LIABILITIES—Noncurrent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45,986</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59,115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68,497</w:t>
            </w:r>
          </w:p>
        </w:tc>
        <w:tc>
          <w:tcPr>
            <w:tcW w:w="100" w:type="dxa"/>
            <w:vAlign w:val="bottom"/>
          </w:tcPr>
          <w:p>
            <w:pPr>
              <w:spacing w:after="0"/>
              <w:rPr>
                <w:sz w:val="20"/>
                <w:szCs w:val="20"/>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613,560</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598,673</w:t>
            </w:r>
          </w:p>
        </w:tc>
        <w:tc>
          <w:tcPr>
            <w:tcW w:w="100" w:type="dxa"/>
            <w:vAlign w:val="bottom"/>
          </w:tcPr>
          <w:p>
            <w:pPr>
              <w:spacing w:after="0"/>
              <w:rPr>
                <w:sz w:val="20"/>
                <w:szCs w:val="20"/>
                <w:color w:val="auto"/>
              </w:rPr>
            </w:pPr>
          </w:p>
        </w:tc>
      </w:tr>
      <w:tr>
        <w:trPr>
          <w:trHeight w:val="237"/>
        </w:trPr>
        <w:tc>
          <w:tcPr>
            <w:tcW w:w="77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8"/>
                <w:szCs w:val="18"/>
                <w:color w:val="auto"/>
              </w:rPr>
              <w:t>Common stock—$.0001 par value; 90,000 authorized, 66,188 and 65,746 shares issued and</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outstanding at December 31, 2022 and December 31, 2021, respectively.</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Treasury stock, at cost</w:t>
            </w:r>
          </w:p>
        </w:tc>
        <w:tc>
          <w:tcPr>
            <w:tcW w:w="9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312,091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308,482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retained earnings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56,314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90,369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(191 )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equity</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368,220</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398,997</w:t>
            </w:r>
          </w:p>
        </w:tc>
        <w:tc>
          <w:tcPr>
            <w:tcW w:w="100" w:type="dxa"/>
            <w:vAlign w:val="bottom"/>
            <w:tcBorders>
              <w:top w:val="single" w:sz="8" w:color="CFF0FC"/>
            </w:tcBorders>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981,780</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997,670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-4251325</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-2047875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33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648,781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726,149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733,601</w:t>
            </w:r>
          </w:p>
        </w:tc>
        <w:tc>
          <w:tcPr>
            <w:tcW w:w="100" w:type="dxa"/>
            <w:vAlign w:val="bottom"/>
            <w:shd w:val="clear" w:color="auto" w:fill="CFF0FC"/>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COSTS OF CONTRACT REVENUES</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617,608</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580,879</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562,373</w:t>
            </w:r>
          </w:p>
        </w:tc>
        <w:tc>
          <w:tcPr>
            <w:tcW w:w="100" w:type="dxa"/>
            <w:vAlign w:val="bottom"/>
          </w:tcPr>
          <w:p>
            <w:pPr>
              <w:spacing w:after="0"/>
              <w:rPr>
                <w:sz w:val="21"/>
                <w:szCs w:val="21"/>
                <w:color w:val="auto"/>
              </w:rPr>
            </w:pPr>
          </w:p>
        </w:tc>
      </w:tr>
      <w:tr>
        <w:trPr>
          <w:trHeight w:val="236"/>
        </w:trPr>
        <w:tc>
          <w:tcPr>
            <w:tcW w:w="6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145,270</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171,228</w:t>
            </w:r>
          </w:p>
        </w:tc>
        <w:tc>
          <w:tcPr>
            <w:tcW w:w="100" w:type="dxa"/>
            <w:vAlign w:val="bottom"/>
            <w:shd w:val="clear" w:color="auto" w:fill="CFF0FC"/>
          </w:tcPr>
          <w:p>
            <w:pPr>
              <w:spacing w:after="0"/>
              <w:rPr>
                <w:sz w:val="20"/>
                <w:szCs w:val="20"/>
                <w:color w:val="auto"/>
              </w:rPr>
            </w:pPr>
          </w:p>
        </w:tc>
      </w:tr>
      <w:tr>
        <w:trPr>
          <w:trHeight w:val="243"/>
        </w:trPr>
        <w:tc>
          <w:tcPr>
            <w:tcW w:w="6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51,117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62,134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62,757</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LOSS OF USE CLAIM</w:t>
            </w: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(1,723 )</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(GAIN) LOSS ON SALE OF ASSETS—Net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(294 )</w:t>
            </w:r>
          </w:p>
        </w:tc>
        <w:tc>
          <w:tcPr>
            <w:tcW w:w="3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(1,571 )</w:t>
            </w:r>
          </w:p>
        </w:tc>
      </w:tr>
      <w:tr>
        <w:trPr>
          <w:trHeight w:val="237"/>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income (loss)</w:t>
            </w:r>
          </w:p>
        </w:tc>
        <w:tc>
          <w:tcPr>
            <w:tcW w:w="3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83,430</w:t>
            </w: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111,765</w:t>
            </w:r>
          </w:p>
        </w:tc>
        <w:tc>
          <w:tcPr>
            <w:tcW w:w="100" w:type="dxa"/>
            <w:vAlign w:val="bottom"/>
            <w:shd w:val="clear" w:color="auto" w:fill="CFF0FC"/>
          </w:tcPr>
          <w:p>
            <w:pPr>
              <w:spacing w:after="0"/>
              <w:rPr>
                <w:sz w:val="20"/>
                <w:szCs w:val="20"/>
                <w:color w:val="auto"/>
              </w:rPr>
            </w:pPr>
          </w:p>
        </w:tc>
      </w:tr>
      <w:tr>
        <w:trPr>
          <w:trHeight w:val="243"/>
        </w:trPr>
        <w:tc>
          <w:tcPr>
            <w:tcW w:w="6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120"/>
              <w:spacing w:after="0"/>
              <w:rPr>
                <w:sz w:val="20"/>
                <w:szCs w:val="20"/>
                <w:color w:val="auto"/>
              </w:rPr>
            </w:pPr>
            <w:r>
              <w:rPr>
                <w:rFonts w:ascii="Arial" w:cs="Arial" w:eastAsia="Arial" w:hAnsi="Arial"/>
                <w:sz w:val="18"/>
                <w:szCs w:val="18"/>
                <w:color w:val="auto"/>
              </w:rPr>
              <w:t>Interest expense—net</w:t>
            </w:r>
          </w:p>
        </w:tc>
        <w:tc>
          <w:tcPr>
            <w:tcW w:w="38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(14,108 )</w:t>
            </w:r>
          </w:p>
        </w:tc>
        <w:tc>
          <w:tcPr>
            <w:tcW w:w="3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(21,601 )</w:t>
            </w: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(26,585 )</w:t>
            </w:r>
          </w:p>
        </w:tc>
      </w:tr>
      <w:tr>
        <w:trPr>
          <w:trHeight w:val="249"/>
        </w:trPr>
        <w:tc>
          <w:tcPr>
            <w:tcW w:w="6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(loss)</w:t>
            </w: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(1,571 )</w:t>
            </w: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FF0FC"/>
          </w:tcPr>
          <w:p>
            <w:pPr>
              <w:spacing w:after="0"/>
              <w:rPr>
                <w:sz w:val="21"/>
                <w:szCs w:val="2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6900" w:type="dxa"/>
            <w:vAlign w:val="bottom"/>
          </w:tcPr>
          <w:p>
            <w:pPr>
              <w:ind w:left="300"/>
              <w:spacing w:after="0"/>
              <w:rPr>
                <w:sz w:val="20"/>
                <w:szCs w:val="20"/>
                <w:color w:val="auto"/>
              </w:rPr>
            </w:pPr>
            <w:r>
              <w:rPr>
                <w:rFonts w:ascii="Arial" w:cs="Arial" w:eastAsia="Arial" w:hAnsi="Arial"/>
                <w:sz w:val="18"/>
                <w:szCs w:val="18"/>
                <w:color w:val="auto"/>
              </w:rPr>
              <w:t>Total other expense</w:t>
            </w:r>
          </w:p>
        </w:tc>
        <w:tc>
          <w:tcPr>
            <w:tcW w:w="38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(15,679 )</w:t>
            </w:r>
          </w:p>
        </w:tc>
        <w:tc>
          <w:tcPr>
            <w:tcW w:w="3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(20,607 )</w:t>
            </w:r>
          </w:p>
        </w:tc>
        <w:tc>
          <w:tcPr>
            <w:tcW w:w="3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(25,475 )</w:t>
            </w:r>
          </w:p>
        </w:tc>
      </w:tr>
      <w:tr>
        <w:trPr>
          <w:trHeight w:val="249"/>
        </w:trPr>
        <w:tc>
          <w:tcPr>
            <w:tcW w:w="69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(43,415 )</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62,823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86,290</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(13,391 )</w:t>
            </w:r>
          </w:p>
        </w:tc>
        <w:tc>
          <w:tcPr>
            <w:tcW w:w="3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(20,187 )</w:t>
            </w:r>
          </w:p>
        </w:tc>
      </w:tr>
      <w:tr>
        <w:trPr>
          <w:trHeight w:val="237"/>
        </w:trPr>
        <w:tc>
          <w:tcPr>
            <w:tcW w:w="690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8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(34,055 )</w:t>
            </w:r>
          </w:p>
        </w:tc>
        <w:tc>
          <w:tcPr>
            <w:tcW w:w="3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2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100" w:type="dxa"/>
            <w:vAlign w:val="bottom"/>
            <w:shd w:val="clear" w:color="auto" w:fill="CFF0FC"/>
          </w:tcPr>
          <w:p>
            <w:pPr>
              <w:spacing w:after="0"/>
              <w:rPr>
                <w:sz w:val="24"/>
                <w:szCs w:val="24"/>
                <w:color w:val="auto"/>
              </w:rPr>
            </w:pPr>
          </w:p>
        </w:tc>
      </w:tr>
      <w:tr>
        <w:trPr>
          <w:trHeight w:val="224"/>
        </w:trPr>
        <w:tc>
          <w:tcPr>
            <w:tcW w:w="690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(loss) per share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(0.52 )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Basic weighted average shares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66,051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65,587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64,743</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(0.52 )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r>
      <w:tr>
        <w:trPr>
          <w:trHeight w:val="24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weighted average shares</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65,872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-1894205</wp:posOffset>
            </wp:positionV>
            <wp:extent cx="7747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-1894205</wp:posOffset>
            </wp:positionV>
            <wp:extent cx="6858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-1894205</wp:posOffset>
            </wp:positionV>
            <wp:extent cx="6858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-1268095</wp:posOffset>
            </wp:positionV>
            <wp:extent cx="7747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-1268095</wp:posOffset>
            </wp:positionV>
            <wp:extent cx="685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-951230</wp:posOffset>
            </wp:positionV>
            <wp:extent cx="195453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54530" cy="1803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change in cash flow derivative hedges—net of tax (1)</w:t>
            </w:r>
          </w:p>
        </w:tc>
        <w:tc>
          <w:tcPr>
            <w:tcW w:w="440" w:type="dxa"/>
            <w:vAlign w:val="bottom"/>
          </w:tcPr>
          <w:p>
            <w:pPr>
              <w:spacing w:after="0"/>
              <w:rPr>
                <w:sz w:val="20"/>
                <w:szCs w:val="20"/>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(331 )</w:t>
            </w:r>
          </w:p>
        </w:tc>
        <w:tc>
          <w:tcPr>
            <w:tcW w:w="4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(828 )</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r>
      <w:tr>
        <w:trPr>
          <w:trHeight w:val="28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(34,386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48,604</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3960" w:right="1260" w:hanging="3952"/>
        <w:spacing w:after="0" w:line="527" w:lineRule="auto"/>
        <w:tabs>
          <w:tab w:leader="none" w:pos="5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of income tax (provision) benefit of $112, $280 and $217 for the years ended December 31, 2022, 2021 and 2020, respectively. 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33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3"/>
              </w:rPr>
              <w:t>Great Lakes Dredge &amp; Dock Corporation shareholders</w:t>
            </w: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2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ted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Retained</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9"/>
                <w:szCs w:val="9"/>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3"/>
              </w:rPr>
              <w:t>nsive</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9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5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(Deficit)</w:t>
            </w: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9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9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900" w:type="dxa"/>
            <w:vAlign w:val="bottom"/>
          </w:tcPr>
          <w:p>
            <w:pPr>
              <w:ind w:left="20"/>
              <w:spacing w:after="0"/>
              <w:rPr>
                <w:sz w:val="20"/>
                <w:szCs w:val="20"/>
                <w:color w:val="auto"/>
              </w:rPr>
            </w:pPr>
            <w:r>
              <w:rPr>
                <w:rFonts w:ascii="Arial" w:cs="Arial" w:eastAsia="Arial" w:hAnsi="Arial"/>
                <w:sz w:val="16"/>
                <w:szCs w:val="16"/>
                <w:color w:val="auto"/>
              </w:rPr>
              <w:t>BALANCE—January 1, 2020</w:t>
            </w:r>
          </w:p>
        </w:tc>
        <w:tc>
          <w:tcPr>
            <w:tcW w:w="920" w:type="dxa"/>
            <w:vAlign w:val="bottom"/>
          </w:tcPr>
          <w:p>
            <w:pPr>
              <w:jc w:val="right"/>
              <w:spacing w:after="0"/>
              <w:rPr>
                <w:sz w:val="20"/>
                <w:szCs w:val="20"/>
                <w:color w:val="auto"/>
              </w:rPr>
            </w:pPr>
            <w:r>
              <w:rPr>
                <w:rFonts w:ascii="Arial" w:cs="Arial" w:eastAsia="Arial" w:hAnsi="Arial"/>
                <w:sz w:val="16"/>
                <w:szCs w:val="16"/>
                <w:color w:val="auto"/>
              </w:rPr>
              <w:t>64,283</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302,189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(23,091 )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279,399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9"/>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4"/>
                <w:szCs w:val="24"/>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6,754</w:t>
            </w:r>
          </w:p>
        </w:tc>
        <w:tc>
          <w:tcPr>
            <w:tcW w:w="1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w w:val="97"/>
              </w:rPr>
              <w:t>Vesting of restricted stock units, including</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impact of shares withheld for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741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(4,748 )</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(4,748 )</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Exercise of stock options and purchases</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from 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(426 )</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(1,798 )</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(2,075 )</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(3,873 )</w:t>
            </w:r>
          </w:p>
        </w:tc>
        <w:tc>
          <w:tcPr>
            <w:tcW w:w="0" w:type="dxa"/>
            <w:vAlign w:val="bottom"/>
          </w:tcPr>
          <w:p>
            <w:pPr>
              <w:spacing w:after="0"/>
              <w:rPr>
                <w:sz w:val="1"/>
                <w:szCs w:val="1"/>
                <w:color w:val="auto"/>
              </w:rPr>
            </w:pPr>
          </w:p>
        </w:tc>
      </w:tr>
      <w:tr>
        <w:trPr>
          <w:trHeight w:val="239"/>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66,103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Arial" w:cs="Arial" w:eastAsia="Arial" w:hAnsi="Arial"/>
                <w:sz w:val="16"/>
                <w:szCs w:val="16"/>
                <w:color w:val="auto"/>
                <w:w w:val="98"/>
              </w:rPr>
              <w:t>Other comprehensive income—net of tax</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2020</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65,023</w:t>
            </w: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304,757</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40,937</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346,668</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w w:val="97"/>
              </w:rPr>
              <w:t>Vesting of restricted stock units, including</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impact of shares withheld for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431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(3,785 )</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(3,785 )</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Exercise of stock options and purchases</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from 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49,432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00" w:type="dxa"/>
            <w:vAlign w:val="bottom"/>
          </w:tcPr>
          <w:p>
            <w:pPr>
              <w:ind w:left="20"/>
              <w:spacing w:after="0"/>
              <w:rPr>
                <w:sz w:val="20"/>
                <w:szCs w:val="20"/>
                <w:color w:val="auto"/>
              </w:rPr>
            </w:pPr>
            <w:r>
              <w:rPr>
                <w:rFonts w:ascii="Arial" w:cs="Arial" w:eastAsia="Arial" w:hAnsi="Arial"/>
                <w:sz w:val="16"/>
                <w:szCs w:val="16"/>
                <w:color w:val="auto"/>
              </w:rPr>
              <w:t>Other comprehensive loss—net of tax</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(828 )</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(828 )</w:t>
            </w:r>
          </w:p>
        </w:tc>
        <w:tc>
          <w:tcPr>
            <w:tcW w:w="0" w:type="dxa"/>
            <w:vAlign w:val="bottom"/>
          </w:tcPr>
          <w:p>
            <w:pPr>
              <w:spacing w:after="0"/>
              <w:rPr>
                <w:sz w:val="1"/>
                <w:szCs w:val="1"/>
                <w:color w:val="auto"/>
              </w:rPr>
            </w:pPr>
          </w:p>
        </w:tc>
      </w:tr>
      <w:tr>
        <w:trPr>
          <w:trHeight w:val="266"/>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BALANCE—December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65,746</w:t>
            </w: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308,482</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90,369</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398,997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6"/>
                <w:szCs w:val="16"/>
                <w:color w:val="auto"/>
                <w:w w:val="97"/>
              </w:rPr>
              <w:t>Vesting of restricted stock units, including</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impact of shares withheld for taxes</w:t>
            </w: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(1,827 )</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(1,827 )</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Exercise of stock options and purchases</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from 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(34,055 )</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(34,055 )</w:t>
            </w:r>
          </w:p>
        </w:tc>
        <w:tc>
          <w:tcPr>
            <w:tcW w:w="0" w:type="dxa"/>
            <w:vAlign w:val="bottom"/>
          </w:tcPr>
          <w:p>
            <w:pPr>
              <w:spacing w:after="0"/>
              <w:rPr>
                <w:sz w:val="1"/>
                <w:szCs w:val="1"/>
                <w:color w:val="auto"/>
              </w:rPr>
            </w:pPr>
          </w:p>
        </w:tc>
      </w:tr>
      <w:tr>
        <w:trPr>
          <w:trHeight w:val="236"/>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loss—net of tax</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(331 )</w:t>
            </w:r>
          </w:p>
        </w:tc>
        <w:tc>
          <w:tcPr>
            <w:tcW w:w="2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(331 )</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00" w:type="dxa"/>
            <w:vAlign w:val="bottom"/>
          </w:tcPr>
          <w:p>
            <w:pPr>
              <w:ind w:left="20"/>
              <w:spacing w:after="0"/>
              <w:rPr>
                <w:sz w:val="20"/>
                <w:szCs w:val="20"/>
                <w:color w:val="auto"/>
              </w:rPr>
            </w:pPr>
            <w:r>
              <w:rPr>
                <w:rFonts w:ascii="Arial" w:cs="Arial" w:eastAsia="Arial" w:hAnsi="Arial"/>
                <w:sz w:val="16"/>
                <w:szCs w:val="16"/>
                <w:color w:val="auto"/>
              </w:rPr>
              <w:t>BALANCE—December 31, 2022</w:t>
            </w:r>
          </w:p>
        </w:tc>
        <w:tc>
          <w:tcPr>
            <w:tcW w:w="920" w:type="dxa"/>
            <w:vAlign w:val="bottom"/>
          </w:tcPr>
          <w:p>
            <w:pPr>
              <w:jc w:val="right"/>
              <w:spacing w:after="0"/>
              <w:rPr>
                <w:sz w:val="20"/>
                <w:szCs w:val="20"/>
                <w:color w:val="auto"/>
              </w:rPr>
            </w:pPr>
            <w:r>
              <w:rPr>
                <w:rFonts w:ascii="Arial" w:cs="Arial" w:eastAsia="Arial" w:hAnsi="Arial"/>
                <w:sz w:val="16"/>
                <w:szCs w:val="16"/>
                <w:color w:val="auto"/>
              </w:rPr>
              <w:t>66,188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9"/>
                <w:szCs w:val="19"/>
                <w:color w:val="auto"/>
              </w:rPr>
            </w:pPr>
          </w:p>
        </w:tc>
        <w:tc>
          <w:tcPr>
            <w:tcW w:w="740" w:type="dxa"/>
            <w:vAlign w:val="bottom"/>
          </w:tcPr>
          <w:p>
            <w:pPr>
              <w:ind w:left="56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312,091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56,314</w:t>
            </w:r>
          </w:p>
        </w:tc>
        <w:tc>
          <w:tcPr>
            <w:tcW w:w="1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79"/>
              <w:spacing w:after="0"/>
              <w:rPr>
                <w:sz w:val="20"/>
                <w:szCs w:val="20"/>
                <w:color w:val="auto"/>
              </w:rPr>
            </w:pPr>
            <w:r>
              <w:rPr>
                <w:rFonts w:ascii="Arial" w:cs="Arial" w:eastAsia="Arial" w:hAnsi="Arial"/>
                <w:sz w:val="16"/>
                <w:szCs w:val="16"/>
                <w:color w:val="auto"/>
              </w:rPr>
              <w:t>(191 ) $</w:t>
            </w:r>
          </w:p>
        </w:tc>
        <w:tc>
          <w:tcPr>
            <w:tcW w:w="860" w:type="dxa"/>
            <w:vAlign w:val="bottom"/>
          </w:tcPr>
          <w:p>
            <w:pPr>
              <w:jc w:val="right"/>
              <w:spacing w:after="0"/>
              <w:rPr>
                <w:sz w:val="20"/>
                <w:szCs w:val="20"/>
                <w:color w:val="auto"/>
              </w:rPr>
            </w:pPr>
            <w:r>
              <w:rPr>
                <w:rFonts w:ascii="Arial" w:cs="Arial" w:eastAsia="Arial" w:hAnsi="Arial"/>
                <w:sz w:val="16"/>
                <w:szCs w:val="16"/>
                <w:color w:val="auto"/>
              </w:rPr>
              <w:t>368,220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-2794000</wp:posOffset>
            </wp:positionV>
            <wp:extent cx="471487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14875" cy="17145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-1336675</wp:posOffset>
            </wp:positionV>
            <wp:extent cx="471487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14875" cy="17145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-179070</wp:posOffset>
            </wp:positionV>
            <wp:extent cx="7683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-179070</wp:posOffset>
            </wp:positionV>
            <wp:extent cx="7683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-179070</wp:posOffset>
            </wp:positionV>
            <wp:extent cx="7747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-179070</wp:posOffset>
            </wp:positionV>
            <wp:extent cx="685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-179070</wp:posOffset>
            </wp:positionV>
            <wp:extent cx="685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-179070</wp:posOffset>
            </wp:positionV>
            <wp:extent cx="685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-179070</wp:posOffset>
            </wp:positionV>
            <wp:extent cx="685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9019"/>
          </w:cols>
          <w:pgMar w:left="1440" w:top="166"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(34,055 )</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49,432</w:t>
            </w:r>
          </w:p>
        </w:tc>
        <w:tc>
          <w:tcPr>
            <w:tcW w:w="26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66,103</w:t>
            </w:r>
          </w:p>
        </w:tc>
        <w:tc>
          <w:tcPr>
            <w:tcW w:w="100" w:type="dxa"/>
            <w:vAlign w:val="bottom"/>
          </w:tcPr>
          <w:p>
            <w:pPr>
              <w:spacing w:after="0"/>
              <w:rPr>
                <w:sz w:val="19"/>
                <w:szCs w:val="19"/>
                <w:color w:val="auto"/>
              </w:rPr>
            </w:pPr>
          </w:p>
        </w:tc>
      </w:tr>
      <w:tr>
        <w:trPr>
          <w:trHeight w:val="239"/>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Adjustments to reconcile net income (loss) to net cash flows provided by operating activities:</w:t>
            </w: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300" w:type="dxa"/>
            <w:vAlign w:val="bottom"/>
          </w:tcPr>
          <w:p>
            <w:pPr>
              <w:ind w:left="200"/>
              <w:spacing w:after="0"/>
              <w:rPr>
                <w:sz w:val="20"/>
                <w:szCs w:val="20"/>
                <w:color w:val="auto"/>
              </w:rPr>
            </w:pPr>
            <w:r>
              <w:rPr>
                <w:rFonts w:ascii="Arial" w:cs="Arial" w:eastAsia="Arial" w:hAnsi="Arial"/>
                <w:sz w:val="16"/>
                <w:szCs w:val="16"/>
                <w:color w:val="auto"/>
              </w:rPr>
              <w:t>Depreciation expense</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46,273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43,016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38,183</w:t>
            </w:r>
          </w:p>
        </w:tc>
        <w:tc>
          <w:tcPr>
            <w:tcW w:w="100" w:type="dxa"/>
            <w:vAlign w:val="bottom"/>
          </w:tcPr>
          <w:p>
            <w:pPr>
              <w:spacing w:after="0"/>
              <w:rPr>
                <w:sz w:val="19"/>
                <w:szCs w:val="19"/>
                <w:color w:val="auto"/>
              </w:rPr>
            </w:pPr>
          </w:p>
        </w:tc>
      </w:tr>
      <w:tr>
        <w:trPr>
          <w:trHeight w:val="239"/>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(9,270 )</w:t>
            </w: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12,311</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20,508</w:t>
            </w:r>
          </w:p>
        </w:tc>
        <w:tc>
          <w:tcPr>
            <w:tcW w:w="100" w:type="dxa"/>
            <w:vAlign w:val="bottom"/>
            <w:shd w:val="clear" w:color="auto" w:fill="CFF0FC"/>
          </w:tcPr>
          <w:p>
            <w:pPr>
              <w:spacing w:after="0"/>
              <w:rPr>
                <w:sz w:val="20"/>
                <w:szCs w:val="20"/>
                <w:color w:val="auto"/>
              </w:rPr>
            </w:pPr>
          </w:p>
        </w:tc>
      </w:tr>
      <w:tr>
        <w:trPr>
          <w:trHeight w:val="220"/>
        </w:trPr>
        <w:tc>
          <w:tcPr>
            <w:tcW w:w="6300" w:type="dxa"/>
            <w:vAlign w:val="bottom"/>
          </w:tcPr>
          <w:p>
            <w:pPr>
              <w:ind w:left="200"/>
              <w:spacing w:after="0"/>
              <w:rPr>
                <w:sz w:val="20"/>
                <w:szCs w:val="20"/>
                <w:color w:val="auto"/>
              </w:rPr>
            </w:pPr>
            <w:r>
              <w:rPr>
                <w:rFonts w:ascii="Arial" w:cs="Arial" w:eastAsia="Arial" w:hAnsi="Arial"/>
                <w:sz w:val="16"/>
                <w:szCs w:val="16"/>
                <w:color w:val="auto"/>
              </w:rPr>
              <w:t>(Gain) loss on sale of assets</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7,792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(294 )</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(1,571 )</w:t>
            </w:r>
          </w:p>
        </w:tc>
      </w:tr>
      <w:tr>
        <w:trPr>
          <w:trHeight w:val="239"/>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deferred financing fees</w:t>
            </w: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2,349</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1,611</w:t>
            </w:r>
          </w:p>
        </w:tc>
        <w:tc>
          <w:tcPr>
            <w:tcW w:w="100" w:type="dxa"/>
            <w:vAlign w:val="bottom"/>
            <w:shd w:val="clear" w:color="auto" w:fill="CFF0FC"/>
          </w:tcPr>
          <w:p>
            <w:pPr>
              <w:spacing w:after="0"/>
              <w:rPr>
                <w:sz w:val="20"/>
                <w:szCs w:val="20"/>
                <w:color w:val="auto"/>
              </w:rPr>
            </w:pPr>
          </w:p>
        </w:tc>
      </w:tr>
      <w:tr>
        <w:trPr>
          <w:trHeight w:val="220"/>
        </w:trPr>
        <w:tc>
          <w:tcPr>
            <w:tcW w:w="6300" w:type="dxa"/>
            <w:vAlign w:val="bottom"/>
          </w:tcPr>
          <w:p>
            <w:pPr>
              <w:ind w:left="200"/>
              <w:spacing w:after="0"/>
              <w:rPr>
                <w:sz w:val="20"/>
                <w:szCs w:val="20"/>
                <w:color w:val="auto"/>
              </w:rPr>
            </w:pPr>
            <w:r>
              <w:rPr>
                <w:rFonts w:ascii="Arial" w:cs="Arial" w:eastAsia="Arial" w:hAnsi="Arial"/>
                <w:sz w:val="16"/>
                <w:szCs w:val="16"/>
                <w:color w:val="auto"/>
              </w:rPr>
              <w:t>Share-based compensation expense</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4,288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6,754</w:t>
            </w:r>
          </w:p>
        </w:tc>
        <w:tc>
          <w:tcPr>
            <w:tcW w:w="100" w:type="dxa"/>
            <w:vAlign w:val="bottom"/>
          </w:tcPr>
          <w:p>
            <w:pPr>
              <w:spacing w:after="0"/>
              <w:rPr>
                <w:sz w:val="19"/>
                <w:szCs w:val="19"/>
                <w:color w:val="auto"/>
              </w:rPr>
            </w:pPr>
          </w:p>
        </w:tc>
      </w:tr>
      <w:tr>
        <w:trPr>
          <w:trHeight w:val="239"/>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assets and liabilities:</w:t>
            </w: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3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38,064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(43,963 )</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(19,205 )</w:t>
            </w:r>
          </w:p>
        </w:tc>
      </w:tr>
      <w:tr>
        <w:trPr>
          <w:trHeight w:val="23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revenues in excess of billings</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(26,078 )</w:t>
            </w: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(7,738 )</w:t>
            </w: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(9,546 )</w:t>
            </w:r>
          </w:p>
        </w:tc>
      </w:tr>
      <w:tr>
        <w:trPr>
          <w:trHeight w:val="220"/>
        </w:trPr>
        <w:tc>
          <w:tcPr>
            <w:tcW w:w="63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4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(14,255 )</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(2,706 )</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(2,383 )</w:t>
            </w:r>
          </w:p>
        </w:tc>
      </w:tr>
      <w:tr>
        <w:trPr>
          <w:trHeight w:val="23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(7,636 )</w:t>
            </w: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10,873</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FF0FC"/>
          </w:tcPr>
          <w:p>
            <w:pPr>
              <w:spacing w:after="0"/>
              <w:rPr>
                <w:sz w:val="20"/>
                <w:szCs w:val="20"/>
                <w:color w:val="auto"/>
              </w:rPr>
            </w:pPr>
          </w:p>
        </w:tc>
      </w:tr>
      <w:tr>
        <w:trPr>
          <w:trHeight w:val="220"/>
        </w:trPr>
        <w:tc>
          <w:tcPr>
            <w:tcW w:w="6300" w:type="dxa"/>
            <w:vAlign w:val="bottom"/>
          </w:tcPr>
          <w:p>
            <w:pPr>
              <w:ind w:left="380"/>
              <w:spacing w:after="0"/>
              <w:rPr>
                <w:sz w:val="20"/>
                <w:szCs w:val="20"/>
                <w:color w:val="auto"/>
              </w:rPr>
            </w:pPr>
            <w:r>
              <w:rPr>
                <w:rFonts w:ascii="Arial" w:cs="Arial" w:eastAsia="Arial" w:hAnsi="Arial"/>
                <w:sz w:val="16"/>
                <w:szCs w:val="16"/>
                <w:color w:val="auto"/>
              </w:rPr>
              <w:t>Accounts payable and accrued expenses</w:t>
            </w:r>
          </w:p>
        </w:tc>
        <w:tc>
          <w:tcPr>
            <w:tcW w:w="4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(1,966 )</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(698 )</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(3,328 )</w:t>
            </w:r>
          </w:p>
        </w:tc>
      </w:tr>
      <w:tr>
        <w:trPr>
          <w:trHeight w:val="23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Billings in excess of contract revenues</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(4,900 )</w:t>
            </w: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(17,794 )</w:t>
            </w: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(22,658 )</w:t>
            </w:r>
          </w:p>
        </w:tc>
      </w:tr>
      <w:tr>
        <w:trPr>
          <w:trHeight w:val="223"/>
        </w:trPr>
        <w:tc>
          <w:tcPr>
            <w:tcW w:w="6300" w:type="dxa"/>
            <w:vAlign w:val="bottom"/>
          </w:tcPr>
          <w:p>
            <w:pPr>
              <w:ind w:left="380"/>
              <w:spacing w:after="0"/>
              <w:rPr>
                <w:sz w:val="20"/>
                <w:szCs w:val="20"/>
                <w:color w:val="auto"/>
              </w:rPr>
            </w:pPr>
            <w:r>
              <w:rPr>
                <w:rFonts w:ascii="Arial" w:cs="Arial" w:eastAsia="Arial" w:hAnsi="Arial"/>
                <w:sz w:val="16"/>
                <w:szCs w:val="16"/>
                <w:color w:val="auto"/>
              </w:rPr>
              <w:t>Other noncurrent assets and liabilities</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(969 )</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3,013</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provided by operating activities</w:t>
            </w:r>
          </w:p>
        </w:tc>
        <w:tc>
          <w:tcPr>
            <w:tcW w:w="4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1,653</w:t>
            </w:r>
          </w:p>
        </w:tc>
        <w:tc>
          <w:tcPr>
            <w:tcW w:w="260" w:type="dxa"/>
            <w:vAlign w:val="bottom"/>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49,007</w:t>
            </w:r>
          </w:p>
        </w:tc>
        <w:tc>
          <w:tcPr>
            <w:tcW w:w="260" w:type="dxa"/>
            <w:vAlign w:val="bottom"/>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78,947</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4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(143,006 )</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(116,658 )</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(47,621 )</w:t>
            </w:r>
          </w:p>
        </w:tc>
      </w:tr>
      <w:tr>
        <w:trPr>
          <w:trHeight w:val="23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dispositions of property and equipment</w:t>
            </w:r>
          </w:p>
        </w:tc>
        <w:tc>
          <w:tcPr>
            <w:tcW w:w="4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2,100</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4,459</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6300" w:type="dxa"/>
            <w:vAlign w:val="bottom"/>
          </w:tcPr>
          <w:p>
            <w:pPr>
              <w:ind w:left="200"/>
              <w:spacing w:after="0"/>
              <w:rPr>
                <w:sz w:val="20"/>
                <w:szCs w:val="20"/>
                <w:color w:val="auto"/>
              </w:rPr>
            </w:pPr>
            <w:r>
              <w:rPr>
                <w:rFonts w:ascii="Arial" w:cs="Arial" w:eastAsia="Arial" w:hAnsi="Arial"/>
                <w:sz w:val="16"/>
                <w:szCs w:val="16"/>
                <w:color w:val="auto"/>
              </w:rPr>
              <w:t>Cash used in investing activities</w:t>
            </w:r>
          </w:p>
        </w:tc>
        <w:tc>
          <w:tcPr>
            <w:tcW w:w="4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(140,906 )</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(112,199 )</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(43,171 )</w:t>
            </w:r>
          </w:p>
        </w:tc>
      </w:tr>
      <w:tr>
        <w:trPr>
          <w:trHeight w:val="239"/>
        </w:trPr>
        <w:tc>
          <w:tcPr>
            <w:tcW w:w="6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Repayments of debt</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(325,000 )</w:t>
            </w: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Proceeds from issuance of debt</w:t>
            </w:r>
          </w:p>
        </w:tc>
        <w:tc>
          <w:tcPr>
            <w:tcW w:w="4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325,000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financing fees</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(981 )</w:t>
            </w: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(4,395 )</w:t>
            </w: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Taxes paid on settlement of vested share awards</w:t>
            </w:r>
          </w:p>
        </w:tc>
        <w:tc>
          <w:tcPr>
            <w:tcW w:w="4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(1,827 )</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(3,785 )</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(4,748 )</w:t>
            </w:r>
          </w:p>
        </w:tc>
      </w:tr>
      <w:tr>
        <w:trPr>
          <w:trHeight w:val="239"/>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 and purchases from employee stock plans</w:t>
            </w: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1,148</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2,321</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CFF0FC"/>
          </w:tcPr>
          <w:p>
            <w:pPr>
              <w:spacing w:after="0"/>
              <w:rPr>
                <w:sz w:val="20"/>
                <w:szCs w:val="20"/>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4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(3,873 )</w:t>
            </w:r>
          </w:p>
        </w:tc>
      </w:tr>
      <w:tr>
        <w:trPr>
          <w:trHeight w:val="239"/>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Borrowings under revolving loans</w:t>
            </w: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Repayments of revolving loans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(10,000 )</w:t>
            </w:r>
          </w:p>
        </w:tc>
        <w:tc>
          <w:tcPr>
            <w:tcW w:w="4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
        </w:trPr>
        <w:tc>
          <w:tcPr>
            <w:tcW w:w="6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6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used in financing activities</w:t>
            </w:r>
          </w:p>
        </w:tc>
        <w:tc>
          <w:tcPr>
            <w:tcW w:w="4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(1,660 )</w:t>
            </w: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(5,859 )</w:t>
            </w:r>
          </w:p>
        </w:tc>
        <w:tc>
          <w:tcPr>
            <w:tcW w:w="4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(6,261 )</w:t>
            </w:r>
          </w:p>
        </w:tc>
      </w:tr>
      <w:tr>
        <w:trPr>
          <w:trHeight w:val="23"/>
        </w:trPr>
        <w:tc>
          <w:tcPr>
            <w:tcW w:w="630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(140,913 )</w:t>
            </w:r>
          </w:p>
        </w:tc>
        <w:tc>
          <w:tcPr>
            <w:tcW w:w="4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(69,051 )</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29,515</w:t>
            </w:r>
          </w:p>
        </w:tc>
        <w:tc>
          <w:tcPr>
            <w:tcW w:w="100" w:type="dxa"/>
            <w:vAlign w:val="bottom"/>
          </w:tcPr>
          <w:p>
            <w:pPr>
              <w:spacing w:after="0"/>
              <w:rPr>
                <w:sz w:val="19"/>
                <w:szCs w:val="19"/>
                <w:color w:val="auto"/>
              </w:rPr>
            </w:pPr>
          </w:p>
        </w:tc>
      </w:tr>
      <w:tr>
        <w:trPr>
          <w:trHeight w:val="23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147,459</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216,510</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6,546</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147,459</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216,510</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6,546</w:t>
            </w:r>
          </w:p>
        </w:tc>
        <w:tc>
          <w:tcPr>
            <w:tcW w:w="26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145,459</w:t>
            </w:r>
          </w:p>
        </w:tc>
        <w:tc>
          <w:tcPr>
            <w:tcW w:w="26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216,510</w:t>
            </w:r>
          </w:p>
        </w:tc>
        <w:tc>
          <w:tcPr>
            <w:tcW w:w="100" w:type="dxa"/>
            <w:vAlign w:val="bottom"/>
          </w:tcPr>
          <w:p>
            <w:pPr>
              <w:spacing w:after="0"/>
              <w:rPr>
                <w:sz w:val="19"/>
                <w:szCs w:val="19"/>
                <w:color w:val="auto"/>
              </w:rPr>
            </w:pPr>
          </w:p>
        </w:tc>
      </w:tr>
      <w:tr>
        <w:trPr>
          <w:trHeight w:val="233"/>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4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63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6,546</w:t>
            </w:r>
          </w:p>
        </w:tc>
        <w:tc>
          <w:tcPr>
            <w:tcW w:w="26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147,459</w:t>
            </w:r>
          </w:p>
        </w:tc>
        <w:tc>
          <w:tcPr>
            <w:tcW w:w="26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216,510</w:t>
            </w:r>
          </w:p>
        </w:tc>
        <w:tc>
          <w:tcPr>
            <w:tcW w:w="100" w:type="dxa"/>
            <w:vAlign w:val="bottom"/>
            <w:tcBorders>
              <w:top w:val="single" w:sz="8" w:color="CFF0FC"/>
            </w:tcBorders>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17,742</w:t>
            </w:r>
          </w:p>
        </w:tc>
        <w:tc>
          <w:tcPr>
            <w:tcW w:w="26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22,919</w:t>
            </w:r>
          </w:p>
        </w:tc>
        <w:tc>
          <w:tcPr>
            <w:tcW w:w="26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26,430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630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9"/>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and equipment purchased but not yet paid</w:t>
            </w: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8,686</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7,010</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-3959860</wp:posOffset>
            </wp:positionV>
            <wp:extent cx="685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-3959860</wp:posOffset>
            </wp:positionV>
            <wp:extent cx="6858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-2193925</wp:posOffset>
            </wp:positionV>
            <wp:extent cx="685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-2193925</wp:posOffset>
            </wp:positionV>
            <wp:extent cx="6858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-1893570</wp:posOffset>
            </wp:positionV>
            <wp:extent cx="6858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-1893570</wp:posOffset>
            </wp:positionV>
            <wp:extent cx="6858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-1276350</wp:posOffset>
            </wp:positionV>
            <wp:extent cx="6858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-1276350</wp:posOffset>
            </wp:positionV>
            <wp:extent cx="6858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-659130</wp:posOffset>
            </wp:positionV>
            <wp:extent cx="2211705" cy="196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11705" cy="1968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ind w:left="360" w:right="2580"/>
        <w:spacing w:after="0" w:line="383"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2022 AND 2021 AND FOR THE YEARS ENDED December 31, 2022, 2021 AND 2020 (In thousands, except per share amounts or as otherwise noted)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ind w:right="40" w:firstLine="509"/>
        <w:spacing w:after="0" w:line="258"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—Great Lakes Dredge &amp; Dock Corporation and its subsidiaries (the “Company” or “Great Lakes”) are in the business of marine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primarily dredging. The Company is the largest provider of dredging services in the United States which is complemented with a long history of performing significant international projects. In addition, the Company is fully engaged in expanding its core business into the rapidly developing offshore wind energy industry. The mobility of the Company’s fleet enables the Company to move equipment in response to changes in demand for dredging services.</w:t>
      </w:r>
    </w:p>
    <w:p>
      <w:pPr>
        <w:spacing w:after="0" w:line="18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b w:val="1"/>
          <w:bCs w:val="1"/>
          <w:color w:val="auto"/>
        </w:rPr>
        <w:t>Principles of Consolidation and Basis of Presentation</w:t>
      </w:r>
      <w:r>
        <w:rPr>
          <w:rFonts w:ascii="Arial" w:cs="Arial" w:eastAsia="Arial" w:hAnsi="Arial"/>
          <w:sz w:val="18"/>
          <w:szCs w:val="18"/>
          <w:color w:val="auto"/>
        </w:rPr>
        <w:t>—The consolidated financial statements include the accounts of Great Lakes Dredge &amp;</w:t>
      </w:r>
      <w:r>
        <w:rPr>
          <w:rFonts w:ascii="Arial" w:cs="Arial" w:eastAsia="Arial" w:hAnsi="Arial"/>
          <w:sz w:val="18"/>
          <w:szCs w:val="18"/>
          <w:b w:val="1"/>
          <w:bCs w:val="1"/>
          <w:color w:val="auto"/>
        </w:rPr>
        <w:t xml:space="preserve"> </w:t>
      </w:r>
      <w:r>
        <w:rPr>
          <w:rFonts w:ascii="Arial" w:cs="Arial" w:eastAsia="Arial" w:hAnsi="Arial"/>
          <w:sz w:val="18"/>
          <w:szCs w:val="18"/>
          <w:color w:val="auto"/>
        </w:rPr>
        <w:t>Dock 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80" w:lineRule="exact"/>
        <w:rPr>
          <w:sz w:val="20"/>
          <w:szCs w:val="20"/>
          <w:color w:val="auto"/>
        </w:rPr>
      </w:pPr>
    </w:p>
    <w:p>
      <w:pPr>
        <w:jc w:val="both"/>
        <w:ind w:right="360" w:firstLine="509"/>
        <w:spacing w:after="0" w:line="26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certain reported amounts and disclosures. Accordingly, actual results could differ from those estimates.</w:t>
      </w:r>
    </w:p>
    <w:p>
      <w:pPr>
        <w:spacing w:after="0" w:line="1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—Revenue is recognized using contract fulfillment costs incurred to date compared to total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at completion, also known as cost-to-cost, to measure progress towards completion. Additionally, the Company capitalizes certain pre-contract and pre-construction costs, and defers recognition over the life of the contract. The Company’s performance obligations are satisfied over time and revenue is recognized using the cost-to-cost method, described above.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routine in the performance of the Company’s contracts. In most instances, contract modifications are for services that are not distinct, and, therefore, are accounted for as part of the existing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spacing w:after="0" w:line="172"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its relationships with its unionized hourly workforce.</w:t>
      </w:r>
    </w:p>
    <w:p>
      <w:pPr>
        <w:spacing w:after="0" w:line="161" w:lineRule="exact"/>
        <w:rPr>
          <w:sz w:val="20"/>
          <w:szCs w:val="20"/>
          <w:color w:val="auto"/>
        </w:rPr>
      </w:pPr>
    </w:p>
    <w:p>
      <w:pPr>
        <w:ind w:right="300" w:firstLine="509"/>
        <w:spacing w:after="0" w:line="282"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normal course of contract completion, unless completion of such contracts extends significantly beyond one year.</w:t>
      </w:r>
    </w:p>
    <w:p>
      <w:pPr>
        <w:spacing w:after="0" w:line="162" w:lineRule="exact"/>
        <w:rPr>
          <w:sz w:val="20"/>
          <w:szCs w:val="20"/>
          <w:color w:val="auto"/>
        </w:rPr>
      </w:pPr>
    </w:p>
    <w:p>
      <w:pPr>
        <w:ind w:right="880" w:firstLine="509"/>
        <w:spacing w:after="0" w:line="282" w:lineRule="auto"/>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18"/>
          <w:szCs w:val="18"/>
          <w:color w:val="auto"/>
        </w:rPr>
        <w:t>—The Company considers all highly liquid investments with a maturity at purchase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2"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 represent amounts due or billable under the terms of contracts with customers, including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retainage. The Company anticipates collection of retainage generally within one year, and accordingly presents retainage as a current asset. The Company provides an allowance for estimated uncollectible accounts receivable based on historical and expected losses and when events or conditions indicate that amounts outstanding are not recoverable.</w:t>
      </w:r>
    </w:p>
    <w:p>
      <w:pPr>
        <w:spacing w:after="0" w:line="180"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therefore, a certain amount of pipe and spare part inventories is not anticipated to be used within the current year and is classified as long-term. Spare part inventories are stated at weighted average historical cost, and are charged to expense when used in operations. Pipe inventory is recorded at cost and amortized to expense over the period of its use.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ind w:right="60" w:firstLine="509"/>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89" w:lineRule="exact"/>
        <w:rPr>
          <w:sz w:val="20"/>
          <w:szCs w:val="20"/>
          <w:color w:val="auto"/>
        </w:rPr>
      </w:pPr>
    </w:p>
    <w:tbl>
      <w:tblPr>
        <w:tblLayout w:type="fixed"/>
        <w:tblInd w:w="2260" w:type="dxa"/>
        <w:tblCellMar>
          <w:top w:w="0" w:type="dxa"/>
          <w:left w:w="0" w:type="dxa"/>
          <w:bottom w:w="0" w:type="dxa"/>
          <w:right w:w="0" w:type="dxa"/>
        </w:tblCellMar>
      </w:tblPr>
      <w:tr>
        <w:trPr>
          <w:trHeight w:val="178"/>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Class</w:t>
            </w:r>
          </w:p>
        </w:tc>
        <w:tc>
          <w:tcPr>
            <w:tcW w:w="5220" w:type="dxa"/>
            <w:vAlign w:val="bottom"/>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Useful Life (years)</w:t>
            </w:r>
          </w:p>
        </w:tc>
      </w:tr>
      <w:tr>
        <w:trPr>
          <w:trHeight w:val="243"/>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w:t>
            </w:r>
          </w:p>
        </w:tc>
      </w:tr>
      <w:tr>
        <w:trPr>
          <w:trHeight w:val="237"/>
        </w:trPr>
        <w:tc>
          <w:tcPr>
            <w:tcW w:w="55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5-10</w:t>
            </w:r>
          </w:p>
        </w:tc>
      </w:tr>
      <w:tr>
        <w:trPr>
          <w:trHeight w:val="249"/>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3-5</w:t>
            </w: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10-30</w:t>
            </w: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22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represents the excess of acquisition cost over fair value of the net assets acquired. Goodwill is tested annually for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spacing w:after="0" w:line="188"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65"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Company has one operating segment which is also the Company’s one reportable segment and reporting unit of which the Company tests goodwill for impairment. In the current year, the Company performed both a qualitative and a quantitative goodwill impairment test. The Company performed its annual test of impairment as of July 1, 2022 and an interim test of impairment as of October 1, 2022 with no indication of impairment as of either test date. When performing the qualitative test, the Company determined that it is not more likely than not that the fair value of the reporting unit is less than its carrying amount. The Company has documented the qualitative considerations and determinations to support this conclusion.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As of the test date, the fair value of the reporting unit was in excess of its carrying value by at least 10%. The Company will continue to monitor for changes in facts or circumstances that may impact our estimates. The Company will perform its next scheduled annual test of goodwill in the third quarter of 2023 should no triggering events occur which would require a test prior to the next annual test.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2" w:name="page63"/>
    <w:bookmarkEnd w:id="62"/>
    <w:p>
      <w:pPr>
        <w:ind w:right="60" w:firstLine="509"/>
        <w:spacing w:after="0" w:line="298"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subject to amortization. Long-lived assets to be held and used are</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2022 or 2021. If long-lived assets are to be disposed, depreciation is discontinued, if applicable, and the assets are reclassified as held for sale at the lower of their carrying amounts or fair values less estimated costs to sell.</w:t>
      </w:r>
    </w:p>
    <w:p>
      <w:pPr>
        <w:spacing w:after="0" w:line="154" w:lineRule="exact"/>
        <w:rPr>
          <w:sz w:val="20"/>
          <w:szCs w:val="20"/>
          <w:color w:val="auto"/>
        </w:rPr>
      </w:pPr>
    </w:p>
    <w:p>
      <w:pPr>
        <w:ind w:right="80" w:firstLine="509"/>
        <w:spacing w:after="0" w:line="277" w:lineRule="auto"/>
        <w:rPr>
          <w:sz w:val="20"/>
          <w:szCs w:val="20"/>
          <w:color w:val="auto"/>
        </w:rPr>
      </w:pPr>
      <w:r>
        <w:rPr>
          <w:rFonts w:ascii="Arial" w:cs="Arial" w:eastAsia="Arial" w:hAnsi="Arial"/>
          <w:sz w:val="17"/>
          <w:szCs w:val="17"/>
          <w:b w:val="1"/>
          <w:bCs w:val="1"/>
          <w:color w:val="auto"/>
        </w:rPr>
        <w:t>Self-insurance Reserves</w:t>
      </w:r>
      <w:r>
        <w:rPr>
          <w:rFonts w:ascii="Arial" w:cs="Arial" w:eastAsia="Arial" w:hAnsi="Arial"/>
          <w:sz w:val="17"/>
          <w:szCs w:val="17"/>
          <w:color w:val="auto"/>
        </w:rPr>
        <w:t>—The Company self-insures costs associated with its seagoing employees covered by the provisions of Jones Act,</w:t>
      </w:r>
      <w:r>
        <w:rPr>
          <w:rFonts w:ascii="Arial" w:cs="Arial" w:eastAsia="Arial" w:hAnsi="Arial"/>
          <w:sz w:val="17"/>
          <w:szCs w:val="17"/>
          <w:b w:val="1"/>
          <w:bCs w:val="1"/>
          <w:color w:val="auto"/>
        </w:rPr>
        <w:t xml:space="preserve"> </w:t>
      </w:r>
      <w:r>
        <w:rPr>
          <w:rFonts w:ascii="Arial" w:cs="Arial" w:eastAsia="Arial" w:hAnsi="Arial"/>
          <w:sz w:val="17"/>
          <w:szCs w:val="17"/>
          <w:color w:val="auto"/>
        </w:rPr>
        <w:t>workers’ 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68" w:lineRule="exact"/>
        <w:rPr>
          <w:sz w:val="20"/>
          <w:szCs w:val="20"/>
          <w:color w:val="auto"/>
        </w:rPr>
      </w:pPr>
    </w:p>
    <w:p>
      <w:pPr>
        <w:jc w:val="both"/>
        <w:ind w:right="140" w:firstLine="509"/>
        <w:spacing w:after="0" w:line="26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Refer to Note 8, Income Taxes.</w:t>
      </w:r>
    </w:p>
    <w:p>
      <w:pPr>
        <w:spacing w:after="0" w:line="18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b w:val="1"/>
          <w:bCs w:val="1"/>
          <w:color w:val="auto"/>
        </w:rPr>
        <w:t>Hedging Instruments</w:t>
      </w:r>
      <w:r>
        <w:rPr>
          <w:rFonts w:ascii="Arial" w:cs="Arial" w:eastAsia="Arial" w:hAnsi="Arial"/>
          <w:sz w:val="18"/>
          <w:szCs w:val="18"/>
          <w:color w:val="auto"/>
        </w:rPr>
        <w:t>—At times, the Company designates certain derivative contracts as a cash flow hedge as defined by GAAP. Accordingly,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formally documents, at the inception of each hedge, all relationships between hedging instruments and hedged items, as well as its risk-management objective and strategy for undertaking hedge transactions. This process includes linking all derivatives to highly-probable forecasted transactions.</w:t>
      </w:r>
    </w:p>
    <w:p>
      <w:pPr>
        <w:spacing w:after="0" w:line="184"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Basic earnings per share is computed by dividing net income (loss)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computations for basic and diluted earnings per share for the years ended December 31, 2022, 2021 and 2020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4"/>
                <w:szCs w:val="14"/>
                <w:b w:val="1"/>
                <w:bCs w:val="1"/>
                <w:color w:val="auto"/>
              </w:rPr>
              <w:t>(shares in thousands)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(34,055</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49,432</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66,103</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4"/>
              </w:rPr>
              <w:t>Weighted-average common shares outstanding — basic</w:t>
            </w: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Effect of stock options and restricted stock units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2"/>
              </w:rPr>
              <w:t>Weighted-average common shares outstanding — diluted</w:t>
            </w:r>
          </w:p>
        </w:tc>
        <w:tc>
          <w:tcPr>
            <w:tcW w:w="8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spacing w:after="0"/>
              <w:rPr>
                <w:sz w:val="19"/>
                <w:szCs w:val="19"/>
                <w:color w:val="auto"/>
              </w:rPr>
            </w:pPr>
          </w:p>
        </w:tc>
        <w:tc>
          <w:tcPr>
            <w:tcW w:w="104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(0.52 )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0.75</w:t>
            </w:r>
          </w:p>
        </w:tc>
        <w:tc>
          <w:tcPr>
            <w:tcW w:w="5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(0.52 )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5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firstLine="509"/>
        <w:spacing w:after="0" w:line="277" w:lineRule="auto"/>
        <w:rPr>
          <w:sz w:val="20"/>
          <w:szCs w:val="20"/>
          <w:color w:val="auto"/>
        </w:rPr>
      </w:pPr>
      <w:r>
        <w:rPr>
          <w:rFonts w:ascii="Arial" w:cs="Arial" w:eastAsia="Arial" w:hAnsi="Arial"/>
          <w:sz w:val="18"/>
          <w:szCs w:val="18"/>
          <w:color w:val="auto"/>
        </w:rPr>
        <w:t>For the year ended December 31, 2022 the dilutive effect of 462 stock options (“NQSO”) and restricted stock units (“RSU”) were excluded from the diluted weighted-average common shares outstanding as the Company incurred a loss during the period.</w:t>
      </w:r>
    </w:p>
    <w:p>
      <w:pPr>
        <w:spacing w:after="0" w:line="23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For the years ended December 31, 2022, 2021 and 2020, 351 thousand, 1 thousand and 1 thousand, respectively, non-qualified stock options (“NQSOs”) and restricted stock units (“RSUs”) were excluded from the calculation of diluted earnings per share based on the application of the treasury stock method, as such NQSOs and RSUs were determined to be anti-dilutive.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at December 31, 2022 and 2021 are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Land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9,348</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19,986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equipment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991,574</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869,953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1,022,222</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899,828</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(478,312 )</w:t>
            </w: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(444,726 )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543,910</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455,102</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-976630</wp:posOffset>
            </wp:positionV>
            <wp:extent cx="5143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-976630</wp:posOffset>
            </wp:positionV>
            <wp:extent cx="431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-659130</wp:posOffset>
            </wp:positionV>
            <wp:extent cx="5143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-659130</wp:posOffset>
            </wp:positionV>
            <wp:extent cx="4318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-342265</wp:posOffset>
            </wp:positionV>
            <wp:extent cx="5143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-342265</wp:posOffset>
            </wp:positionV>
            <wp:extent cx="4318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Operating equipment of $500 was classified as held for sale, excluded from property and equipment, as of December 31, 2022. Gain or loss on sale of assets, net for the year ended December 31, 2022 includes $8,150 of loss related to the retirement of an asset which is classified as held for sale.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$46,273, $43,016 and $38,183, for the years ended December 31, 2022, 2021 and 2020,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Leases with an initial term greater than twelve months are recorded on the Company’s balance sheet as an operating lease asset and operating lease liability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53"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64"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Company’s lease costs are recorded in costs of contract revenues and general and administrative expenses. For the years ended December 31, 2022, 2021 and 2020, respectively, lease costs are as follows:</w:t>
      </w:r>
    </w:p>
    <w:p>
      <w:pPr>
        <w:spacing w:after="0" w:line="351"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Operating lease costs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24,224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24,427</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24,602</w:t>
            </w:r>
          </w:p>
        </w:tc>
        <w:tc>
          <w:tcPr>
            <w:tcW w:w="80" w:type="dxa"/>
            <w:vAlign w:val="bottom"/>
          </w:tcPr>
          <w:p>
            <w:pPr>
              <w:spacing w:after="0"/>
              <w:rPr>
                <w:sz w:val="20"/>
                <w:szCs w:val="20"/>
                <w:color w:val="auto"/>
              </w:rPr>
            </w:pPr>
          </w:p>
        </w:tc>
      </w:tr>
      <w:tr>
        <w:trPr>
          <w:trHeight w:val="250"/>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94,842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87,534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Total lease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119,066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120,384</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112,136</w:t>
            </w:r>
          </w:p>
        </w:tc>
        <w:tc>
          <w:tcPr>
            <w:tcW w:w="8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-187960</wp:posOffset>
            </wp:positionV>
            <wp:extent cx="5143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terms and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recorded on the balance sheet, the Company’s maturity analysis of its operating lease liabilities as of December 31, 2022 is as follows:</w:t>
      </w:r>
    </w:p>
    <w:p>
      <w:pPr>
        <w:spacing w:after="0" w:line="200" w:lineRule="exact"/>
        <w:rPr>
          <w:sz w:val="20"/>
          <w:szCs w:val="20"/>
          <w:color w:val="auto"/>
        </w:rPr>
      </w:pP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30,412</w:t>
            </w:r>
          </w:p>
        </w:tc>
        <w:tc>
          <w:tcPr>
            <w:tcW w:w="80" w:type="dxa"/>
            <w:vAlign w:val="bottom"/>
            <w:shd w:val="clear" w:color="auto" w:fill="CFF0FC"/>
          </w:tcPr>
          <w:p>
            <w:pPr>
              <w:spacing w:after="0"/>
              <w:rPr>
                <w:sz w:val="21"/>
                <w:szCs w:val="2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2024</w:t>
            </w:r>
          </w:p>
        </w:tc>
        <w:tc>
          <w:tcPr>
            <w:tcW w:w="1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27,365</w:t>
            </w:r>
          </w:p>
        </w:tc>
        <w:tc>
          <w:tcPr>
            <w:tcW w:w="80" w:type="dxa"/>
            <w:vAlign w:val="bottom"/>
          </w:tcPr>
          <w:p>
            <w:pPr>
              <w:spacing w:after="0"/>
              <w:rPr>
                <w:sz w:val="20"/>
                <w:szCs w:val="20"/>
                <w:color w:val="auto"/>
              </w:rPr>
            </w:pPr>
          </w:p>
        </w:tc>
      </w:tr>
      <w:tr>
        <w:trPr>
          <w:trHeight w:val="24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22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18,575</w:t>
            </w:r>
          </w:p>
        </w:tc>
        <w:tc>
          <w:tcPr>
            <w:tcW w:w="80" w:type="dxa"/>
            <w:vAlign w:val="bottom"/>
            <w:shd w:val="clear" w:color="auto" w:fill="CFF0FC"/>
          </w:tcPr>
          <w:p>
            <w:pPr>
              <w:spacing w:after="0"/>
              <w:rPr>
                <w:sz w:val="21"/>
                <w:szCs w:val="2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2026</w:t>
            </w:r>
          </w:p>
        </w:tc>
        <w:tc>
          <w:tcPr>
            <w:tcW w:w="1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8,378</w:t>
            </w:r>
          </w:p>
        </w:tc>
        <w:tc>
          <w:tcPr>
            <w:tcW w:w="80" w:type="dxa"/>
            <w:vAlign w:val="bottom"/>
          </w:tcPr>
          <w:p>
            <w:pPr>
              <w:spacing w:after="0"/>
              <w:rPr>
                <w:sz w:val="20"/>
                <w:szCs w:val="20"/>
                <w:color w:val="auto"/>
              </w:rPr>
            </w:pPr>
          </w:p>
        </w:tc>
      </w:tr>
      <w:tr>
        <w:trPr>
          <w:trHeight w:val="24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22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6,509</w:t>
            </w:r>
          </w:p>
        </w:tc>
        <w:tc>
          <w:tcPr>
            <w:tcW w:w="80" w:type="dxa"/>
            <w:vAlign w:val="bottom"/>
            <w:shd w:val="clear" w:color="auto" w:fill="CFF0FC"/>
          </w:tcPr>
          <w:p>
            <w:pPr>
              <w:spacing w:after="0"/>
              <w:rPr>
                <w:sz w:val="21"/>
                <w:szCs w:val="21"/>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80" w:type="dxa"/>
            <w:vAlign w:val="bottom"/>
          </w:tcPr>
          <w:p>
            <w:pPr>
              <w:spacing w:after="0"/>
              <w:rPr>
                <w:sz w:val="21"/>
                <w:szCs w:val="21"/>
                <w:color w:val="auto"/>
              </w:rPr>
            </w:pPr>
          </w:p>
        </w:tc>
      </w:tr>
      <w:tr>
        <w:trPr>
          <w:trHeight w:val="237"/>
        </w:trPr>
        <w:tc>
          <w:tcPr>
            <w:tcW w:w="4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Minimum lease payments</w:t>
            </w:r>
          </w:p>
        </w:tc>
        <w:tc>
          <w:tcPr>
            <w:tcW w:w="122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100,595</w:t>
            </w:r>
          </w:p>
        </w:tc>
        <w:tc>
          <w:tcPr>
            <w:tcW w:w="80" w:type="dxa"/>
            <w:vAlign w:val="bottom"/>
            <w:shd w:val="clear" w:color="auto" w:fill="CFF0FC"/>
          </w:tcPr>
          <w:p>
            <w:pPr>
              <w:spacing w:after="0"/>
              <w:rPr>
                <w:sz w:val="20"/>
                <w:szCs w:val="20"/>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Imputed interest</w:t>
            </w:r>
          </w:p>
        </w:tc>
        <w:tc>
          <w:tcPr>
            <w:tcW w:w="1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w:t>
            </w:r>
          </w:p>
        </w:tc>
        <w:tc>
          <w:tcPr>
            <w:tcW w:w="80" w:type="dxa"/>
            <w:vAlign w:val="bottom"/>
          </w:tcPr>
          <w:p>
            <w:pPr>
              <w:spacing w:after="0"/>
              <w:rPr>
                <w:sz w:val="21"/>
                <w:szCs w:val="21"/>
                <w:color w:val="auto"/>
              </w:rPr>
            </w:pPr>
          </w:p>
        </w:tc>
      </w:tr>
      <w:tr>
        <w:trPr>
          <w:trHeight w:val="277"/>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minimum operating lease payments</w:t>
            </w: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91,883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4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used its incremental borrowing rate based on the information available at commencement date in determining the present value of lease payments.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 information related to the Company’s leases as of December 31, 2022, 2021 and 2020 respectively, is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years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4.7 %</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5.1 %</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6.2 %</w:t>
            </w: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information related to leases during the years ended December 31, 2022, 2021 and 2020 respectively,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w w:val="94"/>
              </w:rPr>
              <w:t>Operating cash flows from operating leases</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(22,591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(25,064</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5"/>
        </w:trPr>
        <w:tc>
          <w:tcPr>
            <w:tcW w:w="17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lease liabilities arising from</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obtaining new operating lease assets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57,618</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24,191</w:t>
            </w:r>
          </w:p>
        </w:tc>
        <w:tc>
          <w:tcPr>
            <w:tcW w:w="26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22,746</w:t>
            </w:r>
          </w:p>
        </w:tc>
        <w:tc>
          <w:tcPr>
            <w:tcW w:w="80" w:type="dxa"/>
            <w:vAlign w:val="bottom"/>
          </w:tcPr>
          <w:p>
            <w:pPr>
              <w:spacing w:after="0"/>
              <w:rPr>
                <w:sz w:val="20"/>
                <w:szCs w:val="20"/>
                <w:color w:val="auto"/>
              </w:rPr>
            </w:pPr>
          </w:p>
        </w:tc>
      </w:tr>
      <w:tr>
        <w:trPr>
          <w:trHeight w:val="58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5560" w:type="dxa"/>
            <w:vAlign w:val="bottom"/>
            <w:gridSpan w:val="3"/>
          </w:tcPr>
          <w:p>
            <w:pPr>
              <w:jc w:val="right"/>
              <w:ind w:right="90"/>
              <w:spacing w:after="0"/>
              <w:rPr>
                <w:sz w:val="20"/>
                <w:szCs w:val="20"/>
                <w:color w:val="auto"/>
              </w:rPr>
            </w:pPr>
            <w:r>
              <w:rPr>
                <w:rFonts w:ascii="Arial" w:cs="Arial" w:eastAsia="Arial" w:hAnsi="Arial"/>
                <w:sz w:val="18"/>
                <w:szCs w:val="18"/>
                <w:color w:val="auto"/>
                <w:w w:val="98"/>
              </w:rPr>
              <w:t>Accrued expenses at December 31, 2022 and 2021 were as follows: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r>
      <w:tr>
        <w:trPr>
          <w:trHeight w:val="230"/>
        </w:trPr>
        <w:tc>
          <w:tcPr>
            <w:tcW w:w="17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Insurance</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17,808</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12,821</w:t>
            </w:r>
          </w:p>
        </w:tc>
        <w:tc>
          <w:tcPr>
            <w:tcW w:w="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5,107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6,427</w:t>
            </w:r>
          </w:p>
        </w:tc>
        <w:tc>
          <w:tcPr>
            <w:tcW w:w="80" w:type="dxa"/>
            <w:vAlign w:val="bottom"/>
            <w:shd w:val="clear" w:color="auto" w:fill="CFF0FC"/>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2,062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13,533</w:t>
            </w:r>
          </w:p>
        </w:tc>
        <w:tc>
          <w:tcPr>
            <w:tcW w:w="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5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FF0FC"/>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Income and other taxes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Contract reserves</w:t>
            </w:r>
          </w:p>
        </w:tc>
        <w:tc>
          <w:tcPr>
            <w:tcW w:w="5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FF0FC"/>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Fuel hedge contracts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700" w:type="dxa"/>
            <w:vAlign w:val="bottom"/>
          </w:tcPr>
          <w:p>
            <w:pPr>
              <w:spacing w:after="0"/>
              <w:rPr>
                <w:sz w:val="24"/>
                <w:szCs w:val="24"/>
                <w:color w:val="auto"/>
              </w:rPr>
            </w:pPr>
          </w:p>
        </w:tc>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580" w:type="dxa"/>
            <w:vAlign w:val="bottom"/>
            <w:tcBorders>
              <w:top w:val="single" w:sz="8" w:color="CFF0FC"/>
              <w:bottom w:val="single" w:sz="8" w:color="CFF0FC"/>
            </w:tcBorders>
            <w:shd w:val="clear" w:color="auto" w:fill="CFF0FC"/>
          </w:tcPr>
          <w:p>
            <w:pPr>
              <w:spacing w:after="0"/>
              <w:rPr>
                <w:sz w:val="24"/>
                <w:szCs w:val="24"/>
                <w:color w:val="auto"/>
              </w:rPr>
            </w:pPr>
          </w:p>
        </w:tc>
        <w:tc>
          <w:tcPr>
            <w:tcW w:w="74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50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29,469</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37,626</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-25400</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449" w:right="5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6.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at December 31, 2022 and 2021 were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2029 Notes</w:t>
            </w: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321,521</w:t>
            </w: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320,971</w:t>
            </w:r>
          </w:p>
        </w:tc>
        <w:tc>
          <w:tcPr>
            <w:tcW w:w="80" w:type="dxa"/>
            <w:vAlign w:val="bottom"/>
            <w:shd w:val="clear" w:color="auto" w:fill="CFF0FC"/>
          </w:tcPr>
          <w:p>
            <w:pPr>
              <w:spacing w:after="0"/>
              <w:rPr>
                <w:sz w:val="21"/>
                <w:szCs w:val="21"/>
                <w:color w:val="auto"/>
              </w:rPr>
            </w:pPr>
          </w:p>
        </w:tc>
      </w:tr>
      <w:tr>
        <w:trPr>
          <w:trHeight w:val="236"/>
        </w:trPr>
        <w:tc>
          <w:tcPr>
            <w:tcW w:w="54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321,521</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320,971</w:t>
            </w:r>
          </w:p>
        </w:tc>
        <w:tc>
          <w:tcPr>
            <w:tcW w:w="8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On July 29, 2022, the Company, Great Lakes Dredge &amp; Dock Company, LLC, NASDI Holdings, LLC, Great Lakes Environmental &amp; Infrastructure Solutions, LLC, Great Lakes U.S. Fleet Management, LLC, and Drews Services LLC (collectively the “Credit Parties”) entered into a second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Bank of America, N.A. and Trust Securities, Inc., as Joint Lead Arrangers and Joint Bookrunners, CIBC Bank USA and Trust Bank as Co-Syndication Agents, Bank of America, N.A., as Documentation Agent and PNC Bank National Association, as Green Loan Coordinator. The Amended Credit Agreement amends and restates the prior Amended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168"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The Amended Credit Agreement provides for a senior secured revolving credit facility in an aggregate principal amount of up to $300,000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$35,000 sublimit.</w:t>
      </w:r>
    </w:p>
    <w:p>
      <w:pPr>
        <w:spacing w:after="0" w:line="19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Amended Credit Agreement is less than 12.5% of the maximum loan amount for five consecutive days.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for other general corporate purposes, and with respect to any green loan, fund capital investments related to renewable energy and clean transportation projects. The Amended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Amended Credit Agreement.</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18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Interest on the senior secured revolving credit facility of the Amended Credit Agreement is equal to either a Domestic Rate option or Secured Overnight Financing Rate (“SOFR”) option, at the Company’s election. As of July 29, 2022, (a) the Domestic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ind w:right="60"/>
        <w:spacing w:after="0" w:line="291" w:lineRule="auto"/>
        <w:rPr>
          <w:sz w:val="20"/>
          <w:szCs w:val="20"/>
          <w:color w:val="auto"/>
        </w:rPr>
      </w:pPr>
      <w:r>
        <w:rPr>
          <w:rFonts w:ascii="Arial" w:cs="Arial" w:eastAsia="Arial" w:hAnsi="Arial"/>
          <w:sz w:val="16"/>
          <w:szCs w:val="16"/>
          <w:color w:val="auto"/>
        </w:rPr>
        <w:t>option is the highest of (1) the base commercial lending rate of PNC Bank, National Association, as publicly announced, (2) the sum of the overnight bank funding rate plus 0.5% and (3) the sum of the daily simple SOFR plus 1.0%, so long as a daily simple SOFR is offered, ascertainable and not unlawful and</w:t>
      </w:r>
    </w:p>
    <w:p>
      <w:pPr>
        <w:ind w:right="100" w:firstLine="8"/>
        <w:spacing w:after="0" w:line="288"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SOFR option is the rate that applies for the applicable interest period determined by the Agent and based on the rate published by the CME Group Benchmark Administration Limited (or a successor administrator). After the date on which a borrowing base certificate is required to be delivered under Section 9.2 of the Amended Credit Agreement (commencing with the fiscal quarter ending September 30, 2022), the Domestic Rate option will be the Domestic Rate plus an interest margin ranging between 0.25% and 0.75% and the SOFR option will be the SOFR plus an interest margin ranging between 1.25% and 1.75%, in each case, depending on the quarterly average undrawn availability on the Amended Credit Agreement. Additionally, the Company will have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68"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The Company had no borrowings on the revolver, $16,391 and $25,127 of letters of credit outstanding and $245,713 and $174,546 of availability under the Amended Credit Agreement as of December 31, 2022 and 2021, respectively. The availability under the Amended Credit Agreement is suppressed by $37,897 and $327 as of December 31, 2022 and 2021, respectively, as a result of certain limitations of borrowing related to reserves and compliance with the Company's obligations set forth in the Amended Credit Agreement or the prior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w:t>
      </w:r>
    </w:p>
    <w:p>
      <w:pPr>
        <w:spacing w:after="0" w:line="184"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The Company’s obligations under these 2029 Notes are guaranteed by each of the Company’s existing and future 100% owned domestic subsidiaries that are co-borrowers or guarantors under the Amended Credit Agreement. Such guarantees are full, unconditional and joint and several. The parent company issuer has no independent assets or operations and all non-guarantor subsidiaries have been determined to be minor.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payments through the maturity date of the Company’s long-term debt at December 31, 2022, are as follows: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0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tcPr>
          <w:p>
            <w:pPr>
              <w:spacing w:after="0"/>
              <w:rPr>
                <w:sz w:val="21"/>
                <w:szCs w:val="21"/>
                <w:color w:val="auto"/>
              </w:rPr>
            </w:pPr>
          </w:p>
        </w:tc>
      </w:tr>
      <w:tr>
        <w:trPr>
          <w:trHeight w:val="27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2"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Company incurred amortization of deferred financing fees for its long-term debt of $1,142, $1,382 and $1,611 for each of the years ended December 31, 2022, 2021 and 2020. Such amortization is recorded as a component of net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29"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320" w:type="dxa"/>
            <w:vAlign w:val="bottom"/>
          </w:tcPr>
          <w:p>
            <w:pPr>
              <w:spacing w:after="0"/>
              <w:rPr>
                <w:sz w:val="13"/>
                <w:szCs w:val="13"/>
                <w:color w:val="auto"/>
              </w:rPr>
            </w:pPr>
          </w:p>
        </w:tc>
        <w:tc>
          <w:tcPr>
            <w:tcW w:w="184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320" w:type="dxa"/>
            <w:vAlign w:val="bottom"/>
          </w:tcPr>
          <w:p>
            <w:pPr>
              <w:spacing w:after="0"/>
              <w:rPr>
                <w:sz w:val="15"/>
                <w:szCs w:val="15"/>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Hierarchy</w:t>
            </w:r>
          </w:p>
        </w:tc>
        <w:tc>
          <w:tcPr>
            <w:tcW w:w="260" w:type="dxa"/>
            <w:vAlign w:val="bottom"/>
          </w:tcPr>
          <w:p>
            <w:pPr>
              <w:spacing w:after="0"/>
              <w:rPr>
                <w:sz w:val="15"/>
                <w:szCs w:val="15"/>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5"/>
                <w:szCs w:val="15"/>
                <w:color w:val="auto"/>
              </w:rPr>
            </w:pPr>
          </w:p>
        </w:tc>
        <w:tc>
          <w:tcPr>
            <w:tcW w:w="19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r>
      <w:tr>
        <w:trPr>
          <w:trHeight w:val="185"/>
        </w:trPr>
        <w:tc>
          <w:tcPr>
            <w:tcW w:w="4320" w:type="dxa"/>
            <w:vAlign w:val="bottom"/>
          </w:tcPr>
          <w:p>
            <w:pPr>
              <w:spacing w:after="0"/>
              <w:rPr>
                <w:sz w:val="16"/>
                <w:szCs w:val="16"/>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Levels</w:t>
            </w:r>
          </w:p>
        </w:tc>
        <w:tc>
          <w:tcPr>
            <w:tcW w:w="26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6"/>
                <w:szCs w:val="16"/>
                <w:color w:val="auto"/>
              </w:rPr>
            </w:pP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r>
      <w:tr>
        <w:trPr>
          <w:trHeight w:val="223"/>
        </w:trPr>
        <w:tc>
          <w:tcPr>
            <w:tcW w:w="432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Derivatives designated as cash flow hedging</w:t>
            </w:r>
          </w:p>
        </w:tc>
        <w:tc>
          <w:tcPr>
            <w:tcW w:w="1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instruments:</w:t>
            </w:r>
          </w:p>
        </w:tc>
        <w:tc>
          <w:tcPr>
            <w:tcW w:w="1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0"/>
              <w:spacing w:after="0"/>
              <w:rPr>
                <w:sz w:val="20"/>
                <w:szCs w:val="20"/>
                <w:color w:val="auto"/>
              </w:rPr>
            </w:pPr>
            <w:r>
              <w:rPr>
                <w:rFonts w:ascii="Arial" w:cs="Arial" w:eastAsia="Arial" w:hAnsi="Arial"/>
                <w:sz w:val="18"/>
                <w:szCs w:val="18"/>
                <w:color w:val="auto"/>
              </w:rPr>
              <w:t>Fuel hedge contracts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7"/>
        </w:trPr>
        <w:tc>
          <w:tcPr>
            <w:tcW w:w="4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 currency exchange hedge contracts</w:t>
            </w:r>
          </w:p>
        </w:tc>
        <w:tc>
          <w:tcPr>
            <w:tcW w:w="17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831</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644</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-187960</wp:posOffset>
            </wp:positionV>
            <wp:extent cx="7683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-187960</wp:posOffset>
            </wp:positionV>
            <wp:extent cx="685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backlog.</w:t>
      </w:r>
    </w:p>
    <w:p>
      <w:pPr>
        <w:spacing w:after="0" w:line="18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December 31, 2022, the Company was party to various swap arrangements to hedge the price of a portion of its diesel fuel purchase requirements for work in its backlog to be performed through December 2022. As of December 31, 2022, there were 7.3 million gallons remaining on these contracts representing forecasted domestic fuel purchases through December 2022. Under these swap agreements, the Company will pay fixed prices ranging from $2.29 to $3.95 per gallon.</w:t>
      </w:r>
    </w:p>
    <w:p>
      <w:pPr>
        <w:spacing w:after="0" w:line="18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At December 31, 2022, the fair value liability of the fuel hedge contracts were estimated to be $638 and is recorded in accrued liabilities. At December 31, 2021, the fair value asset of the fuel hedge contracts were estimated to be $630 and is recorded in other current assets. For fuel hedge contracts considered to be highly effective, the gains reclassified to earnings from changes in fair value of derivatives, net of cash settlements and taxes, for the year ended December 31, 2022 were $10,629. The remaining gains and losses included in the accumulated other comprehensive income (loss) at December 31, 2022 will be reclassified into earnings over the next twelve months, corresponding to the period during which the hedged fuel is expected to be utilized. Changes in the fair value of fuel hedge contracts not considered highly effective are recorded as costs of contract revenues in the Statement of Operations. The fair value of fuel hedges are corroborated using inputs that are readily observable in public markets; therefore, the Company determines fair values of these fuel hedges using Level 2 inputs.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hedge contracts</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Dollar could have an adverse impact on cash flows associated with its equipment builds.</w:t>
      </w:r>
    </w:p>
    <w:p>
      <w:pPr>
        <w:spacing w:after="0" w:line="184"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As of December 31, 2022, the Company was party to various foreign exchange forward contract arrangements to hedge the purchase of materials through November 2024. As of December 31, 2022, there were 28.9 million Euro of payments remaining on these hedge contracts. Under these hedge contracts, the Company will pay fixed prices ranging from $0.99 to $1.13 per Euro.</w:t>
      </w:r>
    </w:p>
    <w:p>
      <w:pPr>
        <w:spacing w:after="0" w:line="18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At December 31, 2022, the fair value asset of foreign currency exchange hedge contracts were estimated to be $831 and is recorded in other current assets. At December 31, 2022, the fair value liability of foreign currency exchange hedge contracts were estimated to be $6 and is recorded in accrued liabilities. There were no foreign currency exchange hedge contracts as of December 31, 2021. For foreign currency exchange hedge contracts considered to be highly effective, the losses reclassified to earnings from changes in fair value of derivatives, net of cash settlements and taxes, for the year ended December 31, 2022 were $155.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line="257" w:lineRule="auto"/>
        <w:rPr>
          <w:sz w:val="20"/>
          <w:szCs w:val="20"/>
          <w:color w:val="auto"/>
        </w:rPr>
      </w:pPr>
      <w:r>
        <w:rPr>
          <w:rFonts w:ascii="Arial" w:cs="Arial" w:eastAsia="Arial" w:hAnsi="Arial"/>
          <w:sz w:val="18"/>
          <w:szCs w:val="18"/>
          <w:color w:val="auto"/>
        </w:rPr>
        <w:t>remaining gains and losses included in accumulated other comprehensive income (loss) at December 31, 2022 will be reclassified into earnings over the next twenty-three months, corresponding to the period during which the hedged currency is expected to be utilized. Changes in the fair value of foreign currency exchange hedge 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All other nonfinancial assets and liabilities measured at fair value in the financial statements on a nonrecurring basis are subject to fair value measurements and disclosures. Nonfinancial assets and liabilities included in the consolidated balance sheets and measured on a nonrecurring basis consist of goodwill and long-lived assets. Goodwill and long-lived assets are measured at fair value to test for and measure impairment, if any, at least annually for goodwill or when necessary for both goodwill and long-lived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w:t>
            </w:r>
          </w:p>
        </w:tc>
        <w:tc>
          <w:tcPr>
            <w:tcW w:w="3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Fuel Hedge Contracts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Reclassification of derivative (gains) losses to earnings—net of tax</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(10,629 )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(6,481 )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w:t>
            </w:r>
          </w:p>
        </w:tc>
        <w:tc>
          <w:tcPr>
            <w:tcW w:w="12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Change in fair value of derivatives—net of tax</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5,653</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(5,152 )</w:t>
            </w:r>
          </w:p>
        </w:tc>
      </w:tr>
      <w:tr>
        <w:trPr>
          <w:trHeight w:val="28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change in cash flow derivative fuel hedges—net of tax</w:t>
            </w: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4"/>
        </w:trPr>
        <w:tc>
          <w:tcPr>
            <w:tcW w:w="6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Foreign Currency Exchange</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8"/>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Hedge Contracts</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Reclassification of derivative (gains) losses to earnings—net of tax</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derivatives—net of tax</w:t>
            </w:r>
          </w:p>
        </w:tc>
        <w:tc>
          <w:tcPr>
            <w:tcW w:w="3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Net change in cash flow derivative foreign currency hedges—net of tax</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change in cash flow derivative hedges—net of tax</w:t>
            </w: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-1130935</wp:posOffset>
            </wp:positionV>
            <wp:extent cx="1988820"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888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-350520</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-350520</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-350520</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340" w:type="dxa"/>
            <w:vAlign w:val="bottom"/>
          </w:tcPr>
          <w:p>
            <w:pPr>
              <w:spacing w:after="0"/>
              <w:rPr>
                <w:sz w:val="16"/>
                <w:szCs w:val="16"/>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operations location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6"/>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23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(14,219 )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(8,670 )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7,703</w:t>
            </w:r>
          </w:p>
        </w:tc>
        <w:tc>
          <w:tcPr>
            <w:tcW w:w="80" w:type="dxa"/>
            <w:vAlign w:val="bottom"/>
          </w:tcPr>
          <w:p>
            <w:pPr>
              <w:spacing w:after="0"/>
              <w:rPr>
                <w:sz w:val="20"/>
                <w:szCs w:val="20"/>
                <w:color w:val="auto"/>
              </w:rPr>
            </w:pPr>
          </w:p>
        </w:tc>
      </w:tr>
      <w:tr>
        <w:trPr>
          <w:trHeight w:val="249"/>
        </w:trPr>
        <w:tc>
          <w:tcPr>
            <w:tcW w:w="2340" w:type="dxa"/>
            <w:vAlign w:val="bottom"/>
            <w:shd w:val="clear" w:color="auto" w:fill="CFF0FC"/>
          </w:tcPr>
          <w:p>
            <w:pPr>
              <w:spacing w:after="0"/>
              <w:rPr>
                <w:sz w:val="21"/>
                <w:szCs w:val="21"/>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(3,590 )</w:t>
            </w: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(2,189 )</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FF0FC"/>
          </w:tcPr>
          <w:p>
            <w:pPr>
              <w:spacing w:after="0"/>
              <w:rPr>
                <w:sz w:val="21"/>
                <w:szCs w:val="2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0"/>
        </w:trPr>
        <w:tc>
          <w:tcPr>
            <w:tcW w:w="2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(10,629 </w:t>
            </w:r>
            <w:r>
              <w:rPr>
                <w:rFonts w:ascii="Arial" w:cs="Arial" w:eastAsia="Arial" w:hAnsi="Arial"/>
                <w:sz w:val="18"/>
                <w:szCs w:val="18"/>
                <w:color w:val="auto"/>
                <w:highlight w:val="white"/>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(6,481 </w:t>
            </w:r>
            <w:r>
              <w:rPr>
                <w:rFonts w:ascii="Arial" w:cs="Arial" w:eastAsia="Arial" w:hAnsi="Arial"/>
                <w:sz w:val="18"/>
                <w:szCs w:val="18"/>
                <w:color w:val="auto"/>
                <w:highlight w:val="white"/>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5,825</w:t>
            </w:r>
          </w:p>
        </w:tc>
        <w:tc>
          <w:tcPr>
            <w:tcW w:w="8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25"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 xml:space="preserve">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senior revolving credit agreement approximates fair value. In May 2021, the Company sold </w:t>
      </w:r>
      <w:r>
        <w:rPr>
          <w:rFonts w:ascii="Arial" w:cs="Arial" w:eastAsia="Arial" w:hAnsi="Arial"/>
          <w:sz w:val="18"/>
          <w:szCs w:val="18"/>
          <w:color w:val="2E2E2E"/>
        </w:rPr>
        <w:t>$325,000 of the 2029 Notes pursuant to a private offering, which were outstanding at</w:t>
      </w:r>
      <w:r>
        <w:rPr>
          <w:rFonts w:ascii="Arial" w:cs="Arial" w:eastAsia="Arial" w:hAnsi="Arial"/>
          <w:sz w:val="18"/>
          <w:szCs w:val="18"/>
          <w:color w:val="auto"/>
        </w:rPr>
        <w:t xml:space="preserve"> </w:t>
      </w:r>
      <w:r>
        <w:rPr>
          <w:rFonts w:ascii="Arial" w:cs="Arial" w:eastAsia="Arial" w:hAnsi="Arial"/>
          <w:sz w:val="18"/>
          <w:szCs w:val="18"/>
          <w:color w:val="2E2E2E"/>
        </w:rPr>
        <w:t xml:space="preserve">December 31, 2022 (See Note 6, Long-Term Debt). The 2029 Notes were priced to investors at par and will mature on June 1, 2029. </w:t>
      </w:r>
      <w:r>
        <w:rPr>
          <w:rFonts w:ascii="Arial" w:cs="Arial" w:eastAsia="Arial" w:hAnsi="Arial"/>
          <w:sz w:val="18"/>
          <w:szCs w:val="18"/>
          <w:color w:val="000000"/>
        </w:rPr>
        <w:t>The 2029 Notes are</w:t>
      </w:r>
      <w:r>
        <w:rPr>
          <w:rFonts w:ascii="Arial" w:cs="Arial" w:eastAsia="Arial" w:hAnsi="Arial"/>
          <w:sz w:val="18"/>
          <w:szCs w:val="18"/>
          <w:color w:val="2E2E2E"/>
        </w:rPr>
        <w:t xml:space="preserve"> </w:t>
      </w:r>
      <w:r>
        <w:rPr>
          <w:rFonts w:ascii="Arial" w:cs="Arial" w:eastAsia="Arial" w:hAnsi="Arial"/>
          <w:sz w:val="18"/>
          <w:szCs w:val="18"/>
          <w:color w:val="000000"/>
        </w:rPr>
        <w:t>senior unsecured obligations of the Company and its subsidiaries that guarantee the 2029 Notes. The fair value of the 2029 Notes was $252,655 at December 31, 2022,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income tax provision (benefit) for the years ended December 31, 2022, 2021 and 2020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77"/>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2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Company’s income (loss) before income tax from domestic and foreign operations for the years ended December 31, 2022, 2021 and 2020 is as follows:</w:t>
      </w:r>
    </w:p>
    <w:p>
      <w:pPr>
        <w:spacing w:after="0" w:line="175"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0"/>
        </w:trPr>
        <w:tc>
          <w:tcPr>
            <w:tcW w:w="6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(43,179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65,708</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94,826</w:t>
            </w: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Foreign operations</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(236 )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(2,885 )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(8,536 )</w:t>
            </w:r>
          </w:p>
        </w:tc>
      </w:tr>
      <w:tr>
        <w:trPr>
          <w:trHeight w:val="20"/>
        </w:trPr>
        <w:tc>
          <w:tcPr>
            <w:tcW w:w="620" w:type="dxa"/>
            <w:vAlign w:val="bottom"/>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income (loss) before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(43,415 </w:t>
            </w:r>
            <w:r>
              <w:rPr>
                <w:rFonts w:ascii="Arial" w:cs="Arial" w:eastAsia="Arial" w:hAnsi="Arial"/>
                <w:sz w:val="18"/>
                <w:szCs w:val="18"/>
                <w:color w:val="auto"/>
                <w:highlight w:val="white"/>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62,823</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86,290</w:t>
            </w:r>
          </w:p>
        </w:tc>
        <w:tc>
          <w:tcPr>
            <w:tcW w:w="80" w:type="dxa"/>
            <w:vAlign w:val="bottom"/>
          </w:tcPr>
          <w:p>
            <w:pPr>
              <w:spacing w:after="0"/>
              <w:rPr>
                <w:sz w:val="20"/>
                <w:szCs w:val="20"/>
                <w:color w:val="auto"/>
              </w:rPr>
            </w:pPr>
          </w:p>
        </w:tc>
      </w:tr>
      <w:tr>
        <w:trPr>
          <w:trHeight w:val="20"/>
        </w:trPr>
        <w:tc>
          <w:tcPr>
            <w:tcW w:w="586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7180" w:type="dxa"/>
            <w:vAlign w:val="bottom"/>
            <w:gridSpan w:val="5"/>
          </w:tcPr>
          <w:p>
            <w:pPr>
              <w:jc w:val="right"/>
              <w:ind w:right="181"/>
              <w:spacing w:after="0"/>
              <w:rPr>
                <w:sz w:val="20"/>
                <w:szCs w:val="20"/>
                <w:color w:val="auto"/>
              </w:rPr>
            </w:pPr>
            <w:r>
              <w:rPr>
                <w:rFonts w:ascii="Arial" w:cs="Arial" w:eastAsia="Arial" w:hAnsi="Arial"/>
                <w:sz w:val="18"/>
                <w:szCs w:val="18"/>
                <w:color w:val="auto"/>
                <w:w w:val="90"/>
              </w:rPr>
              <w:t>The provision (benefit) for income taxes as of December 31, 2022, 2021 and 2020 is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r>
      <w:tr>
        <w:trPr>
          <w:trHeight w:val="230"/>
        </w:trPr>
        <w:tc>
          <w:tcPr>
            <w:tcW w:w="6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20" w:type="dxa"/>
            <w:vAlign w:val="bottom"/>
          </w:tcPr>
          <w:p>
            <w:pPr>
              <w:spacing w:after="0"/>
              <w:rPr>
                <w:sz w:val="21"/>
                <w:szCs w:val="21"/>
                <w:color w:val="auto"/>
              </w:rPr>
            </w:pPr>
          </w:p>
        </w:tc>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2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(9,754 )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17,464</w:t>
            </w: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62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(90 )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80" w:type="dxa"/>
            <w:vAlign w:val="bottom"/>
            <w:shd w:val="clear" w:color="auto" w:fill="CFF0FC"/>
          </w:tcPr>
          <w:p>
            <w:pPr>
              <w:spacing w:after="0"/>
              <w:rPr>
                <w:sz w:val="21"/>
                <w:szCs w:val="21"/>
                <w:color w:val="auto"/>
              </w:rPr>
            </w:pPr>
          </w:p>
        </w:tc>
      </w:tr>
      <w:tr>
        <w:trPr>
          <w:trHeight w:val="237"/>
        </w:trPr>
        <w:tc>
          <w:tcPr>
            <w:tcW w:w="6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20" w:type="dxa"/>
            <w:vAlign w:val="bottom"/>
          </w:tcPr>
          <w:p>
            <w:pPr>
              <w:spacing w:after="0"/>
              <w:rPr>
                <w:sz w:val="21"/>
                <w:szCs w:val="21"/>
                <w:color w:val="auto"/>
              </w:rPr>
            </w:pPr>
          </w:p>
        </w:tc>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(428 )</w:t>
            </w:r>
          </w:p>
        </w:tc>
      </w:tr>
      <w:tr>
        <w:trPr>
          <w:trHeight w:val="243"/>
        </w:trPr>
        <w:tc>
          <w:tcPr>
            <w:tcW w:w="62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21"/>
                <w:szCs w:val="21"/>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620" w:type="dxa"/>
            <w:vAlign w:val="bottom"/>
          </w:tcPr>
          <w:p>
            <w:pPr>
              <w:spacing w:after="0"/>
              <w:rPr>
                <w:sz w:val="24"/>
                <w:szCs w:val="24"/>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-2313940</wp:posOffset>
            </wp:positionV>
            <wp:extent cx="5143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-2313940</wp:posOffset>
            </wp:positionV>
            <wp:extent cx="5143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Company’s income tax provision (benefit) reconciles to the provision (benefit) at the statutory U.S. federal income tax rate of 21% for the years ended December 31, 2022, 2021 and 2020 , as follows: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Tax provision (benefit) at statutory U.S. federal income tax 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(9,117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13,193</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18,121</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 — net of federal income tax benefit</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(3,952 )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w:t>
            </w:r>
          </w:p>
        </w:tc>
        <w:tc>
          <w:tcPr>
            <w:tcW w:w="80" w:type="dxa"/>
            <w:vAlign w:val="bottom"/>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Adjustment to deferred tax depreciation</w:t>
            </w:r>
          </w:p>
        </w:tc>
        <w:tc>
          <w:tcPr>
            <w:tcW w:w="24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(1,414 )</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(414 )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(1,318 )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(1,212 )</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20"/>
                <w:szCs w:val="20"/>
                <w:color w:val="auto"/>
              </w:rPr>
            </w:pP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(518 )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(642 )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(674 )</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(384 )</w:t>
            </w:r>
          </w:p>
        </w:tc>
      </w:tr>
      <w:tr>
        <w:trPr>
          <w:trHeight w:val="20"/>
        </w:trPr>
        <w:tc>
          <w:tcPr>
            <w:tcW w:w="5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52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(9,360 </w:t>
            </w:r>
            <w:r>
              <w:rPr>
                <w:rFonts w:ascii="Arial" w:cs="Arial" w:eastAsia="Arial" w:hAnsi="Arial"/>
                <w:sz w:val="18"/>
                <w:szCs w:val="18"/>
                <w:color w:val="auto"/>
                <w:highlight w:val="white"/>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13,391</w:t>
            </w:r>
          </w:p>
        </w:tc>
        <w:tc>
          <w:tcPr>
            <w:tcW w:w="2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20,187</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At December 31, 2022 and 2021, the Company had loss carryforwards for federal income tax purposes of $54,376 and $55,554 respectively. Of the loss carryforwards at December 31, 2022 $43,334 expires in 2037 and the remaining $11,042 may be carried forward indefinitely. The Company also has indefinite life carryforwards as a result of interest limitations. Starting in 2022, the Company has research costs attributable to research and development that are currently expensed but are required to be capitalized for U.S. tax purposes and amortized primarily over 5 or 15 years.</w:t>
      </w:r>
    </w:p>
    <w:p>
      <w:pPr>
        <w:spacing w:after="0" w:line="157"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At December 31, 2022 and 2021, the Company had gross net operating loss carryforwards for state income tax purposes totaling $188,884 and $157,245, respectively, which expire between 2027 and 2042. The Company has established a valuation allowance that was $5,988 and $1,623 as of December 31, 2022 and 2021, respectively. The Company believes that the remaining net operating losses, net of the valuation allowance, will be fully utilized in future periods.</w:t>
      </w:r>
    </w:p>
    <w:p>
      <w:pPr>
        <w:spacing w:after="0" w:line="18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 Company also has foreign gross net operating loss carryforwards of approximately $69 and $2,469 as of December 31, 2022 and 2021, respectively, which expire between 2023 and 2028. At December 31, 2022 and 2021, a full valuation allowance has been established for the deferred tax asset of $24 and $864 related to foreign net operating loss carryforwards, respectively, as the Company believes it is more likely than not that the net operating loss carryforwards will not be realized.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8" w:right="379" w:bottom="1440" w:gutter="0" w:footer="0" w:header="0"/>
        </w:sectPr>
      </w:pPr>
    </w:p>
    <w:bookmarkStart w:id="70" w:name="page71"/>
    <w:bookmarkEnd w:id="70"/>
    <w:p>
      <w:pPr>
        <w:ind w:left="520"/>
        <w:spacing w:after="0"/>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w:t>
      </w:r>
    </w:p>
    <w:p>
      <w:pPr>
        <w:spacing w:after="0" w:line="22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2022, 2021 and 2020 the Company had no interest and penalties recorded.</w:t>
      </w:r>
    </w:p>
    <w:p>
      <w:pPr>
        <w:spacing w:after="0" w:line="170"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2019 are closed and no longer subject to examination. With few exceptions, the statute of limitations in state taxing jurisdictions in which the Company operates has expired for all years prior to 2018. In foreign jurisdictions in which the Company operates, years prior to 2016 are closed and are no longer subject to examination.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deferred tax assets (liabilities) at December 31, 2022 and 2021 are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23,200</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15,835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Federal NOLs and interest limitations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15,042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11,666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NOLs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State NOLs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costs</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(6,012 )</w:t>
            </w:r>
          </w:p>
        </w:tc>
        <w:tc>
          <w:tcPr>
            <w:tcW w:w="2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32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55,512</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43,582</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(91,923 )</w:t>
            </w:r>
          </w:p>
        </w:tc>
        <w:tc>
          <w:tcPr>
            <w:tcW w:w="2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(96,207 )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(22,657 )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(15,713 )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(47 )</w:t>
            </w:r>
          </w:p>
        </w:tc>
        <w:tc>
          <w:tcPr>
            <w:tcW w:w="26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Pr>
          <w:p>
            <w:pPr>
              <w:spacing w:after="0"/>
              <w:rPr>
                <w:sz w:val="20"/>
                <w:szCs w:val="20"/>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(114,627 )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(112,079 )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noncurrent deferred tax liabilities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(59,115</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-1293495</wp:posOffset>
            </wp:positionV>
            <wp:extent cx="5143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-1293495</wp:posOffset>
            </wp:positionV>
            <wp:extent cx="431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-350520</wp:posOffset>
            </wp:positionV>
            <wp:extent cx="5143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2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its cumulative earnings or losses in recent years. The Company further considers the impact on these cumulative earnings or losses of discontinued operations and other divested operations and joint ventures, restructuring charges and other nonrecurring adjustments that are not indicative of its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 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foreign net operating loss carryforwards and certain state net operating loss carryforwards to reduce the balance of these deferred tax assets at December 31, 2022 and 2021 as it was more likely than not that the balance of these tax items would not be realized. By contrast, after evaluating the positive and negative evidence, the Company concluded that it was more likely than not that the deferred federal income tax asset and remaining state net operating loss carryforwards recorded at December 31, 2022 and 2021 would ultimately be realized and determined that no valuation allowance was required.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84"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The Prior Plan permitted the granting of stock options, stock appreciation rights, restricted stock and restricted stock units to its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w:t>
      </w:r>
    </w:p>
    <w:p>
      <w:pPr>
        <w:spacing w:after="0" w:line="149"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Compensation cost charged to expense related to share-based compensation arrangements was $4,288, $5,188 and $6,754, for the years ended December 31, 2022, 2021 and 2020,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117"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 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 No NQSO awards were granted in 2022, 2021 and 2020. The aggregate intrinsic value of stock options represents the difference between market value on the date of exercise and the option price. The aggregate intrinsic value of stock options exercised during 2022, 2021 and 2020 was $212, $1,351 and $779, respectively.</w:t>
      </w:r>
    </w:p>
    <w:p>
      <w:pPr>
        <w:spacing w:after="0" w:line="22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 summary of stock option activity under the Incentive Plan as of December 31, 2022, and changes during the year ended December 31, 2022, is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4"/>
                <w:szCs w:val="14"/>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72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 Term (yrs)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Value ($000's)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as of January 1, 2022</w:t>
            </w: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Forfeited or Expired</w:t>
            </w:r>
          </w:p>
        </w:tc>
        <w:tc>
          <w:tcPr>
            <w:tcW w:w="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Outstanding as of December 31, 2022</w:t>
            </w:r>
          </w:p>
        </w:tc>
        <w:tc>
          <w:tcPr>
            <w:tcW w:w="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gridSpan w:val="2"/>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spacing w:after="0"/>
              <w:rPr>
                <w:sz w:val="20"/>
                <w:szCs w:val="20"/>
                <w:color w:val="auto"/>
              </w:rPr>
            </w:pPr>
          </w:p>
        </w:tc>
        <w:tc>
          <w:tcPr>
            <w:tcW w:w="260" w:type="dxa"/>
            <w:vAlign w:val="bottom"/>
            <w:gridSpan w:val="2"/>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Vested at December 31, 2022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80" w:type="dxa"/>
            <w:vAlign w:val="bottom"/>
            <w:gridSpan w:val="2"/>
          </w:tcPr>
          <w:p>
            <w:pPr>
              <w:jc w:val="right"/>
              <w:ind w:right="57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-976630</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-976630</wp:posOffset>
            </wp:positionV>
            <wp:extent cx="685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-976630</wp:posOffset>
            </wp:positionV>
            <wp:extent cx="6032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RSUs primarily vest in equal portions over the three year vesting period. The fair value of RSUs was based upon the Company’s stock price on the date of grant. A summary of the status of the Company’s non-vested RSUs as of December 31, 2022, and changes during the year ended December 31, 2022, is presented below:</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Weighted-Average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Non-vested Restricted Stock Units</w:t>
            </w:r>
          </w:p>
        </w:tc>
        <w:tc>
          <w:tcPr>
            <w:tcW w:w="100" w:type="dxa"/>
            <w:vAlign w:val="bottom"/>
          </w:tcPr>
          <w:p>
            <w:pPr>
              <w:spacing w:after="0"/>
              <w:rPr>
                <w:sz w:val="12"/>
                <w:szCs w:val="12"/>
                <w:color w:val="auto"/>
              </w:rPr>
            </w:pPr>
          </w:p>
        </w:tc>
        <w:tc>
          <w:tcPr>
            <w:tcW w:w="14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Outstanding as of January 1, 2022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(393 )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December 31, 2022</w:t>
            </w:r>
          </w:p>
        </w:tc>
        <w:tc>
          <w:tcPr>
            <w:tcW w:w="10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Expected to vest at December 31, 2022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-471170</wp:posOffset>
            </wp:positionV>
            <wp:extent cx="5143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-471170</wp:posOffset>
            </wp:positionV>
            <wp:extent cx="431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2022, there was $7,844 of total unrecognized compensation cost related to non-vested RSUs granted under the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cost for non-vested RSUs is expected to be recognized over a weighted-average period of 1.9 years.</w:t>
      </w:r>
    </w:p>
    <w:p>
      <w:pPr>
        <w:spacing w:after="0" w:line="25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$2,185 and $4,250 for the years ended December 31, 2022 and 2021, respectively.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uses a combination of cash and share-based compensation to attract and retain qualified candidates to serve on its Board of Directors. Compensation is paid to non-employee directors. Directors who are employees receive no additional compensation for services as members of the Board or any of its committees. Share-based compensation is paid pursuant to the Incentive Plan. Each non-employee director of the Company receives an annual retainer of $155, payable quarterly in arrears, and is generally paid 50% in cash and 50% in common stock or deferred restricted stock units of the Company. Directors may elect to receive some or all of the cash retainer in common stock or deferred restricted stock units. In 2022, the Chairman of the Board received an additional $100 of annual compensation, paid 100% in common stock.</w:t>
      </w:r>
    </w:p>
    <w:p>
      <w:pPr>
        <w:spacing w:after="0" w:line="17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In the years ended December 31, 2022, 2021 and 2020, 106 thousand, 50 thousand and 79 thousand shares, respectively, of the Company’s common stock or restricted stock units were issued to non-employee directors under the Incentive Plan.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Company’s revenue is derived from contracts for services with federal, state, local and foreign governmental entities and private customers. Revenues are generally derived from the enhancement or preservation of navigability of waterways or the protection of shorelines through the removal or replenishment of soil, sand or rock.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w:t>
      </w:r>
    </w:p>
    <w:p>
      <w:pPr>
        <w:spacing w:after="0" w:line="18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the customer controls, this method provides a faithful depiction of the transfer of an asset to the customer. Generally, the Company has an enforceable right to payment for performance completed to date.</w:t>
      </w:r>
    </w:p>
    <w:p>
      <w:pPr>
        <w:spacing w:after="0" w:line="187" w:lineRule="exact"/>
        <w:rPr>
          <w:sz w:val="20"/>
          <w:szCs w:val="20"/>
          <w:color w:val="auto"/>
        </w:rPr>
      </w:pPr>
    </w:p>
    <w:p>
      <w:pPr>
        <w:ind w:right="740" w:firstLine="509"/>
        <w:spacing w:after="0" w:line="308" w:lineRule="auto"/>
        <w:rPr>
          <w:sz w:val="20"/>
          <w:szCs w:val="20"/>
          <w:color w:val="auto"/>
        </w:rPr>
      </w:pPr>
      <w:r>
        <w:rPr>
          <w:rFonts w:ascii="Arial" w:cs="Arial" w:eastAsia="Arial" w:hAnsi="Arial"/>
          <w:sz w:val="17"/>
          <w:szCs w:val="17"/>
          <w:color w:val="auto"/>
        </w:rPr>
        <w:t>The majority of the Company’s contracts are completed in a year or less. At December 31, 2022, the Company had $377,140 of remaining performance obligations, which the Company refers to as total dredging backlog. Total dredging backlog does not include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73" w:name="page74"/>
    <w:bookmarkEnd w:id="73"/>
    <w:p>
      <w:pPr>
        <w:jc w:val="both"/>
        <w:ind w:right="220"/>
        <w:spacing w:after="0" w:line="263" w:lineRule="auto"/>
        <w:rPr>
          <w:sz w:val="20"/>
          <w:szCs w:val="20"/>
          <w:color w:val="auto"/>
        </w:rPr>
      </w:pPr>
      <w:r>
        <w:rPr>
          <w:rFonts w:ascii="Arial" w:cs="Arial" w:eastAsia="Arial" w:hAnsi="Arial"/>
          <w:sz w:val="18"/>
          <w:szCs w:val="18"/>
          <w:color w:val="auto"/>
        </w:rPr>
        <w:t>approximately $50,000 of performance obligations related to offshore wind contracts. The Company expects to perform on its offshore wind contracts using the inclined fall-pipe vessel for subsea rock installation which is expected to be delivered and operational in the first half of 2025. Approximately 100% of the Company’s dredging backlog will be completed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w:t>
      </w:r>
    </w:p>
    <w:p>
      <w:pPr>
        <w:spacing w:after="0" w:line="225" w:lineRule="exact"/>
        <w:rPr>
          <w:sz w:val="20"/>
          <w:szCs w:val="20"/>
          <w:color w:val="auto"/>
        </w:rPr>
      </w:pPr>
    </w:p>
    <w:p>
      <w:pPr>
        <w:ind w:right="340" w:firstLine="509"/>
        <w:spacing w:after="0" w:line="342" w:lineRule="auto"/>
        <w:rPr>
          <w:sz w:val="20"/>
          <w:szCs w:val="20"/>
          <w:color w:val="auto"/>
        </w:rPr>
      </w:pPr>
      <w:r>
        <w:rPr>
          <w:rFonts w:ascii="Arial" w:cs="Arial" w:eastAsia="Arial" w:hAnsi="Arial"/>
          <w:sz w:val="16"/>
          <w:szCs w:val="16"/>
          <w:color w:val="auto"/>
        </w:rPr>
        <w:t>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w:t>
      </w:r>
    </w:p>
    <w:p>
      <w:pPr>
        <w:spacing w:after="0" w:line="12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nature of the Company’s contracts gives rise to several types of variable consideration, including pay on quantity dredged for dredging projects and dredging project contract modifications.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by type of work, the Company’s contract revenues for the years ended December 31, 2022, 2021 and 2020:</w:t>
      </w:r>
    </w:p>
    <w:p>
      <w:pPr>
        <w:spacing w:after="0" w:line="200" w:lineRule="exact"/>
        <w:rPr>
          <w:sz w:val="20"/>
          <w:szCs w:val="20"/>
          <w:color w:val="auto"/>
        </w:rPr>
      </w:pP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Dredging:</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3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Capital—U.S.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342,461</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397,034</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336,163</w:t>
            </w:r>
          </w:p>
        </w:tc>
        <w:tc>
          <w:tcPr>
            <w:tcW w:w="80" w:type="dxa"/>
            <w:vAlign w:val="bottom"/>
            <w:shd w:val="clear" w:color="auto" w:fill="CFF0FC"/>
          </w:tcPr>
          <w:p>
            <w:pPr>
              <w:spacing w:after="0"/>
              <w:rPr>
                <w:sz w:val="21"/>
                <w:szCs w:val="2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8"/>
                <w:szCs w:val="18"/>
                <w:color w:val="auto"/>
              </w:rPr>
              <w:t>Capital—foreign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25,892</w:t>
            </w:r>
          </w:p>
        </w:tc>
        <w:tc>
          <w:tcPr>
            <w:tcW w:w="80" w:type="dxa"/>
            <w:vAlign w:val="bottom"/>
          </w:tcPr>
          <w:p>
            <w:pPr>
              <w:spacing w:after="0"/>
              <w:rPr>
                <w:sz w:val="20"/>
                <w:szCs w:val="20"/>
                <w:color w:val="auto"/>
              </w:rPr>
            </w:pPr>
          </w:p>
        </w:tc>
      </w:tr>
      <w:tr>
        <w:trPr>
          <w:trHeight w:val="249"/>
        </w:trPr>
        <w:tc>
          <w:tcPr>
            <w:tcW w:w="3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Coastal protection</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192,567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169,678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201,361</w:t>
            </w:r>
          </w:p>
        </w:tc>
        <w:tc>
          <w:tcPr>
            <w:tcW w:w="80" w:type="dxa"/>
            <w:vAlign w:val="bottom"/>
            <w:shd w:val="clear" w:color="auto" w:fill="CFF0FC"/>
          </w:tcPr>
          <w:p>
            <w:pPr>
              <w:spacing w:after="0"/>
              <w:rPr>
                <w:sz w:val="21"/>
                <w:szCs w:val="2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98,077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132,551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148,767</w:t>
            </w:r>
          </w:p>
        </w:tc>
        <w:tc>
          <w:tcPr>
            <w:tcW w:w="80" w:type="dxa"/>
            <w:vAlign w:val="bottom"/>
          </w:tcPr>
          <w:p>
            <w:pPr>
              <w:spacing w:after="0"/>
              <w:rPr>
                <w:sz w:val="20"/>
                <w:szCs w:val="20"/>
                <w:color w:val="auto"/>
              </w:rPr>
            </w:pPr>
          </w:p>
        </w:tc>
      </w:tr>
      <w:tr>
        <w:trPr>
          <w:trHeight w:val="243"/>
        </w:trPr>
        <w:tc>
          <w:tcPr>
            <w:tcW w:w="3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Rivers &amp; lakes</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15,527</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648,781</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726,149</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733,601</w:t>
            </w:r>
          </w:p>
        </w:tc>
        <w:tc>
          <w:tcPr>
            <w:tcW w:w="80" w:type="dxa"/>
            <w:vAlign w:val="bottom"/>
          </w:tcPr>
          <w:p>
            <w:pPr>
              <w:spacing w:after="0"/>
              <w:rPr>
                <w:sz w:val="21"/>
                <w:szCs w:val="2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-187960</wp:posOffset>
            </wp:positionV>
            <wp:extent cx="51435" cy="188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51435"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by type of customer, the Company’s contract revenues for the years ended December 31, 2022, 2021 and 2020:</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Dredging: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3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Federal government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431,705</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568,980</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582,949</w:t>
            </w:r>
          </w:p>
        </w:tc>
        <w:tc>
          <w:tcPr>
            <w:tcW w:w="80" w:type="dxa"/>
            <w:vAlign w:val="bottom"/>
            <w:shd w:val="clear" w:color="auto" w:fill="CFF0FC"/>
          </w:tcPr>
          <w:p>
            <w:pPr>
              <w:spacing w:after="0"/>
              <w:rPr>
                <w:sz w:val="21"/>
                <w:szCs w:val="2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8"/>
                <w:szCs w:val="18"/>
                <w:color w:val="auto"/>
              </w:rPr>
              <w:t>State and local government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207,033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85,737</w:t>
            </w:r>
          </w:p>
        </w:tc>
        <w:tc>
          <w:tcPr>
            <w:tcW w:w="80" w:type="dxa"/>
            <w:vAlign w:val="bottom"/>
          </w:tcPr>
          <w:p>
            <w:pPr>
              <w:spacing w:after="0"/>
              <w:rPr>
                <w:sz w:val="20"/>
                <w:szCs w:val="20"/>
                <w:color w:val="auto"/>
              </w:rPr>
            </w:pPr>
          </w:p>
        </w:tc>
      </w:tr>
      <w:tr>
        <w:trPr>
          <w:trHeight w:val="249"/>
        </w:trPr>
        <w:tc>
          <w:tcPr>
            <w:tcW w:w="35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Private</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39,023</w:t>
            </w:r>
          </w:p>
        </w:tc>
        <w:tc>
          <w:tcPr>
            <w:tcW w:w="80" w:type="dxa"/>
            <w:vAlign w:val="bottom"/>
            <w:shd w:val="clear" w:color="auto" w:fill="CFF0FC"/>
          </w:tcPr>
          <w:p>
            <w:pPr>
              <w:spacing w:after="0"/>
              <w:rPr>
                <w:sz w:val="21"/>
                <w:szCs w:val="21"/>
                <w:color w:val="auto"/>
              </w:rPr>
            </w:pPr>
          </w:p>
        </w:tc>
      </w:tr>
      <w:tr>
        <w:trPr>
          <w:trHeight w:val="237"/>
        </w:trPr>
        <w:tc>
          <w:tcPr>
            <w:tcW w:w="3540" w:type="dxa"/>
            <w:vAlign w:val="bottom"/>
          </w:tcPr>
          <w:p>
            <w:pPr>
              <w:ind w:left="10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80" w:type="dxa"/>
            <w:vAlign w:val="bottom"/>
          </w:tcPr>
          <w:p>
            <w:pPr>
              <w:spacing w:after="0"/>
              <w:rPr>
                <w:sz w:val="20"/>
                <w:szCs w:val="20"/>
                <w:color w:val="auto"/>
              </w:rPr>
            </w:pPr>
          </w:p>
        </w:tc>
      </w:tr>
      <w:tr>
        <w:trPr>
          <w:trHeight w:val="28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648,781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726,149</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-25400</wp:posOffset>
            </wp:positionV>
            <wp:extent cx="51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43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431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excess of contract revenues. Certain pre-contract and pre-construction costs are capitalized and reflected as contract assets in the balance sheet. Customer advances, deposits and commissions are reflected in the balance sheet as contract liabilities.</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Accounts receivable at December 31, 2022 and December 31, 2021 are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10,612</w:t>
            </w:r>
          </w:p>
        </w:tc>
        <w:tc>
          <w:tcPr>
            <w:tcW w:w="80" w:type="dxa"/>
            <w:vAlign w:val="bottom"/>
            <w:shd w:val="clear" w:color="auto" w:fill="CFF0FC"/>
          </w:tcPr>
          <w:p>
            <w:pPr>
              <w:spacing w:after="0"/>
              <w:rPr>
                <w:sz w:val="20"/>
                <w:szCs w:val="20"/>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Contracts in progress</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32,546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65,415</w:t>
            </w:r>
          </w:p>
        </w:tc>
        <w:tc>
          <w:tcPr>
            <w:tcW w:w="80" w:type="dxa"/>
            <w:vAlign w:val="bottom"/>
          </w:tcPr>
          <w:p>
            <w:pPr>
              <w:spacing w:after="0"/>
              <w:rPr>
                <w:sz w:val="20"/>
                <w:szCs w:val="20"/>
                <w:color w:val="auto"/>
              </w:rPr>
            </w:pPr>
          </w:p>
        </w:tc>
      </w:tr>
      <w:tr>
        <w:trPr>
          <w:trHeight w:val="24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Retainage</w:t>
            </w: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4"/>
        </w:trPr>
        <w:tc>
          <w:tcPr>
            <w:tcW w:w="5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45,454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83,517</w:t>
            </w:r>
          </w:p>
        </w:tc>
        <w:tc>
          <w:tcPr>
            <w:tcW w:w="80" w:type="dxa"/>
            <w:vAlign w:val="bottom"/>
          </w:tcPr>
          <w:p>
            <w:pPr>
              <w:spacing w:after="0"/>
              <w:rPr>
                <w:sz w:val="19"/>
                <w:szCs w:val="19"/>
                <w:color w:val="auto"/>
              </w:rPr>
            </w:pPr>
          </w:p>
        </w:tc>
      </w:tr>
      <w:tr>
        <w:trPr>
          <w:trHeight w:val="25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3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(564 )</w:t>
            </w:r>
          </w:p>
        </w:tc>
        <w:tc>
          <w:tcPr>
            <w:tcW w:w="3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(564 )</w:t>
            </w:r>
          </w:p>
        </w:tc>
      </w:tr>
      <w:tr>
        <w:trPr>
          <w:trHeight w:val="237"/>
        </w:trPr>
        <w:tc>
          <w:tcPr>
            <w:tcW w:w="53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8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44,890</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82,953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-659130</wp:posOffset>
            </wp:positionV>
            <wp:extent cx="51435"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-659130</wp:posOffset>
            </wp:positionV>
            <wp:extent cx="4318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-342265</wp:posOffset>
            </wp:positionV>
            <wp:extent cx="51435"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-342265</wp:posOffset>
            </wp:positionV>
            <wp:extent cx="4318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contracts in progress at December 31, 2022 and December 31, 2021 are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Costs and earnings for contracts in progress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262,125</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270,998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(210,068 )</w:t>
            </w:r>
          </w:p>
        </w:tc>
        <w:tc>
          <w:tcPr>
            <w:tcW w:w="26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(240,941 )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52,057</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14,972</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67,029</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65,922</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67,029</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(95,013 )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(224,381 )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Costs and earnings for contracts in progress</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85,099</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(9,914 )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(14,814 )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-2116455</wp:posOffset>
            </wp:positionV>
            <wp:extent cx="51435" cy="162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-2116455</wp:posOffset>
            </wp:positionV>
            <wp:extent cx="43180"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-1799590</wp:posOffset>
            </wp:positionV>
            <wp:extent cx="5143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-1799590</wp:posOffset>
            </wp:positionV>
            <wp:extent cx="4318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-1148080</wp:posOffset>
            </wp:positionV>
            <wp:extent cx="5143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-1148080</wp:posOffset>
            </wp:positionV>
            <wp:extent cx="431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In the year ending December 31, 2022, a revision to the estimated gross profit percentage of a project was recognized due to a positive settlement of a claim from the recently completed project resulting in a cumulative net impact on the project margin, which increased gross profit by $22,276.</w:t>
      </w:r>
    </w:p>
    <w:p>
      <w:pPr>
        <w:spacing w:after="0" w:line="124" w:lineRule="exact"/>
        <w:rPr>
          <w:sz w:val="20"/>
          <w:szCs w:val="20"/>
          <w:color w:val="auto"/>
        </w:rPr>
      </w:pPr>
    </w:p>
    <w:p>
      <w:pPr>
        <w:jc w:val="both"/>
        <w:ind w:right="480" w:firstLine="509"/>
        <w:spacing w:after="0" w:line="311" w:lineRule="auto"/>
        <w:rPr>
          <w:sz w:val="20"/>
          <w:szCs w:val="20"/>
          <w:color w:val="auto"/>
        </w:rPr>
      </w:pPr>
      <w:r>
        <w:rPr>
          <w:rFonts w:ascii="Arial" w:cs="Arial" w:eastAsia="Arial" w:hAnsi="Arial"/>
          <w:sz w:val="16"/>
          <w:szCs w:val="16"/>
          <w:color w:val="auto"/>
        </w:rPr>
        <w:t>At December 31, 2022 and 2021, costs to fulfill contracts with customers recognized as an asset were $4,472 and $5,652, respectively, and are recorded in other current assets and other noncurrent assets. These costs relate to pre-contract and pre-construction activities. During the years ended December 31, 2022 and 2021 the company amortized pre-contract and pre-construction costs of $11,148 and $17,839, respectively.</w:t>
      </w:r>
    </w:p>
    <w:p>
      <w:pPr>
        <w:spacing w:after="0" w:line="14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Company’s largest domestic customer is the U.S. Army Corps of Engineers (the “Corps”), which has responsibility for federally funded projects related to navigation and flood control of U.S. waterways. In 2022, 2021 and 2020, 67%, 78% and 80%, respectively, of contract revenues were earned from contracts with federal government agencies, including the Corps, as well as other federal entities such as the U.S. Coast Guard and U.S. Navy. During the year ended December 31, 2021, the Company recognized $716 of revenue related to the use of equipment by a customer working on a federal government contract. At December 31, 2022 and 2021, approximately 46% and 69%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5" w:name="page76"/>
    <w:bookmarkEnd w:id="75"/>
    <w:p>
      <w:pPr>
        <w:ind w:right="180" w:firstLine="509"/>
        <w:spacing w:after="0" w:line="277" w:lineRule="auto"/>
        <w:rPr>
          <w:sz w:val="20"/>
          <w:szCs w:val="20"/>
          <w:color w:val="auto"/>
        </w:rPr>
      </w:pPr>
      <w:r>
        <w:rPr>
          <w:rFonts w:ascii="Arial" w:cs="Arial" w:eastAsia="Arial" w:hAnsi="Arial"/>
          <w:sz w:val="18"/>
          <w:szCs w:val="18"/>
          <w:color w:val="auto"/>
        </w:rPr>
        <w:t>The Company derived revenues and gross profit (loss) from foreign project operations for the years ended December 31, 2022, 2021, and 2020, as follows:</w:t>
      </w:r>
    </w:p>
    <w:p>
      <w:pPr>
        <w:spacing w:after="0" w:line="39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3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020" w:type="dxa"/>
            <w:vAlign w:val="bottom"/>
            <w:tcBorders>
              <w:top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6,596</w:t>
            </w:r>
          </w:p>
        </w:tc>
        <w:tc>
          <w:tcPr>
            <w:tcW w:w="1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25,892</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(341 )</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(9,281 )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(34,529 )</w:t>
            </w:r>
          </w:p>
        </w:tc>
      </w:tr>
      <w:tr>
        <w:trPr>
          <w:trHeight w:val="28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(192 )</w:t>
            </w:r>
          </w:p>
        </w:tc>
        <w:tc>
          <w:tcPr>
            <w:tcW w:w="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(2,685 )</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102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1028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939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93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22"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2022, 2021 and 2020,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2022 and December, 2021, long-lived assets located outside of the U.S had no net book value. Currently our assets outside of the U.S. do not include dredges. Revenue from foreign projects has been concentrated in the Middle East which comprised less than 10% in 2022, 2021 and 2020. At December 31, 2022 and 2021, approximately 9% and 9%, respectively, of total accounts receivable, including retainage and contract revenues in excess of billings, were due on contracts in the Middle East.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PLANS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sponsors two 401(k) savings plans, one covering substantially all non-union salaried employees (“Salaried Plan”), a second covering its hourly employees (“Hourly Plan”). Under the Salaried Plan and the Hourly Plan, individual employees may contribute a percentage of compensation and the Company will match a portion of the employees’ contributions. The Salaried Plan also includes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2022, 2021 and 2020, was $2,996, $4,659 and $5,557, respectively.</w:t>
      </w:r>
    </w:p>
    <w:p>
      <w:pPr>
        <w:spacing w:after="0" w:line="178"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The Company also contributes to various multiemployer pension plans pursuant to collective bargaining agreements. In 2022, 2021 and 2020, the Company contributed $4,915, $4,632 and $4,929 respectively to all of the multiemployer plans that provide pension benefits.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w:t>
      </w:r>
    </w:p>
    <w:p>
      <w:pPr>
        <w:spacing w:after="0" w:line="17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Performance and bid bonds are customarily required for dredging and marine construction projects. The Company has bonding agreements with Argonaut Insurance Company (“Argo”), Berkley Insurance Company, Chubb Surety (“Chubb”), Travelers Casualty and Surety Company of America (“Travelers”), Zurich American Insurance Company, and Liberty Mutual Insurance Company (“Liberty”), under which the Company can obtain performance, bid and payment bonds. The Company currently has outstanding bonds with Argo, Chubb, Travelers, and Liberty. Bid bonds are generally obtained for a percentage of bid value and amounts outstanding typically range from $1,000 to $10,000. At December 31, 2022, the Company had outstanding performance bonds with a notional amount of approximately $730,276. The revenue value remaining in backlog related to the projects totaled approximately $308,515.</w:t>
      </w:r>
    </w:p>
    <w:p>
      <w:pPr>
        <w:spacing w:after="0" w:line="195"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7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On April 23, 2014, the Company completed the sale of NASDI, LLC (“NASDI”) and Yankee Environmental Services, LLC (“Yankee”), which together comprised the Company’s historical demolition business, to a privately-owned demolition company. Under the terms of the agreement, the Company received cash of $5,309 and retained the right to receive additional proceeds based upon future collections of outstanding accounts receivable and work in process existing at the date of close. On January 14, 2015, the Company and its subsidiary, NASDI Holdings, LLC, brought an action in the Delaware Court of Chancery to enforce the terms of the Company's agreement to sell NASDI and Yankee.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In addition, the Company has been granted a judgment in the amount of $21,934 based upon the buyer’s default of its obligations to indemnify the Company for losses resulting from failure to perform in accordance with terms of surety performance bond. On April 11, 2022, the Supreme Court of Delaware issued its decision denying that appeal and affirming the Chancery Court judgment. The Company continues to aggressively pursue collection from the buyer on outstanding amounts owed under the sale and the indemnification. An estimate of a range of potential gains or losses relating to these matters cannot reasonably be made.</w:t>
      </w:r>
    </w:p>
    <w:p>
      <w:pPr>
        <w:spacing w:after="0" w:line="172"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On April 22, 2021, the U.S. Attorney’s Office for the Eastern District of Louisiana filed a bill of information against the Company charging the Company with a negligent discharge violation of the Clean Water Act (the "CWA") arising from a September 2016 oil spill. The spill occurred during the Company’s Cheniere Ronquille project and resulted in the discharge of around one hundred sixty barrels of crude oil in Bay Long, Louisiana. The Company cooperated with the U.S. Attorney’s Office and other relevant agencies in their investigation of the oil spill and on June 15, 2021, the Company pleaded guilty to the misdemeanor violation alleged in the bill of information and agreed to pay a fine of $1,000. In the first quarter of 2022, the Company entered into a settlement of a civil suit arising from the same matter which was primarily covered by its insurance policies. On June 14, 2022, the Company was sentenced in the criminal matter, and paid a fine of $1,000. The Company had previously deposited $2,000 into the registry of the court to pay any ordered restitution; however, the Company was not ordered to pay any restitution and the deposited funds, less the amount of the fine and administrative costs, were returned to the Company. The CWA provides that, upon an entity’s conviction of certain offenses, the entity is automatically disqualified from eligibility to receive certain federal contracts, if it will perform any part of the awarded contract at the facility giving rise to the conviction (called the “violating facility”). Accordingly, the Court’s entry of the Company’s conviction under the CWA resulted in the automatic disqualification of the Company’s eligibility to be awarded contracts at the violating facility, which the federal suspension and debarment officer (the “SDO”) determined to be the Company’s field office for the Cheniere Ronquille project, located at 28465 Hwy 23, Port Sulphur, Louisiana. The disqualification was imposed on June 23, 2022, and only applied to the Port Sulphur facility and not the Company as a whole. On the same day, June 23, 2022, the SDO issued a decision reinstating the Company’s Port Sulphur facility based on the SDO’s determination that the Company had addressed the causes of the CWA violation. This matter is now fully resolved and will not have any future impact on the Company’s business, financial condition or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2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78" w:name="page79"/>
    <w:bookmarkEnd w:id="78"/>
    <w:p>
      <w:pPr>
        <w:jc w:val="center"/>
        <w:ind w:right="100"/>
        <w:spacing w:after="0"/>
        <w:rPr>
          <w:sz w:val="20"/>
          <w:szCs w:val="20"/>
          <w:color w:val="auto"/>
        </w:rPr>
      </w:pPr>
      <w:r>
        <w:rPr>
          <w:rFonts w:ascii="Arial" w:cs="Arial" w:eastAsia="Arial" w:hAnsi="Arial"/>
          <w:sz w:val="18"/>
          <w:szCs w:val="18"/>
          <w:color w:val="auto"/>
        </w:rPr>
        <w:t>Great Lakes Dredge &amp; Dock Corporation</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Schedule II—Valuation and Qualifying Accounts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Years Ended December 31, 2022, 2021 and 2020</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93"/>
              <w:spacing w:after="0"/>
              <w:rPr>
                <w:sz w:val="20"/>
                <w:szCs w:val="20"/>
                <w:color w:val="auto"/>
              </w:rPr>
            </w:pPr>
            <w:r>
              <w:rPr>
                <w:rFonts w:ascii="Arial" w:cs="Arial" w:eastAsia="Arial" w:hAnsi="Arial"/>
                <w:sz w:val="14"/>
                <w:szCs w:val="14"/>
                <w:b w:val="1"/>
                <w:bCs w:val="1"/>
                <w:color w:val="auto"/>
              </w:rPr>
              <w:t>Beginning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7"/>
              </w:rPr>
              <w:t>Deductions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Description</w:t>
            </w: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2020</w:t>
            </w: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Allowances deducted from assets to which they apply:</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4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Valuation allowance for deferred tax assets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(1,022 )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2021</w:t>
            </w: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Allowances deducted from assets to which they apply:</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4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Valuation allowance for deferred tax assets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2022</w:t>
            </w: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Allowances deducted from assets to which they apply:</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Allowances for doubtful accounts</w:t>
            </w: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4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Valuation allowance for deferred tax assets</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4820" w:type="dxa"/>
            <w:vAlign w:val="bottom"/>
          </w:tcPr>
          <w:p>
            <w:pPr>
              <w:spacing w:after="0"/>
              <w:rPr>
                <w:sz w:val="24"/>
                <w:szCs w:val="2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77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-2442845</wp:posOffset>
            </wp:positionV>
            <wp:extent cx="2802890" cy="180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02890" cy="18034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-1482090</wp:posOffset>
            </wp:positionV>
            <wp:extent cx="2802890"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02890" cy="1797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-521970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-504825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-521970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-504825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-521970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-504825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00" w:type="dxa"/>
            <w:vAlign w:val="bottom"/>
            <w:gridSpan w:val="19"/>
          </w:tcPr>
          <w:p>
            <w:pPr>
              <w:ind w:left="300"/>
              <w:spacing w:after="0"/>
              <w:rPr>
                <w:sz w:val="20"/>
                <w:szCs w:val="20"/>
                <w:color w:val="auto"/>
              </w:rPr>
            </w:pPr>
            <w:r>
              <w:rPr>
                <w:rFonts w:ascii="Arial" w:cs="Arial" w:eastAsia="Arial" w:hAnsi="Arial"/>
                <w:sz w:val="18"/>
                <w:szCs w:val="18"/>
                <w:b w:val="1"/>
                <w:bCs w:val="1"/>
                <w:color w:val="auto"/>
              </w:rPr>
              <w:t>I. EXHIBIT INDEX</w:t>
            </w:r>
          </w:p>
        </w:tc>
      </w:tr>
      <w:tr>
        <w:trPr>
          <w:trHeight w:val="453"/>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19"/>
          </w:tcPr>
          <w:p>
            <w:pPr>
              <w:ind w:left="960"/>
              <w:spacing w:after="0"/>
              <w:rPr>
                <w:sz w:val="20"/>
                <w:szCs w:val="20"/>
                <w:color w:val="auto"/>
              </w:rPr>
            </w:pPr>
            <w:r>
              <w:rPr>
                <w:rFonts w:ascii="Arial" w:cs="Arial" w:eastAsia="Arial" w:hAnsi="Arial"/>
                <w:sz w:val="18"/>
                <w:szCs w:val="18"/>
                <w:b w:val="1"/>
                <w:bCs w:val="1"/>
                <w:color w:val="auto"/>
              </w:rPr>
              <w:t>Document Description</w:t>
            </w:r>
          </w:p>
        </w:tc>
      </w:tr>
      <w:tr>
        <w:trPr>
          <w:trHeight w:val="189"/>
        </w:trPr>
        <w:tc>
          <w:tcPr>
            <w:tcW w:w="20" w:type="dxa"/>
            <w:vAlign w:val="bottom"/>
          </w:tcPr>
          <w:p>
            <w:pPr>
              <w:spacing w:after="0"/>
              <w:rPr>
                <w:sz w:val="16"/>
                <w:szCs w:val="16"/>
                <w:color w:val="auto"/>
              </w:rPr>
            </w:pPr>
          </w:p>
        </w:tc>
        <w:tc>
          <w:tcPr>
            <w:tcW w:w="320" w:type="dxa"/>
            <w:vAlign w:val="bottom"/>
            <w:gridSpan w:val="2"/>
          </w:tcPr>
          <w:p>
            <w:pPr>
              <w:spacing w:after="0" w:line="189" w:lineRule="exact"/>
              <w:rPr>
                <w:rFonts w:ascii="Arial" w:cs="Arial" w:eastAsia="Arial" w:hAnsi="Arial"/>
                <w:sz w:val="18"/>
                <w:szCs w:val="18"/>
                <w:color w:val="0000FF"/>
              </w:rPr>
            </w:pPr>
            <w:hyperlink r:id="rId27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24"/>
          </w:tcPr>
          <w:p>
            <w:pPr>
              <w:spacing w:after="0" w:line="189" w:lineRule="exact"/>
              <w:rPr>
                <w:rFonts w:ascii="Arial" w:cs="Arial" w:eastAsia="Arial" w:hAnsi="Arial"/>
                <w:sz w:val="18"/>
                <w:szCs w:val="18"/>
                <w:color w:val="0000FF"/>
                <w:w w:val="97"/>
              </w:rPr>
            </w:pPr>
            <w:hyperlink r:id="rId275">
              <w:r>
                <w:rPr>
                  <w:rFonts w:ascii="Arial" w:cs="Arial" w:eastAsia="Arial" w:hAnsi="Arial"/>
                  <w:sz w:val="18"/>
                  <w:szCs w:val="18"/>
                  <w:color w:val="0000FF"/>
                  <w:w w:val="97"/>
                </w:rPr>
                <w:t>Amended and Restated Agreement and Plan of Merger dated as of December 22, 2003, among Great Lakes Dredge &amp; Dock</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275">
              <w:r>
                <w:rPr>
                  <w:rFonts w:ascii="Arial" w:cs="Arial" w:eastAsia="Arial" w:hAnsi="Arial"/>
                  <w:sz w:val="18"/>
                  <w:szCs w:val="18"/>
                  <w:color w:val="0000FF"/>
                  <w:w w:val="92"/>
                </w:rPr>
                <w:t>Corporation, GLDD Acquisitions Corp., GLDD Merger Sub, Inc. and Vectura Holding Company LLC. (Incorporated by reference to</w:t>
              </w:r>
            </w:hyperlink>
          </w:p>
        </w:tc>
        <w:tc>
          <w:tcPr>
            <w:tcW w:w="12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24"/>
          </w:tcPr>
          <w:p>
            <w:pPr>
              <w:spacing w:after="0" w:line="196" w:lineRule="exact"/>
              <w:rPr>
                <w:rFonts w:ascii="Arial" w:cs="Arial" w:eastAsia="Arial" w:hAnsi="Arial"/>
                <w:sz w:val="18"/>
                <w:szCs w:val="18"/>
                <w:color w:val="0000FF"/>
              </w:rPr>
            </w:pPr>
            <w:hyperlink r:id="rId275">
              <w:r>
                <w:rPr>
                  <w:rFonts w:ascii="Arial" w:cs="Arial" w:eastAsia="Arial" w:hAnsi="Arial"/>
                  <w:sz w:val="18"/>
                  <w:szCs w:val="18"/>
                  <w:color w:val="0000FF"/>
                </w:rPr>
                <w:t>Great Lakes Dredge &amp; Dock Corporation’s Current Report on Form 8-K filed with the Commission on January 6, 2004).</w:t>
              </w:r>
            </w:hyperlink>
          </w:p>
        </w:tc>
      </w:tr>
      <w:tr>
        <w:trPr>
          <w:trHeight w:val="20"/>
        </w:trPr>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76">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3"/>
              </w:rPr>
            </w:pPr>
            <w:hyperlink r:id="rId276">
              <w:r>
                <w:rPr>
                  <w:rFonts w:ascii="Arial" w:cs="Arial" w:eastAsia="Arial" w:hAnsi="Arial"/>
                  <w:sz w:val="18"/>
                  <w:szCs w:val="18"/>
                  <w:color w:val="0000FF"/>
                  <w:w w:val="93"/>
                </w:rPr>
                <w:t>Agreement and Plan of Merger by and among GLDD Acquisitions Corp., Aldabra Acquisition Corporation, and certain shareholders</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of Aldabra Acquisition Corporation and GLDD Acquisitions Corp., dated as of June 20, 2006. (Incorporated by reference to Great</w:t>
              </w:r>
            </w:hyperlink>
          </w:p>
        </w:tc>
        <w:tc>
          <w:tcPr>
            <w:tcW w:w="180" w:type="dxa"/>
            <w:vAlign w:val="bottom"/>
            <w:tcBorders>
              <w:top w:val="single" w:sz="8" w:color="0000FF"/>
            </w:tcBorders>
            <w:gridSpan w:val="4"/>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24"/>
          </w:tcPr>
          <w:p>
            <w:pPr>
              <w:spacing w:after="0" w:line="196" w:lineRule="exact"/>
              <w:rPr>
                <w:rFonts w:ascii="Arial" w:cs="Arial" w:eastAsia="Arial" w:hAnsi="Arial"/>
                <w:sz w:val="18"/>
                <w:szCs w:val="18"/>
                <w:color w:val="0000FF"/>
              </w:rPr>
            </w:pPr>
            <w:hyperlink r:id="rId276">
              <w:r>
                <w:rPr>
                  <w:rFonts w:ascii="Arial" w:cs="Arial" w:eastAsia="Arial" w:hAnsi="Arial"/>
                  <w:sz w:val="18"/>
                  <w:szCs w:val="18"/>
                  <w:color w:val="0000FF"/>
                </w:rPr>
                <w:t>Lakes Dredge &amp; Dock Corporation’s Current Report on Form 8-K filed with the Commission on June 22, 2006).</w:t>
              </w:r>
            </w:hyperlink>
          </w:p>
        </w:tc>
      </w:tr>
      <w:tr>
        <w:trPr>
          <w:trHeight w:val="20"/>
        </w:trPr>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7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5"/>
              </w:rPr>
            </w:pPr>
            <w:hyperlink r:id="rId277">
              <w:r>
                <w:rPr>
                  <w:rFonts w:ascii="Arial" w:cs="Arial" w:eastAsia="Arial" w:hAnsi="Arial"/>
                  <w:sz w:val="18"/>
                  <w:szCs w:val="18"/>
                  <w:color w:val="0000FF"/>
                  <w:w w:val="95"/>
                </w:rPr>
                <w:t>Amended and Restated Certificate of Incorporation of Great Lakes Dredge &amp; Dock Holdings Corp., effective December 26, 2006</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77">
              <w:r>
                <w:rPr>
                  <w:rFonts w:ascii="Arial" w:cs="Arial" w:eastAsia="Arial" w:hAnsi="Arial"/>
                  <w:sz w:val="18"/>
                  <w:szCs w:val="18"/>
                  <w:color w:val="0000FF"/>
                  <w:w w:val="91"/>
                </w:rPr>
                <w:t>(now renamed Great Lakes Dredge &amp; Dock Corporation). (Incorporated by reference to Great Lakes Dredge &amp; Dock Corporation’s</w:t>
              </w:r>
            </w:hyperlink>
          </w:p>
        </w:tc>
        <w:tc>
          <w:tcPr>
            <w:tcW w:w="24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24"/>
          </w:tcPr>
          <w:p>
            <w:pPr>
              <w:spacing w:after="0" w:line="196" w:lineRule="exact"/>
              <w:rPr>
                <w:rFonts w:ascii="Arial" w:cs="Arial" w:eastAsia="Arial" w:hAnsi="Arial"/>
                <w:sz w:val="18"/>
                <w:szCs w:val="18"/>
                <w:color w:val="0000FF"/>
              </w:rPr>
            </w:pPr>
            <w:hyperlink r:id="rId277">
              <w:r>
                <w:rPr>
                  <w:rFonts w:ascii="Arial" w:cs="Arial" w:eastAsia="Arial" w:hAnsi="Arial"/>
                  <w:sz w:val="18"/>
                  <w:szCs w:val="18"/>
                  <w:color w:val="0000FF"/>
                </w:rPr>
                <w:t>Registration Statement on Form 8-A12B filed with the Commission on December 26, 2006).</w:t>
              </w:r>
            </w:hyperlink>
          </w:p>
        </w:tc>
      </w:tr>
      <w:tr>
        <w:trPr>
          <w:trHeight w:val="20"/>
        </w:trPr>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7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2"/>
              </w:rPr>
            </w:pPr>
            <w:hyperlink r:id="rId278">
              <w:r>
                <w:rPr>
                  <w:rFonts w:ascii="Arial" w:cs="Arial" w:eastAsia="Arial" w:hAnsi="Arial"/>
                  <w:sz w:val="18"/>
                  <w:szCs w:val="18"/>
                  <w:color w:val="0000FF"/>
                  <w:w w:val="92"/>
                </w:rPr>
                <w:t>Second Amended and Restated Bylaws of Great Lakes Dredge &amp; Dock Corporation, dated as of January 12, 2023. (Incorporated by</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78">
              <w:r>
                <w:rPr>
                  <w:rFonts w:ascii="Arial" w:cs="Arial" w:eastAsia="Arial" w:hAnsi="Arial"/>
                  <w:sz w:val="18"/>
                  <w:szCs w:val="18"/>
                  <w:color w:val="0000FF"/>
                  <w:w w:val="91"/>
                </w:rPr>
                <w:t>reference to Great Lakes Dredge &amp; Dock Corporation’s Current Report on Form 8-K filed with the Commission on January 19, 2023).</w:t>
              </w:r>
            </w:hyperlink>
          </w:p>
        </w:tc>
        <w:tc>
          <w:tcPr>
            <w:tcW w:w="20" w:type="dxa"/>
            <w:vAlign w:val="bottom"/>
            <w:tcBorders>
              <w:bottom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79">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2"/>
              </w:rPr>
            </w:pPr>
            <w:hyperlink r:id="rId279">
              <w:r>
                <w:rPr>
                  <w:rFonts w:ascii="Arial" w:cs="Arial" w:eastAsia="Arial" w:hAnsi="Arial"/>
                  <w:sz w:val="18"/>
                  <w:szCs w:val="18"/>
                  <w:color w:val="0000FF"/>
                  <w:w w:val="92"/>
                </w:rPr>
                <w:t>Certificate of Ownership and Merger of Great Lakes Dredge &amp; Dock Corporation with and into Great Lakes Dredge &amp; Dock Holdings</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279">
              <w:r>
                <w:rPr>
                  <w:rFonts w:ascii="Arial" w:cs="Arial" w:eastAsia="Arial" w:hAnsi="Arial"/>
                  <w:sz w:val="18"/>
                  <w:szCs w:val="18"/>
                  <w:color w:val="0000FF"/>
                  <w:w w:val="92"/>
                </w:rPr>
                <w:t>Corp. (Incorporated by reference to Great Lakes Dredge &amp; Dock Corporation’s Current Report on Form 8-K filed with the</w:t>
              </w:r>
            </w:hyperlink>
          </w:p>
        </w:tc>
        <w:tc>
          <w:tcPr>
            <w:tcW w:w="86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79">
              <w:r>
                <w:rPr>
                  <w:rFonts w:ascii="Arial" w:cs="Arial" w:eastAsia="Arial" w:hAnsi="Arial"/>
                  <w:sz w:val="18"/>
                  <w:szCs w:val="18"/>
                  <w:color w:val="0000FF"/>
                  <w:w w:val="89"/>
                </w:rPr>
                <w:t>Commission on December 29, 2006).</w:t>
              </w:r>
            </w:hyperlink>
          </w:p>
        </w:tc>
        <w:tc>
          <w:tcPr>
            <w:tcW w:w="20" w:type="dxa"/>
            <w:vAlign w:val="bottom"/>
            <w:tcBorders>
              <w:bottom w:val="single" w:sz="8" w:color="0000EE"/>
            </w:tcBorders>
          </w:tcPr>
          <w:p>
            <w:pPr>
              <w:spacing w:after="0"/>
              <w:rPr>
                <w:sz w:val="17"/>
                <w:szCs w:val="17"/>
                <w:color w:val="auto"/>
              </w:rPr>
            </w:pPr>
          </w:p>
        </w:tc>
        <w:tc>
          <w:tcPr>
            <w:tcW w:w="7020" w:type="dxa"/>
            <w:vAlign w:val="bottom"/>
            <w:gridSpan w:val="21"/>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8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9"/>
              </w:rPr>
            </w:pPr>
            <w:hyperlink r:id="rId280">
              <w:r>
                <w:rPr>
                  <w:rFonts w:ascii="Arial" w:cs="Arial" w:eastAsia="Arial" w:hAnsi="Arial"/>
                  <w:sz w:val="18"/>
                  <w:szCs w:val="18"/>
                  <w:color w:val="0000FF"/>
                  <w:w w:val="99"/>
                </w:rPr>
                <w:t>Description of Great Lakes Dredge &amp; Dock Corporation Securities Registered Pursuant to Section 12 of the Exchange Act.</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280">
              <w:r>
                <w:rPr>
                  <w:rFonts w:ascii="Arial" w:cs="Arial" w:eastAsia="Arial" w:hAnsi="Arial"/>
                  <w:sz w:val="18"/>
                  <w:szCs w:val="18"/>
                  <w:color w:val="0000FF"/>
                  <w:w w:val="92"/>
                </w:rPr>
                <w:t>(Incorporated by reference to Great Lakes Dredge &amp; Dock Corporation’s Annual Report on Form 10-K filed with the Commission on</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24"/>
          </w:tcPr>
          <w:p>
            <w:pPr>
              <w:spacing w:after="0" w:line="196" w:lineRule="exact"/>
              <w:rPr>
                <w:rFonts w:ascii="Arial" w:cs="Arial" w:eastAsia="Arial" w:hAnsi="Arial"/>
                <w:sz w:val="18"/>
                <w:szCs w:val="18"/>
                <w:color w:val="0000FF"/>
              </w:rPr>
            </w:pPr>
            <w:hyperlink r:id="rId280">
              <w:r>
                <w:rPr>
                  <w:rFonts w:ascii="Arial" w:cs="Arial" w:eastAsia="Arial" w:hAnsi="Arial"/>
                  <w:sz w:val="18"/>
                  <w:szCs w:val="18"/>
                  <w:color w:val="0000FF"/>
                </w:rPr>
                <w:t>February 26, 2020).</w:t>
              </w:r>
            </w:hyperlink>
          </w:p>
        </w:tc>
      </w:tr>
      <w:tr>
        <w:trPr>
          <w:trHeight w:val="20"/>
        </w:trPr>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8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1"/>
              </w:rPr>
            </w:pPr>
            <w:hyperlink r:id="rId281">
              <w:r>
                <w:rPr>
                  <w:rFonts w:ascii="Arial" w:cs="Arial" w:eastAsia="Arial" w:hAnsi="Arial"/>
                  <w:sz w:val="18"/>
                  <w:szCs w:val="18"/>
                  <w:color w:val="0000FF"/>
                  <w:w w:val="91"/>
                </w:rPr>
                <w:t>Specimen Common Stock Certificate for Great Lakes Dredge &amp; Dock Corporation. (Incorporated by reference to Great Lakes Dredge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81">
              <w:r>
                <w:rPr>
                  <w:rFonts w:ascii="Arial" w:cs="Arial" w:eastAsia="Arial" w:hAnsi="Arial"/>
                  <w:sz w:val="18"/>
                  <w:szCs w:val="18"/>
                  <w:color w:val="0000FF"/>
                </w:rPr>
                <w:t>&amp; Dock Corporation’s Annual Report on Form 10-K filed with the Commission on March 22, 2007).</w:t>
              </w:r>
            </w:hyperlink>
          </w:p>
        </w:tc>
        <w:tc>
          <w:tcPr>
            <w:tcW w:w="40" w:type="dxa"/>
            <w:vAlign w:val="bottom"/>
            <w:gridSpan w:val="2"/>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81">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3"/>
              </w:rPr>
            </w:pPr>
            <w:hyperlink r:id="rId281">
              <w:r>
                <w:rPr>
                  <w:rFonts w:ascii="Arial" w:cs="Arial" w:eastAsia="Arial" w:hAnsi="Arial"/>
                  <w:sz w:val="18"/>
                  <w:szCs w:val="18"/>
                  <w:color w:val="0000FF"/>
                  <w:w w:val="93"/>
                </w:rPr>
                <w:t>Indenture, dated May 25, 2021, among Great Lakes Dredge &amp; Dock Corporation, as Issuer, the guarantors party thereto, and Wells</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268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81">
              <w:r>
                <w:rPr>
                  <w:rFonts w:ascii="Arial" w:cs="Arial" w:eastAsia="Arial" w:hAnsi="Arial"/>
                  <w:sz w:val="18"/>
                  <w:szCs w:val="18"/>
                  <w:color w:val="0000FF"/>
                  <w:w w:val="91"/>
                </w:rPr>
                <w:t>Fargo Bank, National Association, as Trustee, relating to the 2029 Notes (incorporated by reference to Great Lakes Dredge &amp; Dock</w:t>
              </w:r>
            </w:hyperlink>
          </w:p>
        </w:tc>
        <w:tc>
          <w:tcPr>
            <w:tcW w:w="20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24"/>
          </w:tcPr>
          <w:p>
            <w:pPr>
              <w:spacing w:after="0" w:line="196" w:lineRule="exact"/>
              <w:rPr>
                <w:rFonts w:ascii="Arial" w:cs="Arial" w:eastAsia="Arial" w:hAnsi="Arial"/>
                <w:sz w:val="18"/>
                <w:szCs w:val="18"/>
                <w:color w:val="0000FF"/>
              </w:rPr>
            </w:pPr>
            <w:hyperlink r:id="rId281">
              <w:r>
                <w:rPr>
                  <w:rFonts w:ascii="Arial" w:cs="Arial" w:eastAsia="Arial" w:hAnsi="Arial"/>
                  <w:sz w:val="18"/>
                  <w:szCs w:val="18"/>
                  <w:color w:val="0000FF"/>
                </w:rPr>
                <w:t>Corporation’s Quarterly Report on Form 10-Q filed with the Commission on August 3, 2021).</w:t>
              </w:r>
            </w:hyperlink>
          </w:p>
        </w:tc>
      </w:tr>
      <w:tr>
        <w:trPr>
          <w:trHeight w:val="20"/>
        </w:trPr>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r:id="rId282">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24"/>
          </w:tcPr>
          <w:p>
            <w:pPr>
              <w:spacing w:after="0"/>
              <w:rPr>
                <w:rFonts w:ascii="Arial" w:cs="Arial" w:eastAsia="Arial" w:hAnsi="Arial"/>
                <w:sz w:val="18"/>
                <w:szCs w:val="18"/>
                <w:color w:val="0000FF"/>
                <w:w w:val="94"/>
              </w:rPr>
            </w:pPr>
            <w:hyperlink r:id="rId282">
              <w:r>
                <w:rPr>
                  <w:rFonts w:ascii="Arial" w:cs="Arial" w:eastAsia="Arial" w:hAnsi="Arial"/>
                  <w:sz w:val="18"/>
                  <w:szCs w:val="18"/>
                  <w:color w:val="0000FF"/>
                  <w:w w:val="94"/>
                </w:rPr>
                <w:t>Form of 2029 Notes (Incorporated by reference to Great Lakes Dredge &amp; Dock Corporation’s Quarterly Report on Form 10-Q filed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282">
              <w:r>
                <w:rPr>
                  <w:rFonts w:ascii="Arial" w:cs="Arial" w:eastAsia="Arial" w:hAnsi="Arial"/>
                  <w:sz w:val="18"/>
                  <w:szCs w:val="18"/>
                  <w:color w:val="0000FF"/>
                  <w:w w:val="91"/>
                </w:rPr>
                <w:t>with the Commission on August 3, 2021).</w:t>
              </w:r>
            </w:hyperlink>
          </w:p>
        </w:tc>
        <w:tc>
          <w:tcPr>
            <w:tcW w:w="20" w:type="dxa"/>
            <w:vAlign w:val="bottom"/>
            <w:tcBorders>
              <w:top w:val="single" w:sz="8" w:color="0000FF"/>
              <w:bottom w:val="single" w:sz="8" w:color="0000EE"/>
            </w:tcBorders>
          </w:tcPr>
          <w:p>
            <w:pPr>
              <w:spacing w:after="0"/>
              <w:rPr>
                <w:sz w:val="17"/>
                <w:szCs w:val="17"/>
                <w:color w:val="auto"/>
              </w:rPr>
            </w:pPr>
          </w:p>
        </w:tc>
        <w:tc>
          <w:tcPr>
            <w:tcW w:w="6460" w:type="dxa"/>
            <w:vAlign w:val="bottom"/>
            <w:tcBorders>
              <w:top w:val="single" w:sz="8" w:color="0000FF"/>
            </w:tcBorders>
            <w:gridSpan w:val="11"/>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r:id="rId28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17"/>
          </w:tcPr>
          <w:p>
            <w:pPr>
              <w:spacing w:after="0"/>
              <w:rPr>
                <w:rFonts w:ascii="Arial" w:cs="Arial" w:eastAsia="Arial" w:hAnsi="Arial"/>
                <w:sz w:val="18"/>
                <w:szCs w:val="18"/>
                <w:color w:val="0000FF"/>
                <w:w w:val="91"/>
              </w:rPr>
            </w:pPr>
            <w:hyperlink r:id="rId283">
              <w:r>
                <w:rPr>
                  <w:rFonts w:ascii="Arial" w:cs="Arial" w:eastAsia="Arial" w:hAnsi="Arial"/>
                  <w:sz w:val="18"/>
                  <w:szCs w:val="18"/>
                  <w:color w:val="0000FF"/>
                  <w:w w:val="91"/>
                </w:rPr>
                <w:t>Agreement of Indemnity, dated as of April 7, 2015, by and among Great Lakes Dredge &amp; Dock Corporation, Great Lakes Dredge &amp;</w:t>
              </w:r>
            </w:hyperlink>
          </w:p>
        </w:tc>
        <w:tc>
          <w:tcPr>
            <w:tcW w:w="20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17"/>
          </w:tcPr>
          <w:p>
            <w:pPr>
              <w:spacing w:after="0" w:line="196" w:lineRule="exact"/>
              <w:rPr>
                <w:rFonts w:ascii="Arial" w:cs="Arial" w:eastAsia="Arial" w:hAnsi="Arial"/>
                <w:sz w:val="18"/>
                <w:szCs w:val="18"/>
                <w:color w:val="0000FF"/>
                <w:w w:val="93"/>
              </w:rPr>
            </w:pPr>
            <w:hyperlink r:id="rId283">
              <w:r>
                <w:rPr>
                  <w:rFonts w:ascii="Arial" w:cs="Arial" w:eastAsia="Arial" w:hAnsi="Arial"/>
                  <w:sz w:val="18"/>
                  <w:szCs w:val="18"/>
                  <w:color w:val="0000FF"/>
                  <w:w w:val="93"/>
                </w:rPr>
                <w:t>Dock Company, LLC, Great Lakes Environmental &amp; Infrastructure Solutions, LLC, Magnus Pacific, LLC, Terra Contracting, LLC,</w:t>
              </w:r>
            </w:hyperlink>
          </w:p>
        </w:tc>
        <w:tc>
          <w:tcPr>
            <w:tcW w:w="200" w:type="dxa"/>
            <w:vAlign w:val="bottom"/>
            <w:gridSpan w:val="7"/>
          </w:tcPr>
          <w:p>
            <w:pPr>
              <w:spacing w:after="0"/>
              <w:rPr>
                <w:sz w:val="17"/>
                <w:szCs w:val="17"/>
                <w:color w:val="auto"/>
              </w:rPr>
            </w:pPr>
          </w:p>
        </w:tc>
      </w:tr>
    </w:tbl>
    <w:p>
      <w:pPr>
        <w:spacing w:after="0" w:line="13" w:lineRule="exact"/>
        <w:rPr>
          <w:sz w:val="20"/>
          <w:szCs w:val="20"/>
          <w:color w:val="auto"/>
        </w:rPr>
      </w:pPr>
    </w:p>
    <w:p>
      <w:pPr>
        <w:ind w:left="1500" w:right="20"/>
        <w:spacing w:after="0" w:line="342" w:lineRule="auto"/>
        <w:rPr>
          <w:rFonts w:ascii="Arial" w:cs="Arial" w:eastAsia="Arial" w:hAnsi="Arial"/>
          <w:sz w:val="16"/>
          <w:szCs w:val="16"/>
          <w:u w:val="single" w:color="auto"/>
          <w:color w:val="0000FF"/>
        </w:rPr>
      </w:pPr>
      <w:hyperlink r:id="rId283">
        <w:r>
          <w:rPr>
            <w:rFonts w:ascii="Arial" w:cs="Arial" w:eastAsia="Arial" w:hAnsi="Arial"/>
            <w:sz w:val="16"/>
            <w:szCs w:val="16"/>
            <w:u w:val="single" w:color="auto"/>
            <w:color w:val="0000FF"/>
          </w:rPr>
          <w:t>Terra Fluid Management, LLC and Liberty Mutual Insurance Company and its subsidiaries and affiliates. (Incorporated by reference to</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Great Lakes Dredge &amp; Dock Corporation’s Quarterly Report on Form 10-Q filed with the Commission on May 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-212090</wp:posOffset>
            </wp:positionV>
            <wp:extent cx="61804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-74930</wp:posOffset>
            </wp:positionV>
            <wp:extent cx="5521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5521325" cy="889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160" w:type="dxa"/>
            <w:vAlign w:val="bottom"/>
            <w:tcBorders>
              <w:bottom w:val="single" w:sz="8" w:color="auto"/>
            </w:tcBorders>
            <w:gridSpan w:val="26"/>
          </w:tcPr>
          <w:p>
            <w:pPr>
              <w:ind w:left="2420"/>
              <w:spacing w:after="0"/>
              <w:rPr>
                <w:sz w:val="20"/>
                <w:szCs w:val="20"/>
                <w:color w:val="auto"/>
              </w:rPr>
            </w:pPr>
            <w:r>
              <w:rPr>
                <w:rFonts w:ascii="Arial" w:cs="Arial" w:eastAsia="Arial" w:hAnsi="Arial"/>
                <w:sz w:val="18"/>
                <w:szCs w:val="18"/>
                <w:b w:val="1"/>
                <w:bCs w:val="1"/>
                <w:color w:val="auto"/>
              </w:rPr>
              <w:t>Document Description</w:t>
            </w:r>
          </w:p>
        </w:tc>
      </w:tr>
      <w:tr>
        <w:trPr>
          <w:trHeight w:val="189"/>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89" w:lineRule="exact"/>
              <w:rPr>
                <w:rFonts w:ascii="Arial" w:cs="Arial" w:eastAsia="Arial" w:hAnsi="Arial"/>
                <w:sz w:val="18"/>
                <w:szCs w:val="18"/>
                <w:color w:val="0000FF"/>
                <w:w w:val="85"/>
              </w:rPr>
            </w:pPr>
            <w:hyperlink r:id="rId28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40" w:type="dxa"/>
            <w:vAlign w:val="bottom"/>
            <w:tcBorders>
              <w:bottom w:val="single" w:sz="8" w:color="0000FF"/>
            </w:tcBorders>
            <w:gridSpan w:val="24"/>
          </w:tcPr>
          <w:p>
            <w:pPr>
              <w:spacing w:after="0" w:line="189" w:lineRule="exact"/>
              <w:rPr>
                <w:rFonts w:ascii="Arial" w:cs="Arial" w:eastAsia="Arial" w:hAnsi="Arial"/>
                <w:sz w:val="18"/>
                <w:szCs w:val="18"/>
                <w:color w:val="0000FF"/>
                <w:w w:val="91"/>
              </w:rPr>
            </w:pPr>
            <w:hyperlink r:id="rId287">
              <w:r>
                <w:rPr>
                  <w:rFonts w:ascii="Arial" w:cs="Arial" w:eastAsia="Arial" w:hAnsi="Arial"/>
                  <w:sz w:val="18"/>
                  <w:szCs w:val="18"/>
                  <w:color w:val="0000FF"/>
                  <w:w w:val="91"/>
                </w:rPr>
                <w:t>Agreement of Indemnity, dated as of April 7, 2015, by and among Great Lakes Dredge &amp; Dock Corporation, Great Lakes Dredge &amp;</w:t>
              </w:r>
            </w:hyperlink>
          </w:p>
        </w:tc>
        <w:tc>
          <w:tcPr>
            <w:tcW w:w="200" w:type="dxa"/>
            <w:vAlign w:val="bottom"/>
            <w:gridSpan w:val="7"/>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287">
              <w:r>
                <w:rPr>
                  <w:rFonts w:ascii="Arial" w:cs="Arial" w:eastAsia="Arial" w:hAnsi="Arial"/>
                  <w:sz w:val="18"/>
                  <w:szCs w:val="18"/>
                  <w:color w:val="0000FF"/>
                  <w:w w:val="93"/>
                </w:rPr>
                <w:t>Dock Company, LLC, Great Lakes Environmental &amp; Infrastructure Solutions, LLC, Magnus Pacific, LLC, Terra Contracting, LLC,</w:t>
              </w:r>
            </w:hyperlink>
          </w:p>
        </w:tc>
        <w:tc>
          <w:tcPr>
            <w:tcW w:w="22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87">
              <w:r>
                <w:rPr>
                  <w:rFonts w:ascii="Arial" w:cs="Arial" w:eastAsia="Arial" w:hAnsi="Arial"/>
                  <w:sz w:val="18"/>
                  <w:szCs w:val="18"/>
                  <w:color w:val="0000FF"/>
                  <w:w w:val="91"/>
                </w:rPr>
                <w:t>Terra Fluid Management, LLC and Westchester Fire Insurance Company or any of its affiliates, including any other company that is</w:t>
              </w:r>
            </w:hyperlink>
          </w:p>
        </w:tc>
        <w:tc>
          <w:tcPr>
            <w:tcW w:w="20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287">
              <w:r>
                <w:rPr>
                  <w:rFonts w:ascii="Arial" w:cs="Arial" w:eastAsia="Arial" w:hAnsi="Arial"/>
                  <w:sz w:val="18"/>
                  <w:szCs w:val="18"/>
                  <w:color w:val="0000FF"/>
                  <w:w w:val="92"/>
                </w:rPr>
                <w:t>part of or added to ACE Holdings, Inc. (Incorporated by reference to Great Lakes Dredge &amp; Dock Corporation’s Quarterly Report on</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1"/>
          </w:tcPr>
          <w:p>
            <w:pPr>
              <w:spacing w:after="0" w:line="196" w:lineRule="exact"/>
              <w:rPr>
                <w:rFonts w:ascii="Arial" w:cs="Arial" w:eastAsia="Arial" w:hAnsi="Arial"/>
                <w:sz w:val="18"/>
                <w:szCs w:val="18"/>
                <w:color w:val="0000FF"/>
              </w:rPr>
            </w:pPr>
            <w:hyperlink r:id="rId287">
              <w:r>
                <w:rPr>
                  <w:rFonts w:ascii="Arial" w:cs="Arial" w:eastAsia="Arial" w:hAnsi="Arial"/>
                  <w:sz w:val="18"/>
                  <w:szCs w:val="18"/>
                  <w:color w:val="0000FF"/>
                </w:rPr>
                <w:t>Form 10-Q filed with the Commission on May 6, 2015).</w:t>
              </w:r>
            </w:hyperlink>
          </w:p>
        </w:tc>
      </w:tr>
      <w:tr>
        <w:trPr>
          <w:trHeight w:val="20"/>
        </w:trPr>
        <w:tc>
          <w:tcPr>
            <w:tcW w:w="4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tcBorders>
              <w:right w:val="single" w:sz="8" w:color="0000EE"/>
            </w:tcBorders>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28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24"/>
          </w:tcPr>
          <w:p>
            <w:pPr>
              <w:spacing w:after="0"/>
              <w:rPr>
                <w:rFonts w:ascii="Arial" w:cs="Arial" w:eastAsia="Arial" w:hAnsi="Arial"/>
                <w:sz w:val="18"/>
                <w:szCs w:val="18"/>
                <w:color w:val="0000FF"/>
                <w:w w:val="91"/>
              </w:rPr>
            </w:pPr>
            <w:hyperlink r:id="rId288">
              <w:r>
                <w:rPr>
                  <w:rFonts w:ascii="Arial" w:cs="Arial" w:eastAsia="Arial" w:hAnsi="Arial"/>
                  <w:sz w:val="18"/>
                  <w:szCs w:val="18"/>
                  <w:color w:val="0000FF"/>
                  <w:w w:val="91"/>
                </w:rPr>
                <w:t>Agreement of Indemnity, dated as of April 7, 2015, by and among Great Lakes Dredge &amp; Dock Corporation, Great Lakes Dredge &amp;</w:t>
              </w:r>
            </w:hyperlink>
          </w:p>
        </w:tc>
        <w:tc>
          <w:tcPr>
            <w:tcW w:w="20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288">
              <w:r>
                <w:rPr>
                  <w:rFonts w:ascii="Arial" w:cs="Arial" w:eastAsia="Arial" w:hAnsi="Arial"/>
                  <w:sz w:val="18"/>
                  <w:szCs w:val="18"/>
                  <w:color w:val="0000FF"/>
                  <w:w w:val="93"/>
                </w:rPr>
                <w:t>Dock Company, LLC, Great Lakes Environmental &amp; Infrastructure Solutions, LLC, Magnus Pacific, LLC, Terra Contracting, LLC,</w:t>
              </w:r>
            </w:hyperlink>
          </w:p>
        </w:tc>
        <w:tc>
          <w:tcPr>
            <w:tcW w:w="22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88">
              <w:r>
                <w:rPr>
                  <w:rFonts w:ascii="Arial" w:cs="Arial" w:eastAsia="Arial" w:hAnsi="Arial"/>
                  <w:sz w:val="18"/>
                  <w:szCs w:val="18"/>
                  <w:color w:val="0000FF"/>
                  <w:w w:val="91"/>
                </w:rPr>
                <w:t>Terra Fluid Management, LLC and Argonaut Insurance Company. (Incorporated by reference to Great Lakes Dredge &amp; Dock</w:t>
              </w:r>
            </w:hyperlink>
          </w:p>
        </w:tc>
        <w:tc>
          <w:tcPr>
            <w:tcW w:w="680" w:type="dxa"/>
            <w:vAlign w:val="bottom"/>
            <w:gridSpan w:val="1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88">
              <w:r>
                <w:rPr>
                  <w:rFonts w:ascii="Arial" w:cs="Arial" w:eastAsia="Arial" w:hAnsi="Arial"/>
                  <w:sz w:val="18"/>
                  <w:szCs w:val="18"/>
                  <w:color w:val="0000FF"/>
                  <w:w w:val="92"/>
                </w:rPr>
                <w:t>Corporation’s Quarterly Report on Form 10-Q filed with the Commission on May 6, 2015).</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23"/>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28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30"/>
          </w:tcPr>
          <w:p>
            <w:pPr>
              <w:spacing w:after="0"/>
              <w:rPr>
                <w:rFonts w:ascii="Arial" w:cs="Arial" w:eastAsia="Arial" w:hAnsi="Arial"/>
                <w:sz w:val="18"/>
                <w:szCs w:val="18"/>
                <w:color w:val="0000FF"/>
                <w:w w:val="90"/>
              </w:rPr>
            </w:pPr>
            <w:hyperlink r:id="rId289">
              <w:r>
                <w:rPr>
                  <w:rFonts w:ascii="Arial" w:cs="Arial" w:eastAsia="Arial" w:hAnsi="Arial"/>
                  <w:sz w:val="18"/>
                  <w:szCs w:val="18"/>
                  <w:color w:val="0000FF"/>
                  <w:w w:val="90"/>
                </w:rPr>
                <w:t>Agreement of Indemnity, dated as of September 7, 2011, by and among Great Lakes Dredge &amp; Dock Corporation, Great Lakes Dredge</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289">
              <w:r>
                <w:rPr>
                  <w:rFonts w:ascii="Arial" w:cs="Arial" w:eastAsia="Arial" w:hAnsi="Arial"/>
                  <w:sz w:val="18"/>
                  <w:szCs w:val="18"/>
                  <w:color w:val="0000FF"/>
                  <w:w w:val="92"/>
                </w:rPr>
                <w:t>&amp; Dock Company, LLC, Lydon Dredging and Construction Company, Ltd., Fifty-Three Dredging Corporation, Dawson Marine</w:t>
              </w:r>
            </w:hyperlink>
          </w:p>
        </w:tc>
        <w:tc>
          <w:tcPr>
            <w:tcW w:w="50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289">
              <w:r>
                <w:rPr>
                  <w:rFonts w:ascii="Arial" w:cs="Arial" w:eastAsia="Arial" w:hAnsi="Arial"/>
                  <w:sz w:val="18"/>
                  <w:szCs w:val="18"/>
                  <w:color w:val="0000FF"/>
                  <w:w w:val="92"/>
                </w:rPr>
                <w:t>Services Company, Great Lakes Dredge &amp; Dock Environmental, Inc. f/k/a Great Lakes Caribbean Dredging, Inc., NASDI, LLC,</w:t>
              </w:r>
            </w:hyperlink>
          </w:p>
        </w:tc>
        <w:tc>
          <w:tcPr>
            <w:tcW w:w="44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289">
              <w:r>
                <w:rPr>
                  <w:rFonts w:ascii="Arial" w:cs="Arial" w:eastAsia="Arial" w:hAnsi="Arial"/>
                  <w:sz w:val="18"/>
                  <w:szCs w:val="18"/>
                  <w:color w:val="0000FF"/>
                  <w:w w:val="92"/>
                </w:rPr>
                <w:t>NASDI Holdings Corporation, Yankee Environmental Services, LLC, Great Lakes Dredge &amp; Dock (Bahamas) Ltd. and Zurich</w:t>
              </w:r>
            </w:hyperlink>
          </w:p>
        </w:tc>
        <w:tc>
          <w:tcPr>
            <w:tcW w:w="56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89">
              <w:r>
                <w:rPr>
                  <w:rFonts w:ascii="Arial" w:cs="Arial" w:eastAsia="Arial" w:hAnsi="Arial"/>
                  <w:sz w:val="18"/>
                  <w:szCs w:val="18"/>
                  <w:color w:val="0000FF"/>
                  <w:w w:val="91"/>
                </w:rPr>
                <w:t>American Insurance Company and its subsidiaries and affiliates. (Incorporated by reference to Great Lakes Dredge &amp; Dock</w:t>
              </w:r>
            </w:hyperlink>
          </w:p>
        </w:tc>
        <w:tc>
          <w:tcPr>
            <w:tcW w:w="800" w:type="dxa"/>
            <w:vAlign w:val="bottom"/>
            <w:gridSpan w:val="1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1"/>
          </w:tcPr>
          <w:p>
            <w:pPr>
              <w:spacing w:after="0" w:line="196" w:lineRule="exact"/>
              <w:rPr>
                <w:rFonts w:ascii="Arial" w:cs="Arial" w:eastAsia="Arial" w:hAnsi="Arial"/>
                <w:sz w:val="18"/>
                <w:szCs w:val="18"/>
                <w:color w:val="0000FF"/>
              </w:rPr>
            </w:pPr>
            <w:hyperlink r:id="rId289">
              <w:r>
                <w:rPr>
                  <w:rFonts w:ascii="Arial" w:cs="Arial" w:eastAsia="Arial" w:hAnsi="Arial"/>
                  <w:sz w:val="18"/>
                  <w:szCs w:val="18"/>
                  <w:color w:val="0000FF"/>
                </w:rPr>
                <w:t>Corporation’s Annual Report on Form 10-K filed with the Commission on March 29, 2013).</w:t>
              </w:r>
            </w:hyperlink>
          </w:p>
        </w:tc>
      </w:tr>
      <w:tr>
        <w:trPr>
          <w:trHeight w:val="20"/>
        </w:trPr>
        <w:tc>
          <w:tcPr>
            <w:tcW w:w="4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80" w:type="dxa"/>
            <w:vAlign w:val="bottom"/>
            <w:tcBorders>
              <w:right w:val="single" w:sz="8" w:color="0000EE"/>
            </w:tcBorders>
            <w:gridSpan w:val="4"/>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29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29"/>
          </w:tcPr>
          <w:p>
            <w:pPr>
              <w:spacing w:after="0"/>
              <w:rPr>
                <w:rFonts w:ascii="Arial" w:cs="Arial" w:eastAsia="Arial" w:hAnsi="Arial"/>
                <w:sz w:val="18"/>
                <w:szCs w:val="18"/>
                <w:color w:val="0000FF"/>
                <w:w w:val="90"/>
              </w:rPr>
            </w:pPr>
            <w:hyperlink r:id="rId290">
              <w:r>
                <w:rPr>
                  <w:rFonts w:ascii="Arial" w:cs="Arial" w:eastAsia="Arial" w:hAnsi="Arial"/>
                  <w:sz w:val="18"/>
                  <w:szCs w:val="18"/>
                  <w:color w:val="0000FF"/>
                  <w:w w:val="90"/>
                </w:rPr>
                <w:t>First Rider to the General Agreement of Indemnity, dated as of June 4, 2012, by and among Great Lakes Dredge &amp; Dock Corporation,</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290">
              <w:r>
                <w:rPr>
                  <w:rFonts w:ascii="Arial" w:cs="Arial" w:eastAsia="Arial" w:hAnsi="Arial"/>
                  <w:sz w:val="18"/>
                  <w:szCs w:val="18"/>
                  <w:color w:val="0000FF"/>
                  <w:w w:val="92"/>
                </w:rPr>
                <w:t>Great Lakes Dredge &amp; Dock Company, LLC, Lydon Dredging and Construction Company, Ltd., Fifty-Three Dredging Corporation,</w:t>
              </w:r>
            </w:hyperlink>
          </w:p>
        </w:tc>
        <w:tc>
          <w:tcPr>
            <w:tcW w:w="20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Dawson Marine Services Company, Great Lakes Dredge &amp; Dock Environmental, Inc. f/k/a Great Lakes Caribbean Dredging, Inc.,</w:t>
              </w:r>
            </w:hyperlink>
          </w:p>
        </w:tc>
        <w:tc>
          <w:tcPr>
            <w:tcW w:w="320" w:type="dxa"/>
            <w:vAlign w:val="bottom"/>
            <w:gridSpan w:val="10"/>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Great Lakes Dredge &amp; Dock (Bahamas) Ltd. and Zurich American Insurance Company and its subsidiaries and affiliates.</w:t>
              </w:r>
            </w:hyperlink>
          </w:p>
        </w:tc>
        <w:tc>
          <w:tcPr>
            <w:tcW w:w="960" w:type="dxa"/>
            <w:vAlign w:val="bottom"/>
            <w:gridSpan w:val="21"/>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90">
              <w:r>
                <w:rPr>
                  <w:rFonts w:ascii="Arial" w:cs="Arial" w:eastAsia="Arial" w:hAnsi="Arial"/>
                  <w:sz w:val="18"/>
                  <w:szCs w:val="18"/>
                  <w:color w:val="0000FF"/>
                  <w:w w:val="92"/>
                </w:rPr>
                <w:t>(Incorporated by reference to Great Lakes Dredge &amp; Dock Corporation’s Quarterly Report on Form 10-Q filed with the Commission</w:t>
              </w:r>
            </w:hyperlink>
          </w:p>
        </w:tc>
        <w:tc>
          <w:tcPr>
            <w:tcW w:w="1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1"/>
          </w:tcPr>
          <w:p>
            <w:pPr>
              <w:spacing w:after="0" w:line="196" w:lineRule="exact"/>
              <w:rPr>
                <w:rFonts w:ascii="Arial" w:cs="Arial" w:eastAsia="Arial" w:hAnsi="Arial"/>
                <w:sz w:val="18"/>
                <w:szCs w:val="18"/>
                <w:color w:val="0000FF"/>
              </w:rPr>
            </w:pPr>
            <w:hyperlink r:id="rId290">
              <w:r>
                <w:rPr>
                  <w:rFonts w:ascii="Arial" w:cs="Arial" w:eastAsia="Arial" w:hAnsi="Arial"/>
                  <w:sz w:val="18"/>
                  <w:szCs w:val="18"/>
                  <w:color w:val="0000FF"/>
                </w:rPr>
                <w:t>on August 4, 2015).</w:t>
              </w:r>
            </w:hyperlink>
          </w:p>
        </w:tc>
      </w:tr>
      <w:tr>
        <w:trPr>
          <w:trHeight w:val="20"/>
        </w:trPr>
        <w:tc>
          <w:tcPr>
            <w:tcW w:w="4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29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FF"/>
            </w:tcBorders>
            <w:gridSpan w:val="13"/>
          </w:tcPr>
          <w:p>
            <w:pPr>
              <w:spacing w:after="0"/>
              <w:rPr>
                <w:rFonts w:ascii="Arial" w:cs="Arial" w:eastAsia="Arial" w:hAnsi="Arial"/>
                <w:sz w:val="18"/>
                <w:szCs w:val="18"/>
                <w:color w:val="0000FF"/>
                <w:w w:val="90"/>
              </w:rPr>
            </w:pPr>
            <w:hyperlink r:id="rId291">
              <w:r>
                <w:rPr>
                  <w:rFonts w:ascii="Arial" w:cs="Arial" w:eastAsia="Arial" w:hAnsi="Arial"/>
                  <w:sz w:val="18"/>
                  <w:szCs w:val="18"/>
                  <w:color w:val="0000FF"/>
                  <w:w w:val="90"/>
                </w:rPr>
                <w:t>Employment Agreement between Great Lakes Dredge &amp; Dock Corporation and Lasse Petterson, dated as of April 28, 2017.</w:t>
              </w:r>
            </w:hyperlink>
          </w:p>
        </w:tc>
        <w:tc>
          <w:tcPr>
            <w:tcW w:w="760" w:type="dxa"/>
            <w:vAlign w:val="bottom"/>
            <w:gridSpan w:val="1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291">
              <w:r>
                <w:rPr>
                  <w:rFonts w:ascii="Arial" w:cs="Arial" w:eastAsia="Arial" w:hAnsi="Arial"/>
                  <w:sz w:val="18"/>
                  <w:szCs w:val="18"/>
                  <w:color w:val="0000FF"/>
                  <w:w w:val="92"/>
                </w:rPr>
                <w:t>(Incorporated by reference to Great Lakes Dredge &amp; Dock Corporation’s Current Report on Form 8-K filed with the Commission on</w:t>
              </w:r>
            </w:hyperlink>
          </w:p>
        </w:tc>
        <w:tc>
          <w:tcPr>
            <w:tcW w:w="16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1"/>
          </w:tcPr>
          <w:p>
            <w:pPr>
              <w:spacing w:after="0" w:line="196" w:lineRule="exact"/>
              <w:rPr>
                <w:rFonts w:ascii="Arial" w:cs="Arial" w:eastAsia="Arial" w:hAnsi="Arial"/>
                <w:sz w:val="18"/>
                <w:szCs w:val="18"/>
                <w:color w:val="0000FF"/>
              </w:rPr>
            </w:pPr>
            <w:hyperlink r:id="rId291">
              <w:r>
                <w:rPr>
                  <w:rFonts w:ascii="Arial" w:cs="Arial" w:eastAsia="Arial" w:hAnsi="Arial"/>
                  <w:sz w:val="18"/>
                  <w:szCs w:val="18"/>
                  <w:color w:val="0000FF"/>
                </w:rPr>
                <w:t>May 1, 2017).†</w:t>
              </w:r>
            </w:hyperlink>
          </w:p>
        </w:tc>
      </w:tr>
      <w:tr>
        <w:trPr>
          <w:trHeight w:val="20"/>
        </w:trPr>
        <w:tc>
          <w:tcPr>
            <w:tcW w:w="4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29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20"/>
          </w:tcPr>
          <w:p>
            <w:pPr>
              <w:spacing w:after="0"/>
              <w:rPr>
                <w:rFonts w:ascii="Arial" w:cs="Arial" w:eastAsia="Arial" w:hAnsi="Arial"/>
                <w:sz w:val="18"/>
                <w:szCs w:val="18"/>
                <w:color w:val="0000FF"/>
                <w:w w:val="90"/>
              </w:rPr>
            </w:pPr>
            <w:hyperlink r:id="rId292">
              <w:r>
                <w:rPr>
                  <w:rFonts w:ascii="Arial" w:cs="Arial" w:eastAsia="Arial" w:hAnsi="Arial"/>
                  <w:sz w:val="18"/>
                  <w:szCs w:val="18"/>
                  <w:color w:val="0000FF"/>
                  <w:w w:val="90"/>
                </w:rPr>
                <w:t>Employment Agreement between Great Lakes Dredge &amp; Dock Corporation and Scott Kornblau, dated as of September 29, 2021.</w:t>
              </w:r>
            </w:hyperlink>
          </w:p>
        </w:tc>
        <w:tc>
          <w:tcPr>
            <w:tcW w:w="40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292">
              <w:r>
                <w:rPr>
                  <w:rFonts w:ascii="Arial" w:cs="Arial" w:eastAsia="Arial" w:hAnsi="Arial"/>
                  <w:sz w:val="18"/>
                  <w:szCs w:val="18"/>
                  <w:color w:val="0000FF"/>
                  <w:w w:val="92"/>
                </w:rPr>
                <w:t>(Incorporated by reference to Great Lakes Dredge &amp; Dock Corporation’s Current Report on Form 8-K filed with the Commission on</w:t>
              </w:r>
            </w:hyperlink>
          </w:p>
        </w:tc>
        <w:tc>
          <w:tcPr>
            <w:tcW w:w="16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92">
              <w:r>
                <w:rPr>
                  <w:rFonts w:ascii="Arial" w:cs="Arial" w:eastAsia="Arial" w:hAnsi="Arial"/>
                  <w:sz w:val="18"/>
                  <w:szCs w:val="18"/>
                  <w:color w:val="0000FF"/>
                  <w:w w:val="90"/>
                </w:rPr>
                <w:t>October 4 , 2021).†</w:t>
              </w:r>
            </w:hyperlink>
          </w:p>
        </w:tc>
        <w:tc>
          <w:tcPr>
            <w:tcW w:w="8300" w:type="dxa"/>
            <w:vAlign w:val="bottom"/>
            <w:gridSpan w:val="28"/>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29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16"/>
          </w:tcPr>
          <w:p>
            <w:pPr>
              <w:spacing w:after="0"/>
              <w:rPr>
                <w:rFonts w:ascii="Arial" w:cs="Arial" w:eastAsia="Arial" w:hAnsi="Arial"/>
                <w:sz w:val="18"/>
                <w:szCs w:val="18"/>
                <w:color w:val="0000FF"/>
                <w:w w:val="91"/>
              </w:rPr>
            </w:pPr>
            <w:hyperlink r:id="rId293">
              <w:r>
                <w:rPr>
                  <w:rFonts w:ascii="Arial" w:cs="Arial" w:eastAsia="Arial" w:hAnsi="Arial"/>
                  <w:sz w:val="18"/>
                  <w:szCs w:val="18"/>
                  <w:color w:val="0000FF"/>
                  <w:w w:val="91"/>
                </w:rPr>
                <w:t>Employment Agreement between Great Lakes Dredge &amp; Dock Corporation and Vivienne Schiffer, dated as of October 1, 2020.</w:t>
              </w:r>
            </w:hyperlink>
          </w:p>
        </w:tc>
        <w:tc>
          <w:tcPr>
            <w:tcW w:w="52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293">
              <w:r>
                <w:rPr>
                  <w:rFonts w:ascii="Arial" w:cs="Arial" w:eastAsia="Arial" w:hAnsi="Arial"/>
                  <w:sz w:val="18"/>
                  <w:szCs w:val="18"/>
                  <w:color w:val="0000FF"/>
                  <w:w w:val="92"/>
                </w:rPr>
                <w:t>(Incorporated by reference to Great Lakes Dredge &amp; Dock Corporation’s Annual Report on Form 10-K filed with the Commission on</w:t>
              </w:r>
            </w:hyperlink>
          </w:p>
        </w:tc>
        <w:tc>
          <w:tcPr>
            <w:tcW w:w="8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293">
              <w:r>
                <w:rPr>
                  <w:rFonts w:ascii="Arial" w:cs="Arial" w:eastAsia="Arial" w:hAnsi="Arial"/>
                  <w:sz w:val="18"/>
                  <w:szCs w:val="18"/>
                  <w:color w:val="0000FF"/>
                  <w:w w:val="88"/>
                </w:rPr>
                <w:t>February 23, 2022). †</w:t>
              </w:r>
            </w:hyperlink>
          </w:p>
        </w:tc>
        <w:tc>
          <w:tcPr>
            <w:tcW w:w="20" w:type="dxa"/>
            <w:vAlign w:val="bottom"/>
            <w:tcBorders>
              <w:bottom w:val="single" w:sz="8" w:color="0000EE"/>
            </w:tcBorders>
          </w:tcPr>
          <w:p>
            <w:pPr>
              <w:spacing w:after="0"/>
              <w:rPr>
                <w:sz w:val="17"/>
                <w:szCs w:val="17"/>
                <w:color w:val="auto"/>
              </w:rPr>
            </w:pPr>
          </w:p>
        </w:tc>
        <w:tc>
          <w:tcPr>
            <w:tcW w:w="8160" w:type="dxa"/>
            <w:vAlign w:val="bottom"/>
            <w:gridSpan w:val="26"/>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r:id="rId29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tcBorders>
              <w:bottom w:val="single" w:sz="8" w:color="0000FF"/>
            </w:tcBorders>
            <w:gridSpan w:val="11"/>
          </w:tcPr>
          <w:p>
            <w:pPr>
              <w:spacing w:after="0"/>
              <w:rPr>
                <w:rFonts w:ascii="Arial" w:cs="Arial" w:eastAsia="Arial" w:hAnsi="Arial"/>
                <w:sz w:val="18"/>
                <w:szCs w:val="18"/>
                <w:color w:val="0000FF"/>
                <w:w w:val="90"/>
              </w:rPr>
            </w:pPr>
            <w:hyperlink r:id="rId294">
              <w:r>
                <w:rPr>
                  <w:rFonts w:ascii="Arial" w:cs="Arial" w:eastAsia="Arial" w:hAnsi="Arial"/>
                  <w:sz w:val="18"/>
                  <w:szCs w:val="18"/>
                  <w:color w:val="0000FF"/>
                  <w:w w:val="90"/>
                </w:rPr>
                <w:t>Employment Agreement between Great Lakes Dredge &amp; Dock Corporation and James Tastard, dated as of October 1, 2020</w:t>
              </w:r>
            </w:hyperlink>
          </w:p>
        </w:tc>
        <w:tc>
          <w:tcPr>
            <w:tcW w:w="820" w:type="dxa"/>
            <w:vAlign w:val="bottom"/>
            <w:gridSpan w:val="2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294">
              <w:r>
                <w:rPr>
                  <w:rFonts w:ascii="Arial" w:cs="Arial" w:eastAsia="Arial" w:hAnsi="Arial"/>
                  <w:sz w:val="18"/>
                  <w:szCs w:val="18"/>
                  <w:color w:val="0000FF"/>
                  <w:w w:val="92"/>
                </w:rPr>
                <w:t>(Incorporated by reference to Great Lakes Dredge &amp; Dock Corporation’s Quarterly Report on Form 10-Q filed with the Commission</w:t>
              </w:r>
            </w:hyperlink>
          </w:p>
        </w:tc>
        <w:tc>
          <w:tcPr>
            <w:tcW w:w="14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1"/>
          </w:tcPr>
          <w:p>
            <w:pPr>
              <w:spacing w:after="0" w:line="196" w:lineRule="exact"/>
              <w:rPr>
                <w:rFonts w:ascii="Arial" w:cs="Arial" w:eastAsia="Arial" w:hAnsi="Arial"/>
                <w:sz w:val="18"/>
                <w:szCs w:val="18"/>
                <w:color w:val="0000FF"/>
              </w:rPr>
            </w:pPr>
            <w:hyperlink r:id="rId294">
              <w:r>
                <w:rPr>
                  <w:rFonts w:ascii="Arial" w:cs="Arial" w:eastAsia="Arial" w:hAnsi="Arial"/>
                  <w:sz w:val="18"/>
                  <w:szCs w:val="18"/>
                  <w:color w:val="0000FF"/>
                </w:rPr>
                <w:t>on May 4, 2021).†</w:t>
              </w:r>
            </w:hyperlink>
          </w:p>
        </w:tc>
      </w:tr>
      <w:tr>
        <w:trPr>
          <w:trHeight w:val="20"/>
        </w:trPr>
        <w:tc>
          <w:tcPr>
            <w:tcW w:w="4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20" w:type="dxa"/>
            <w:vAlign w:val="bottom"/>
            <w:gridSpan w:val="15"/>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340" w:type="dxa"/>
            <w:vAlign w:val="bottom"/>
            <w:gridSpan w:val="3"/>
          </w:tcPr>
          <w:p>
            <w:pPr>
              <w:spacing w:after="0"/>
              <w:rPr>
                <w:rFonts w:ascii="Arial" w:cs="Arial" w:eastAsia="Arial" w:hAnsi="Arial"/>
                <w:sz w:val="18"/>
                <w:szCs w:val="18"/>
                <w:color w:val="0000FF"/>
              </w:rPr>
            </w:pPr>
            <w:hyperlink r:id="rId295">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31"/>
          </w:tcPr>
          <w:p>
            <w:pPr>
              <w:spacing w:after="0"/>
              <w:rPr>
                <w:rFonts w:ascii="Arial" w:cs="Arial" w:eastAsia="Arial" w:hAnsi="Arial"/>
                <w:sz w:val="18"/>
                <w:szCs w:val="18"/>
                <w:color w:val="0000FF"/>
                <w:w w:val="95"/>
              </w:rPr>
            </w:pPr>
            <w:hyperlink r:id="rId295">
              <w:r>
                <w:rPr>
                  <w:rFonts w:ascii="Arial" w:cs="Arial" w:eastAsia="Arial" w:hAnsi="Arial"/>
                  <w:sz w:val="18"/>
                  <w:szCs w:val="18"/>
                  <w:color w:val="0000FF"/>
                  <w:w w:val="95"/>
                </w:rPr>
                <w:t>Second Amended and Restated Great Lakes Dredge &amp; Dock Company, LLC Annual Bonus Plan effective as of January 1, 2012</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7820" w:type="dxa"/>
            <w:vAlign w:val="bottom"/>
            <w:gridSpan w:val="15"/>
            <w:shd w:val="clear" w:color="auto" w:fill="0000FF"/>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295">
              <w:r>
                <w:rPr>
                  <w:rFonts w:ascii="Arial" w:cs="Arial" w:eastAsia="Arial" w:hAnsi="Arial"/>
                  <w:sz w:val="18"/>
                  <w:szCs w:val="18"/>
                  <w:color w:val="0000FF"/>
                  <w:w w:val="92"/>
                </w:rPr>
                <w:t>(Incorporated by reference to Great Lakes Dredge &amp; Dock Corporation’s Current Report on Form 8-K filed with the Commission on</w:t>
              </w:r>
            </w:hyperlink>
          </w:p>
        </w:tc>
        <w:tc>
          <w:tcPr>
            <w:tcW w:w="16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1"/>
          </w:tcPr>
          <w:p>
            <w:pPr>
              <w:spacing w:after="0" w:line="196" w:lineRule="exact"/>
              <w:rPr>
                <w:rFonts w:ascii="Arial" w:cs="Arial" w:eastAsia="Arial" w:hAnsi="Arial"/>
                <w:sz w:val="18"/>
                <w:szCs w:val="18"/>
                <w:color w:val="0000FF"/>
              </w:rPr>
            </w:pPr>
            <w:hyperlink r:id="rId295">
              <w:r>
                <w:rPr>
                  <w:rFonts w:ascii="Arial" w:cs="Arial" w:eastAsia="Arial" w:hAnsi="Arial"/>
                  <w:sz w:val="18"/>
                  <w:szCs w:val="18"/>
                  <w:color w:val="0000FF"/>
                </w:rPr>
                <w:t>January 17, 2012).†</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56" w:lineRule="exact"/>
        <w:rPr>
          <w:sz w:val="20"/>
          <w:szCs w:val="20"/>
          <w:color w:val="auto"/>
        </w:rPr>
      </w:pPr>
    </w:p>
    <w:p>
      <w:pPr>
        <w:ind w:left="20"/>
        <w:spacing w:after="0"/>
        <w:rPr>
          <w:rFonts w:ascii="Arial" w:cs="Arial" w:eastAsia="Arial" w:hAnsi="Arial"/>
          <w:sz w:val="15"/>
          <w:szCs w:val="15"/>
          <w:u w:val="single" w:color="auto"/>
          <w:color w:val="0000FF"/>
        </w:rPr>
      </w:pPr>
      <w:hyperlink r:id="rId296">
        <w:r>
          <w:rPr>
            <w:rFonts w:ascii="Arial" w:cs="Arial" w:eastAsia="Arial" w:hAnsi="Arial"/>
            <w:sz w:val="15"/>
            <w:szCs w:val="15"/>
            <w:u w:val="single" w:color="auto"/>
            <w:color w:val="0000FF"/>
          </w:rPr>
          <w:t>10.11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27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25273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
        <w:spacing w:after="0"/>
        <w:rPr>
          <w:rFonts w:ascii="Arial" w:cs="Arial" w:eastAsia="Arial" w:hAnsi="Arial"/>
          <w:sz w:val="15"/>
          <w:szCs w:val="15"/>
          <w:u w:val="single" w:color="auto"/>
          <w:color w:val="0000FF"/>
        </w:rPr>
      </w:pPr>
      <w:hyperlink r:id="rId298">
        <w:r>
          <w:rPr>
            <w:rFonts w:ascii="Arial" w:cs="Arial" w:eastAsia="Arial" w:hAnsi="Arial"/>
            <w:sz w:val="15"/>
            <w:szCs w:val="15"/>
            <w:u w:val="single" w:color="auto"/>
            <w:color w:val="0000FF"/>
          </w:rPr>
          <w:t>10.12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rFonts w:ascii="Arial" w:cs="Arial" w:eastAsia="Arial" w:hAnsi="Arial"/>
          <w:sz w:val="15"/>
          <w:szCs w:val="15"/>
          <w:u w:val="single" w:color="auto"/>
          <w:color w:val="0000FF"/>
        </w:rPr>
      </w:pPr>
      <w:hyperlink r:id="rId300">
        <w:r>
          <w:rPr>
            <w:rFonts w:ascii="Arial" w:cs="Arial" w:eastAsia="Arial" w:hAnsi="Arial"/>
            <w:sz w:val="15"/>
            <w:szCs w:val="15"/>
            <w:u w:val="single" w:color="auto"/>
            <w:color w:val="0000FF"/>
          </w:rPr>
          <w:t>10.13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
        <w:spacing w:after="0"/>
        <w:rPr>
          <w:rFonts w:ascii="Arial" w:cs="Arial" w:eastAsia="Arial" w:hAnsi="Arial"/>
          <w:sz w:val="15"/>
          <w:szCs w:val="15"/>
          <w:u w:val="single" w:color="auto"/>
          <w:color w:val="0000FF"/>
        </w:rPr>
      </w:pPr>
      <w:hyperlink r:id="rId302">
        <w:r>
          <w:rPr>
            <w:rFonts w:ascii="Arial" w:cs="Arial" w:eastAsia="Arial" w:hAnsi="Arial"/>
            <w:sz w:val="15"/>
            <w:szCs w:val="15"/>
            <w:u w:val="single" w:color="auto"/>
            <w:color w:val="0000FF"/>
          </w:rPr>
          <w:t>10.14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340"/>
        <w:spacing w:after="0" w:line="277" w:lineRule="auto"/>
        <w:rPr>
          <w:rFonts w:ascii="Arial" w:cs="Arial" w:eastAsia="Arial" w:hAnsi="Arial"/>
          <w:sz w:val="18"/>
          <w:szCs w:val="18"/>
          <w:u w:val="single" w:color="auto"/>
          <w:color w:val="0000FF"/>
        </w:rPr>
      </w:pPr>
      <w:hyperlink r:id="rId296">
        <w:r>
          <w:rPr>
            <w:rFonts w:ascii="Arial" w:cs="Arial" w:eastAsia="Arial" w:hAnsi="Arial"/>
            <w:sz w:val="18"/>
            <w:szCs w:val="18"/>
            <w:u w:val="single" w:color="auto"/>
            <w:color w:val="0000FF"/>
          </w:rPr>
          <w:t>401 (k) Savings Plan. (Incorporated by reference to Great Lakes Dredge &amp; Dock Corporation’s Annual Report on Form 10-K filed</w:t>
        </w:r>
      </w:hyperlink>
      <w:r>
        <w:rPr>
          <w:rFonts w:ascii="Arial" w:cs="Arial" w:eastAsia="Arial" w:hAnsi="Arial"/>
          <w:sz w:val="18"/>
          <w:szCs w:val="18"/>
          <w:u w:val="single" w:color="auto"/>
          <w:color w:val="0000FF"/>
        </w:rPr>
        <w:t xml:space="preserve"> </w:t>
      </w:r>
      <w:hyperlink r:id="rId296">
        <w:r>
          <w:rPr>
            <w:rFonts w:ascii="Arial" w:cs="Arial" w:eastAsia="Arial" w:hAnsi="Arial"/>
            <w:sz w:val="18"/>
            <w:szCs w:val="18"/>
            <w:u w:val="single" w:color="auto"/>
            <w:color w:val="0000FF"/>
          </w:rPr>
          <w:t>with the Commission on March 30,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60001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600011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-45085</wp:posOffset>
            </wp:positionV>
            <wp:extent cx="1998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110" w:lineRule="exact"/>
        <w:rPr>
          <w:sz w:val="20"/>
          <w:szCs w:val="20"/>
          <w:color w:val="auto"/>
        </w:rPr>
      </w:pPr>
    </w:p>
    <w:p>
      <w:pPr>
        <w:ind w:right="100"/>
        <w:spacing w:after="0" w:line="263" w:lineRule="auto"/>
        <w:rPr>
          <w:rFonts w:ascii="Arial" w:cs="Arial" w:eastAsia="Arial" w:hAnsi="Arial"/>
          <w:sz w:val="18"/>
          <w:szCs w:val="18"/>
          <w:u w:val="single" w:color="auto"/>
          <w:color w:val="0000FF"/>
        </w:rPr>
      </w:pPr>
      <w:hyperlink r:id="rId298">
        <w:r>
          <w:rPr>
            <w:rFonts w:ascii="Arial" w:cs="Arial" w:eastAsia="Arial" w:hAnsi="Arial"/>
            <w:sz w:val="18"/>
            <w:szCs w:val="18"/>
            <w:u w:val="single" w:color="auto"/>
            <w:color w:val="0000FF"/>
          </w:rPr>
          <w:t>Amended and Restated Great Lakes Dredge &amp; Dock Corporation Supplemental Savings Plan effective January 1, 2014. (Incorporated</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by reference to Great Lakes Dredge &amp; Dock Corporation’s Annual Report on Form 10-K filed with the Commission on March 11,</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2014).†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61499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614997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-173990</wp:posOffset>
            </wp:positionV>
            <wp:extent cx="59797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597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-36830</wp:posOffset>
            </wp:positionV>
            <wp:extent cx="3524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right="240"/>
        <w:spacing w:after="0" w:line="308" w:lineRule="auto"/>
        <w:rPr>
          <w:rFonts w:ascii="Arial" w:cs="Arial" w:eastAsia="Arial" w:hAnsi="Arial"/>
          <w:sz w:val="17"/>
          <w:szCs w:val="17"/>
          <w:u w:val="single" w:color="auto"/>
          <w:color w:val="0000FF"/>
        </w:rPr>
      </w:pPr>
      <w:hyperlink r:id="rId300">
        <w:r>
          <w:rPr>
            <w:rFonts w:ascii="Arial" w:cs="Arial" w:eastAsia="Arial" w:hAnsi="Arial"/>
            <w:sz w:val="17"/>
            <w:szCs w:val="17"/>
            <w:u w:val="single" w:color="auto"/>
            <w:color w:val="0000FF"/>
          </w:rPr>
          <w:t>Great Lakes Dredge &amp; Dock Corporation Director Deferral Plan, adopted on November 8, 2017 (Incorporated by reference to Great</w:t>
        </w:r>
      </w:hyperlink>
      <w:r>
        <w:rPr>
          <w:rFonts w:ascii="Arial" w:cs="Arial" w:eastAsia="Arial" w:hAnsi="Arial"/>
          <w:sz w:val="17"/>
          <w:szCs w:val="17"/>
          <w:u w:val="single" w:color="auto"/>
          <w:color w:val="0000FF"/>
        </w:rPr>
        <w:t xml:space="preserve"> </w:t>
      </w:r>
      <w:hyperlink r:id="rId300">
        <w:r>
          <w:rPr>
            <w:rFonts w:ascii="Arial" w:cs="Arial" w:eastAsia="Arial" w:hAnsi="Arial"/>
            <w:sz w:val="17"/>
            <w:szCs w:val="17"/>
            <w:u w:val="single" w:color="auto"/>
            <w:color w:val="0000FF"/>
          </w:rPr>
          <w:t>Lakes Dredge &amp; Dock Corporation’s Annual Report on Form 10-K filed with the Commission on February 28,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606234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60623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-60325</wp:posOffset>
            </wp:positionV>
            <wp:extent cx="54546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5454650" cy="8255"/>
                    </a:xfrm>
                    <a:prstGeom prst="rect">
                      <a:avLst/>
                    </a:prstGeom>
                    <a:noFill/>
                  </pic:spPr>
                </pic:pic>
              </a:graphicData>
            </a:graphic>
          </wp:anchor>
        </w:drawing>
      </w:r>
    </w:p>
    <w:p>
      <w:pPr>
        <w:spacing w:after="0" w:line="86" w:lineRule="exact"/>
        <w:rPr>
          <w:sz w:val="20"/>
          <w:szCs w:val="20"/>
          <w:color w:val="auto"/>
        </w:rPr>
      </w:pPr>
    </w:p>
    <w:p>
      <w:pPr>
        <w:ind w:right="180"/>
        <w:spacing w:after="0" w:line="259" w:lineRule="auto"/>
        <w:rPr>
          <w:rFonts w:ascii="Arial" w:cs="Arial" w:eastAsia="Arial" w:hAnsi="Arial"/>
          <w:sz w:val="18"/>
          <w:szCs w:val="18"/>
          <w:u w:val="single" w:color="auto"/>
          <w:color w:val="0000FF"/>
        </w:rPr>
      </w:pPr>
      <w:hyperlink r:id="rId302">
        <w:r>
          <w:rPr>
            <w:rFonts w:ascii="Arial" w:cs="Arial" w:eastAsia="Arial" w:hAnsi="Arial"/>
            <w:sz w:val="18"/>
            <w:szCs w:val="18"/>
            <w:u w:val="single" w:color="auto"/>
            <w:color w:val="0000FF"/>
          </w:rPr>
          <w:t>Form of Investor Rights Agreement among Aldabra Acquisition Corporation, Great Lakes Dredge &amp; Dock Holdings Corp., Madison</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Dearborn Capital Partners IV, L.P., certain stockholders of Aldabra Acquisition Corporation and certain stockholders of GLDD</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Acquisitions Corp. (Incorporated by reference to Great Lakes Dredge &amp; Dock Holding Corp.’s Registration Statement on Form S-4</w:t>
        </w:r>
      </w:hyperlink>
      <w:r>
        <w:rPr>
          <w:rFonts w:ascii="Arial" w:cs="Arial" w:eastAsia="Arial" w:hAnsi="Arial"/>
          <w:sz w:val="18"/>
          <w:szCs w:val="18"/>
          <w:u w:val="single" w:color="auto"/>
          <w:color w:val="0000FF"/>
        </w:rPr>
        <w:t xml:space="preserve"> </w:t>
      </w:r>
      <w:hyperlink r:id="rId302">
        <w:r>
          <w:rPr>
            <w:rFonts w:ascii="Arial" w:cs="Arial" w:eastAsia="Arial" w:hAnsi="Arial"/>
            <w:sz w:val="18"/>
            <w:szCs w:val="18"/>
            <w:u w:val="single" w:color="auto"/>
            <w:color w:val="0000FF"/>
          </w:rPr>
          <w:t>filed with the Commission on August 24, 2006).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-446405</wp:posOffset>
            </wp:positionV>
            <wp:extent cx="6104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6104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-309245</wp:posOffset>
            </wp:positionV>
            <wp:extent cx="583628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583628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-172085</wp:posOffset>
            </wp:positionV>
            <wp:extent cx="60413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604139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-34925</wp:posOffset>
            </wp:positionV>
            <wp:extent cx="22117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80" w:space="720"/>
            <w:col w:w="9740"/>
          </w:cols>
          <w:pgMar w:left="320" w:top="135" w:right="339" w:bottom="1440" w:gutter="0" w:footer="0" w:header="0"/>
          <w:type w:val="continuous"/>
        </w:sectPr>
      </w:pPr>
    </w:p>
    <w:p>
      <w:pPr>
        <w:spacing w:after="0" w:line="149"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1" w:name="page82"/>
    <w:bookmarkEnd w:id="81"/>
    <w:p>
      <w:pPr>
        <w:ind w:left="360"/>
        <w:spacing w:after="0"/>
        <w:tabs>
          <w:tab w:leader="none" w:pos="54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77" w:lineRule="exact"/>
        <w:rPr>
          <w:sz w:val="20"/>
          <w:szCs w:val="20"/>
          <w:color w:val="auto"/>
        </w:rPr>
      </w:pPr>
    </w:p>
    <w:p>
      <w:pPr>
        <w:ind w:left="20"/>
        <w:spacing w:after="0"/>
        <w:rPr>
          <w:rFonts w:ascii="Arial" w:cs="Arial" w:eastAsia="Arial" w:hAnsi="Arial"/>
          <w:sz w:val="15"/>
          <w:szCs w:val="15"/>
          <w:u w:val="single" w:color="auto"/>
          <w:color w:val="0000FF"/>
        </w:rPr>
      </w:pPr>
      <w:hyperlink r:id="rId317">
        <w:r>
          <w:rPr>
            <w:rFonts w:ascii="Arial" w:cs="Arial" w:eastAsia="Arial" w:hAnsi="Arial"/>
            <w:sz w:val="15"/>
            <w:szCs w:val="15"/>
            <w:u w:val="single" w:color="auto"/>
            <w:color w:val="0000FF"/>
          </w:rPr>
          <w:t>10.15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
        <w:spacing w:after="0"/>
        <w:rPr>
          <w:rFonts w:ascii="Arial" w:cs="Arial" w:eastAsia="Arial" w:hAnsi="Arial"/>
          <w:sz w:val="15"/>
          <w:szCs w:val="15"/>
          <w:u w:val="single" w:color="auto"/>
          <w:color w:val="0000FF"/>
        </w:rPr>
      </w:pPr>
      <w:hyperlink r:id="rId319">
        <w:r>
          <w:rPr>
            <w:rFonts w:ascii="Arial" w:cs="Arial" w:eastAsia="Arial" w:hAnsi="Arial"/>
            <w:sz w:val="15"/>
            <w:szCs w:val="15"/>
            <w:u w:val="single" w:color="auto"/>
            <w:color w:val="0000FF"/>
          </w:rPr>
          <w:t>10.16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
        <w:spacing w:after="0"/>
        <w:rPr>
          <w:rFonts w:ascii="Arial" w:cs="Arial" w:eastAsia="Arial" w:hAnsi="Arial"/>
          <w:sz w:val="15"/>
          <w:szCs w:val="15"/>
          <w:u w:val="single" w:color="auto"/>
          <w:color w:val="0000FF"/>
        </w:rPr>
      </w:pPr>
      <w:hyperlink r:id="rId321">
        <w:r>
          <w:rPr>
            <w:rFonts w:ascii="Arial" w:cs="Arial" w:eastAsia="Arial" w:hAnsi="Arial"/>
            <w:sz w:val="15"/>
            <w:szCs w:val="15"/>
            <w:u w:val="single" w:color="auto"/>
            <w:color w:val="0000FF"/>
          </w:rPr>
          <w:t>10.17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317">
        <w:r>
          <w:rPr>
            <w:rFonts w:ascii="Arial" w:cs="Arial" w:eastAsia="Arial" w:hAnsi="Arial"/>
            <w:sz w:val="18"/>
            <w:szCs w:val="18"/>
            <w:u w:val="single" w:color="auto"/>
            <w:color w:val="0000FF"/>
          </w:rPr>
          <w:t>Great Lakes Dredge &amp; Dock Corporation 2017 Long-Term Incentive Plan (Incorporated by reference to Great Lakes Dredge &amp; Dock</w:t>
        </w:r>
      </w:hyperlink>
      <w:r>
        <w:rPr>
          <w:rFonts w:ascii="Arial" w:cs="Arial" w:eastAsia="Arial" w:hAnsi="Arial"/>
          <w:sz w:val="18"/>
          <w:szCs w:val="18"/>
          <w:u w:val="single" w:color="auto"/>
          <w:color w:val="0000FF"/>
        </w:rPr>
        <w:t xml:space="preserve"> </w:t>
      </w:r>
      <w:hyperlink r:id="rId317">
        <w:r>
          <w:rPr>
            <w:rFonts w:ascii="Arial" w:cs="Arial" w:eastAsia="Arial" w:hAnsi="Arial"/>
            <w:sz w:val="18"/>
            <w:szCs w:val="18"/>
            <w:u w:val="single" w:color="auto"/>
            <w:color w:val="0000FF"/>
          </w:rPr>
          <w:t>Corporation’s Current Report on Form 8-K filed with the Commission on May 17,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61182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6118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-45085</wp:posOffset>
            </wp:positionV>
            <wp:extent cx="41478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spacing w:after="0" w:line="110"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319">
        <w:r>
          <w:rPr>
            <w:rFonts w:ascii="Arial" w:cs="Arial" w:eastAsia="Arial" w:hAnsi="Arial"/>
            <w:sz w:val="18"/>
            <w:szCs w:val="18"/>
            <w:u w:val="single" w:color="auto"/>
            <w:color w:val="0000FF"/>
          </w:rPr>
          <w:t>Great Lakes Dredge &amp; Dock Corporation 2021 Long-Term Incentive Plan (Incorporated by reference to Great Lakes Dredge &amp; Dock</w:t>
        </w:r>
      </w:hyperlink>
      <w:r>
        <w:rPr>
          <w:rFonts w:ascii="Arial" w:cs="Arial" w:eastAsia="Arial" w:hAnsi="Arial"/>
          <w:sz w:val="18"/>
          <w:szCs w:val="18"/>
          <w:u w:val="single" w:color="auto"/>
          <w:color w:val="0000FF"/>
        </w:rPr>
        <w:t xml:space="preserve"> </w:t>
      </w:r>
      <w:hyperlink r:id="rId319">
        <w:r>
          <w:rPr>
            <w:rFonts w:ascii="Arial" w:cs="Arial" w:eastAsia="Arial" w:hAnsi="Arial"/>
            <w:sz w:val="18"/>
            <w:szCs w:val="18"/>
            <w:u w:val="single" w:color="auto"/>
            <w:color w:val="0000FF"/>
          </w:rPr>
          <w:t>Corporation’s Current Report on Form 8-K filed with the Commission on May 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61182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6118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-45085</wp:posOffset>
            </wp:positionV>
            <wp:extent cx="40906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4090670" cy="8255"/>
                    </a:xfrm>
                    <a:prstGeom prst="rect">
                      <a:avLst/>
                    </a:prstGeom>
                    <a:noFill/>
                  </pic:spPr>
                </pic:pic>
              </a:graphicData>
            </a:graphic>
          </wp:anchor>
        </w:drawing>
      </w:r>
    </w:p>
    <w:p>
      <w:pPr>
        <w:spacing w:after="0" w:line="110" w:lineRule="exact"/>
        <w:rPr>
          <w:sz w:val="20"/>
          <w:szCs w:val="20"/>
          <w:color w:val="auto"/>
        </w:rPr>
      </w:pPr>
    </w:p>
    <w:p>
      <w:pPr>
        <w:ind w:right="20"/>
        <w:spacing w:after="0" w:line="263" w:lineRule="auto"/>
        <w:rPr>
          <w:rFonts w:ascii="Arial" w:cs="Arial" w:eastAsia="Arial" w:hAnsi="Arial"/>
          <w:sz w:val="18"/>
          <w:szCs w:val="18"/>
          <w:u w:val="single" w:color="auto"/>
          <w:color w:val="0000FF"/>
        </w:rPr>
      </w:pPr>
      <w:hyperlink r:id="rId321">
        <w:r>
          <w:rPr>
            <w:rFonts w:ascii="Arial" w:cs="Arial" w:eastAsia="Arial" w:hAnsi="Arial"/>
            <w:sz w:val="18"/>
            <w:szCs w:val="18"/>
            <w:u w:val="single" w:color="auto"/>
            <w:color w:val="0000FF"/>
          </w:rPr>
          <w:t>Form of Great Lakes Dredge &amp; Dock Corporation Restricted Stock Unit Award Agreement pursuant to the Great Lakes Dredge &amp;</w:t>
        </w:r>
      </w:hyperlink>
      <w:r>
        <w:rPr>
          <w:rFonts w:ascii="Arial" w:cs="Arial" w:eastAsia="Arial" w:hAnsi="Arial"/>
          <w:sz w:val="18"/>
          <w:szCs w:val="18"/>
          <w:u w:val="single" w:color="auto"/>
          <w:color w:val="0000FF"/>
        </w:rPr>
        <w:t xml:space="preserve"> </w:t>
      </w:r>
      <w:hyperlink r:id="rId321">
        <w:r>
          <w:rPr>
            <w:rFonts w:ascii="Arial" w:cs="Arial" w:eastAsia="Arial" w:hAnsi="Arial"/>
            <w:sz w:val="18"/>
            <w:szCs w:val="18"/>
            <w:u w:val="single" w:color="auto"/>
            <w:color w:val="0000FF"/>
          </w:rPr>
          <w:t>Dock Corporation 2017 Long-Term Incentive Plan. (Incorporated by reference to Great Lakes Dredge &amp; Dock Corporation’s Quarterly</w:t>
        </w:r>
      </w:hyperlink>
      <w:r>
        <w:rPr>
          <w:rFonts w:ascii="Arial" w:cs="Arial" w:eastAsia="Arial" w:hAnsi="Arial"/>
          <w:sz w:val="18"/>
          <w:szCs w:val="18"/>
          <w:u w:val="single" w:color="auto"/>
          <w:color w:val="0000FF"/>
        </w:rPr>
        <w:t xml:space="preserve"> </w:t>
      </w:r>
      <w:hyperlink r:id="rId321">
        <w:r>
          <w:rPr>
            <w:rFonts w:ascii="Arial" w:cs="Arial" w:eastAsia="Arial" w:hAnsi="Arial"/>
            <w:sz w:val="18"/>
            <w:szCs w:val="18"/>
            <w:u w:val="single" w:color="auto"/>
            <w:color w:val="0000FF"/>
          </w:rPr>
          <w:t>Report on Form 10-Q filed with the Commission on May 4, 2018). †</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-311150</wp:posOffset>
            </wp:positionV>
            <wp:extent cx="59734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59734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-173990</wp:posOffset>
            </wp:positionV>
            <wp:extent cx="61804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-36830</wp:posOffset>
            </wp:positionV>
            <wp:extent cx="31419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3141980" cy="8890"/>
                    </a:xfrm>
                    <a:prstGeom prst="rect">
                      <a:avLst/>
                    </a:prstGeom>
                    <a:noFill/>
                  </pic:spPr>
                </pic:pic>
              </a:graphicData>
            </a:graphic>
          </wp:anchor>
        </w:drawing>
      </w:r>
    </w:p>
    <w:p>
      <w:pPr>
        <w:spacing w:after="0" w:line="126" w:lineRule="exact"/>
        <w:rPr>
          <w:rFonts w:ascii="Arial" w:cs="Arial" w:eastAsia="Arial" w:hAnsi="Arial"/>
          <w:sz w:val="18"/>
          <w:szCs w:val="18"/>
          <w:u w:val="single" w:color="auto"/>
          <w:color w:val="0000FF"/>
        </w:rPr>
      </w:pPr>
    </w:p>
    <w:p>
      <w:pPr>
        <w:sectPr>
          <w:pgSz w:w="11900" w:h="16838" w:orient="portrait"/>
          <w:cols w:equalWidth="0" w:num="2">
            <w:col w:w="780" w:space="720"/>
            <w:col w:w="9740"/>
          </w:cols>
          <w:pgMar w:left="320" w:top="135"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80" w:type="dxa"/>
            <w:vAlign w:val="bottom"/>
            <w:gridSpan w:val="2"/>
          </w:tcPr>
          <w:p>
            <w:pPr>
              <w:jc w:val="right"/>
              <w:ind w:right="1080"/>
              <w:spacing w:after="0"/>
              <w:rPr>
                <w:rFonts w:ascii="Arial" w:cs="Arial" w:eastAsia="Arial" w:hAnsi="Arial"/>
                <w:sz w:val="18"/>
                <w:szCs w:val="18"/>
                <w:color w:val="0000FF"/>
                <w:w w:val="84"/>
              </w:rPr>
            </w:pPr>
            <w:hyperlink r:id="rId33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hyperlink>
          </w:p>
        </w:tc>
        <w:tc>
          <w:tcPr>
            <w:tcW w:w="9600" w:type="dxa"/>
            <w:vAlign w:val="bottom"/>
            <w:gridSpan w:val="6"/>
          </w:tcPr>
          <w:p>
            <w:pPr>
              <w:spacing w:after="0"/>
              <w:rPr>
                <w:rFonts w:ascii="Arial" w:cs="Arial" w:eastAsia="Arial" w:hAnsi="Arial"/>
                <w:sz w:val="18"/>
                <w:szCs w:val="18"/>
                <w:color w:val="0000FF"/>
                <w:w w:val="92"/>
              </w:rPr>
            </w:pPr>
            <w:hyperlink r:id="rId330">
              <w:r>
                <w:rPr>
                  <w:rFonts w:ascii="Arial" w:cs="Arial" w:eastAsia="Arial" w:hAnsi="Arial"/>
                  <w:sz w:val="18"/>
                  <w:szCs w:val="18"/>
                  <w:color w:val="0000FF"/>
                  <w:w w:val="92"/>
                </w:rPr>
                <w:t>Form of Great Lakes Dredge &amp; Dock Corporation Performance-Based Restricted Stock Unit Award Agreement (Three Year Form)</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5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30">
              <w:r>
                <w:rPr>
                  <w:rFonts w:ascii="Arial" w:cs="Arial" w:eastAsia="Arial" w:hAnsi="Arial"/>
                  <w:sz w:val="18"/>
                  <w:szCs w:val="18"/>
                  <w:color w:val="0000FF"/>
                  <w:w w:val="91"/>
                </w:rPr>
                <w:t>pursuant to the Great Lakes Dredge &amp; Dock Corporation 2017 Long-Term Incentive Plan. (Incorporated by reference to Great Lakes</w:t>
              </w:r>
            </w:hyperlink>
          </w:p>
        </w:tc>
      </w:tr>
      <w:tr>
        <w:trPr>
          <w:trHeight w:val="196"/>
        </w:trPr>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0" w:type="dxa"/>
            <w:vAlign w:val="bottom"/>
            <w:gridSpan w:val="6"/>
          </w:tcPr>
          <w:p>
            <w:pPr>
              <w:spacing w:after="0" w:line="196" w:lineRule="exact"/>
              <w:rPr>
                <w:rFonts w:ascii="Arial" w:cs="Arial" w:eastAsia="Arial" w:hAnsi="Arial"/>
                <w:sz w:val="18"/>
                <w:szCs w:val="18"/>
                <w:color w:val="0000FF"/>
              </w:rPr>
            </w:pPr>
            <w:hyperlink r:id="rId330">
              <w:r>
                <w:rPr>
                  <w:rFonts w:ascii="Arial" w:cs="Arial" w:eastAsia="Arial" w:hAnsi="Arial"/>
                  <w:sz w:val="18"/>
                  <w:szCs w:val="18"/>
                  <w:color w:val="0000FF"/>
                </w:rPr>
                <w:t>Dredge &amp; Dock Corporation’s Quarterly Report on Form 10-Q filed with the Commission on May 4, 2018). †</w:t>
              </w:r>
            </w:hyperlink>
          </w:p>
        </w:tc>
      </w:tr>
      <w:tr>
        <w:trPr>
          <w:trHeight w:val="20"/>
        </w:trPr>
        <w:tc>
          <w:tcPr>
            <w:tcW w:w="1480" w:type="dxa"/>
            <w:vAlign w:val="bottom"/>
            <w:gridSpan w:val="2"/>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5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372"/>
        </w:trPr>
        <w:tc>
          <w:tcPr>
            <w:tcW w:w="1480" w:type="dxa"/>
            <w:vAlign w:val="bottom"/>
            <w:gridSpan w:val="2"/>
          </w:tcPr>
          <w:p>
            <w:pPr>
              <w:jc w:val="right"/>
              <w:ind w:right="1080"/>
              <w:spacing w:after="0"/>
              <w:rPr>
                <w:rFonts w:ascii="Arial" w:cs="Arial" w:eastAsia="Arial" w:hAnsi="Arial"/>
                <w:sz w:val="18"/>
                <w:szCs w:val="18"/>
                <w:color w:val="0000FF"/>
                <w:w w:val="84"/>
              </w:rPr>
            </w:pPr>
            <w:hyperlink r:id="rId33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9600" w:type="dxa"/>
            <w:vAlign w:val="bottom"/>
            <w:gridSpan w:val="6"/>
          </w:tcPr>
          <w:p>
            <w:pPr>
              <w:spacing w:after="0"/>
              <w:rPr>
                <w:rFonts w:ascii="Arial" w:cs="Arial" w:eastAsia="Arial" w:hAnsi="Arial"/>
                <w:sz w:val="18"/>
                <w:szCs w:val="18"/>
                <w:color w:val="0000FF"/>
                <w:w w:val="96"/>
              </w:rPr>
            </w:pPr>
            <w:hyperlink r:id="rId331">
              <w:r>
                <w:rPr>
                  <w:rFonts w:ascii="Arial" w:cs="Arial" w:eastAsia="Arial" w:hAnsi="Arial"/>
                  <w:sz w:val="18"/>
                  <w:szCs w:val="18"/>
                  <w:color w:val="0000FF"/>
                  <w:w w:val="96"/>
                </w:rPr>
                <w:t>Restricted Stock Unit Award Notice pursuant to the Great Lakes Dredge &amp; Dock Corporation 2017 Long-Term Incentive Plan.</w:t>
              </w:r>
            </w:hyperlink>
          </w:p>
        </w:tc>
      </w:tr>
      <w:tr>
        <w:trPr>
          <w:trHeight w:val="20"/>
        </w:trPr>
        <w:tc>
          <w:tcPr>
            <w:tcW w:w="4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76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331">
              <w:r>
                <w:rPr>
                  <w:rFonts w:ascii="Arial" w:cs="Arial" w:eastAsia="Arial" w:hAnsi="Arial"/>
                  <w:sz w:val="18"/>
                  <w:szCs w:val="18"/>
                  <w:color w:val="0000FF"/>
                  <w:w w:val="92"/>
                </w:rPr>
                <w:t>(Incorporated by reference to Great Lakes Dredge &amp; Dock Corporation’s Quarterly Report on Form 10-Q filed with the Commission</w:t>
              </w:r>
            </w:hyperlink>
          </w:p>
        </w:tc>
      </w:tr>
      <w:tr>
        <w:trPr>
          <w:trHeight w:val="196"/>
        </w:trPr>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331">
              <w:r>
                <w:rPr>
                  <w:rFonts w:ascii="Arial" w:cs="Arial" w:eastAsia="Arial" w:hAnsi="Arial"/>
                  <w:sz w:val="18"/>
                  <w:szCs w:val="18"/>
                  <w:color w:val="0000FF"/>
                  <w:w w:val="90"/>
                </w:rPr>
                <w:t>on May 3, 2019). †</w:t>
              </w:r>
            </w:hyperlink>
          </w:p>
        </w:tc>
        <w:tc>
          <w:tcPr>
            <w:tcW w:w="20" w:type="dxa"/>
            <w:vAlign w:val="bottom"/>
            <w:tcBorders>
              <w:bottom w:val="single" w:sz="8" w:color="0000EE"/>
            </w:tcBorders>
          </w:tcPr>
          <w:p>
            <w:pPr>
              <w:spacing w:after="0"/>
              <w:rPr>
                <w:sz w:val="17"/>
                <w:szCs w:val="17"/>
                <w:color w:val="auto"/>
              </w:rPr>
            </w:pPr>
          </w:p>
        </w:tc>
        <w:tc>
          <w:tcPr>
            <w:tcW w:w="8200" w:type="dxa"/>
            <w:vAlign w:val="bottom"/>
            <w:gridSpan w:val="4"/>
          </w:tcPr>
          <w:p>
            <w:pPr>
              <w:spacing w:after="0"/>
              <w:rPr>
                <w:sz w:val="17"/>
                <w:szCs w:val="17"/>
                <w:color w:val="auto"/>
              </w:rPr>
            </w:pPr>
          </w:p>
        </w:tc>
      </w:tr>
    </w:tbl>
    <w:p>
      <w:pPr>
        <w:spacing w:after="0" w:line="188" w:lineRule="exact"/>
        <w:rPr>
          <w:sz w:val="20"/>
          <w:szCs w:val="20"/>
          <w:color w:val="auto"/>
        </w:rPr>
      </w:pPr>
    </w:p>
    <w:p>
      <w:pPr>
        <w:sectPr>
          <w:pgSz w:w="11900" w:h="16838" w:orient="portrait"/>
          <w:cols w:equalWidth="0" w:num="1">
            <w:col w:w="11240"/>
          </w:cols>
          <w:pgMar w:left="320" w:top="135" w:right="339" w:bottom="1440" w:gutter="0" w:footer="0" w:header="0"/>
          <w:type w:val="continuous"/>
        </w:sectPr>
      </w:pPr>
    </w:p>
    <w:p>
      <w:pPr>
        <w:ind w:left="20"/>
        <w:spacing w:after="0"/>
        <w:rPr>
          <w:rFonts w:ascii="Arial" w:cs="Arial" w:eastAsia="Arial" w:hAnsi="Arial"/>
          <w:sz w:val="15"/>
          <w:szCs w:val="15"/>
          <w:u w:val="single" w:color="auto"/>
          <w:color w:val="0000FF"/>
        </w:rPr>
      </w:pPr>
      <w:hyperlink r:id="rId332">
        <w:r>
          <w:rPr>
            <w:rFonts w:ascii="Arial" w:cs="Arial" w:eastAsia="Arial" w:hAnsi="Arial"/>
            <w:sz w:val="15"/>
            <w:szCs w:val="15"/>
            <w:u w:val="single" w:color="auto"/>
            <w:color w:val="0000FF"/>
          </w:rPr>
          <w:t>10.20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rFonts w:ascii="Arial" w:cs="Arial" w:eastAsia="Arial" w:hAnsi="Arial"/>
          <w:sz w:val="15"/>
          <w:szCs w:val="15"/>
          <w:u w:val="single" w:color="auto"/>
          <w:color w:val="0000FF"/>
        </w:rPr>
      </w:pPr>
      <w:hyperlink r:id="rId334">
        <w:r>
          <w:rPr>
            <w:rFonts w:ascii="Arial" w:cs="Arial" w:eastAsia="Arial" w:hAnsi="Arial"/>
            <w:sz w:val="15"/>
            <w:szCs w:val="15"/>
            <w:u w:val="single" w:color="auto"/>
            <w:color w:val="0000FF"/>
          </w:rPr>
          <w:t>10.21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rFonts w:ascii="Arial" w:cs="Arial" w:eastAsia="Arial" w:hAnsi="Arial"/>
          <w:sz w:val="15"/>
          <w:szCs w:val="15"/>
          <w:u w:val="single" w:color="auto"/>
          <w:color w:val="0000FF"/>
        </w:rPr>
      </w:pPr>
      <w:hyperlink r:id="rId336">
        <w:r>
          <w:rPr>
            <w:rFonts w:ascii="Arial" w:cs="Arial" w:eastAsia="Arial" w:hAnsi="Arial"/>
            <w:sz w:val="15"/>
            <w:szCs w:val="15"/>
            <w:u w:val="single" w:color="auto"/>
            <w:color w:val="0000FF"/>
          </w:rPr>
          <w:t>10.22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571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right="20"/>
        <w:spacing w:after="0" w:line="263" w:lineRule="auto"/>
        <w:rPr>
          <w:rFonts w:ascii="Arial" w:cs="Arial" w:eastAsia="Arial" w:hAnsi="Arial"/>
          <w:sz w:val="18"/>
          <w:szCs w:val="18"/>
          <w:u w:val="single" w:color="auto"/>
          <w:color w:val="0000FF"/>
        </w:rPr>
      </w:pPr>
      <w:hyperlink r:id="rId332">
        <w:r>
          <w:rPr>
            <w:rFonts w:ascii="Arial" w:cs="Arial" w:eastAsia="Arial" w:hAnsi="Arial"/>
            <w:sz w:val="18"/>
            <w:szCs w:val="18"/>
            <w:u w:val="single" w:color="auto"/>
            <w:color w:val="0000FF"/>
          </w:rPr>
          <w:t>Performance-Based Restricted Stock Unit Award Notice pursuant to the Great Lakes Dredge &amp; Dock Corporation 2017 Long-Term</w:t>
        </w:r>
      </w:hyperlink>
      <w:r>
        <w:rPr>
          <w:rFonts w:ascii="Arial" w:cs="Arial" w:eastAsia="Arial" w:hAnsi="Arial"/>
          <w:sz w:val="18"/>
          <w:szCs w:val="18"/>
          <w:u w:val="single" w:color="auto"/>
          <w:color w:val="0000FF"/>
        </w:rPr>
        <w:t xml:space="preserve"> </w:t>
      </w:r>
      <w:hyperlink r:id="rId332">
        <w:r>
          <w:rPr>
            <w:rFonts w:ascii="Arial" w:cs="Arial" w:eastAsia="Arial" w:hAnsi="Arial"/>
            <w:sz w:val="18"/>
            <w:szCs w:val="18"/>
            <w:u w:val="single" w:color="auto"/>
            <w:color w:val="0000FF"/>
          </w:rPr>
          <w:t>Incentive Plan. (Incorporated by reference to Great Lakes Dredge &amp; Dock Corporation’s Quarterly Report on Form 10-Q filed with the</w:t>
        </w:r>
      </w:hyperlink>
      <w:r>
        <w:rPr>
          <w:rFonts w:ascii="Arial" w:cs="Arial" w:eastAsia="Arial" w:hAnsi="Arial"/>
          <w:sz w:val="18"/>
          <w:szCs w:val="18"/>
          <w:u w:val="single" w:color="auto"/>
          <w:color w:val="0000FF"/>
        </w:rPr>
        <w:t xml:space="preserve"> </w:t>
      </w:r>
      <w:hyperlink r:id="rId332">
        <w:r>
          <w:rPr>
            <w:rFonts w:ascii="Arial" w:cs="Arial" w:eastAsia="Arial" w:hAnsi="Arial"/>
            <w:sz w:val="18"/>
            <w:szCs w:val="18"/>
            <w:u w:val="single" w:color="auto"/>
            <w:color w:val="0000FF"/>
          </w:rPr>
          <w:t>Commission on May 3, 2019). †</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-311150</wp:posOffset>
            </wp:positionV>
            <wp:extent cx="60382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6038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1804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14820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7" w:right="260"/>
        <w:spacing w:after="0" w:line="263" w:lineRule="auto"/>
        <w:rPr>
          <w:rFonts w:ascii="Arial" w:cs="Arial" w:eastAsia="Arial" w:hAnsi="Arial"/>
          <w:sz w:val="18"/>
          <w:szCs w:val="18"/>
          <w:u w:val="single" w:color="auto"/>
          <w:color w:val="0000FF"/>
        </w:rPr>
      </w:pPr>
      <w:hyperlink r:id="rId334">
        <w:r>
          <w:rPr>
            <w:rFonts w:ascii="Arial" w:cs="Arial" w:eastAsia="Arial" w:hAnsi="Arial"/>
            <w:sz w:val="18"/>
            <w:szCs w:val="18"/>
            <w:u w:val="single" w:color="auto"/>
            <w:color w:val="0000FF"/>
          </w:rPr>
          <w:t>Purchase Agreement, dated May 12, 2021, by and among the Company, certain subsidiary guarantors named therein and BofA</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Securities, Inc., as representative of the initial purchasers named therein. (Incorporated by reference to Great Lakes Dredge &amp; Dock</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Corporation’s Current Report on Form 8-K filed with the Commission on May 18, 2021).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-311150</wp:posOffset>
            </wp:positionV>
            <wp:extent cx="58178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5817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0496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6049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40906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4090670"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7"/>
        <w:spacing w:after="0"/>
        <w:rPr>
          <w:rFonts w:ascii="Arial" w:cs="Arial" w:eastAsia="Arial" w:hAnsi="Arial"/>
          <w:sz w:val="16"/>
          <w:szCs w:val="16"/>
          <w:u w:val="single" w:color="auto"/>
          <w:color w:val="0000FF"/>
        </w:rPr>
      </w:pPr>
      <w:hyperlink r:id="rId336">
        <w:r>
          <w:rPr>
            <w:rFonts w:ascii="Arial" w:cs="Arial" w:eastAsia="Arial" w:hAnsi="Arial"/>
            <w:sz w:val="16"/>
            <w:szCs w:val="16"/>
            <w:u w:val="single" w:color="auto"/>
            <w:color w:val="0000FF"/>
          </w:rPr>
          <w:t>Second Amended and Restated Revolving Credit and Security Agreement dated as of July 29, 2022 by and among Great Lakes Dredge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3810</wp:posOffset>
            </wp:positionV>
            <wp:extent cx="61804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6" w:lineRule="exact"/>
        <w:rPr>
          <w:rFonts w:ascii="Arial" w:cs="Arial" w:eastAsia="Arial" w:hAnsi="Arial"/>
          <w:sz w:val="18"/>
          <w:szCs w:val="18"/>
          <w:u w:val="single" w:color="auto"/>
          <w:color w:val="0000FF"/>
        </w:rPr>
      </w:pPr>
    </w:p>
    <w:p>
      <w:pPr>
        <w:ind w:left="7" w:right="20" w:hanging="7"/>
        <w:spacing w:after="0" w:line="252" w:lineRule="auto"/>
        <w:tabs>
          <w:tab w:leader="none" w:pos="192" w:val="left"/>
        </w:tabs>
        <w:numPr>
          <w:ilvl w:val="0"/>
          <w:numId w:val="31"/>
        </w:numPr>
        <w:rPr>
          <w:rFonts w:ascii="Arial" w:cs="Arial" w:eastAsia="Arial" w:hAnsi="Arial"/>
          <w:sz w:val="18"/>
          <w:szCs w:val="18"/>
          <w:u w:val="single" w:color="auto"/>
          <w:color w:val="0000FF"/>
        </w:rPr>
      </w:pPr>
      <w:hyperlink r:id="rId336">
        <w:r>
          <w:rPr>
            <w:rFonts w:ascii="Arial" w:cs="Arial" w:eastAsia="Arial" w:hAnsi="Arial"/>
            <w:sz w:val="18"/>
            <w:szCs w:val="18"/>
            <w:u w:val="single" w:color="auto"/>
            <w:color w:val="0000FF"/>
          </w:rPr>
          <w:t>Dock Corporation, as Borrower, each other Credit Party party hereto from time to time, the financial institutions which are now or</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which hereafter become a party hereto as lenders, PNC Bank, National Association, as Agent (the “Agent”), PNC Capital Markets,</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CIBC Bank USA, Bank of America, N.A. and Truist Securities, Inc., as Joint Lead Arrangers and Joint Bookrunners, CIBC Bank USA</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and Truist Bank as Co-Syndication Agents, Bank of America, N.A., as Documentation Agent and PNC Bank National Association, as</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Green Loan Coordinator (Incorporated by reference to Great Lakes Dredge &amp; Dock Corporation’s Current Report on Form 8-K filed</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with the Commission on August 1, 2022)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-715645</wp:posOffset>
            </wp:positionV>
            <wp:extent cx="60966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6096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-579120</wp:posOffset>
            </wp:positionV>
            <wp:extent cx="60153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6015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-441960</wp:posOffset>
            </wp:positionV>
            <wp:extent cx="61804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-304165</wp:posOffset>
            </wp:positionV>
            <wp:extent cx="61550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61550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0947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18884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1888490" cy="8890"/>
                    </a:xfrm>
                    <a:prstGeom prst="rect">
                      <a:avLst/>
                    </a:prstGeom>
                    <a:noFill/>
                  </pic:spPr>
                </pic:pic>
              </a:graphicData>
            </a:graphic>
          </wp:anchor>
        </w:drawing>
      </w:r>
    </w:p>
    <w:p>
      <w:pPr>
        <w:spacing w:after="0" w:line="136" w:lineRule="exact"/>
        <w:rPr>
          <w:rFonts w:ascii="Arial" w:cs="Arial" w:eastAsia="Arial" w:hAnsi="Arial"/>
          <w:sz w:val="18"/>
          <w:szCs w:val="18"/>
          <w:u w:val="single" w:color="auto"/>
          <w:color w:val="0000FF"/>
        </w:rPr>
      </w:pPr>
    </w:p>
    <w:p>
      <w:pPr>
        <w:sectPr>
          <w:pgSz w:w="11900" w:h="16838" w:orient="portrait"/>
          <w:cols w:equalWidth="0" w:num="2">
            <w:col w:w="773" w:space="720"/>
            <w:col w:w="9747"/>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80" w:type="dxa"/>
            <w:vAlign w:val="bottom"/>
            <w:gridSpan w:val="2"/>
          </w:tcPr>
          <w:p>
            <w:pPr>
              <w:spacing w:after="0"/>
              <w:rPr>
                <w:rFonts w:ascii="Arial" w:cs="Arial" w:eastAsia="Arial" w:hAnsi="Arial"/>
                <w:sz w:val="18"/>
                <w:szCs w:val="18"/>
                <w:color w:val="0000FF"/>
              </w:rPr>
            </w:pPr>
            <w:hyperlink r:id="rId351">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9740" w:type="dxa"/>
            <w:vAlign w:val="bottom"/>
            <w:gridSpan w:val="15"/>
          </w:tcPr>
          <w:p>
            <w:pPr>
              <w:spacing w:after="0"/>
              <w:rPr>
                <w:rFonts w:ascii="Arial" w:cs="Arial" w:eastAsia="Arial" w:hAnsi="Arial"/>
                <w:sz w:val="18"/>
                <w:szCs w:val="18"/>
                <w:color w:val="0000FF"/>
                <w:w w:val="95"/>
              </w:rPr>
            </w:pPr>
            <w:hyperlink r:id="rId351">
              <w:r>
                <w:rPr>
                  <w:rFonts w:ascii="Arial" w:cs="Arial" w:eastAsia="Arial" w:hAnsi="Arial"/>
                  <w:sz w:val="18"/>
                  <w:szCs w:val="18"/>
                  <w:color w:val="0000FF"/>
                  <w:w w:val="95"/>
                </w:rPr>
                <w:t>Vessel Construction Agreement, dated June 5, 2020 by and between Conrad Shipyard, L.L.C., and Great Lakes Dredge &amp; Dock</w:t>
              </w:r>
            </w:hyperlink>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58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351">
              <w:r>
                <w:rPr>
                  <w:rFonts w:ascii="Arial" w:cs="Arial" w:eastAsia="Arial" w:hAnsi="Arial"/>
                  <w:sz w:val="18"/>
                  <w:szCs w:val="18"/>
                  <w:color w:val="0000FF"/>
                  <w:w w:val="92"/>
                </w:rPr>
                <w:t>Company, LLC. (Incorporated by reference to Great Lakes Dredge &amp; Dock Corporation’s Quarterly Report on Form 10-Q filed with</w:t>
              </w:r>
            </w:hyperlink>
          </w:p>
        </w:tc>
        <w:tc>
          <w:tcPr>
            <w:tcW w:w="1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9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51">
              <w:r>
                <w:rPr>
                  <w:rFonts w:ascii="Arial" w:cs="Arial" w:eastAsia="Arial" w:hAnsi="Arial"/>
                  <w:sz w:val="18"/>
                  <w:szCs w:val="18"/>
                  <w:color w:val="0000FF"/>
                  <w:w w:val="91"/>
                </w:rPr>
                <w:t>the Commission on August 4, 2020). (1)</w:t>
              </w:r>
            </w:hyperlink>
          </w:p>
        </w:tc>
        <w:tc>
          <w:tcPr>
            <w:tcW w:w="6820" w:type="dxa"/>
            <w:vAlign w:val="bottom"/>
            <w:gridSpan w:val="10"/>
          </w:tcPr>
          <w:p>
            <w:pPr>
              <w:spacing w:after="0"/>
              <w:rPr>
                <w:sz w:val="17"/>
                <w:szCs w:val="17"/>
                <w:color w:val="auto"/>
              </w:rPr>
            </w:pPr>
          </w:p>
        </w:tc>
      </w:tr>
      <w:tr>
        <w:trPr>
          <w:trHeight w:val="371"/>
        </w:trPr>
        <w:tc>
          <w:tcPr>
            <w:tcW w:w="20" w:type="dxa"/>
            <w:vAlign w:val="bottom"/>
          </w:tcPr>
          <w:p>
            <w:pPr>
              <w:spacing w:after="0"/>
              <w:rPr>
                <w:sz w:val="24"/>
                <w:szCs w:val="24"/>
                <w:color w:val="auto"/>
              </w:rPr>
            </w:pPr>
          </w:p>
        </w:tc>
        <w:tc>
          <w:tcPr>
            <w:tcW w:w="1480" w:type="dxa"/>
            <w:vAlign w:val="bottom"/>
            <w:gridSpan w:val="2"/>
          </w:tcPr>
          <w:p>
            <w:pPr>
              <w:spacing w:after="0"/>
              <w:rPr>
                <w:rFonts w:ascii="Arial" w:cs="Arial" w:eastAsia="Arial" w:hAnsi="Arial"/>
                <w:sz w:val="18"/>
                <w:szCs w:val="18"/>
                <w:color w:val="0000FF"/>
              </w:rPr>
            </w:pPr>
            <w:hyperlink r:id="rId352">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9740" w:type="dxa"/>
            <w:vAlign w:val="bottom"/>
            <w:gridSpan w:val="15"/>
          </w:tcPr>
          <w:p>
            <w:pPr>
              <w:spacing w:after="0"/>
              <w:rPr>
                <w:rFonts w:ascii="Arial" w:cs="Arial" w:eastAsia="Arial" w:hAnsi="Arial"/>
                <w:sz w:val="18"/>
                <w:szCs w:val="18"/>
                <w:color w:val="0000FF"/>
                <w:w w:val="94"/>
              </w:rPr>
            </w:pPr>
            <w:hyperlink r:id="rId352">
              <w:r>
                <w:rPr>
                  <w:rFonts w:ascii="Arial" w:cs="Arial" w:eastAsia="Arial" w:hAnsi="Arial"/>
                  <w:sz w:val="18"/>
                  <w:szCs w:val="18"/>
                  <w:color w:val="0000FF"/>
                  <w:w w:val="94"/>
                </w:rPr>
                <w:t>Vessel Construction Agreement, dated November 15, 2021 by and between Philly Shipyard Inc., and Great Lakes Dredge &amp; Dock</w:t>
              </w:r>
            </w:hyperlink>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352">
              <w:r>
                <w:rPr>
                  <w:rFonts w:ascii="Arial" w:cs="Arial" w:eastAsia="Arial" w:hAnsi="Arial"/>
                  <w:sz w:val="18"/>
                  <w:szCs w:val="18"/>
                  <w:color w:val="0000FF"/>
                  <w:w w:val="92"/>
                </w:rPr>
                <w:t>Company, LLC. (Incorporated by reference to Great Lakes Dredge &amp; Dock Corporation’s Annual Report on Form 10-K filed with the</w:t>
              </w:r>
            </w:hyperlink>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Arial" w:cs="Arial" w:eastAsia="Arial" w:hAnsi="Arial"/>
                <w:sz w:val="18"/>
                <w:szCs w:val="18"/>
                <w:color w:val="0000FF"/>
                <w:w w:val="91"/>
              </w:rPr>
            </w:pPr>
            <w:hyperlink r:id="rId352">
              <w:r>
                <w:rPr>
                  <w:rFonts w:ascii="Arial" w:cs="Arial" w:eastAsia="Arial" w:hAnsi="Arial"/>
                  <w:sz w:val="18"/>
                  <w:szCs w:val="18"/>
                  <w:color w:val="0000FF"/>
                  <w:w w:val="91"/>
                </w:rPr>
                <w:t>Commission on February 23, 2022). (1)</w:t>
              </w:r>
            </w:hyperlink>
          </w:p>
        </w:tc>
        <w:tc>
          <w:tcPr>
            <w:tcW w:w="6840" w:type="dxa"/>
            <w:vAlign w:val="bottom"/>
            <w:gridSpan w:val="11"/>
          </w:tcPr>
          <w:p>
            <w:pPr>
              <w:spacing w:after="0"/>
              <w:rPr>
                <w:sz w:val="17"/>
                <w:szCs w:val="17"/>
                <w:color w:val="auto"/>
              </w:rPr>
            </w:pPr>
          </w:p>
        </w:tc>
      </w:tr>
      <w:tr>
        <w:trPr>
          <w:trHeight w:val="371"/>
        </w:trPr>
        <w:tc>
          <w:tcPr>
            <w:tcW w:w="20" w:type="dxa"/>
            <w:vAlign w:val="bottom"/>
          </w:tcPr>
          <w:p>
            <w:pPr>
              <w:spacing w:after="0"/>
              <w:rPr>
                <w:sz w:val="24"/>
                <w:szCs w:val="24"/>
                <w:color w:val="auto"/>
              </w:rPr>
            </w:pPr>
          </w:p>
        </w:tc>
        <w:tc>
          <w:tcPr>
            <w:tcW w:w="340" w:type="dxa"/>
            <w:vAlign w:val="bottom"/>
            <w:tcBorders>
              <w:bottom w:val="single" w:sz="8" w:color="0000FF"/>
            </w:tcBorders>
          </w:tcPr>
          <w:p>
            <w:pPr>
              <w:spacing w:after="0"/>
              <w:rPr>
                <w:rFonts w:ascii="Arial" w:cs="Arial" w:eastAsia="Arial" w:hAnsi="Arial"/>
                <w:sz w:val="18"/>
                <w:szCs w:val="18"/>
                <w:color w:val="0000FF"/>
                <w:w w:val="85"/>
              </w:rPr>
            </w:pPr>
            <w:hyperlink r:id="rId353">
              <w:r>
                <w:rPr>
                  <w:rFonts w:ascii="Arial" w:cs="Arial" w:eastAsia="Arial" w:hAnsi="Arial"/>
                  <w:sz w:val="18"/>
                  <w:szCs w:val="18"/>
                  <w:color w:val="0000FF"/>
                  <w:w w:val="85"/>
                </w:rPr>
                <w:t>14.</w:t>
              </w:r>
              <w:r>
                <w:rPr>
                  <w:rFonts w:ascii="Arial" w:cs="Arial" w:eastAsia="Arial" w:hAnsi="Arial"/>
                  <w:sz w:val="18"/>
                  <w:szCs w:val="18"/>
                  <w:u w:val="single" w:color="auto"/>
                  <w:color w:val="0000FF"/>
                  <w:w w:val="85"/>
                </w:rPr>
                <w:t>1</w:t>
              </w:r>
            </w:hyperlink>
          </w:p>
        </w:tc>
        <w:tc>
          <w:tcPr>
            <w:tcW w:w="1140" w:type="dxa"/>
            <w:vAlign w:val="bottom"/>
          </w:tcPr>
          <w:p>
            <w:pPr>
              <w:spacing w:after="0"/>
              <w:rPr>
                <w:sz w:val="24"/>
                <w:szCs w:val="24"/>
                <w:color w:val="auto"/>
              </w:rPr>
            </w:pPr>
          </w:p>
        </w:tc>
        <w:tc>
          <w:tcPr>
            <w:tcW w:w="9440" w:type="dxa"/>
            <w:vAlign w:val="bottom"/>
            <w:tcBorders>
              <w:bottom w:val="single" w:sz="8" w:color="0000FF"/>
            </w:tcBorders>
            <w:gridSpan w:val="11"/>
          </w:tcPr>
          <w:p>
            <w:pPr>
              <w:spacing w:after="0"/>
              <w:rPr>
                <w:rFonts w:ascii="Arial" w:cs="Arial" w:eastAsia="Arial" w:hAnsi="Arial"/>
                <w:sz w:val="18"/>
                <w:szCs w:val="18"/>
                <w:color w:val="0000FF"/>
                <w:w w:val="90"/>
              </w:rPr>
            </w:pPr>
            <w:hyperlink r:id="rId353">
              <w:r>
                <w:rPr>
                  <w:rFonts w:ascii="Arial" w:cs="Arial" w:eastAsia="Arial" w:hAnsi="Arial"/>
                  <w:sz w:val="18"/>
                  <w:szCs w:val="18"/>
                  <w:color w:val="0000FF"/>
                  <w:w w:val="90"/>
                </w:rPr>
                <w:t>Code of Business Conduct and Ethics. (Incorporated by reference to Great Lakes Dredge &amp; Dock Corporation’s Current Report on</w:t>
              </w:r>
            </w:hyperlink>
          </w:p>
        </w:tc>
        <w:tc>
          <w:tcPr>
            <w:tcW w:w="30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740" w:type="dxa"/>
            <w:vAlign w:val="bottom"/>
            <w:gridSpan w:val="15"/>
          </w:tcPr>
          <w:p>
            <w:pPr>
              <w:spacing w:after="0" w:line="196" w:lineRule="exact"/>
              <w:rPr>
                <w:rFonts w:ascii="Arial" w:cs="Arial" w:eastAsia="Arial" w:hAnsi="Arial"/>
                <w:sz w:val="18"/>
                <w:szCs w:val="18"/>
                <w:color w:val="0000FF"/>
              </w:rPr>
            </w:pPr>
            <w:hyperlink r:id="rId353">
              <w:r>
                <w:rPr>
                  <w:rFonts w:ascii="Arial" w:cs="Arial" w:eastAsia="Arial" w:hAnsi="Arial"/>
                  <w:sz w:val="18"/>
                  <w:szCs w:val="18"/>
                  <w:color w:val="0000FF"/>
                </w:rPr>
                <w:t>Form 8-K filed with the Commission on May 18, 2016).</w:t>
              </w:r>
            </w:hyperlink>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1"/>
        </w:trPr>
        <w:tc>
          <w:tcPr>
            <w:tcW w:w="20" w:type="dxa"/>
            <w:vAlign w:val="bottom"/>
            <w:tcBorders>
              <w:bottom w:val="single" w:sz="8" w:color="0000EE"/>
            </w:tcBorders>
          </w:tcPr>
          <w:p>
            <w:pPr>
              <w:spacing w:after="0"/>
              <w:rPr>
                <w:sz w:val="24"/>
                <w:szCs w:val="24"/>
                <w:color w:val="auto"/>
              </w:rPr>
            </w:pPr>
          </w:p>
        </w:tc>
        <w:tc>
          <w:tcPr>
            <w:tcW w:w="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p>
        </w:tc>
        <w:tc>
          <w:tcPr>
            <w:tcW w:w="1140" w:type="dxa"/>
            <w:vAlign w:val="bottom"/>
          </w:tcPr>
          <w:p>
            <w:pPr>
              <w:spacing w:after="0"/>
              <w:rPr>
                <w:sz w:val="24"/>
                <w:szCs w:val="24"/>
                <w:color w:val="auto"/>
              </w:rPr>
            </w:pPr>
          </w:p>
        </w:tc>
        <w:tc>
          <w:tcPr>
            <w:tcW w:w="42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Subsidiaries of Great Lakes Dredge &amp; Dock Corporation. *</w:t>
            </w:r>
          </w:p>
        </w:tc>
        <w:tc>
          <w:tcPr>
            <w:tcW w:w="5460" w:type="dxa"/>
            <w:vAlign w:val="bottom"/>
            <w:gridSpan w:val="8"/>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p>
        </w:tc>
        <w:tc>
          <w:tcPr>
            <w:tcW w:w="114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rPr>
              <w:t>Consent of Deloitte &amp; Touche LLP. *</w:t>
            </w: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140" w:type="dxa"/>
            <w:vAlign w:val="bottom"/>
          </w:tcPr>
          <w:p>
            <w:pPr>
              <w:spacing w:after="0"/>
              <w:rPr>
                <w:sz w:val="24"/>
                <w:szCs w:val="24"/>
                <w:color w:val="auto"/>
              </w:rPr>
            </w:pPr>
          </w:p>
        </w:tc>
        <w:tc>
          <w:tcPr>
            <w:tcW w:w="96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Certification Pursuant to Rules 13a-14 and 15d-14 under the Securities Exchange Act of 1934, as Adopted Pursuant to Section 302 of</w:t>
            </w:r>
          </w:p>
        </w:tc>
        <w:tc>
          <w:tcPr>
            <w:tcW w:w="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the Sarbanes-Oxley Act of 2002. *</w:t>
            </w:r>
          </w:p>
        </w:tc>
        <w:tc>
          <w:tcPr>
            <w:tcW w:w="20" w:type="dxa"/>
            <w:vAlign w:val="bottom"/>
            <w:tcBorders>
              <w:bottom w:val="single" w:sz="8" w:color="0000EE"/>
            </w:tcBorders>
          </w:tcPr>
          <w:p>
            <w:pPr>
              <w:spacing w:after="0"/>
              <w:rPr>
                <w:sz w:val="17"/>
                <w:szCs w:val="17"/>
                <w:color w:val="auto"/>
              </w:rPr>
            </w:pPr>
          </w:p>
        </w:tc>
        <w:tc>
          <w:tcPr>
            <w:tcW w:w="7220" w:type="dxa"/>
            <w:vAlign w:val="bottom"/>
            <w:gridSpan w:val="13"/>
          </w:tcPr>
          <w:p>
            <w:pPr>
              <w:spacing w:after="0"/>
              <w:rPr>
                <w:sz w:val="17"/>
                <w:szCs w:val="17"/>
                <w:color w:val="auto"/>
              </w:rPr>
            </w:pPr>
          </w:p>
        </w:tc>
      </w:tr>
      <w:tr>
        <w:trPr>
          <w:trHeight w:val="371"/>
        </w:trPr>
        <w:tc>
          <w:tcPr>
            <w:tcW w:w="20" w:type="dxa"/>
            <w:vAlign w:val="bottom"/>
          </w:tcPr>
          <w:p>
            <w:pPr>
              <w:spacing w:after="0"/>
              <w:rPr>
                <w:sz w:val="24"/>
                <w:szCs w:val="24"/>
                <w:color w:val="auto"/>
              </w:rPr>
            </w:pPr>
          </w:p>
        </w:tc>
        <w:tc>
          <w:tcPr>
            <w:tcW w:w="3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140" w:type="dxa"/>
            <w:vAlign w:val="bottom"/>
          </w:tcPr>
          <w:p>
            <w:pPr>
              <w:spacing w:after="0"/>
              <w:rPr>
                <w:sz w:val="24"/>
                <w:szCs w:val="24"/>
                <w:color w:val="auto"/>
              </w:rPr>
            </w:pPr>
          </w:p>
        </w:tc>
        <w:tc>
          <w:tcPr>
            <w:tcW w:w="96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Certification Pursuant to Rules 13a-14 and 15d-14 under the Securities Exchange Act of 1934, as Adopted Pursuant to Section 302 of</w:t>
            </w:r>
          </w:p>
        </w:tc>
        <w:tc>
          <w:tcPr>
            <w:tcW w:w="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5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the Sarbanes-Oxley Act of 2002. *</w:t>
            </w:r>
          </w:p>
        </w:tc>
        <w:tc>
          <w:tcPr>
            <w:tcW w:w="20" w:type="dxa"/>
            <w:vAlign w:val="bottom"/>
            <w:tcBorders>
              <w:bottom w:val="single" w:sz="8" w:color="0000EE"/>
            </w:tcBorders>
          </w:tcPr>
          <w:p>
            <w:pPr>
              <w:spacing w:after="0"/>
              <w:rPr>
                <w:sz w:val="17"/>
                <w:szCs w:val="17"/>
                <w:color w:val="auto"/>
              </w:rPr>
            </w:pPr>
          </w:p>
        </w:tc>
        <w:tc>
          <w:tcPr>
            <w:tcW w:w="7220" w:type="dxa"/>
            <w:vAlign w:val="bottom"/>
            <w:gridSpan w:val="13"/>
          </w:tcPr>
          <w:p>
            <w:pPr>
              <w:spacing w:after="0"/>
              <w:rPr>
                <w:sz w:val="17"/>
                <w:szCs w:val="17"/>
                <w:color w:val="auto"/>
              </w:rPr>
            </w:pPr>
          </w:p>
        </w:tc>
      </w:tr>
      <w:tr>
        <w:trPr>
          <w:trHeight w:val="371"/>
        </w:trPr>
        <w:tc>
          <w:tcPr>
            <w:tcW w:w="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114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w w:val="99"/>
              </w:rPr>
              <w:t>Certification Pursuant to 18 U.S.C. Section 1350, as Adopted Pursuant to Section 906 of the Sarbanes-Oxley Act of 2002. *</w:t>
            </w: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00" w:type="dxa"/>
            <w:vAlign w:val="bottom"/>
            <w:gridSpan w:val="8"/>
            <w:shd w:val="clear" w:color="auto" w:fill="0000FF"/>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114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Arial" w:cs="Arial" w:eastAsia="Arial" w:hAnsi="Arial"/>
                <w:sz w:val="18"/>
                <w:szCs w:val="18"/>
                <w:color w:val="0000FF"/>
                <w:w w:val="99"/>
              </w:rPr>
              <w:t>Certification Pursuant to 18 U.S.C. Section 1350, as Adopted Pursuant to Section 906 of the Sarbanes-Oxley Act of 2002. *</w:t>
            </w: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00" w:type="dxa"/>
            <w:vAlign w:val="bottom"/>
            <w:gridSpan w:val="8"/>
            <w:shd w:val="clear" w:color="auto" w:fill="0000FF"/>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15"/>
          </w:tcPr>
          <w:p>
            <w:pPr>
              <w:spacing w:after="0"/>
              <w:rPr>
                <w:sz w:val="20"/>
                <w:szCs w:val="20"/>
                <w:color w:val="auto"/>
              </w:rPr>
            </w:pPr>
            <w:r>
              <w:rPr>
                <w:rFonts w:ascii="Arial" w:cs="Arial" w:eastAsia="Arial" w:hAnsi="Arial"/>
                <w:sz w:val="18"/>
                <w:szCs w:val="18"/>
                <w:color w:val="auto"/>
              </w:rPr>
              <w:t>Inline XBRL Instance Document. *</w:t>
            </w:r>
          </w:p>
        </w:tc>
      </w:tr>
      <w:tr>
        <w:trPr>
          <w:trHeight w:val="59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80" w:type="dxa"/>
            <w:vAlign w:val="bottom"/>
            <w:gridSpan w:val="7"/>
          </w:tcPr>
          <w:p>
            <w:pPr>
              <w:ind w:left="4040"/>
              <w:spacing w:after="0"/>
              <w:rPr>
                <w:sz w:val="20"/>
                <w:szCs w:val="20"/>
                <w:color w:val="auto"/>
              </w:rPr>
            </w:pPr>
            <w:r>
              <w:rPr>
                <w:rFonts w:ascii="Arial" w:cs="Arial" w:eastAsia="Arial" w:hAnsi="Arial"/>
                <w:sz w:val="18"/>
                <w:szCs w:val="18"/>
                <w:color w:val="auto"/>
              </w:rPr>
              <w:t>80</w:t>
            </w: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41"/>
        </w:trPr>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76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Document Description</w:t>
            </w:r>
          </w:p>
        </w:tc>
      </w:tr>
      <w:tr>
        <w:trPr>
          <w:trHeight w:val="230"/>
        </w:trPr>
        <w:tc>
          <w:tcPr>
            <w:tcW w:w="13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Inline XBRL Taxonomy Extension Schema. *</w:t>
            </w:r>
          </w:p>
        </w:tc>
      </w:tr>
      <w:tr>
        <w:trPr>
          <w:trHeight w:val="391"/>
        </w:trPr>
        <w:tc>
          <w:tcPr>
            <w:tcW w:w="13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w:t>
            </w:r>
          </w:p>
        </w:tc>
      </w:tr>
      <w:tr>
        <w:trPr>
          <w:trHeight w:val="391"/>
        </w:trPr>
        <w:tc>
          <w:tcPr>
            <w:tcW w:w="13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w:t>
            </w:r>
          </w:p>
        </w:tc>
      </w:tr>
      <w:tr>
        <w:trPr>
          <w:trHeight w:val="392"/>
        </w:trPr>
        <w:tc>
          <w:tcPr>
            <w:tcW w:w="13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w:t>
            </w:r>
          </w:p>
        </w:tc>
      </w:tr>
      <w:tr>
        <w:trPr>
          <w:trHeight w:val="392"/>
        </w:trPr>
        <w:tc>
          <w:tcPr>
            <w:tcW w:w="13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w:t>
            </w:r>
          </w:p>
        </w:tc>
      </w:tr>
    </w:tbl>
    <w:p>
      <w:pPr>
        <w:spacing w:after="0" w:line="229" w:lineRule="exact"/>
        <w:rPr>
          <w:sz w:val="20"/>
          <w:szCs w:val="20"/>
          <w:color w:val="auto"/>
        </w:rPr>
      </w:pPr>
    </w:p>
    <w:p>
      <w:pPr>
        <w:ind w:left="1500" w:hanging="1479"/>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4" w:name="page85"/>
    <w:bookmarkEnd w:id="84"/>
    <w:p>
      <w:pPr>
        <w:ind w:left="380" w:hanging="372"/>
        <w:spacing w:after="0" w:line="277"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is the type of information that the Company treats as private and confidential.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85" w:name="page86"/>
    <w:bookmarkEnd w:id="85"/>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Great Lakes Dredge &amp; Dock Corporation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By:</w:t>
      </w:r>
    </w:p>
    <w:p>
      <w:pPr>
        <w:spacing w:after="0" w:line="12"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13335</wp:posOffset>
            </wp:positionV>
            <wp:extent cx="32486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30"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Scott Kornblau</w:t>
      </w:r>
    </w:p>
    <w:p>
      <w:pPr>
        <w:spacing w:after="0" w:line="252" w:lineRule="exact"/>
        <w:rPr>
          <w:sz w:val="20"/>
          <w:szCs w:val="20"/>
          <w:color w:val="auto"/>
        </w:rPr>
      </w:pPr>
    </w:p>
    <w:p>
      <w:pPr>
        <w:jc w:val="center"/>
        <w:ind w:left="610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64"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(Principal Financial Officer and Duly Authorized Officer)</w:t>
      </w: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February 17, 2023</w:t>
      </w:r>
    </w:p>
    <w:p>
      <w:pPr>
        <w:spacing w:after="0" w:line="266"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ectPr>
          <w:pgSz w:w="11900" w:h="16838" w:orient="portrait"/>
          <w:cols w:equalWidth="0" w:num="1">
            <w:col w:w="11040"/>
          </w:cols>
          <w:pgMar w:left="320" w:top="121" w:right="53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0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9"/>
              </w:rPr>
              <w:t>Signature</w:t>
            </w:r>
          </w:p>
        </w:tc>
        <w:tc>
          <w:tcPr>
            <w:tcW w:w="144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14"/>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Lasse J. Petterson</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85"/>
              </w:rPr>
              <w:t>Lasse J. Petterson</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Scott Kornblau</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3"/>
              </w:rPr>
              <w:t>Scott Kornblau</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Todd M. Lightfoot</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5"/>
              </w:rPr>
              <w:t>Todd M. Lightfoot</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Lawrence R. Dickerson</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1"/>
              </w:rPr>
              <w:t>Lawrence R. Dickerson</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Elaine J. Dorward-King</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3"/>
              </w:rPr>
              <w:t>Elaine J. Dorward-King</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Ryan J. Levenson</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88"/>
              </w:rPr>
              <w:t>Ryan J. Levenson</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Kathleen M. Shanahan</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89"/>
              </w:rPr>
              <w:t>Kathleen M. Shanahan</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Earl Shipp</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1"/>
              </w:rPr>
              <w:t>Earl Shipp</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Ronald R. Steger</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89"/>
              </w:rPr>
              <w:t>Ronald R. Steger</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2"/>
        </w:trPr>
        <w:tc>
          <w:tcPr>
            <w:tcW w:w="3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 Michael Steuert</w:t>
            </w:r>
          </w:p>
        </w:tc>
        <w:tc>
          <w:tcPr>
            <w:tcW w:w="2280" w:type="dxa"/>
            <w:vAlign w:val="bottom"/>
            <w:gridSpan w:val="3"/>
          </w:tcPr>
          <w:p>
            <w:pPr>
              <w:jc w:val="center"/>
              <w:ind w:left="870"/>
              <w:spacing w:after="0"/>
              <w:rPr>
                <w:sz w:val="20"/>
                <w:szCs w:val="20"/>
                <w:color w:val="auto"/>
              </w:rPr>
            </w:pPr>
            <w:r>
              <w:rPr>
                <w:rFonts w:ascii="Arial" w:cs="Arial" w:eastAsia="Arial" w:hAnsi="Arial"/>
                <w:sz w:val="18"/>
                <w:szCs w:val="18"/>
                <w:color w:val="auto"/>
                <w:w w:val="89"/>
              </w:rPr>
              <w:t>February 17, 2023</w:t>
            </w:r>
          </w:p>
        </w:tc>
      </w:tr>
      <w:tr>
        <w:trPr>
          <w:trHeight w:val="230"/>
        </w:trPr>
        <w:tc>
          <w:tcPr>
            <w:tcW w:w="3260" w:type="dxa"/>
            <w:vAlign w:val="bottom"/>
            <w:gridSpan w:val="3"/>
          </w:tcPr>
          <w:p>
            <w:pPr>
              <w:jc w:val="center"/>
              <w:spacing w:after="0"/>
              <w:rPr>
                <w:sz w:val="20"/>
                <w:szCs w:val="20"/>
                <w:color w:val="auto"/>
              </w:rPr>
            </w:pPr>
            <w:r>
              <w:rPr>
                <w:rFonts w:ascii="Arial" w:cs="Arial" w:eastAsia="Arial" w:hAnsi="Arial"/>
                <w:sz w:val="18"/>
                <w:szCs w:val="18"/>
                <w:color w:val="auto"/>
                <w:w w:val="91"/>
              </w:rPr>
              <w:t>D. Michael Steuert</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Title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Chief Executive Officer and Director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Financial Officer)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Vice President and Chief Accounting Officer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Accounting Officer)</w:t>
      </w:r>
    </w:p>
    <w:p>
      <w:pPr>
        <w:spacing w:after="0" w:line="29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Director</w:t>
      </w:r>
    </w:p>
    <w:p>
      <w:pPr>
        <w:spacing w:after="0" w:line="467" w:lineRule="exact"/>
        <w:rPr>
          <w:sz w:val="20"/>
          <w:szCs w:val="20"/>
          <w:color w:val="auto"/>
        </w:rPr>
      </w:pPr>
    </w:p>
    <w:p>
      <w:pPr>
        <w:sectPr>
          <w:pgSz w:w="11900" w:h="16838" w:orient="portrait"/>
          <w:cols w:equalWidth="0" w:num="2">
            <w:col w:w="5980" w:space="720"/>
            <w:col w:w="4340"/>
          </w:cols>
          <w:pgMar w:left="320" w:top="121" w:right="539" w:bottom="1440" w:gutter="0" w:footer="0" w:header="0"/>
          <w:type w:val="continuous"/>
        </w:sect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c>
          <w:tcPr>
            <w:tcW w:w="35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92"/>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Great Lakes U.S. Fleet Management, LLC</w:t>
            </w:r>
          </w:p>
        </w:tc>
        <w:tc>
          <w:tcPr>
            <w:tcW w:w="35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608"/>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 Solutions, LLC</w:t>
            </w:r>
          </w:p>
        </w:tc>
        <w:tc>
          <w:tcPr>
            <w:tcW w:w="35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608"/>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Great Lakes Dredge &amp; Dock do Brasil Ltda.</w:t>
            </w:r>
          </w:p>
        </w:tc>
        <w:tc>
          <w:tcPr>
            <w:tcW w:w="35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608"/>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356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608"/>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NASDI Holdings, LLC</w:t>
            </w:r>
          </w:p>
        </w:tc>
        <w:tc>
          <w:tcPr>
            <w:tcW w:w="35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91"/>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Terra Contracting Services, LLC</w:t>
            </w:r>
          </w:p>
        </w:tc>
        <w:tc>
          <w:tcPr>
            <w:tcW w:w="35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92"/>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Terra Fluid Management, LLC</w:t>
            </w:r>
          </w:p>
        </w:tc>
        <w:tc>
          <w:tcPr>
            <w:tcW w:w="35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51"/>
        </w:trPr>
        <w:tc>
          <w:tcPr>
            <w:tcW w:w="2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Drews Services LLC</w:t>
            </w:r>
          </w:p>
        </w:tc>
        <w:tc>
          <w:tcPr>
            <w:tcW w:w="3560" w:type="dxa"/>
            <w:vAlign w:val="bottom"/>
            <w:gridSpan w:val="2"/>
          </w:tcPr>
          <w:p>
            <w:pPr>
              <w:spacing w:after="0"/>
              <w:rPr>
                <w:sz w:val="20"/>
                <w:szCs w:val="20"/>
                <w:color w:val="auto"/>
              </w:rPr>
            </w:pPr>
            <w:r>
              <w:rPr>
                <w:rFonts w:ascii="Arial" w:cs="Arial" w:eastAsia="Arial" w:hAnsi="Arial"/>
                <w:sz w:val="18"/>
                <w:szCs w:val="18"/>
                <w:color w:val="auto"/>
              </w:rPr>
              <w:t>South Carolina</w:t>
            </w:r>
          </w:p>
        </w:tc>
      </w:tr>
      <w:tr>
        <w:trPr>
          <w:trHeight w:val="561"/>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333-153207 on Form S-3 and Registration Statement Nos. 333-185350, 333-218242 and 333-256955 on Form S-8 of our reports dated February 17, 2023, relating to the financial statements of Great Lakes Dredge &amp; Dock Corporation and subsidiaries (the “Company”) and the effectiveness of the Company's internal control over financial reporting, appearing in this Annual Report on Form 10-K of Great Lakes Dredge &amp; Dock Corporation for the year ended December 31, 2022.</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Lasse J. Petterson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Kornblau, certify that:</w:t>
      </w:r>
    </w:p>
    <w:p>
      <w:pPr>
        <w:spacing w:after="0" w:line="11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3566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Scott Kornblau</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Annual Report of Great Lakes Dredge &amp; Dock Corporation (the “Company”) on Form 10-K for the year ended December 31, 2022,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020" w:right="5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460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Lasse J. Petterson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2023</w:t>
      </w:r>
    </w:p>
    <w:p>
      <w:pPr>
        <w:spacing w:after="0" w:line="2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2022,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020" w:right="56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Kornblau</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17, 2023</w:t>
      </w:r>
    </w:p>
    <w:p>
      <w:pPr>
        <w:spacing w:after="0" w:line="2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amp;"/>
      <w:numFmt w:val="bullet"/>
      <w:start w:val="1"/>
    </w:lvl>
  </w:abstractNum>
  <w:abstractNum w:abstractNumId="5">
    <w:nsid w:val="333AB105"/>
    <w:multiLevelType w:val="hybridMultilevel"/>
    <w:lvl w:ilvl="0">
      <w:lvlJc w:val="left"/>
      <w:lvlText w:val="&amp;"/>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1)"/>
      <w:numFmt w:val="lowerLetter"/>
      <w:start w:val="3"/>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
      <w:numFmt w:val="bullet"/>
      <w:start w:val="1"/>
    </w:lvl>
    <w:lvl w:ilvl="1">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2"/>
    </w:lvl>
  </w:abstractNum>
  <w:abstractNum w:abstractNumId="30">
    <w:nsid w:val="614FD4A1"/>
    <w:multiLevelType w:val="hybridMultilevel"/>
    <w:lvl w:ilvl="0">
      <w:lvlJc w:val="left"/>
      <w:lvlText w:val="&amp;"/>
      <w:numFmt w:val="bullet"/>
      <w:start w:val="1"/>
    </w:lvl>
  </w:abstractNum>
  <w:abstractNum w:abstractNumId="31">
    <w:nsid w:val="419AC241"/>
    <w:multiLevelType w:val="hybridMultilevel"/>
    <w:lvl w:ilvl="0">
      <w:lvlJc w:val="left"/>
      <w:lvlText w:val="%1"/>
      <w:numFmt w:val="decimal"/>
      <w:start w:val="104"/>
    </w:lvl>
  </w:abstractNum>
  <w:abstractNum w:abstractNumId="32">
    <w:nsid w:val="5577F8E1"/>
    <w:multiLevelType w:val="hybridMultilevel"/>
    <w:lvl w:ilvl="0">
      <w:lvlJc w:val="left"/>
      <w:lvlText w:val="(%1)"/>
      <w:numFmt w:val="decimal"/>
      <w:start w:val="3"/>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97" Type="http://schemas.openxmlformats.org/officeDocument/2006/relationships/image" Target="media/image271.png"/><Relationship Id="rId299" Type="http://schemas.openxmlformats.org/officeDocument/2006/relationships/image" Target="media/image272.png"/><Relationship Id="rId301"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8" Type="http://schemas.openxmlformats.org/officeDocument/2006/relationships/image" Target="media/image288.png"/><Relationship Id="rId320"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3" Type="http://schemas.openxmlformats.org/officeDocument/2006/relationships/image" Target="media/image298.png"/><Relationship Id="rId335"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275" Type="http://schemas.openxmlformats.org/officeDocument/2006/relationships/hyperlink" Target="https://www.sec.gov/Archives/edgar/data/0000885538/000110465904000242/a03-6613_1ex2d1.htm" TargetMode="External"/><Relationship Id="rId276" Type="http://schemas.openxmlformats.org/officeDocument/2006/relationships/hyperlink" Target="https://www.sec.gov/Archives/edgar/data/0000885538/000110465906043195/a06-14169_1ex2d1.htm" TargetMode="External"/><Relationship Id="rId277" Type="http://schemas.openxmlformats.org/officeDocument/2006/relationships/hyperlink" Target="https://www.sec.gov/Archives/edgar/data/0001372020/000110465906083887/a06-25986_1ex3d1.htm" TargetMode="External"/><Relationship Id="rId278" Type="http://schemas.openxmlformats.org/officeDocument/2006/relationships/hyperlink" Target="https://www.sec.gov/Archives/edgar/data/1372020/000095017023000932/gldd-ex3_1.htm" TargetMode="External"/><Relationship Id="rId279" Type="http://schemas.openxmlformats.org/officeDocument/2006/relationships/hyperlink" Target="https://www.sec.gov/Archives/edgar/data/0001372020/000110465906084429/a06-26373_1ex3d1.htm" TargetMode="External"/><Relationship Id="rId280" Type="http://schemas.openxmlformats.org/officeDocument/2006/relationships/hyperlink" Target="https://www.sec.gov/Archives/edgar/data/0001372020/000156459020006778/gldd-ex41_154.htm" TargetMode="External"/><Relationship Id="rId281" Type="http://schemas.openxmlformats.org/officeDocument/2006/relationships/hyperlink" Target="https://www.sec.gov/Archives/edgar/data/0001372020/000110465907021696/a07-5615_1ex4d10.htm" TargetMode="External"/><Relationship Id="rId282" Type="http://schemas.openxmlformats.org/officeDocument/2006/relationships/hyperlink" Target="https://www.sec.gov/Archives/edgar/data/0001372020/000156459021029758/gldd-ex41_42.htm" TargetMode="External"/><Relationship Id="rId283" Type="http://schemas.openxmlformats.org/officeDocument/2006/relationships/hyperlink" Target="https://www.sec.gov/Archives/edgar/data/0001372020/000119312515174607/d919836dex101.htm" TargetMode="External"/><Relationship Id="rId287" Type="http://schemas.openxmlformats.org/officeDocument/2006/relationships/hyperlink" Target="https://www.sec.gov/Archives/edgar/data/0001372020/000119312515174607/d919836dex104.htm" TargetMode="External"/><Relationship Id="rId288" Type="http://schemas.openxmlformats.org/officeDocument/2006/relationships/hyperlink" Target="https://www.sec.gov/Archives/edgar/data/1372020/000119312515174607/d919836dex103.htm" TargetMode="External"/><Relationship Id="rId289" Type="http://schemas.openxmlformats.org/officeDocument/2006/relationships/hyperlink" Target="https://www.sec.gov/Archives/edgar/data/1372020/000119312513134675/d474550dex1042.htm" TargetMode="External"/><Relationship Id="rId290" Type="http://schemas.openxmlformats.org/officeDocument/2006/relationships/hyperlink" Target="https://www.sec.gov/Archives/edgar/data/0001372020/000119312515276701/d58409dex103.htm" TargetMode="External"/><Relationship Id="rId291" Type="http://schemas.openxmlformats.org/officeDocument/2006/relationships/hyperlink" Target="https://www.sec.gov/Archives/edgar/data/0001372020/000156459017007964/gldd-ex101_6.htm" TargetMode="External"/><Relationship Id="rId292" Type="http://schemas.openxmlformats.org/officeDocument/2006/relationships/hyperlink" Target="https://www.sec.gov/Archives/edgar/data/1372020/000156459021050073/gldd-ex101_6.htm" TargetMode="External"/><Relationship Id="rId293" Type="http://schemas.openxmlformats.org/officeDocument/2006/relationships/hyperlink" Target="https://www.sec.gov/Archives/edgar/data/1372020/000156459022006231/gldd-ex1010_1113.htm" TargetMode="External"/><Relationship Id="rId294" Type="http://schemas.openxmlformats.org/officeDocument/2006/relationships/hyperlink" Target="https://www.sec.gov/Archives/edgar/data/0001372020/000156459021023311/gldd-ex101_83.htm" TargetMode="External"/><Relationship Id="rId295" Type="http://schemas.openxmlformats.org/officeDocument/2006/relationships/hyperlink" Target="https://www.sec.gov/Archives/edgar/data/0001372020/000119312512013901/d284301dex101.htm" TargetMode="External"/><Relationship Id="rId296" Type="http://schemas.openxmlformats.org/officeDocument/2006/relationships/hyperlink" Target="https://www.sec.gov/Archives/edgar/data/0000885538/000110465905013624/a05-5703_1ex10d14.htm" TargetMode="External"/><Relationship Id="rId298" Type="http://schemas.openxmlformats.org/officeDocument/2006/relationships/hyperlink" Target="https://www.sec.gov/Archives/edgar/data/0001372020/000119312514094004/d689260dex1024.htm" TargetMode="External"/><Relationship Id="rId300" Type="http://schemas.openxmlformats.org/officeDocument/2006/relationships/hyperlink" Target="https://www.sec.gov/Archives/edgar/data/1372020/000156459018003940/gldd-ex1025_131.htm" TargetMode="External"/><Relationship Id="rId302" Type="http://schemas.openxmlformats.org/officeDocument/2006/relationships/hyperlink" Target="https://www.sec.gov/Archives/edgar/data/0001372020/000104746906011212/a2172300zex-10_17.htm" TargetMode="External"/><Relationship Id="rId317" Type="http://schemas.openxmlformats.org/officeDocument/2006/relationships/hyperlink" Target="https://www.sec.gov/Archives/edgar/data/0001372020/000156459017011213/gldd-ex101_6.htm" TargetMode="External"/><Relationship Id="rId319" Type="http://schemas.openxmlformats.org/officeDocument/2006/relationships/hyperlink" Target="https://www.sec.gov/Archives/edgar/data/0001372020/000156459021025527/gldd-ex101_6.htm" TargetMode="External"/><Relationship Id="rId321" Type="http://schemas.openxmlformats.org/officeDocument/2006/relationships/hyperlink" Target="https://www.sec.gov/Archives/edgar/data/1372020/000156459018010996/gldd-ex101_129.htm" TargetMode="External"/><Relationship Id="rId330" Type="http://schemas.openxmlformats.org/officeDocument/2006/relationships/hyperlink" Target="https://www.sec.gov/Archives/edgar/data/1372020/000156459018010996/gldd-ex102_131.htm" TargetMode="External"/><Relationship Id="rId331" Type="http://schemas.openxmlformats.org/officeDocument/2006/relationships/hyperlink" Target="https://www.sec.gov/Archives/edgar/data/1372020/000156459019015687/gldd-ex101_108.htm" TargetMode="External"/><Relationship Id="rId332" Type="http://schemas.openxmlformats.org/officeDocument/2006/relationships/hyperlink" Target="https://www.sec.gov/Archives/edgar/data/1372020/000156459019015687/gldd-ex102_84.htm" TargetMode="External"/><Relationship Id="rId334" Type="http://schemas.openxmlformats.org/officeDocument/2006/relationships/hyperlink" Target="https://www.sec.gov/Archives/edgar/data/0001372020/000156459021028701/gldd-ex101_33.htm" TargetMode="External"/><Relationship Id="rId336" Type="http://schemas.openxmlformats.org/officeDocument/2006/relationships/hyperlink" Target="https://www.sec.gov/Archives/edgar/data/1372020/000156459022027173/gldd-ex101_39.htm" TargetMode="External"/><Relationship Id="rId351" Type="http://schemas.openxmlformats.org/officeDocument/2006/relationships/hyperlink" Target="https://www.sec.gov/Archives/edgar/data/1372020/000156459020036109/gldd-ex101_121.htm" TargetMode="External"/><Relationship Id="rId352" Type="http://schemas.openxmlformats.org/officeDocument/2006/relationships/hyperlink" Target="https://www.sec.gov/Archives/edgar/data/1372020/000156459022006231/gldd-ex1029_1112.htm" TargetMode="External"/><Relationship Id="rId353" Type="http://schemas.openxmlformats.org/officeDocument/2006/relationships/hyperlink" Target="https://www.sec.gov/Archives/edgar/data/0001372020/000156459016019663/gldd-ex1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2023-02-17T15:46:09Z</dcterms:created>
  <dcterms:modified xsi:type="dcterms:W3CDTF">2023-02-17T15:46:09Z</dcterms:modified>
</cp:coreProperties>
</file>