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480" w:right="260" w:hanging="459"/>
        <w:spacing w:after="0" w:line="238"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480" w:right="260" w:hanging="459"/>
        <w:spacing w:after="0" w:line="238"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2"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80010</wp:posOffset>
            </wp:positionV>
            <wp:extent cx="779780" cy="779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49"/>
        </w:trPr>
        <w:tc>
          <w:tcPr>
            <w:tcW w:w="6760" w:type="dxa"/>
            <w:vAlign w:val="bottom"/>
          </w:tcPr>
          <w:p>
            <w:pPr>
              <w:jc w:val="center"/>
              <w:ind w:right="32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9"/>
              </w:rPr>
              <w:t>9811 Katy Freeway, Suite 1200, Houston, TX</w:t>
            </w: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77024</w:t>
            </w:r>
          </w:p>
        </w:tc>
      </w:tr>
      <w:tr>
        <w:trPr>
          <w:trHeight w:val="190"/>
        </w:trPr>
        <w:tc>
          <w:tcPr>
            <w:tcW w:w="676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4"/>
        </w:trPr>
        <w:tc>
          <w:tcPr>
            <w:tcW w:w="6760" w:type="dxa"/>
            <w:vAlign w:val="bottom"/>
          </w:tcPr>
          <w:p>
            <w:pPr>
              <w:jc w:val="right"/>
              <w:ind w:right="1538"/>
              <w:spacing w:after="0"/>
              <w:rPr>
                <w:sz w:val="20"/>
                <w:szCs w:val="20"/>
                <w:color w:val="auto"/>
              </w:rPr>
            </w:pPr>
            <w:r>
              <w:rPr>
                <w:rFonts w:ascii="Times New Roman" w:cs="Times New Roman" w:eastAsia="Times New Roman" w:hAnsi="Times New Roman"/>
                <w:sz w:val="18"/>
                <w:szCs w:val="18"/>
                <w:b w:val="1"/>
                <w:bCs w:val="1"/>
                <w:color w:val="auto"/>
              </w:rPr>
              <w:t>(346) 359-1010</w:t>
            </w:r>
          </w:p>
        </w:tc>
        <w:tc>
          <w:tcPr>
            <w:tcW w:w="1260" w:type="dxa"/>
            <w:vAlign w:val="bottom"/>
          </w:tcPr>
          <w:p>
            <w:pPr>
              <w:spacing w:after="0"/>
              <w:rPr>
                <w:sz w:val="21"/>
                <w:szCs w:val="21"/>
                <w:color w:val="auto"/>
              </w:rPr>
            </w:pPr>
          </w:p>
        </w:tc>
      </w:tr>
      <w:tr>
        <w:trPr>
          <w:trHeight w:val="238"/>
        </w:trPr>
        <w:tc>
          <w:tcPr>
            <w:tcW w:w="6760" w:type="dxa"/>
            <w:vAlign w:val="bottom"/>
          </w:tcPr>
          <w:p>
            <w:pPr>
              <w:jc w:val="center"/>
              <w:ind w:left="23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GLDD</w:t>
            </w:r>
          </w:p>
        </w:tc>
        <w:tc>
          <w:tcPr>
            <w:tcW w:w="120" w:type="dxa"/>
            <w:vAlign w:val="bottom"/>
            <w:vMerge w:val="continue"/>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 w:lineRule="exact"/>
        <w:rPr>
          <w:sz w:val="24"/>
          <w:szCs w:val="24"/>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 w:lineRule="exact"/>
        <w:rPr>
          <w:sz w:val="24"/>
          <w:szCs w:val="24"/>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64" w:lineRule="exact"/>
        <w:rPr>
          <w:sz w:val="24"/>
          <w:szCs w:val="24"/>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left="520"/>
        <w:spacing w:after="0" w:line="207" w:lineRule="exact"/>
        <w:tabs>
          <w:tab w:leader="none" w:pos="8860" w:val="left"/>
          <w:tab w:leader="none" w:pos="95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2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28, 2022, 66,169,959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04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2022 and December 31,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86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2022 and 2021</w:t>
            </w:r>
          </w:p>
        </w:tc>
        <w:tc>
          <w:tcPr>
            <w:tcW w:w="20" w:type="dxa"/>
            <w:vAlign w:val="bottom"/>
            <w:tcBorders>
              <w:bottom w:val="single" w:sz="8" w:color="0000EE"/>
            </w:tcBorders>
          </w:tcPr>
          <w:p>
            <w:pPr>
              <w:spacing w:after="0"/>
              <w:rPr>
                <w:sz w:val="24"/>
                <w:szCs w:val="24"/>
                <w:color w:val="auto"/>
              </w:rPr>
            </w:pPr>
          </w:p>
        </w:tc>
        <w:tc>
          <w:tcPr>
            <w:tcW w:w="58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 30,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8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2022 and 2021</w:t>
            </w:r>
          </w:p>
        </w:tc>
        <w:tc>
          <w:tcPr>
            <w:tcW w:w="7900" w:type="dxa"/>
            <w:vAlign w:val="bottom"/>
            <w:tcBorders>
              <w:top w:val="single" w:sz="8" w:color="0000FF"/>
            </w:tcBorders>
            <w:gridSpan w:val="18"/>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for the Three and Nine Months ended September 30, 2022 and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4"/>
                <w:szCs w:val="24"/>
                <w:color w:val="auto"/>
              </w:rPr>
            </w:pPr>
          </w:p>
        </w:tc>
        <w:tc>
          <w:tcPr>
            <w:tcW w:w="83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w:t>
            </w:r>
          </w:p>
        </w:tc>
        <w:tc>
          <w:tcPr>
            <w:tcW w:w="92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920" w:type="dxa"/>
            <w:vAlign w:val="bottom"/>
            <w:tcBorders>
              <w:top w:val="single" w:sz="8" w:color="0000FF"/>
            </w:tcBorders>
            <w:gridSpan w:val="5"/>
          </w:tcPr>
          <w:p>
            <w:pPr>
              <w:spacing w:after="0"/>
              <w:rPr>
                <w:sz w:val="24"/>
                <w:szCs w:val="24"/>
                <w:color w:val="auto"/>
              </w:rPr>
            </w:pPr>
          </w:p>
        </w:tc>
        <w:tc>
          <w:tcPr>
            <w:tcW w:w="130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6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6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7420" w:type="dxa"/>
            <w:vAlign w:val="bottom"/>
            <w:gridSpan w:val="1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4"/>
                <w:szCs w:val="24"/>
                <w:color w:val="auto"/>
              </w:rPr>
            </w:pPr>
          </w:p>
        </w:tc>
        <w:tc>
          <w:tcPr>
            <w:tcW w:w="2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0" w:type="dxa"/>
            <w:vAlign w:val="bottom"/>
            <w:gridSpan w:val="1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80" w:type="dxa"/>
            <w:vAlign w:val="bottom"/>
            <w:gridSpan w:val="17"/>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80" w:type="dxa"/>
            <w:vAlign w:val="bottom"/>
            <w:gridSpan w:val="9"/>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690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00" w:type="dxa"/>
            <w:vAlign w:val="bottom"/>
            <w:gridSpan w:val="18"/>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80" w:type="dxa"/>
            <w:vAlign w:val="bottom"/>
            <w:gridSpan w:val="2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804"/>
        </w:trPr>
        <w:tc>
          <w:tcPr>
            <w:tcW w:w="1140" w:type="dxa"/>
            <w:vAlign w:val="bottom"/>
          </w:tcPr>
          <w:p>
            <w:pPr>
              <w:spacing w:after="0"/>
              <w:rPr>
                <w:sz w:val="24"/>
                <w:szCs w:val="24"/>
                <w:color w:val="auto"/>
              </w:rPr>
            </w:pPr>
          </w:p>
        </w:tc>
        <w:tc>
          <w:tcPr>
            <w:tcW w:w="740" w:type="dxa"/>
            <w:vAlign w:val="bottom"/>
            <w:tcBorders>
              <w:top w:val="single" w:sz="8" w:color="0000FF"/>
            </w:tcBorders>
            <w:gridSpan w:val="2"/>
          </w:tcPr>
          <w:p>
            <w:pPr>
              <w:spacing w:after="0"/>
              <w:rPr>
                <w:sz w:val="24"/>
                <w:szCs w:val="24"/>
                <w:color w:val="auto"/>
              </w:rPr>
            </w:pPr>
          </w:p>
        </w:tc>
        <w:tc>
          <w:tcPr>
            <w:tcW w:w="5640" w:type="dxa"/>
            <w:vAlign w:val="bottom"/>
            <w:gridSpan w:val="14"/>
          </w:tcPr>
          <w:p>
            <w:pPr>
              <w:jc w:val="right"/>
              <w:ind w:right="18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1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3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87"/>
        </w:trPr>
        <w:tc>
          <w:tcPr>
            <w:tcW w:w="7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145,459</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82,953</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30,760</w:t>
            </w:r>
          </w:p>
        </w:tc>
        <w:tc>
          <w:tcPr>
            <w:tcW w:w="100" w:type="dxa"/>
            <w:vAlign w:val="bottom"/>
          </w:tcPr>
          <w:p>
            <w:pPr>
              <w:spacing w:after="0"/>
              <w:rPr>
                <w:sz w:val="18"/>
                <w:szCs w:val="18"/>
                <w:color w:val="auto"/>
              </w:rPr>
            </w:pPr>
          </w:p>
        </w:tc>
      </w:tr>
      <w:tr>
        <w:trPr>
          <w:trHeight w:val="216"/>
        </w:trPr>
        <w:tc>
          <w:tcPr>
            <w:tcW w:w="7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327,432</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455,102</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86,158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62,233</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INVENTORIES—Noncurrent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65,049</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Pr>
          <w:p>
            <w:pPr>
              <w:spacing w:after="0"/>
              <w:rPr>
                <w:sz w:val="18"/>
                <w:szCs w:val="18"/>
                <w:color w:val="auto"/>
              </w:rPr>
            </w:pPr>
          </w:p>
        </w:tc>
      </w:tr>
      <w:tr>
        <w:trPr>
          <w:trHeight w:val="25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1,003,520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81,248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85,566</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16,729</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tcPr>
          <w:p>
            <w:pPr>
              <w:spacing w:after="0"/>
              <w:rPr>
                <w:sz w:val="18"/>
                <w:szCs w:val="18"/>
                <w:color w:val="auto"/>
              </w:rPr>
            </w:pPr>
          </w:p>
        </w:tc>
      </w:tr>
      <w:tr>
        <w:trPr>
          <w:trHeight w:val="210"/>
        </w:trPr>
        <w:tc>
          <w:tcPr>
            <w:tcW w:w="7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147,034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154,735</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321,383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320,971</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45,986</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67,188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18"/>
                <w:szCs w:val="18"/>
                <w:color w:val="auto"/>
              </w:rPr>
            </w:pPr>
          </w:p>
        </w:tc>
      </w:tr>
      <w:tr>
        <w:trPr>
          <w:trHeight w:val="210"/>
        </w:trPr>
        <w:tc>
          <w:tcPr>
            <w:tcW w:w="7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606,614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598,673</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75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stock—$.0001 par value; 90,000 authorized, 66,167 and 65,746 shares issued and</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43"/>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2022 and December 31, 2021, respectively.</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308,482</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90,369</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(1,223 )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r>
      <w:tr>
        <w:trPr>
          <w:trHeight w:val="210"/>
        </w:trPr>
        <w:tc>
          <w:tcPr>
            <w:tcW w:w="758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396,906</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1,003,520</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997,670</w:t>
            </w:r>
          </w:p>
        </w:tc>
        <w:tc>
          <w:tcPr>
            <w:tcW w:w="10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-4474210</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-3359785</wp:posOffset>
            </wp:positionV>
            <wp:extent cx="12858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145020" cy="330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33020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3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28"/>
        </w:trPr>
        <w:tc>
          <w:tcPr>
            <w:tcW w:w="3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158,346</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168,638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502,123</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516,185</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154,547</w:t>
            </w:r>
          </w:p>
        </w:tc>
        <w:tc>
          <w:tcPr>
            <w:tcW w:w="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132,357</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454,788</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423,906</w:t>
            </w:r>
          </w:p>
        </w:tc>
        <w:tc>
          <w:tcPr>
            <w:tcW w:w="100" w:type="dxa"/>
            <w:vAlign w:val="bottom"/>
          </w:tcPr>
          <w:p>
            <w:pPr>
              <w:spacing w:after="0"/>
              <w:rPr>
                <w:sz w:val="18"/>
                <w:szCs w:val="18"/>
                <w:color w:val="auto"/>
              </w:rPr>
            </w:pPr>
          </w:p>
        </w:tc>
      </w:tr>
      <w:tr>
        <w:trPr>
          <w:trHeight w:val="21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47,335</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92,279</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38,716</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45,713</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assets—net</w:t>
            </w: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(40 )</w:t>
            </w:r>
          </w:p>
        </w:tc>
        <w:tc>
          <w:tcPr>
            <w:tcW w:w="5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(291 )</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(358 )</w:t>
            </w: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(323 )</w:t>
            </w:r>
          </w:p>
        </w:tc>
      </w:tr>
      <w:tr>
        <w:trPr>
          <w:trHeight w:val="20"/>
        </w:trPr>
        <w:tc>
          <w:tcPr>
            <w:tcW w:w="37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Pr>
          <w:p>
            <w:pPr>
              <w:spacing w:after="0"/>
              <w:rPr>
                <w:sz w:val="18"/>
                <w:szCs w:val="18"/>
                <w:color w:val="auto"/>
              </w:rPr>
            </w:pP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(9,453 )</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46,889</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(3,551 )</w:t>
            </w:r>
          </w:p>
        </w:tc>
        <w:tc>
          <w:tcPr>
            <w:tcW w:w="5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(4,214 )</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(11,000 )</w:t>
            </w: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(17,457 )</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Pr>
          <w:p>
            <w:pPr>
              <w:spacing w:after="0"/>
              <w:rPr>
                <w:sz w:val="18"/>
                <w:szCs w:val="18"/>
                <w:color w:val="auto"/>
              </w:rPr>
            </w:pP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(253 )</w:t>
            </w:r>
          </w:p>
        </w:tc>
        <w:tc>
          <w:tcPr>
            <w:tcW w:w="5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(204 )</w:t>
            </w:r>
          </w:p>
        </w:tc>
        <w:tc>
          <w:tcPr>
            <w:tcW w:w="380" w:type="dxa"/>
            <w:vAlign w:val="bottom"/>
          </w:tcPr>
          <w:p>
            <w:pPr>
              <w:spacing w:after="0"/>
              <w:rPr>
                <w:sz w:val="18"/>
                <w:szCs w:val="18"/>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(1,778 )</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r>
      <w:tr>
        <w:trPr>
          <w:trHeight w:val="20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(3,181 )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(5,399 )</w:t>
            </w:r>
          </w:p>
        </w:tc>
      </w:tr>
      <w:tr>
        <w:trPr>
          <w:trHeight w:val="250"/>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3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(0.15 )</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(0.04 )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66,111</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65,535</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(0.15 )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(0.04 )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66,111</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66,010</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-1696720</wp:posOffset>
            </wp:positionV>
            <wp:extent cx="7747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-1696720</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-1696720</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-847725</wp:posOffset>
            </wp:positionV>
            <wp:extent cx="37287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28720" cy="16319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2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r>
      <w:tr>
        <w:trPr>
          <w:trHeight w:val="187"/>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28"/>
        </w:trPr>
        <w:tc>
          <w:tcPr>
            <w:tcW w:w="5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(9,910 )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(2,886 )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hedges—net of tax (1)</w:t>
            </w:r>
          </w:p>
        </w:tc>
        <w:tc>
          <w:tcPr>
            <w:tcW w:w="3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(7,222 )</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(1,211 )</w:t>
            </w:r>
          </w:p>
        </w:tc>
        <w:tc>
          <w:tcPr>
            <w:tcW w:w="24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(1,363 )</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8"/>
                <w:szCs w:val="18"/>
                <w:color w:val="auto"/>
              </w:rPr>
            </w:pP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right="10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$2,176 and $409 for the three months ended September 30, 2022 and 2021, respectively. Net of income tax (provision) benefit of $197 and $(364) for the nine months ended September 30, 2022 and 2021, respectively.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Great Lakes Dredge &amp; Dock Corporation and Subsidiaries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3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left="20" w:right="1300"/>
        <w:spacing w:after="0" w:line="271" w:lineRule="auto"/>
        <w:rPr>
          <w:sz w:val="20"/>
          <w:szCs w:val="20"/>
          <w:color w:val="auto"/>
        </w:rPr>
      </w:pPr>
      <w:r>
        <w:rPr>
          <w:rFonts w:ascii="Times New Roman" w:cs="Times New Roman" w:eastAsia="Times New Roman" w:hAnsi="Times New Roman"/>
          <w:sz w:val="14"/>
          <w:szCs w:val="14"/>
          <w:color w:val="auto"/>
        </w:rPr>
        <w:t>BALANCE—January 1, 2022 Share-based compensation</w:t>
      </w:r>
    </w:p>
    <w:p>
      <w:pPr>
        <w:ind w:left="200" w:right="220"/>
        <w:spacing w:after="0" w:line="241" w:lineRule="auto"/>
        <w:rPr>
          <w:sz w:val="20"/>
          <w:szCs w:val="20"/>
          <w:color w:val="auto"/>
        </w:rPr>
      </w:pPr>
      <w:r>
        <w:rPr>
          <w:rFonts w:ascii="Times New Roman" w:cs="Times New Roman" w:eastAsia="Times New Roman" w:hAnsi="Times New Roman"/>
          <w:sz w:val="14"/>
          <w:szCs w:val="14"/>
          <w:color w:val="auto"/>
        </w:rPr>
        <w:t>Vesting of restricted stock units and impact of shares withheld for taxes</w:t>
      </w:r>
    </w:p>
    <w:p>
      <w:pPr>
        <w:spacing w:after="0" w:line="1" w:lineRule="exact"/>
        <w:rPr>
          <w:sz w:val="20"/>
          <w:szCs w:val="20"/>
          <w:color w:val="auto"/>
        </w:rPr>
      </w:pPr>
    </w:p>
    <w:p>
      <w:pPr>
        <w:ind w:left="200"/>
        <w:spacing w:after="0" w:line="241" w:lineRule="auto"/>
        <w:rPr>
          <w:sz w:val="20"/>
          <w:szCs w:val="20"/>
          <w:color w:val="auto"/>
        </w:rPr>
      </w:pPr>
      <w:r>
        <w:rPr>
          <w:rFonts w:ascii="Times New Roman" w:cs="Times New Roman" w:eastAsia="Times New Roman" w:hAnsi="Times New Roman"/>
          <w:sz w:val="14"/>
          <w:szCs w:val="14"/>
          <w:color w:val="auto"/>
        </w:rPr>
        <w:t>Exercise of options and purchases from employee stock plans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Net loss</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comprehensive loss—net of tax</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BALANCE—September 30, 2022</w:t>
      </w:r>
    </w:p>
    <w:p>
      <w:pPr>
        <w:spacing w:after="0" w:line="217" w:lineRule="exact"/>
        <w:rPr>
          <w:sz w:val="20"/>
          <w:szCs w:val="20"/>
          <w:color w:val="auto"/>
        </w:rPr>
      </w:pPr>
    </w:p>
    <w:p>
      <w:pPr>
        <w:jc w:val="right"/>
        <w:ind w:left="20" w:right="1300"/>
        <w:spacing w:after="0" w:line="271" w:lineRule="auto"/>
        <w:rPr>
          <w:sz w:val="20"/>
          <w:szCs w:val="20"/>
          <w:color w:val="auto"/>
        </w:rPr>
      </w:pPr>
      <w:r>
        <w:rPr>
          <w:rFonts w:ascii="Times New Roman" w:cs="Times New Roman" w:eastAsia="Times New Roman" w:hAnsi="Times New Roman"/>
          <w:sz w:val="14"/>
          <w:szCs w:val="14"/>
          <w:color w:val="auto"/>
        </w:rPr>
        <w:t>BALANCE—January 1, 2021 Share-based compensation</w:t>
      </w:r>
    </w:p>
    <w:p>
      <w:pPr>
        <w:ind w:left="200" w:right="220"/>
        <w:spacing w:after="0" w:line="241" w:lineRule="auto"/>
        <w:rPr>
          <w:sz w:val="20"/>
          <w:szCs w:val="20"/>
          <w:color w:val="auto"/>
        </w:rPr>
      </w:pPr>
      <w:r>
        <w:rPr>
          <w:rFonts w:ascii="Times New Roman" w:cs="Times New Roman" w:eastAsia="Times New Roman" w:hAnsi="Times New Roman"/>
          <w:sz w:val="14"/>
          <w:szCs w:val="14"/>
          <w:color w:val="auto"/>
        </w:rPr>
        <w:t>Vesting of restricted stock units and impact of shares withheld for taxes</w:t>
      </w:r>
    </w:p>
    <w:p>
      <w:pPr>
        <w:spacing w:after="0" w:line="1" w:lineRule="exact"/>
        <w:rPr>
          <w:sz w:val="20"/>
          <w:szCs w:val="20"/>
          <w:color w:val="auto"/>
        </w:rPr>
      </w:pPr>
    </w:p>
    <w:p>
      <w:pPr>
        <w:ind w:left="200"/>
        <w:spacing w:after="0" w:line="241" w:lineRule="auto"/>
        <w:rPr>
          <w:sz w:val="20"/>
          <w:szCs w:val="20"/>
          <w:color w:val="auto"/>
        </w:rPr>
      </w:pPr>
      <w:r>
        <w:rPr>
          <w:rFonts w:ascii="Times New Roman" w:cs="Times New Roman" w:eastAsia="Times New Roman" w:hAnsi="Times New Roman"/>
          <w:sz w:val="14"/>
          <w:szCs w:val="14"/>
          <w:color w:val="auto"/>
        </w:rPr>
        <w:t>Exercise of options and purchases from employee stock plans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Net income</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comprehensive income—net of tax</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BALANCE—September 30, 2021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Shares of</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5"/>
                <w:szCs w:val="15"/>
                <w:color w:val="auto"/>
              </w:rPr>
            </w:pPr>
          </w:p>
        </w:tc>
        <w:tc>
          <w:tcPr>
            <w:tcW w:w="1420" w:type="dxa"/>
            <w:vAlign w:val="bottom"/>
            <w:gridSpan w:val="2"/>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6"/>
                <w:szCs w:val="16"/>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6"/>
                <w:szCs w:val="16"/>
                <w:color w:val="auto"/>
              </w:rPr>
            </w:pPr>
          </w:p>
        </w:tc>
        <w:tc>
          <w:tcPr>
            <w:tcW w:w="1420" w:type="dxa"/>
            <w:vAlign w:val="bottom"/>
            <w:gridSpan w:val="2"/>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6"/>
                <w:szCs w:val="16"/>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6"/>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65,746</w:t>
            </w:r>
          </w:p>
        </w:tc>
        <w:tc>
          <w:tcPr>
            <w:tcW w:w="30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308,482</w:t>
            </w:r>
          </w:p>
        </w:tc>
        <w:tc>
          <w:tcPr>
            <w:tcW w:w="240" w:type="dxa"/>
            <w:vAlign w:val="bottom"/>
          </w:tcPr>
          <w:p>
            <w:pPr>
              <w:spacing w:after="0"/>
              <w:rPr>
                <w:sz w:val="14"/>
                <w:szCs w:val="14"/>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90,369</w:t>
            </w:r>
          </w:p>
        </w:tc>
        <w:tc>
          <w:tcPr>
            <w:tcW w:w="24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60" w:type="dxa"/>
            <w:vAlign w:val="bottom"/>
          </w:tcPr>
          <w:p>
            <w:pPr>
              <w:spacing w:after="0"/>
              <w:rPr>
                <w:sz w:val="14"/>
                <w:szCs w:val="14"/>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398,997</w:t>
            </w:r>
          </w:p>
        </w:tc>
        <w:tc>
          <w:tcPr>
            <w:tcW w:w="60" w:type="dxa"/>
            <w:vAlign w:val="bottom"/>
          </w:tcPr>
          <w:p>
            <w:pPr>
              <w:spacing w:after="0"/>
              <w:rPr>
                <w:sz w:val="14"/>
                <w:szCs w:val="14"/>
                <w:color w:val="auto"/>
              </w:rPr>
            </w:pPr>
          </w:p>
        </w:tc>
      </w:tr>
      <w:tr>
        <w:trPr>
          <w:trHeight w:val="188"/>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60" w:type="dxa"/>
            <w:vAlign w:val="bottom"/>
          </w:tcPr>
          <w:p>
            <w:pPr>
              <w:spacing w:after="0"/>
              <w:rPr>
                <w:sz w:val="16"/>
                <w:szCs w:val="16"/>
                <w:color w:val="auto"/>
              </w:rPr>
            </w:pPr>
          </w:p>
        </w:tc>
      </w:tr>
      <w:tr>
        <w:trPr>
          <w:trHeight w:val="243"/>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(1,827 )</w:t>
            </w:r>
          </w:p>
        </w:tc>
        <w:tc>
          <w:tcPr>
            <w:tcW w:w="2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(1,827 )</w:t>
            </w: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60" w:type="dxa"/>
            <w:vAlign w:val="bottom"/>
          </w:tcPr>
          <w:p>
            <w:pPr>
              <w:spacing w:after="0"/>
              <w:rPr>
                <w:sz w:val="24"/>
                <w:szCs w:val="24"/>
                <w:color w:val="auto"/>
              </w:rPr>
            </w:pPr>
          </w:p>
        </w:tc>
      </w:tr>
      <w:tr>
        <w:trPr>
          <w:trHeight w:val="244"/>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(2,886 )</w:t>
            </w:r>
          </w:p>
        </w:tc>
        <w:tc>
          <w:tcPr>
            <w:tcW w:w="160" w:type="dxa"/>
            <w:vAlign w:val="bottom"/>
          </w:tcPr>
          <w:p>
            <w:pPr>
              <w:spacing w:after="0"/>
              <w:rPr>
                <w:sz w:val="21"/>
                <w:szCs w:val="21"/>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(2,886 )</w:t>
            </w:r>
          </w:p>
        </w:tc>
      </w:tr>
      <w:tr>
        <w:trPr>
          <w:trHeight w:val="185"/>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(1,363 )</w:t>
            </w:r>
          </w:p>
        </w:tc>
        <w:tc>
          <w:tcPr>
            <w:tcW w:w="2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(1,363 )</w:t>
            </w:r>
          </w:p>
        </w:tc>
      </w:tr>
      <w:tr>
        <w:trPr>
          <w:trHeight w:val="169"/>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66,167</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310,640</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87,483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396,906</w:t>
            </w:r>
          </w:p>
        </w:tc>
        <w:tc>
          <w:tcPr>
            <w:tcW w:w="60" w:type="dxa"/>
            <w:vAlign w:val="bottom"/>
          </w:tcPr>
          <w:p>
            <w:pPr>
              <w:spacing w:after="0"/>
              <w:rPr>
                <w:sz w:val="14"/>
                <w:szCs w:val="14"/>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2"/>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65,023</w:t>
            </w: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304,757</w:t>
            </w:r>
          </w:p>
        </w:tc>
        <w:tc>
          <w:tcPr>
            <w:tcW w:w="2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40,937</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26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346,668</w:t>
            </w:r>
          </w:p>
        </w:tc>
        <w:tc>
          <w:tcPr>
            <w:tcW w:w="60" w:type="dxa"/>
            <w:vAlign w:val="bottom"/>
          </w:tcPr>
          <w:p>
            <w:pPr>
              <w:spacing w:after="0"/>
              <w:rPr>
                <w:sz w:val="24"/>
                <w:szCs w:val="24"/>
                <w:color w:val="auto"/>
              </w:rPr>
            </w:pPr>
          </w:p>
        </w:tc>
      </w:tr>
      <w:tr>
        <w:trPr>
          <w:trHeight w:val="188"/>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60" w:type="dxa"/>
            <w:vAlign w:val="bottom"/>
          </w:tcPr>
          <w:p>
            <w:pPr>
              <w:spacing w:after="0"/>
              <w:rPr>
                <w:sz w:val="16"/>
                <w:szCs w:val="16"/>
                <w:color w:val="auto"/>
              </w:rPr>
            </w:pPr>
          </w:p>
        </w:tc>
      </w:tr>
      <w:tr>
        <w:trPr>
          <w:trHeight w:val="243"/>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(3,785 )</w:t>
            </w:r>
          </w:p>
        </w:tc>
        <w:tc>
          <w:tcPr>
            <w:tcW w:w="2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(3,785 )</w:t>
            </w: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60" w:type="dxa"/>
            <w:vAlign w:val="bottom"/>
          </w:tcPr>
          <w:p>
            <w:pPr>
              <w:spacing w:after="0"/>
              <w:rPr>
                <w:sz w:val="24"/>
                <w:szCs w:val="24"/>
                <w:color w:val="auto"/>
              </w:rPr>
            </w:pPr>
          </w:p>
        </w:tc>
      </w:tr>
      <w:tr>
        <w:trPr>
          <w:trHeight w:val="244"/>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24,725</w:t>
            </w:r>
          </w:p>
        </w:tc>
        <w:tc>
          <w:tcPr>
            <w:tcW w:w="60" w:type="dxa"/>
            <w:vAlign w:val="bottom"/>
          </w:tcPr>
          <w:p>
            <w:pPr>
              <w:spacing w:after="0"/>
              <w:rPr>
                <w:sz w:val="21"/>
                <w:szCs w:val="21"/>
                <w:color w:val="auto"/>
              </w:rPr>
            </w:pPr>
          </w:p>
        </w:tc>
      </w:tr>
      <w:tr>
        <w:trPr>
          <w:trHeight w:val="185"/>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60" w:type="dxa"/>
            <w:vAlign w:val="bottom"/>
          </w:tcPr>
          <w:p>
            <w:pPr>
              <w:spacing w:after="0"/>
              <w:rPr>
                <w:sz w:val="16"/>
                <w:szCs w:val="16"/>
                <w:color w:val="auto"/>
              </w:rPr>
            </w:pPr>
          </w:p>
        </w:tc>
      </w:tr>
      <w:tr>
        <w:trPr>
          <w:trHeight w:val="169"/>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65,737</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307,065</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65,662</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374,780</w:t>
            </w:r>
          </w:p>
        </w:tc>
        <w:tc>
          <w:tcPr>
            <w:tcW w:w="60" w:type="dxa"/>
            <w:vAlign w:val="bottom"/>
          </w:tcPr>
          <w:p>
            <w:pPr>
              <w:spacing w:after="0"/>
              <w:rPr>
                <w:sz w:val="14"/>
                <w:szCs w:val="14"/>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-2116455</wp:posOffset>
            </wp:positionV>
            <wp:extent cx="7132320" cy="111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-1893570</wp:posOffset>
            </wp:positionV>
            <wp:extent cx="71323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-1482090</wp:posOffset>
            </wp:positionV>
            <wp:extent cx="7132320" cy="111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-1250950</wp:posOffset>
            </wp:positionV>
            <wp:extent cx="7132320"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-779145</wp:posOffset>
            </wp:positionV>
            <wp:extent cx="713232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-367665</wp:posOffset>
            </wp:positionV>
            <wp:extent cx="7132320" cy="111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-136525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b w:val="1"/>
          <w:bCs w:val="1"/>
          <w:color w:val="auto"/>
        </w:rPr>
        <w:t>Accumulated</w:t>
      </w:r>
    </w:p>
    <w:p>
      <w:pPr>
        <w:spacing w:after="0" w:line="53" w:lineRule="exact"/>
        <w:rPr>
          <w:sz w:val="20"/>
          <w:szCs w:val="20"/>
          <w:color w:val="auto"/>
        </w:rPr>
      </w:pPr>
    </w:p>
    <w:p>
      <w:pPr>
        <w:sectPr>
          <w:pgSz w:w="11900" w:h="16838" w:orient="portrait"/>
          <w:cols w:equalWidth="0" w:num="2">
            <w:col w:w="3060" w:space="220"/>
            <w:col w:w="7960"/>
          </w:cols>
          <w:pgMar w:left="320" w:top="320" w:right="339" w:bottom="1440" w:gutter="0" w:footer="0" w:header="0"/>
          <w:type w:val="continuous"/>
        </w:sectPr>
      </w:pPr>
    </w:p>
    <w:tbl>
      <w:tblPr>
        <w:tblLayout w:type="fixed"/>
        <w:tblInd w:w="3560" w:type="dxa"/>
        <w:tblCellMar>
          <w:top w:w="0" w:type="dxa"/>
          <w:left w:w="0" w:type="dxa"/>
          <w:bottom w:w="0" w:type="dxa"/>
          <w:right w:w="0" w:type="dxa"/>
        </w:tblCellMar>
      </w:tblPr>
      <w:tr>
        <w:trPr>
          <w:trHeight w:val="166"/>
        </w:trPr>
        <w:tc>
          <w:tcPr>
            <w:tcW w:w="880" w:type="dxa"/>
            <w:vAlign w:val="bottom"/>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1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3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4"/>
                <w:szCs w:val="14"/>
                <w:color w:val="auto"/>
              </w:rPr>
            </w:pPr>
          </w:p>
        </w:tc>
      </w:tr>
      <w:tr>
        <w:trPr>
          <w:trHeight w:val="175"/>
        </w:trPr>
        <w:tc>
          <w:tcPr>
            <w:tcW w:w="880" w:type="dxa"/>
            <w:vAlign w:val="bottom"/>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30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00" w:type="dxa"/>
            <w:vAlign w:val="bottom"/>
          </w:tcPr>
          <w:p>
            <w:pPr>
              <w:spacing w:after="0"/>
              <w:rPr>
                <w:sz w:val="15"/>
                <w:szCs w:val="15"/>
                <w:color w:val="auto"/>
              </w:rPr>
            </w:pPr>
          </w:p>
        </w:tc>
      </w:tr>
      <w:tr>
        <w:trPr>
          <w:trHeight w:val="175"/>
        </w:trPr>
        <w:tc>
          <w:tcPr>
            <w:tcW w:w="880" w:type="dxa"/>
            <w:vAlign w:val="bottom"/>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30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w w:val="87"/>
              </w:rPr>
              <w:t>Total</w:t>
            </w:r>
          </w:p>
        </w:tc>
      </w:tr>
    </w:tbl>
    <w:p>
      <w:pPr>
        <w:spacing w:after="0" w:line="1" w:lineRule="exact"/>
        <w:rPr>
          <w:sz w:val="20"/>
          <w:szCs w:val="20"/>
          <w:color w:val="auto"/>
        </w:rPr>
      </w:pPr>
    </w:p>
    <w:p>
      <w:pPr>
        <w:sectPr>
          <w:pgSz w:w="11900" w:h="16838" w:orient="portrait"/>
          <w:cols w:equalWidth="0" w:num="1">
            <w:col w:w="11240"/>
          </w:cols>
          <w:pgMar w:left="320" w:top="320" w:right="339" w:bottom="1440" w:gutter="0" w:footer="0" w:header="0"/>
          <w:type w:val="continuous"/>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BALANCE—June 30, 2022</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27" w:lineRule="exact"/>
        <w:rPr>
          <w:sz w:val="20"/>
          <w:szCs w:val="20"/>
          <w:color w:val="auto"/>
        </w:rPr>
      </w:pPr>
    </w:p>
    <w:p>
      <w:pPr>
        <w:ind w:left="200"/>
        <w:spacing w:after="0" w:line="241" w:lineRule="auto"/>
        <w:rPr>
          <w:sz w:val="20"/>
          <w:szCs w:val="20"/>
          <w:color w:val="auto"/>
        </w:rPr>
      </w:pPr>
      <w:r>
        <w:rPr>
          <w:rFonts w:ascii="Times New Roman" w:cs="Times New Roman" w:eastAsia="Times New Roman" w:hAnsi="Times New Roman"/>
          <w:sz w:val="14"/>
          <w:szCs w:val="14"/>
          <w:color w:val="auto"/>
        </w:rPr>
        <w:t>Exercise of options and purchases from employee stock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66,083</w:t>
            </w:r>
          </w:p>
        </w:tc>
        <w:tc>
          <w:tcPr>
            <w:tcW w:w="2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308,790</w:t>
            </w: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97,393</w:t>
            </w:r>
          </w:p>
        </w:tc>
        <w:tc>
          <w:tcPr>
            <w:tcW w:w="26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5,999</w:t>
            </w:r>
          </w:p>
        </w:tc>
        <w:tc>
          <w:tcPr>
            <w:tcW w:w="260" w:type="dxa"/>
            <w:vAlign w:val="bottom"/>
          </w:tcPr>
          <w:p>
            <w:pPr>
              <w:spacing w:after="0"/>
              <w:rPr>
                <w:sz w:val="17"/>
                <w:szCs w:val="17"/>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412,188</w:t>
            </w:r>
          </w:p>
        </w:tc>
      </w:tr>
      <w:tr>
        <w:trPr>
          <w:trHeight w:val="34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w:t>
            </w:r>
          </w:p>
        </w:tc>
      </w:tr>
      <w:tr>
        <w:trPr>
          <w:trHeight w:val="243"/>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-379095</wp:posOffset>
            </wp:positionV>
            <wp:extent cx="7132320" cy="111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-156210</wp:posOffset>
            </wp:positionV>
            <wp:extent cx="713232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060" w:space="240"/>
            <w:col w:w="794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(9,910 )</w:t>
            </w:r>
          </w:p>
        </w:tc>
        <w:tc>
          <w:tcPr>
            <w:tcW w:w="500" w:type="dxa"/>
            <w:vAlign w:val="bottom"/>
          </w:tcPr>
          <w:p>
            <w:pPr>
              <w:spacing w:after="0"/>
              <w:rPr>
                <w:sz w:val="14"/>
                <w:szCs w:val="14"/>
                <w:color w:val="auto"/>
              </w:rPr>
            </w:pPr>
          </w:p>
        </w:tc>
        <w:tc>
          <w:tcPr>
            <w:tcW w:w="13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(9,910 )</w:t>
            </w:r>
          </w:p>
        </w:tc>
      </w:tr>
      <w:tr>
        <w:trPr>
          <w:trHeight w:val="175"/>
        </w:trPr>
        <w:tc>
          <w:tcPr>
            <w:tcW w:w="3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loss—net of tax</w:t>
            </w:r>
          </w:p>
        </w:tc>
        <w:tc>
          <w:tcPr>
            <w:tcW w:w="3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(7,222 )</w:t>
            </w: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(7,222 )</w:t>
            </w:r>
          </w:p>
        </w:tc>
      </w:tr>
      <w:tr>
        <w:trPr>
          <w:trHeight w:val="20"/>
        </w:trPr>
        <w:tc>
          <w:tcPr>
            <w:tcW w:w="3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BALANCE—September 30, 2022</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66,167</w:t>
            </w:r>
          </w:p>
        </w:tc>
        <w:tc>
          <w:tcPr>
            <w:tcW w:w="280" w:type="dxa"/>
            <w:vAlign w:val="bottom"/>
          </w:tcPr>
          <w:p>
            <w:pPr>
              <w:spacing w:after="0"/>
              <w:rPr>
                <w:sz w:val="14"/>
                <w:szCs w:val="1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310,640</w:t>
            </w:r>
          </w:p>
        </w:tc>
        <w:tc>
          <w:tcPr>
            <w:tcW w:w="260" w:type="dxa"/>
            <w:vAlign w:val="bottom"/>
          </w:tcPr>
          <w:p>
            <w:pPr>
              <w:spacing w:after="0"/>
              <w:rPr>
                <w:sz w:val="14"/>
                <w:szCs w:val="14"/>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87,483</w:t>
            </w:r>
          </w:p>
        </w:tc>
        <w:tc>
          <w:tcPr>
            <w:tcW w:w="260" w:type="dxa"/>
            <w:vAlign w:val="bottom"/>
          </w:tcPr>
          <w:p>
            <w:pPr>
              <w:spacing w:after="0"/>
              <w:rPr>
                <w:sz w:val="14"/>
                <w:szCs w:val="14"/>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(1,223 )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396,906</w:t>
            </w:r>
          </w:p>
        </w:tc>
        <w:tc>
          <w:tcPr>
            <w:tcW w:w="100" w:type="dxa"/>
            <w:vAlign w:val="bottom"/>
          </w:tcPr>
          <w:p>
            <w:pPr>
              <w:spacing w:after="0"/>
              <w:rPr>
                <w:sz w:val="14"/>
                <w:szCs w:val="14"/>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-145415</wp:posOffset>
            </wp:positionV>
            <wp:extent cx="76835"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-145415</wp:posOffset>
            </wp:positionV>
            <wp:extent cx="7747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-145415</wp:posOffset>
            </wp:positionV>
            <wp:extent cx="6858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-145415</wp:posOffset>
            </wp:positionV>
            <wp:extent cx="6858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-145415</wp:posOffset>
            </wp:positionV>
            <wp:extent cx="6858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BALANCE—June 30, 2021</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27" w:lineRule="exact"/>
        <w:rPr>
          <w:sz w:val="20"/>
          <w:szCs w:val="20"/>
          <w:color w:val="auto"/>
        </w:rPr>
      </w:pPr>
    </w:p>
    <w:p>
      <w:pPr>
        <w:ind w:left="200" w:right="340"/>
        <w:spacing w:after="0" w:line="241" w:lineRule="auto"/>
        <w:rPr>
          <w:sz w:val="20"/>
          <w:szCs w:val="20"/>
          <w:color w:val="auto"/>
        </w:rPr>
      </w:pPr>
      <w:r>
        <w:rPr>
          <w:rFonts w:ascii="Times New Roman" w:cs="Times New Roman" w:eastAsia="Times New Roman" w:hAnsi="Times New Roman"/>
          <w:sz w:val="14"/>
          <w:szCs w:val="14"/>
          <w:color w:val="auto"/>
        </w:rPr>
        <w:t>Vesting of restricted stock units and impact of shares withheld for taxes</w:t>
      </w:r>
    </w:p>
    <w:p>
      <w:pPr>
        <w:spacing w:after="0" w:line="1" w:lineRule="exact"/>
        <w:rPr>
          <w:sz w:val="20"/>
          <w:szCs w:val="20"/>
          <w:color w:val="auto"/>
        </w:rPr>
      </w:pPr>
    </w:p>
    <w:p>
      <w:pPr>
        <w:ind w:left="200" w:right="120"/>
        <w:spacing w:after="0" w:line="241" w:lineRule="auto"/>
        <w:rPr>
          <w:sz w:val="20"/>
          <w:szCs w:val="20"/>
          <w:color w:val="auto"/>
        </w:rPr>
      </w:pPr>
      <w:r>
        <w:rPr>
          <w:rFonts w:ascii="Times New Roman" w:cs="Times New Roman" w:eastAsia="Times New Roman" w:hAnsi="Times New Roman"/>
          <w:sz w:val="14"/>
          <w:szCs w:val="14"/>
          <w:color w:val="auto"/>
        </w:rPr>
        <w:t>Exercise of options and purchases from employee stock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3"/>
              </w:rPr>
              <w:t>65,654</w:t>
            </w:r>
          </w:p>
        </w:tc>
        <w:tc>
          <w:tcPr>
            <w:tcW w:w="6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304,977</w:t>
            </w:r>
          </w:p>
        </w:tc>
        <w:tc>
          <w:tcPr>
            <w:tcW w:w="5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51,856</w:t>
            </w:r>
          </w:p>
        </w:tc>
        <w:tc>
          <w:tcPr>
            <w:tcW w:w="6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3,258</w:t>
            </w:r>
          </w:p>
        </w:tc>
        <w:tc>
          <w:tcPr>
            <w:tcW w:w="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360,097</w:t>
            </w:r>
          </w:p>
        </w:tc>
      </w:tr>
      <w:tr>
        <w:trPr>
          <w:trHeight w:val="351"/>
        </w:trPr>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w:t>
            </w:r>
          </w:p>
        </w:tc>
        <w:tc>
          <w:tcPr>
            <w:tcW w:w="600" w:type="dxa"/>
            <w:vAlign w:val="bottom"/>
          </w:tcPr>
          <w:p>
            <w:pPr>
              <w:spacing w:after="0"/>
              <w:rPr>
                <w:sz w:val="24"/>
                <w:szCs w:val="2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1,207</w:t>
            </w:r>
          </w:p>
        </w:tc>
        <w:tc>
          <w:tcPr>
            <w:tcW w:w="5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243"/>
        </w:trPr>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tcPr>
          <w:p>
            <w:pPr>
              <w:spacing w:after="0"/>
              <w:rPr>
                <w:sz w:val="21"/>
                <w:szCs w:val="21"/>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1"/>
                <w:szCs w:val="21"/>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4"/>
        </w:trPr>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600" w:type="dxa"/>
            <w:vAlign w:val="bottom"/>
          </w:tcPr>
          <w:p>
            <w:pPr>
              <w:spacing w:after="0"/>
              <w:rPr>
                <w:sz w:val="24"/>
                <w:szCs w:val="2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881</w:t>
            </w:r>
          </w:p>
        </w:tc>
        <w:tc>
          <w:tcPr>
            <w:tcW w:w="5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-695960</wp:posOffset>
            </wp:positionV>
            <wp:extent cx="7132320" cy="111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-473075</wp:posOffset>
            </wp:positionV>
            <wp:extent cx="7132320" cy="111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-156210</wp:posOffset>
            </wp:positionV>
            <wp:extent cx="713232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180" w:space="720"/>
            <w:col w:w="734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100" w:type="dxa"/>
            <w:vAlign w:val="bottom"/>
          </w:tcPr>
          <w:p>
            <w:pPr>
              <w:spacing w:after="0"/>
              <w:rPr>
                <w:sz w:val="14"/>
                <w:szCs w:val="14"/>
                <w:color w:val="auto"/>
              </w:rPr>
            </w:pPr>
          </w:p>
        </w:tc>
      </w:tr>
      <w:tr>
        <w:trPr>
          <w:trHeight w:val="175"/>
        </w:trPr>
        <w:tc>
          <w:tcPr>
            <w:tcW w:w="3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loss—net of tax</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(1,211 )</w:t>
            </w: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(1,211 )</w:t>
            </w:r>
          </w:p>
        </w:tc>
      </w:tr>
      <w:tr>
        <w:trPr>
          <w:trHeight w:val="169"/>
        </w:trPr>
        <w:tc>
          <w:tcPr>
            <w:tcW w:w="3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BALANCE—September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65,737</w:t>
            </w:r>
          </w:p>
        </w:tc>
        <w:tc>
          <w:tcPr>
            <w:tcW w:w="280" w:type="dxa"/>
            <w:vAlign w:val="bottom"/>
            <w:tcBorders>
              <w:top w:val="single" w:sz="8" w:color="CFF0FC"/>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307,065</w:t>
            </w:r>
          </w:p>
        </w:tc>
        <w:tc>
          <w:tcPr>
            <w:tcW w:w="260" w:type="dxa"/>
            <w:vAlign w:val="bottom"/>
            <w:tcBorders>
              <w:top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65,662</w:t>
            </w:r>
          </w:p>
        </w:tc>
        <w:tc>
          <w:tcPr>
            <w:tcW w:w="260" w:type="dxa"/>
            <w:vAlign w:val="bottom"/>
            <w:tcBorders>
              <w:top w:val="single" w:sz="8" w:color="CFF0FC"/>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374,780</w:t>
            </w:r>
          </w:p>
        </w:tc>
        <w:tc>
          <w:tcPr>
            <w:tcW w:w="100" w:type="dxa"/>
            <w:vAlign w:val="bottom"/>
            <w:tcBorders>
              <w:top w:val="single" w:sz="8" w:color="CFF0FC"/>
            </w:tcBorders>
          </w:tcPr>
          <w:p>
            <w:pPr>
              <w:spacing w:after="0"/>
              <w:rPr>
                <w:sz w:val="14"/>
                <w:szCs w:val="14"/>
                <w:color w:val="auto"/>
              </w:rPr>
            </w:pPr>
          </w:p>
        </w:tc>
      </w:tr>
      <w:tr>
        <w:trPr>
          <w:trHeight w:val="20"/>
        </w:trPr>
        <w:tc>
          <w:tcPr>
            <w:tcW w:w="3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-145415</wp:posOffset>
            </wp:positionV>
            <wp:extent cx="7683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-145415</wp:posOffset>
            </wp:positionV>
            <wp:extent cx="7747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-145415</wp:posOffset>
            </wp:positionV>
            <wp:extent cx="6858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-145415</wp:posOffset>
            </wp:positionV>
            <wp:extent cx="6858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-145415</wp:posOffset>
            </wp:positionV>
            <wp:extent cx="6858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7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(2,886 )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provided by operating activities: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31,674</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(915 )</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(358 )</w:t>
            </w: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16"/>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(4,697 )</w:t>
            </w:r>
          </w:p>
        </w:tc>
      </w:tr>
      <w:tr>
        <w:trPr>
          <w:trHeight w:val="216"/>
        </w:trPr>
        <w:tc>
          <w:tcPr>
            <w:tcW w:w="7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(21,794 )</w:t>
            </w: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(1,238 )</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(13,642 )</w:t>
            </w: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(1,157 )</w:t>
            </w:r>
          </w:p>
        </w:tc>
      </w:tr>
      <w:tr>
        <w:trPr>
          <w:trHeight w:val="216"/>
        </w:trPr>
        <w:tc>
          <w:tcPr>
            <w:tcW w:w="7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(8,038 )</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(1,607 )</w:t>
            </w: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(12,235 )</w:t>
            </w:r>
          </w:p>
        </w:tc>
      </w:tr>
      <w:tr>
        <w:trPr>
          <w:trHeight w:val="216"/>
        </w:trPr>
        <w:tc>
          <w:tcPr>
            <w:tcW w:w="7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(9,363 )</w:t>
            </w: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(13,856 )</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30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(46 )</w:t>
            </w: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9"/>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42,808</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(102,568 )</w:t>
            </w: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(81,801 )</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8"/>
                <w:szCs w:val="18"/>
                <w:color w:val="auto"/>
              </w:rPr>
            </w:pPr>
          </w:p>
        </w:tc>
      </w:tr>
      <w:tr>
        <w:trPr>
          <w:trHeight w:val="210"/>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(100,468</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(828 )</w:t>
            </w: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(4,395 )</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30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(325,000 )</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30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(1,827 )</w:t>
            </w: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(3,785 )</w:t>
            </w: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FF0FC"/>
          </w:tcPr>
          <w:p>
            <w:pPr>
              <w:spacing w:after="0"/>
              <w:rPr>
                <w:sz w:val="18"/>
                <w:szCs w:val="18"/>
                <w:color w:val="auto"/>
              </w:rPr>
            </w:pPr>
          </w:p>
        </w:tc>
      </w:tr>
      <w:tr>
        <w:trPr>
          <w:trHeight w:val="20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(108,626</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147,459</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216,510</w:t>
            </w:r>
          </w:p>
        </w:tc>
        <w:tc>
          <w:tcPr>
            <w:tcW w:w="100" w:type="dxa"/>
            <w:vAlign w:val="bottom"/>
          </w:tcPr>
          <w:p>
            <w:pPr>
              <w:spacing w:after="0"/>
              <w:rPr>
                <w:sz w:val="18"/>
                <w:szCs w:val="18"/>
                <w:color w:val="auto"/>
              </w:rPr>
            </w:pPr>
          </w:p>
        </w:tc>
      </w:tr>
      <w:tr>
        <w:trPr>
          <w:trHeight w:val="249"/>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173,838</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30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49"/>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1,265</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-2232025</wp:posOffset>
            </wp:positionV>
            <wp:extent cx="102870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0" cy="1797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-1645285</wp:posOffset>
            </wp:positionV>
            <wp:extent cx="100330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03300" cy="1631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-1062355</wp:posOffset>
            </wp:positionV>
            <wp:extent cx="100330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03300" cy="1631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-462280</wp:posOffset>
            </wp:positionV>
            <wp:extent cx="100330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3300" cy="16319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0" w:right="8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188"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2021.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2022 and December 31, 2021, and its results of operations for the three and nine months ended September 30, 2022 and 2021 and cash flows for the nine months ended September 30, 2022 and 2021 have been included.</w:t>
      </w:r>
    </w:p>
    <w:p>
      <w:pPr>
        <w:spacing w:after="0" w:line="186"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one operating segment which is also the Company’s reportable segment and reporting unit of which the Company tests goodwill for impairment. The Company performed its most recent annual test of impairment as of July 1, 2022 with no indication of impairment as of the test date. The Company will perform its next scheduled annual test of goodwill in the third quarter of 2023.</w:t>
      </w:r>
    </w:p>
    <w:p>
      <w:pPr>
        <w:spacing w:after="0" w:line="16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44"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(loss) per share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r>
      <w:tr>
        <w:trPr>
          <w:trHeight w:val="187"/>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8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(9,910 )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(2,886 )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65,535</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r>
      <w:tr>
        <w:trPr>
          <w:trHeight w:val="210"/>
        </w:trPr>
        <w:tc>
          <w:tcPr>
            <w:tcW w:w="5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66,246</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spacing w:after="0"/>
              <w:rPr>
                <w:sz w:val="17"/>
                <w:szCs w:val="17"/>
                <w:color w:val="auto"/>
              </w:rPr>
            </w:pPr>
          </w:p>
        </w:tc>
        <w:tc>
          <w:tcPr>
            <w:tcW w:w="860" w:type="dxa"/>
            <w:vAlign w:val="bottom"/>
            <w:gridSpan w:val="2"/>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 —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FF0FC"/>
          </w:tcPr>
          <w:p>
            <w:pPr>
              <w:spacing w:after="0"/>
              <w:rPr>
                <w:sz w:val="18"/>
                <w:szCs w:val="18"/>
                <w:color w:val="auto"/>
              </w:rPr>
            </w:pPr>
          </w:p>
        </w:tc>
      </w:tr>
    </w:tbl>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309 and 478 stock options and restricted stock units, respectively, were excluded from the diluted weighted average common shares outstanding because the Company incurred a loss for the quarter and nine months ended September 30,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at September 30, 2022 and December 31, 2021 were as follows:</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r>
      <w:tr>
        <w:trPr>
          <w:trHeight w:val="187"/>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28"/>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8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reserves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8"/>
                <w:szCs w:val="18"/>
                <w:color w:val="auto"/>
              </w:rPr>
            </w:pPr>
          </w:p>
        </w:tc>
      </w:tr>
      <w:tr>
        <w:trPr>
          <w:trHeight w:val="24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37,667</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0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July 29, 2022, the Company, Great Lakes Dredge &amp; Dock Company, LLC, NASDI Holdings, LLC, Great Lakes Environmental &amp; Infrastructure Solutions, LLC, Great Lakes U.S. Fleet Management, LLC, and Drews Services LLC (collectively with the Company, the “Credit Parties”) entered into a second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Amended Credit Agreement amends and restates the prior Amended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18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Amended Credit Agreement provides for a senior secured revolving credit facility in an aggregate principal amount of up to $300,000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8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$35,000 sublimit.</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Amended Credit Agreement is less than 12.5% of the maximum loan amount for five consecutive days.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for other general corporate purposes, and with respect to any green loan, fund capital investments related to renewable energy and clean transportation projects. The Amended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Amended Credit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9" w:name="page10"/>
    <w:bookmarkEnd w:id="9"/>
    <w:p>
      <w:pPr>
        <w:spacing w:after="0" w:line="250" w:lineRule="auto"/>
        <w:rPr>
          <w:sz w:val="20"/>
          <w:szCs w:val="20"/>
          <w:color w:val="auto"/>
        </w:rPr>
      </w:pPr>
      <w:r>
        <w:rPr>
          <w:rFonts w:ascii="Times New Roman" w:cs="Times New Roman" w:eastAsia="Times New Roman" w:hAnsi="Times New Roman"/>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9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Interest on the senior secured revolving credit facility of the Amended Credit Agreement is equal to either a Domestic Rate option or Secured Overnight Financing Rate (“SOFR”) option, at the Company’s election. As of July 29, 2022, (a) the Domestic Rate option is the highest of (1) the base commercial lending rate of PNC Bank, National Association, as publicly announced, (2) the sum of the overnight bank funding rate plus 0.5% and (3) the sum of the daily simple SOFR plus 1.0%, so long as a daily Simple SOFR is offered, ascertainable and not unlawful and (b) the SOFR option is the rate that applies for the applicable interest period determined by the Agent and based on the rate published by the CME Group Benchmark Administration Limited (or a successor administrator). After the date on which a borrowing base certificate is required to be delivered under Section 9.2 of the Amended Credit Agreement (commencing with the fiscal quarter ending September 30, 2022), the Domestic Rate option will be the Domestic Rate plus an interest margin ranging between 0.25% and 0.75% and the SOFR option will be the SOFR plus an interest margin ranging between 1.25% and 1.75%, in each case, depending on the quarterly average undrawn availability on the Amended Credit Agreement. Additionally, the Company will have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8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no borrowings outstanding on the revolver. There were $16,247 and $25,127 of letters of credit outstanding and $245,856 and $174,546 of availability under the Amended Credit Agreement or the prior credit agreement as of September 30, 2022 and December 31, 2021, respectively. Availability is suppressed by $37,897 and $327, respectively, as of September 30, 2022 and December 31, 2021, as a result of certain limitations of borrowing related to reserves and compliance with the Company's obligations set forth in the Amended Credit Agreement or the prior credit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subsidiary guarantors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8.000% Senior Notes due 2022.</w:t>
      </w:r>
    </w:p>
    <w:p>
      <w:pPr>
        <w:spacing w:after="0" w:line="169"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these 2029 Notes are guaranteed by each of the Company’s existing and future 100% owned domestic subsidiaries that are co-borrowers or guarantors under the Amended Credit Agreement. Such guarantees are full, unconditional and joint and several. The parent company issuer has no independent assets or operations and all non-guarantor subsidiaries have been determined to be minor.</w:t>
      </w:r>
    </w:p>
    <w:p>
      <w:pPr>
        <w:spacing w:after="0" w:line="16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0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1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1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6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holds certain derivative contracts that it uses to manage commodity price risk and foreign currency exchange rate risk. The Company does not hold or issue derivatives for speculative or trading purposes. The fair values of these financial instruments are summarized as follows: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00" w:type="dxa"/>
            <w:vAlign w:val="bottom"/>
          </w:tcPr>
          <w:p>
            <w:pPr>
              <w:spacing w:after="0"/>
              <w:rPr>
                <w:sz w:val="15"/>
                <w:szCs w:val="15"/>
                <w:color w:val="auto"/>
              </w:rPr>
            </w:pPr>
          </w:p>
        </w:tc>
        <w:tc>
          <w:tcPr>
            <w:tcW w:w="206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Levels</w:t>
            </w:r>
          </w:p>
        </w:tc>
        <w:tc>
          <w:tcPr>
            <w:tcW w:w="200" w:type="dxa"/>
            <w:vAlign w:val="bottom"/>
          </w:tcPr>
          <w:p>
            <w:pPr>
              <w:spacing w:after="0"/>
              <w:rPr>
                <w:sz w:val="16"/>
                <w:szCs w:val="16"/>
                <w:color w:val="auto"/>
              </w:rPr>
            </w:pP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FF0FC"/>
          </w:tcPr>
          <w:p>
            <w:pPr>
              <w:ind w:left="180"/>
              <w:spacing w:after="0" w:line="167" w:lineRule="exact"/>
              <w:rPr>
                <w:sz w:val="20"/>
                <w:szCs w:val="20"/>
                <w:color w:val="auto"/>
              </w:rPr>
            </w:pPr>
            <w:r>
              <w:rPr>
                <w:rFonts w:ascii="Times New Roman" w:cs="Times New Roman" w:eastAsia="Times New Roman" w:hAnsi="Times New Roman"/>
                <w:sz w:val="18"/>
                <w:szCs w:val="18"/>
                <w:b w:val="1"/>
                <w:bCs w:val="1"/>
                <w:color w:val="auto"/>
              </w:rPr>
              <w:t>Derivatives designated as cash</w:t>
            </w: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Hedge Contracts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180"/>
              <w:spacing w:after="0" w:line="170" w:lineRule="exact"/>
              <w:rPr>
                <w:sz w:val="20"/>
                <w:szCs w:val="20"/>
                <w:color w:val="auto"/>
              </w:rPr>
            </w:pPr>
            <w:r>
              <w:rPr>
                <w:rFonts w:ascii="Times New Roman" w:cs="Times New Roman" w:eastAsia="Times New Roman" w:hAnsi="Times New Roman"/>
                <w:sz w:val="18"/>
                <w:szCs w:val="18"/>
                <w:color w:val="auto"/>
              </w:rPr>
              <w:t>Foreign Currency Exchange Hedge</w:t>
            </w:r>
          </w:p>
        </w:tc>
        <w:tc>
          <w:tcPr>
            <w:tcW w:w="8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Contracts</w:t>
            </w:r>
          </w:p>
        </w:tc>
        <w:tc>
          <w:tcPr>
            <w:tcW w:w="88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-170815</wp:posOffset>
            </wp:positionV>
            <wp:extent cx="60325"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51435" cy="300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3003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51435"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3003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3003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21"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 Company is exposed to certain market risks, including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typical goal is to hedge approximately 80% of the eligible fuel requirements for work in domestic backlog.</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was party to various swap arrangements to hedge a portion of the price of its diesel fuel purchase requirements for work in its dredging backlog to be performed through September 2023. As of September 30, 2022, there were 5.3 million gallons remaining on these contracts representing forecasted domestic fuel purchases through September 2023. Under these swap agreements, the Company will pay fixed prices ranging from $1.91 to $3.95 per gallon.</w:t>
      </w:r>
    </w:p>
    <w:p>
      <w:pPr>
        <w:spacing w:after="0" w:line="17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At September 30, 2022 and December 31, 2021, the fair value asset of the fuel hedge contracts were estimated to be $512 and $630, respectively, and are recorded in prepaid expenses and other current assets. For fuel hedge contracts considered to be highly effective, the gains reclassified to earnings from changes in fair value of derivatives, net of cash settlements and taxes, for the nine months ended September 30, 2022 were $9,754. The remaining gains and losses included in accumulated other comprehensive income (loss) at September 30, 2022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hedge contracts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market risks, including foreign currency exchange rate risks related to the purchase of new vessel build materials in Europe. The Company enters into foreign currency exchange forward contracts to hedge the risk that fluctuations in the Euro in relation to the Dollar could have an adverse impact on cash flows associated with its equipment builds.</w:t>
      </w:r>
    </w:p>
    <w:p>
      <w:pPr>
        <w:spacing w:after="0" w:line="15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was party to various foreign exchange forward contract arrangements to hedge the purchase of materials through November 2024. As of September 30, 2022, there were 17.5 million Euro of payments remaining on these hedge contracts which is the full value of the hedge contacts through November 2024 as the first settlement will not occur until fourth quarter of 2022. Under these hedge contracts, the Company will pay fixed prices ranging from $0.97 to $1.13 per Euro.</w:t>
      </w:r>
    </w:p>
    <w:p>
      <w:pPr>
        <w:spacing w:after="0" w:line="17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As of September 30, 2022, the fair value liability of foreign currency exchange hedge contracts was estimated to be $1,442 and is recorded in accrued liabilities. There were no foreign currency exchange hedge contracts as of December 31, 2021. For foreign currency exchange hedge contracts considered to be highly effective, the gains reclassified to earnings from changes in fair value of derivatives, net of cash settlements and taxes, for the nine months ended September 30, 2022 were $0. The remaining gains and losses included in accumulated other comprehensive income (loss) at September 30, 2022 will be reclassified into earnings over the next twenty-six months, corresponding to the period during which the hedged currency is expected to be utilized. Changes in the fair value of foreign currency exchange hedge contracts not considered highly effective are recorded as other expenses in the Statement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3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Fuel Hedge Contracts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40" w:type="dxa"/>
            <w:vAlign w:val="bottom"/>
            <w:shd w:val="clear" w:color="auto" w:fill="CFF0FC"/>
          </w:tcPr>
          <w:p>
            <w:pPr>
              <w:ind w:left="180"/>
              <w:spacing w:after="0" w:line="170" w:lineRule="exact"/>
              <w:rPr>
                <w:sz w:val="20"/>
                <w:szCs w:val="20"/>
                <w:color w:val="auto"/>
              </w:rPr>
            </w:pPr>
            <w:r>
              <w:rPr>
                <w:rFonts w:ascii="Times New Roman" w:cs="Times New Roman" w:eastAsia="Times New Roman" w:hAnsi="Times New Roman"/>
                <w:sz w:val="18"/>
                <w:szCs w:val="18"/>
                <w:color w:val="auto"/>
              </w:rPr>
              <w:t>Reclassification of derivative gains to</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earnings—net of tax</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(2,358 )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(1,793 )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(9,558 )</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(5,197 )</w:t>
            </w:r>
          </w:p>
        </w:tc>
        <w:tc>
          <w:tcPr>
            <w:tcW w:w="0" w:type="dxa"/>
            <w:vAlign w:val="bottom"/>
          </w:tcPr>
          <w:p>
            <w:pPr>
              <w:spacing w:after="0"/>
              <w:rPr>
                <w:sz w:val="1"/>
                <w:szCs w:val="1"/>
                <w:color w:val="auto"/>
              </w:rPr>
            </w:pPr>
          </w:p>
        </w:tc>
      </w:tr>
      <w:tr>
        <w:trPr>
          <w:trHeight w:val="171"/>
        </w:trPr>
        <w:tc>
          <w:tcPr>
            <w:tcW w:w="364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Change in fair value of derivatives—net of</w:t>
            </w:r>
          </w:p>
        </w:tc>
        <w:tc>
          <w:tcPr>
            <w:tcW w:w="24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(3,590 )</w:t>
            </w:r>
          </w:p>
        </w:tc>
        <w:tc>
          <w:tcPr>
            <w:tcW w:w="3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2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Net change in cash flow derivative fuel hedges</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(5,948 )</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(1,211 )</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(330 )</w:t>
            </w:r>
          </w:p>
        </w:tc>
        <w:tc>
          <w:tcPr>
            <w:tcW w:w="340" w:type="dxa"/>
            <w:vAlign w:val="bottom"/>
            <w:vMerge w:val="restart"/>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360" w:type="dxa"/>
            <w:vAlign w:val="bottom"/>
            <w:vMerge w:val="continue"/>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64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Foreign Currency Exchange Hedge</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64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Reclassification of derivative gains to</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earnings—net of tax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(196 )</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640" w:type="dxa"/>
            <w:vAlign w:val="bottom"/>
            <w:shd w:val="clear" w:color="auto" w:fill="CFF0FC"/>
          </w:tcPr>
          <w:p>
            <w:pPr>
              <w:ind w:left="180"/>
              <w:spacing w:after="0" w:line="170" w:lineRule="exact"/>
              <w:rPr>
                <w:sz w:val="20"/>
                <w:szCs w:val="20"/>
                <w:color w:val="auto"/>
              </w:rPr>
            </w:pPr>
            <w:r>
              <w:rPr>
                <w:rFonts w:ascii="Times New Roman" w:cs="Times New Roman" w:eastAsia="Times New Roman" w:hAnsi="Times New Roman"/>
                <w:sz w:val="18"/>
                <w:szCs w:val="18"/>
                <w:color w:val="auto"/>
              </w:rPr>
              <w:t>Change in fair value of derivatives—net of</w:t>
            </w:r>
          </w:p>
        </w:tc>
        <w:tc>
          <w:tcPr>
            <w:tcW w:w="24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(1,078 )</w:t>
            </w:r>
          </w:p>
        </w:tc>
        <w:tc>
          <w:tcPr>
            <w:tcW w:w="36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(837 )</w:t>
            </w:r>
          </w:p>
        </w:tc>
        <w:tc>
          <w:tcPr>
            <w:tcW w:w="34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24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Net change in cash flow derivative foreign</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(1,274 )</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(1,033 )</w:t>
            </w:r>
          </w:p>
        </w:tc>
        <w:tc>
          <w:tcPr>
            <w:tcW w:w="34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currency hedges—net of tax</w:t>
            </w: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4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7"/>
                <w:szCs w:val="17"/>
                <w:color w:val="auto"/>
              </w:rPr>
              <w:t>Total net change in cash flow derivative</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(7,222 )</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(1,211 )</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(1,363 )</w:t>
            </w:r>
          </w:p>
        </w:tc>
        <w:tc>
          <w:tcPr>
            <w:tcW w:w="340" w:type="dxa"/>
            <w:vAlign w:val="bottom"/>
            <w:vMerge w:val="restart"/>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6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hedges—net of tax</w:t>
            </w:r>
          </w:p>
        </w:tc>
        <w:tc>
          <w:tcPr>
            <w:tcW w:w="24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-1447800</wp:posOffset>
            </wp:positionV>
            <wp:extent cx="268287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82875" cy="1631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-521970</wp:posOffset>
            </wp:positionV>
            <wp:extent cx="60325" cy="266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26606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-521970</wp:posOffset>
            </wp:positionV>
            <wp:extent cx="60325"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26606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-521970</wp:posOffset>
            </wp:positionV>
            <wp:extent cx="51435" cy="266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26606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266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26606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26828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82875" cy="1714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259"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72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2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8"/>
                <w:szCs w:val="18"/>
                <w:color w:val="auto"/>
              </w:rPr>
            </w:pPr>
          </w:p>
        </w:tc>
        <w:tc>
          <w:tcPr>
            <w:tcW w:w="172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25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r>
      <w:tr>
        <w:trPr>
          <w:trHeight w:val="223"/>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6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(3,154 )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(2,399 )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(12,786 )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(6,953 )</w:t>
            </w:r>
          </w:p>
        </w:tc>
      </w:tr>
      <w:tr>
        <w:trPr>
          <w:trHeight w:val="230"/>
        </w:trPr>
        <w:tc>
          <w:tcPr>
            <w:tcW w:w="254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(606 )</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(3,032 )</w:t>
            </w: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(1,756 )</w:t>
            </w:r>
          </w:p>
        </w:tc>
      </w:tr>
      <w:tr>
        <w:trPr>
          <w:trHeight w:val="209"/>
        </w:trPr>
        <w:tc>
          <w:tcPr>
            <w:tcW w:w="2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2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2021, the Company sold $325,000 of the 2029 Notes, which were outstanding at September 30, 2022 (see Note 4, Long-term debt). The 2029 Notes are senior unsecured obligations of the Company and its subsidiaries that guarantee the 2029 Notes. The fair value of the 2029 Notes was $250,445 at September 30, 2022,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9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7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606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$1,285 and $1,207 for the three months ended September 30, 2022 and 2021, respectively. Compensation cost charged to expense related to share-based compensation arrangements was $2,837 and $3,772 for the nine months ended September 30, 2022 and 2021, respectively.</w:t>
      </w:r>
    </w:p>
    <w:p>
      <w:pPr>
        <w:spacing w:after="0" w:line="20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0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At September 30, 2022, the Company had $452,587 of remaining performance obligations, which the Company refers to as total dredging backlog. Total dredging backlog does not include approximately $50,000 of performance obligations related to offshore wind contracts. The Company expects to perform on its offshore wind contracts using the inclined fall-pipe vessel for subsea rock installation which is expected to be delivered in the second half of 2024. Approximately 38% of the Company’s dredging backlog is expected to be completed in 2022 with the remaining balance expected to be completed in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presents our revenue disaggregated by several categories.</w:t>
      </w:r>
    </w:p>
    <w:p>
      <w:pPr>
        <w:spacing w:after="0" w:line="21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9"/>
        </w:trPr>
        <w:tc>
          <w:tcPr>
            <w:tcW w:w="17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196"/>
        </w:trPr>
        <w:tc>
          <w:tcPr>
            <w:tcW w:w="170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Dredging:</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Capital—U.S.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111,481</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281,278</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268,485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Capital—foreign</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Coastal protection</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153,970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117,631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Rivers &amp; lakes</w:t>
            </w: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158,346</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168,638</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502,123</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516,185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-642620</wp:posOffset>
            </wp:positionV>
            <wp:extent cx="5143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-642620</wp:posOffset>
            </wp:positionV>
            <wp:extent cx="5143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-642620</wp:posOffset>
            </wp:positionV>
            <wp:extent cx="431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-642620</wp:posOffset>
            </wp:positionV>
            <wp:extent cx="431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Company’s contract revenues by type of customer, for the periods indicated,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17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r>
      <w:tr>
        <w:trPr>
          <w:trHeight w:val="209"/>
        </w:trPr>
        <w:tc>
          <w:tcPr>
            <w:tcW w:w="170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government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62,228</w:t>
            </w:r>
          </w:p>
        </w:tc>
        <w:tc>
          <w:tcPr>
            <w:tcW w:w="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137,605</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395,668</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91,544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167,067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88,902</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25,019</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158,346</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168,638</w:t>
            </w:r>
          </w:p>
        </w:tc>
        <w:tc>
          <w:tcPr>
            <w:tcW w:w="200" w:type="dxa"/>
            <w:vAlign w:val="bottom"/>
            <w:gridSpan w:val="2"/>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516,185</w:t>
            </w:r>
          </w:p>
        </w:tc>
        <w:tc>
          <w:tcPr>
            <w:tcW w:w="80" w:type="dxa"/>
            <w:vAlign w:val="bottom"/>
          </w:tcPr>
          <w:p>
            <w:pPr>
              <w:spacing w:after="0"/>
              <w:rPr>
                <w:sz w:val="18"/>
                <w:szCs w:val="18"/>
                <w:color w:val="auto"/>
              </w:rPr>
            </w:pPr>
          </w:p>
        </w:tc>
      </w:tr>
      <w:tr>
        <w:trPr>
          <w:trHeight w:val="20"/>
        </w:trPr>
        <w:tc>
          <w:tcPr>
            <w:tcW w:w="46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624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color w:val="auto"/>
                <w:w w:val="99"/>
              </w:rPr>
              <w:t>Accounts receivable at September 30, 2022 and December 31, 2021 are as follows: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3"/>
        </w:trPr>
        <w:tc>
          <w:tcPr>
            <w:tcW w:w="1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7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65,415</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83,517</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(564 )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(564 )</w:t>
            </w:r>
          </w:p>
        </w:tc>
      </w:tr>
      <w:tr>
        <w:trPr>
          <w:trHeight w:val="344"/>
        </w:trPr>
        <w:tc>
          <w:tcPr>
            <w:tcW w:w="1700" w:type="dxa"/>
            <w:vAlign w:val="bottom"/>
          </w:tcPr>
          <w:p>
            <w:pPr>
              <w:spacing w:after="0"/>
              <w:rPr>
                <w:sz w:val="24"/>
                <w:szCs w:val="24"/>
                <w:color w:val="auto"/>
              </w:rPr>
            </w:pPr>
          </w:p>
        </w:tc>
        <w:tc>
          <w:tcPr>
            <w:tcW w:w="2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24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68,670</w:t>
            </w:r>
          </w:p>
        </w:tc>
        <w:tc>
          <w:tcPr>
            <w:tcW w:w="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82,953</w:t>
            </w:r>
          </w:p>
        </w:tc>
        <w:tc>
          <w:tcPr>
            <w:tcW w:w="80" w:type="dxa"/>
            <w:vAlign w:val="bottom"/>
            <w:tcBorders>
              <w:top w:val="single" w:sz="8" w:color="CFF0FC"/>
            </w:tcBorders>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-1765300</wp:posOffset>
            </wp:positionV>
            <wp:extent cx="5143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-1765300</wp:posOffset>
            </wp:positionV>
            <wp:extent cx="5143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-1765300</wp:posOffset>
            </wp:positionV>
            <wp:extent cx="431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-1765300</wp:posOffset>
            </wp:positionV>
            <wp:extent cx="431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-539750</wp:posOffset>
            </wp:positionV>
            <wp:extent cx="5143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-539750</wp:posOffset>
            </wp:positionV>
            <wp:extent cx="4318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1454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-256540</wp:posOffset>
            </wp:positionV>
            <wp:extent cx="51435"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34290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-256540</wp:posOffset>
            </wp:positionV>
            <wp:extent cx="43180" cy="342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34290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contracts in progress at September 30, 2022 and December 31, 2021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270,998</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(208,494 )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(240,941 )</w:t>
            </w:r>
          </w:p>
        </w:tc>
      </w:tr>
      <w:tr>
        <w:trPr>
          <w:trHeight w:val="210"/>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80" w:type="dxa"/>
            <w:vAlign w:val="bottom"/>
            <w:tcBorders>
              <w:top w:val="single" w:sz="8" w:color="CFF0FC"/>
            </w:tcBorders>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40,951</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8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contract revenues in excess of billings</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40,951</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(38,170 )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(224,381 )</w:t>
            </w: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209,567</w:t>
            </w:r>
          </w:p>
        </w:tc>
        <w:tc>
          <w:tcPr>
            <w:tcW w:w="80" w:type="dxa"/>
            <w:vAlign w:val="bottom"/>
          </w:tcPr>
          <w:p>
            <w:pPr>
              <w:spacing w:after="0"/>
              <w:rPr>
                <w:sz w:val="18"/>
                <w:szCs w:val="18"/>
                <w:color w:val="auto"/>
              </w:rPr>
            </w:pPr>
          </w:p>
        </w:tc>
      </w:tr>
      <w:tr>
        <w:trPr>
          <w:trHeight w:val="250"/>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-1731010</wp:posOffset>
            </wp:positionV>
            <wp:extent cx="6032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-1731010</wp:posOffset>
            </wp:positionV>
            <wp:extent cx="5143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-1447800</wp:posOffset>
            </wp:positionV>
            <wp:extent cx="6032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-1447800</wp:posOffset>
            </wp:positionV>
            <wp:extent cx="5143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-890905</wp:posOffset>
            </wp:positionV>
            <wp:extent cx="6032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5143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the three and nine months ending September 30, 2022, a revision to the estimated gross profit percentage of a project was recognized due to a positive settlement of a claim from the recently completed project resulting in a cumulative net impact on the project margin, which increased gross profit by $4,880 and $22,242, respectively.</w:t>
      </w:r>
    </w:p>
    <w:p>
      <w:pPr>
        <w:spacing w:after="0" w:line="2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At September 30, 2022 and December 31, 2021, costs to fulfill a contract with a customer recognized as an asset were $5,450 and $5,652, respectively, and are recorded in other current assets and other noncurrent assets. These costs relate to pre-contract and pre-construction activities. During the three and nine months ended September 30, 2022, the Company amortized $2,856 and $7,308, respectively, of pre-construction costs. During the three and nine months ended September 30, 2021, the Company amortized $3,687 and $15,443, respectively, of pre-construction costs.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0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Bid bonds are generally obtained for a percentage of bid value and amounts outstanding typically range from $1,000 to $10,000. At September 30, 2022, the Company had outstanding performance bonds with a notional amount of approximately $1,214,315. The revenue value remaining in dredging backlog totaled approximately $452,587.</w:t>
      </w:r>
    </w:p>
    <w:p>
      <w:pPr>
        <w:spacing w:after="0" w:line="18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0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its proceedings, individually or in the aggregate, would be expected to have a material effect on results of operations, cash flows or financial condition.</w:t>
      </w:r>
    </w:p>
    <w:p>
      <w:pPr>
        <w:spacing w:after="0" w:line="18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On April 23, 2014, the Company completed the sale of NASDI, LLC (“NASDI”) and Yankee Environmental Services, LLC (“Yankee”), which together comprised the Company’s historical demolition business, to a privately-owned demolition company. Under the terms of the agreement, the Company received cash of $5,309 and retained the right to receive additional proceeds based upon future collections of outstanding accounts receivable and work in process existing at the date of close. On January 14, 2015, the Company and its subsidiary, NASDI Holdings, LLC, brought an action in the Delaware Court of Chancery to enforce the terms of the Company's agreement to sell NASDI and Yankee.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the defendants’ allegations. In addition, the Company has been granted a judgment in the amount of $21,934 based upon the buyer’s default of its obligations to indemnify the Company for losses resulting from failure to perform in accordance with terms of surety performance bond. The defendants filed a notice of appeal from that judgment. On April 11, 2022, the Supreme Court of Delaware issued its decision denying that appeal and affirming the Chancery Court judgment. The Company continues to aggressively pursue collection from the buyer on outstanding amounts owed under the sale and the indemnification. An estimate of a range of potential gains or losses relating to these matters cannot reasonably be made.</w:t>
      </w:r>
    </w:p>
    <w:p>
      <w:pPr>
        <w:spacing w:after="0" w:line="17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April 22, 2021, the U.S. Attorney’s Office for the Eastern District of Louisiana filed a bill of information against the Company charging the Company with a negligent discharge violation of the Clean Water Act (the “CWA”) arising from a September 2016 oil spill. The spill occurred during the Company’s Cheniere Ronquille project and resulted in the discharge of around one hundred sixty barrels of crude oil in Bay Long, Louisiana. The Company cooperated with the U.S. Attorney’s Office and other relevant agencies in their investigation of the oil spill and on June 15, 2021, the Company pleaded guilty to the misdemeanor violation alleged in the bill of information and agreed to pay a fine of $1,000. In the first quarter of 2022, the Company entered into a settlement of a civil suit arising from the same matter which was primarily covered by its insurance policies. On June 14, 2022, the Company was sentenced in the criminal matter, and paid a fine of $1,000. The Company had previously deposited $2,000 into the registry of the Court to pay any ordered restitution; however, the Company was not ordered to pay any restitution and the deposited funds, less the amount of the fine and administrative costs, were returned to the Company. The CWA provides that, upon an entity’s conviction of certain offenses, the entity is automatically disqualified from eligibility to receive certain federal contracts, if it will perform any part of the awarded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spacing w:after="0" w:line="245" w:lineRule="auto"/>
        <w:rPr>
          <w:sz w:val="20"/>
          <w:szCs w:val="20"/>
          <w:color w:val="auto"/>
        </w:rPr>
      </w:pPr>
      <w:r>
        <w:rPr>
          <w:rFonts w:ascii="Times New Roman" w:cs="Times New Roman" w:eastAsia="Times New Roman" w:hAnsi="Times New Roman"/>
          <w:sz w:val="18"/>
          <w:szCs w:val="18"/>
          <w:color w:val="auto"/>
        </w:rPr>
        <w:t>contract at the facility giving rise to the conviction (called the “violating facility”). Accordingly, the Court’s entry of the Company’s conviction under the CWA resulted in the automatic disqualification of the Company’s eligibility to be awarded contracts at the violating facility, which the federal suspension and debarment officer (the “SDO”) determined to be the Company’s field office for the Cheniere Ronquille project, located at 28465 Hwy 23, Port Sulphur, Louisiana. The disqualification was imposed on June 23, 2022, and only applied to the Port Sulphur facility and not the Company as a whole. On the same day, June 23, 2022, the SDO issued a decision reinstating the Company’s Port Sulphur facility based on the SDO’s determination that the Company had addressed the causes of the CWA violation. This matter is now fully resolved and will not have any future impact on the Company’s business, financial condition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94"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08"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20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2021 and in other securities filings by Great Lakes with the SEC.</w:t>
      </w:r>
    </w:p>
    <w:p>
      <w:pPr>
        <w:spacing w:after="0" w:line="18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is the largest provider of dredging services in the United States. In addition, the Company is fully engaged in expanding its core business into the rapidly developing offshore wind energy industry. The Company has a long history of performing significant international projects. The mobility of the Company’s fleet enables the Company to move equipment in response to changes in demand for dredging services.</w:t>
      </w:r>
    </w:p>
    <w:p>
      <w:pPr>
        <w:spacing w:after="0" w:line="177"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35% over the prior three years, including 49%, 54%, 17% and 23% of the domestic capital, coastal protection, maintenance and rivers &amp; lakes sectors, respectively.</w:t>
      </w:r>
    </w:p>
    <w:p>
      <w:pPr>
        <w:spacing w:after="0" w:line="18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Company’s largest domestic customer is the U.S. Army Corps of Engineers (the “Corps”), which has responsibility for federally funded projects related to navigation and flood control of U.S. waterways. In the first nine months of 2022, the Company’s dredging revenues earned from contracts with federal government agencies, including the Corps as well as other federal entities such as the U.S. Coast Guard and the U.S. Navy were approximately 65% of dredging revenues, below the Company’s prior three-year average of 80%.</w:t>
      </w:r>
    </w:p>
    <w:p>
      <w:pPr>
        <w:spacing w:after="0" w:line="19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Throughout the coronavirus ("COVID-19") pandemic, the Company’s primary focus has been the health and safety of its employees. The Company has implemented paid leave policies and additional sanitary and safety measures to mitigate the risk of infection to employees. On vessels and job sites, the Company has instituted fewer employee shift changes and increased sanitary measures. The Company is now 100% fully vaccinated against COVID-19, with few accommodations. For the three months ending September 30, 2022, COVID-19 related costs were not material. Direct COVID-19 related costs were approximately $1.2 million for the nine months ending September 30, 2022 compared to approximately $9.4 million for the nine months ending September 30, 2021.</w:t>
      </w:r>
    </w:p>
    <w:p>
      <w:pPr>
        <w:spacing w:after="0" w:line="1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mid-2022, the Company’s corporate employees began transitioning from a hybrid working environment to mostly working in person. The Company is following the protocols published by the U.S. Centers for Disease Control and Prevention, the World Health</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 w:name="page18"/>
    <w:bookmarkEnd w:id="17"/>
    <w:p>
      <w:pPr>
        <w:ind w:right="140"/>
        <w:spacing w:after="0" w:line="250" w:lineRule="auto"/>
        <w:rPr>
          <w:sz w:val="20"/>
          <w:szCs w:val="20"/>
          <w:color w:val="auto"/>
        </w:rPr>
      </w:pPr>
      <w:r>
        <w:rPr>
          <w:rFonts w:ascii="Times New Roman" w:cs="Times New Roman" w:eastAsia="Times New Roman" w:hAnsi="Times New Roman"/>
          <w:sz w:val="18"/>
          <w:szCs w:val="18"/>
          <w:color w:val="auto"/>
        </w:rPr>
        <w:t>Organization and state and local governments. As the Company’s employees, customers and communities are facing significant challenges, the Company cannot predict how COVID-19 will evolve or the impact it, or actions taken to contain it, will have on future results. Due to the uncertainty that surrounds this virus, the Company will be continually evaluating safety and operational contingency plans and the potential future impact that this evolving environment has on the Company’s business, financial condition and results of operations.</w:t>
      </w:r>
    </w:p>
    <w:p>
      <w:pPr>
        <w:spacing w:after="0" w:line="19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The Company plans to participate in the offshore wind market and in November 2021, the Company entered into a $197 million contract with Philly Shipyard Inc. to build the first U.S. flagged Jones Act compliant, inclined fall-pipe vessel for subsea rock installation for wind turbine foundations with expected delivery of the vessel in the second half of 2024. This vessel represents a significant and critical advancement in building the U.S. logistics infrastructure to support the future of the new U.S. offshore wind industry. The Company has begun bidding on select projects in the offshore wind market and on July 14, 2022, the Company, in consortium with Van Oord, entered into its first contract with Empire Offshore Wind, a joint venture between Equinor and BP, to perform subsea rock installation work for the Empire I and Empire II offshore wind farms in New York. These wind farms are expected to provide over 2 Gigawatts (“GW”) of renewable energy to the state of New York; enough renewable energy to power more than one million households in New York.</w:t>
      </w:r>
    </w:p>
    <w:p>
      <w:pPr>
        <w:spacing w:after="0" w:line="18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The current Presidential Administration has pushed to accelerate renewable energy developments and announced last year the goal of 30GW of offshore wind energy generation capacity by 2030 on the U.S. East Coast and provided access to $3.0 billion in federal loan guarantees for offshore wind projects. In March 2021, the White House announced new initiatives that will advance the administration’s goals to expand the nation’s offshore wind energy capacity in the coming decade by opening new areas of development, improving environmental permitting and increasing public financing for projects. In addition, in February 2022, the Bureau of Ocean Energy Management (the “BOEM”) auctioned more than 480,000 acres in the New York Bight area for six new offshore wind energy leases, which brought in $4.4 billion resulting in the most significant wind lease sale in the United States to date. Additionally, in 2021, the U.S. Senate passed the $1.2 trillion infrastructure bill where the Corps will be granted $11.6 billion in funding to improve the nation’s resilience to the effects of climate change.</w:t>
      </w:r>
    </w:p>
    <w:p>
      <w:pPr>
        <w:spacing w:after="0" w:line="200"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On March 15, 2022 the Omnibus Appropriations Bill was signed into law, which included funding for the Corps totaling $8.3 billion for fiscal year 2022. This is an increase of $548 million above the fiscal year 2021 amount and an increase of $1.6 billion above the President’s original budget request. Appropriations included $4.6 billion for operation and maintenance, including $2.5 billion from the Harbor Maintenance Trust Fund (“HMTF”) in accordance with the Coronavirus Aid, Relief and Economic Security Act (the “CARES Act”) and $35.0 million for flood control and coastal emergencies which includes $19.8 million for the construction of shore protection projects.</w:t>
      </w:r>
    </w:p>
    <w:p>
      <w:pPr>
        <w:spacing w:after="0" w:line="18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Water Resources Development Act bill (the “WRDA”), which authorizes new projects and makes policy changes that will make natural infrastructure and beneficial use of dredged material more common, was included in the Consolidated Appropriations Act 2021 signed into law on December 27, 2020. This continues the trend of WRDA legislation in each session of Congress since 2014. The legislation provides access to the $9.3 billion in unspent HMTF tax collections, establishes a funds distribution process for HMTF funding and approves projects to proceed to construction. In July 2022, the Senate passed their version of the Water Resources Development Act 2022 (“the WRDA 2022”) which includes legislation that authorizes about $25 billion to help finance 20 new or modified Corps projects for flood and hurricane protection, dredging, ecosystem restoration and other construction projects. Since the House also passed their version recently, the legislation is expected to be conferenced and signed into law by the President before the end of 2022. In addition, in July 2022, both the Senate and House passed their respective fiscal year 2023 Corps budget proposals. The Senate’s proposal was $8.7 billion in funding and House’s proposal was $8.9 billion. Prior to sending to the President for his signature, the House and Senate will meet to agree on a final amount, which will likely be another record budget for the Corps. This will be under continuing resolution until mid-December 2022.</w:t>
      </w:r>
    </w:p>
    <w:p>
      <w:pPr>
        <w:spacing w:after="0" w:line="18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The Company experienced regulatory dry dock inspections on three dredges in the third quarter of 2022 with an additional vessel out for repairs and expected to return to perform work soon. Two of the dry dock vessels remained in regulatory dry dock at quarter end with the expectation of completing their dry docks in the fourth quarter.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operating segment, which is also the Company’s one reportable segment and reporting unit.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0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following tables set forth the components of net income (loss) and Adjusted EBITDA, as defined below, as a percentage of contract revenues for the three and nine months ended September 30, 2022 and 2021:</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21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1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8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(97.6 )</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assets—net</w:t>
            </w: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 xml:space="preserve">(0.6 ) </w:t>
            </w:r>
            <w:r>
              <w:rPr>
                <w:rFonts w:ascii="Times New Roman" w:cs="Times New Roman" w:eastAsia="Times New Roman" w:hAnsi="Times New Roman"/>
                <w:sz w:val="24"/>
                <w:szCs w:val="24"/>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0.8 %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19.1 %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-1602105</wp:posOffset>
            </wp:positionV>
            <wp:extent cx="5143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-1602105</wp:posOffset>
            </wp:positionV>
            <wp:extent cx="51435"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-1602105</wp:posOffset>
            </wp:positionV>
            <wp:extent cx="5143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-762635</wp:posOffset>
            </wp:positionV>
            <wp:extent cx="51435"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-762635</wp:posOffset>
            </wp:positionV>
            <wp:extent cx="51435"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-762635</wp:posOffset>
            </wp:positionV>
            <wp:extent cx="5143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-479425</wp:posOffset>
            </wp:positionV>
            <wp:extent cx="5143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-479425</wp:posOffset>
            </wp:positionV>
            <wp:extent cx="5143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-479425</wp:posOffset>
            </wp:positionV>
            <wp:extent cx="5143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-479425</wp:posOffset>
            </wp:positionV>
            <wp:extent cx="431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5143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5143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5143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431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78"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(loss) to measure the Company’s operating performance and uses Adjusted EBITDA only as a supplement. The following is a reconciliation of Adjusted EBITDA to net income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(9,910 )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(2,886 )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expense—net</w:t>
            </w: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(3,347 )</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(915 )</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-659765</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-659765</wp:posOffset>
            </wp:positionV>
            <wp:extent cx="6032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-659765</wp:posOffset>
            </wp:positionV>
            <wp:extent cx="6032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-659765</wp:posOffset>
            </wp:positionV>
            <wp:extent cx="6032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210"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Nine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Revenues (in thousands)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Dredging:</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Capital—U.S.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(18.8 )%$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268,485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4.8 %</w:t>
            </w: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Capital—foreign</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(100.0 )%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Coastal protection</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131.6 %</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153,970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109,207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41.0 %</w:t>
            </w: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Maintenance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(25.2 )%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117,631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(50.1 )%</w:t>
            </w: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Rivers &amp; lakes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(21.2 )%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(42.4 )%</w:t>
            </w:r>
          </w:p>
        </w:tc>
      </w:tr>
      <w:tr>
        <w:trPr>
          <w:trHeight w:val="19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158,346</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168,638</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502,123</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516,185</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w:t>
            </w:r>
          </w:p>
        </w:tc>
      </w:tr>
      <w:tr>
        <w:trPr>
          <w:trHeight w:val="20"/>
        </w:trPr>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-676910</wp:posOffset>
            </wp:positionV>
            <wp:extent cx="527177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71770" cy="12890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-419735</wp:posOffset>
            </wp:positionV>
            <wp:extent cx="527177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71770" cy="12890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-153670</wp:posOffset>
            </wp:positionV>
            <wp:extent cx="527177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71770" cy="154305"/>
                    </a:xfrm>
                    <a:prstGeom prst="rect">
                      <a:avLst/>
                    </a:prstGeom>
                    <a:noFill/>
                  </pic:spPr>
                </pic:pic>
              </a:graphicData>
            </a:graphic>
          </wp:anchor>
        </w:drawing>
      </w:r>
    </w:p>
    <w:p>
      <w:pPr>
        <w:spacing w:after="0" w:line="1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Total revenue was $158.3 million for the three months ended September 30, 2022, down $10.3 million, or 6.1%, from $168.6 million for the same period in the prior year. For the three months ended September 30, 2022, the Company experienced a decrease in domestic capital, maintenance, rivers &amp; lakes and foreign capital revenue as compared to the same period in the prior year due fewer overall projects and dredging project challenges. This decrease was partially offset by an increase in coastal protection revenue during the third quarter of 2022 as compared to the same period in the prior year. For the nine months ended September 30, 2022, total revenue was $502.1 million, down from revenue of $516.2 million for the same period in the prior year, representing a decrease of $14.1 million or 2.7%. For the nine months ended September 30, 2022, the Company experienced a decrease in maintenance, rivers &amp; lakes and foreign capital revenue as compared to the same period in the prior year. This decrease was slightly offset by an increase in domestic capital and coastal protection revenues during the current period as compared to the same period in the prior year.</w:t>
      </w:r>
    </w:p>
    <w:p>
      <w:pPr>
        <w:spacing w:after="0" w:line="20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September 30, 2022, domestic capital dredging revenue was $90.6 million, down $20.9 million, or 18.7%, compared to $111.5 million for the same period in 2021. The decrease in capital dredging revenues for the three months ended September 30, 2022 was mostly due to a lower amount of revenue earned on projects in Massachusetts, Florida, South Carolina and Alabama in the third quarter of 2022 when compared to the same period in the prior year. This decrease was partially offset by revenue earned on projects in Texas, Virginia, New York and New Jersey in the prior year. For the nine months ended September 30, 2022, domestic capital revenue was $281.3 million compared to $268.5 million for the same period in 2021, representing an increase of $12.8 million, or 4.8%. The increase in capital dredging revenues for the nine months ended September 30, 2022 was mostly due to a greater amount of revenue earned on projects in Texas, Virginia, Maine, Louisiana, New York and New Jersey in the current year period when compared to the prior year. This increase was partially offset by revenue earned on projects in South Carolina, Massachusetts, Florida and Alabama in the prior year.</w:t>
      </w:r>
    </w:p>
    <w:p>
      <w:pPr>
        <w:spacing w:after="0" w:line="206"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rPr>
        <w:t>Foreign capital projects typically involve land reclamations, channel deepening and port infrastructure development. In the three and nine months ended September 30, 2022, there was no foreign capital revenue compared to $0.3 million and $6.6 million in the three and nine months ended September 30, 2021. The Company does not anticipate any foreign capital project revenue in the immediate future.</w:t>
      </w:r>
    </w:p>
    <w:p>
      <w:pPr>
        <w:spacing w:after="0" w:line="17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Coastal protection projects involve moving sand from the ocean floor to shoreline locations where erosion threatens shoreline assets. Coastal protection revenue for the quarter ended September 30, 2022 was $36.9 million, an increase of $21.0 million, or 131.3%, compared to $15.9 million in the prior year period. The increase in coastal protection revenues for the three months ended September 30, 2022 was mostly attributable to a greater amount of revenue earned on projects in North Carolina and Florida in the current year period when compared to the prior year. This increase was slightly offset by revenue earned on projects in New York and New Jersey in the current year. Coastal protection revenue for the nine months ended September 30, 2022 was $154.0 million, representing an increase of $44.8 million or 41.0%, from $109.2 million for the same period in 2021. The increase in coastal protection revenues for the nine months ended September 30, 2022 was mostly due to a greater amount of revenue earned on projects in North Carolina, New York and New Jersey in the current year period when compared to the prior year. This increase was partially offset by less revenue earned on projects in Florida and Louisiana in the current year.</w:t>
      </w:r>
    </w:p>
    <w:p>
      <w:pPr>
        <w:spacing w:after="0" w:line="18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third quarter of 2022 was $26.2 million, down $8.9 million, or 25.2%, from $35.1 million in the same period of 2021. The decrease in maintenance revenues for the three months ended September 30, 2022 was mostly attributable to a decrease in revenue earned on projects in Florida and Louisiana, from the prior year. This decrease was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0" w:name="page21"/>
    <w:bookmarkEnd w:id="20"/>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partially offset by an increase in revenue earned on projects in South Carolina, New York and New Jersey in the current year. Maintenance revenue for the nine months ended September 30, 2022 was $58.7 million, a decrease of $58.9 million, or 50.1%, compared to $117.6 million for the comparable period in the prior year. The decrease in maintenance revenues for the nine months ended September 30, 2022 was mostly due to a lower amount of revenue earned on projects in Florida, Louisiana and Texas in the current year period when compared to the prior year. This decrease was partially offset by more revenue earned on projects in South Carolina, New York and New Jersey in the current year.</w:t>
      </w:r>
    </w:p>
    <w:p>
      <w:pPr>
        <w:spacing w:after="0" w:line="17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third quarter of 2022, rivers &amp; lakes revenue was $4.6 million, a decrease of $1.3 million, or 22.6%, from $5.9 million during the same period of 2021. The decrease in river and lakes revenue for the three months ended September 30, 2022 was mostly attributable to a decrease in revenue earned on projects in Mississippi, Texas and Tennessee in the current year. This decrease was partially offset by an increase in revenue earned on a project in Arkansas in the current year. Rivers &amp; lakes revenue for the nine months ended September 30, 2022 was $8.2 million, down $6.1 million</w:t>
      </w:r>
      <w:r>
        <w:rPr>
          <w:rFonts w:ascii="Times New Roman" w:cs="Times New Roman" w:eastAsia="Times New Roman" w:hAnsi="Times New Roman"/>
          <w:sz w:val="17"/>
          <w:szCs w:val="17"/>
          <w:color w:val="4F81BD"/>
        </w:rPr>
        <w:t>,</w:t>
      </w:r>
      <w:r>
        <w:rPr>
          <w:rFonts w:ascii="Times New Roman" w:cs="Times New Roman" w:eastAsia="Times New Roman" w:hAnsi="Times New Roman"/>
          <w:sz w:val="17"/>
          <w:szCs w:val="17"/>
          <w:color w:val="auto"/>
        </w:rPr>
        <w:t xml:space="preserve"> or 42.6%, from $14.3 million for the same period in the prior year. The decrease in rivers</w:t>
      </w:r>
    </w:p>
    <w:p>
      <w:pPr>
        <w:spacing w:after="0" w:line="4" w:lineRule="exact"/>
        <w:rPr>
          <w:sz w:val="20"/>
          <w:szCs w:val="20"/>
          <w:color w:val="auto"/>
        </w:rPr>
      </w:pPr>
    </w:p>
    <w:p>
      <w:pPr>
        <w:ind w:right="40" w:firstLine="8"/>
        <w:spacing w:after="0"/>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lakes revenues for the nine months ended September 30, 2022 was mostly due to a lower amount of revenue earned on projects in Mississippi, Texas and Kansas in the current year period, when compared to the prior year. This decrease was partially offset by an increase in revenue earned on projects in Tennessee and Arkansas in the current year.</w:t>
      </w:r>
    </w:p>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Consolidated gross profit for the quarter ended September 30, 2022 was $3.8 million, down $32.5 million, or 90%, compared to $36.3 million in same period of 2021. The lower gross profit experienced for the three months ended September 30, 2022, was driven supply chain delays and high inflation, in addition to higher plant expenses for maintenance on dredges in preparation for upcoming work. Consolidated gross profit for the nine months ended September 30, 2022 was $47.3 million, down $45.0 million, or 48.7%, compared to $92.3 million in the same period of the prior year. Gross profit margin for the nine months ended September 30, 2022 was down to 9.4% from 17.9% in the same period in the prior year. The lower gross profit experienced for the nine months ended September 30, 2022 was driven by supply chain delays and high inflation which led to a decrease in the profitability. Supply chain delays impacted drydockings and caused dredges to be delayed when mobilizing to their projects and rapidly increasing inflation impacted the cost of labor, cost of fuel, operating supplies, differing site condition claims, subcontractor pricing and drydockings, all of which negatively impacted gross margin.</w:t>
      </w:r>
    </w:p>
    <w:p>
      <w:pPr>
        <w:spacing w:after="0" w:line="16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general and administrative expenses were $13.3 million and $38.7 million, respectively, compared to the same periods in the prior year in which the three and nine months totaled $15.2 million and $45.7 million, respectively. For the three and nine months ended September 30, 2022, general and administrative expenses include lower technical and consulting expenses and lower severance expenses in addition to lower incentive pay and profit sharing and relocation expenses related to the headquarters move to Texas.</w:t>
      </w:r>
    </w:p>
    <w:p>
      <w:pPr>
        <w:spacing w:after="0" w:line="17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Operating loss for the third quarter of 2022 was $9.5 million, down $30.8 million compared to operating income of $21.4 million for the same quarter in 2021. Operating income for the nine months ended September 30, 2022 was $9.0 million, down $37.9 million from operating income of $46.9 million in the same period of the prior year. The decrease in operating income for the three and nine months ended September 30, 2022 was a result of lower gross profit in the current year when compared to the same period in the prior year. This decrease was partially offset by lower general and administrative expenses in the current year when compared to the same period in the prior year.</w:t>
      </w:r>
    </w:p>
    <w:p>
      <w:pPr>
        <w:spacing w:after="0" w:line="17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2022, net interest expense was $3.6 million, $0.6 million lower compared to $4.2 million for the same period in the prior year. Net interest expense for the nine months ended September 30, 2022 was $11.0 million, $6.5 million lower compared with $17.5 million for the same period in the prior year. The decrease in net interest expense was primarily due to the refinancing of the senior notes in May 2021 at a lower interest rate and an increase in capitalized interest due to the extensive new build program.</w:t>
      </w:r>
    </w:p>
    <w:p>
      <w:pPr>
        <w:spacing w:after="0" w:line="1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Income tax benefit for the three months ended September 30, 2022 was $3.3 million compared to an income tax provision of $3.2 million for the same period in the prior year. For the nine months ended September 30, 2022 and 2021, the Company had an income tax benefit of $0.9 million and an income tax provision of $5.4 million, respectively. The effective tax rate for the nine months ended September 30, 2022 was 24.1%, up 6.2% from the effective tax rate of 17.9% for the same period of 2021. The increase in the effective tax rate was primarily due to a one-time benefit associated with a stock compensation tax deduction in the first quarter of the prior year.</w:t>
      </w:r>
    </w:p>
    <w:p>
      <w:pPr>
        <w:spacing w:after="0" w:line="17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Net loss for the quarter ended September 30, 2022 was $9.9 million, down $23.7 million from net income of $13.8 million in the same quarter in the prior year. Diluted earnings (loss) per share was $(0.15) for the three months ended September 30, 2022, compared to $0.21 for the three months ended September 30, 2021. The decrease in net income for the three months ended September 30, 2022 was primarily due to the substantial decrease in gross profit in the current year quarter, partially offset by a decrease in general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 w:name="page22"/>
    <w:bookmarkEnd w:id="21"/>
    <w:p>
      <w:pPr>
        <w:ind w:right="40"/>
        <w:spacing w:after="0" w:line="250" w:lineRule="auto"/>
        <w:rPr>
          <w:sz w:val="20"/>
          <w:szCs w:val="20"/>
          <w:color w:val="auto"/>
        </w:rPr>
      </w:pPr>
      <w:r>
        <w:rPr>
          <w:rFonts w:ascii="Times New Roman" w:cs="Times New Roman" w:eastAsia="Times New Roman" w:hAnsi="Times New Roman"/>
          <w:sz w:val="18"/>
          <w:szCs w:val="18"/>
          <w:color w:val="auto"/>
        </w:rPr>
        <w:t>administrative expense and net interest expense in the current year quarter. Net loss for the nine months ended September 30, 2022 was $2.9 million, a decrease of $27.6 million, down 112%, from net income of $24.7 million for the same period in the prior year. Diluted earnings per share were $0.04 and $0.37 for the nine months ended September 30, 2022 and 2021, respectively. The decrease in net income for the nine months ended September 30, 2022 was driven by the substantial decrease to gross profit. This decrease was slightly offset by a decrease in general and administrative and net interest expense during the current year when compared to the same period in the prior year.</w:t>
      </w:r>
    </w:p>
    <w:p>
      <w:pPr>
        <w:spacing w:after="0" w:line="17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Adjusted EBITDA (as defined on page 20) for the quarter ended September 30, 2022 was $1.3 million, down $30.8 million, from $32.2 million in the same quarter in the prior year. The decrease in Adjusted EBITDA during the third quarter of 2022 was driven by the decrease in gross profit, excluding depreciation partially offset by a decrease in general and administrative expense. For the nine months ended September 30, 2022 Adjusted EBITDA was $41.2 million, down $38.2 million, or 48%, from $79.3 million during the same period in the prior year. The decrease in Adjusted EBITDA during the first nine months of 2022 was driven primarily by the decrease in gross profit, excluding depreciation and other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Bidding activity and backlog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type of work, the Company’s backlog as of the dates indicated:</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4"/>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Dredging Backlog (in thousands)</w:t>
            </w:r>
          </w:p>
        </w:tc>
        <w:tc>
          <w:tcPr>
            <w:tcW w:w="160" w:type="dxa"/>
            <w:vAlign w:val="bottom"/>
          </w:tcPr>
          <w:p>
            <w:pPr>
              <w:spacing w:after="0"/>
              <w:rPr>
                <w:sz w:val="16"/>
                <w:szCs w:val="16"/>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Capital—U.S.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220,723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398,748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411,354</w:t>
            </w:r>
          </w:p>
        </w:tc>
        <w:tc>
          <w:tcPr>
            <w:tcW w:w="80" w:type="dxa"/>
            <w:vAlign w:val="bottom"/>
          </w:tcPr>
          <w:p>
            <w:pPr>
              <w:spacing w:after="0"/>
              <w:rPr>
                <w:sz w:val="20"/>
                <w:szCs w:val="20"/>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protection</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139,072</w:t>
            </w:r>
          </w:p>
        </w:tc>
        <w:tc>
          <w:tcPr>
            <w:tcW w:w="80" w:type="dxa"/>
            <w:vAlign w:val="bottom"/>
            <w:shd w:val="clear" w:color="auto" w:fill="CFF0FC"/>
          </w:tcPr>
          <w:p>
            <w:pPr>
              <w:spacing w:after="0"/>
              <w:rPr>
                <w:sz w:val="18"/>
                <w:szCs w:val="18"/>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80" w:type="dxa"/>
            <w:vAlign w:val="bottom"/>
          </w:tcPr>
          <w:p>
            <w:pPr>
              <w:spacing w:after="0"/>
              <w:rPr>
                <w:sz w:val="18"/>
                <w:szCs w:val="18"/>
                <w:color w:val="auto"/>
              </w:rPr>
            </w:pPr>
          </w:p>
        </w:tc>
      </w:tr>
      <w:tr>
        <w:trPr>
          <w:trHeight w:val="216"/>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Rivers &amp; lakes</w:t>
            </w: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dredging backlog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452,587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551,588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598,481</w:t>
            </w:r>
          </w:p>
        </w:tc>
        <w:tc>
          <w:tcPr>
            <w:tcW w:w="8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-170815</wp:posOffset>
            </wp:positionV>
            <wp:extent cx="6032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5143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7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total dredging backlog above does not include approximately $50 million of performance obligations related to offshore wind contracts. The Company expects to perform on its offshore wind contracts using the inclined fall-pipe vessel for subsea rock installation which is expected to be delivered in the second half of 2024.</w:t>
      </w:r>
    </w:p>
    <w:p>
      <w:pPr>
        <w:spacing w:after="0" w:line="17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70% of the Company’s September 30, 2022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w:t>
      </w:r>
    </w:p>
    <w:p>
      <w:pPr>
        <w:spacing w:after="0" w:line="18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domestic dredging bid market for the quarter ended September 30, 2022 was $676.6 million, a $200.1 million decrease compared to the same period in the prior year. Total domestic dredging bid market for the current year period included awards for four coastal protection projects in Florida, New York and New Jersey, a harbor maintenance project in Virginia and river maintenance projects in Arkansas and Mississippi. The Company won 25.7% of the overall domestic bid market for the nine months ended September 30, 2022, which is lower than the Company’s prior three-year average of 35.0%, primarily due to a bid market with an atypical project mix less suited to the Company's historical vessel utilization. Variability in contract wins from quarter to quarter is not unusual and one quarter’s win rate is generally not indicative of the win rate the Company is likely to achieve for a full year.</w:t>
      </w:r>
    </w:p>
    <w:p>
      <w:pPr>
        <w:spacing w:after="0" w:line="1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contracted dredging backlog was $452.6 million at September 30, 2022 compared to $551.6 million of dredging backlog at December 31, 2021. These amounts do not reflect approximately $626.8 million of domestic low bids pending formal award and additional phases (“options”) pending on projects currently in dredging backlog at September 30, 2022. At December 31, 2021, the amount of domestic low bids and options pending award was $567.3 million.</w:t>
      </w:r>
    </w:p>
    <w:p>
      <w:pPr>
        <w:spacing w:after="0" w:line="1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Domestic capital dredging backlog at September 30, 2022 decreased by $178.0 million from December 31, 2021. In the three months ended September 30, 2022, the Company was awarded one domestic capital dredging project in Virginia totaling $56.8 million. During the nine months ended September 30, 2022, the Company continued to earn revenue on deepening projects in Louisiana, Texas, Alabama, Florida, South Carolina, Virginia, Massachusetts, New Hampshire and Maine, multiple coastal restoration projects in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2" w:name="page23"/>
    <w:bookmarkEnd w:id="22"/>
    <w:p>
      <w:pPr>
        <w:ind w:right="20"/>
        <w:spacing w:after="0" w:line="262" w:lineRule="auto"/>
        <w:rPr>
          <w:sz w:val="20"/>
          <w:szCs w:val="20"/>
          <w:color w:val="auto"/>
        </w:rPr>
      </w:pPr>
      <w:r>
        <w:rPr>
          <w:rFonts w:ascii="Times New Roman" w:cs="Times New Roman" w:eastAsia="Times New Roman" w:hAnsi="Times New Roman"/>
          <w:sz w:val="17"/>
          <w:szCs w:val="17"/>
          <w:color w:val="auto"/>
        </w:rPr>
        <w:t>Louisiana, and a liquefied natural gas project in Louisiana. Government funded projects coming into the pipeline include the Freeport Reaches, AOC deepening, Port of Houston, Corpus Christi and additional phases of Norfolk and Mobile deepenings. These projects continue the trend of ensuring all East Coast and Gulf of Mexico ports will be able to accommodate the deeper draft vessels currently used on several trade routes. In addition to the government funded deepening projects, the Company also has a port deepening project in Texas.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foreign capital dredging backlog at September 30, 2022 and December 31, 2021 and there are no future foreign projects in the pipeline.</w:t>
      </w:r>
    </w:p>
    <w:p>
      <w:pPr>
        <w:spacing w:after="0" w:line="2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Coastal protection dredging backlog at September 30, 2022 decreased $12.2 million from December 31, 2021. In the three months ended September 30, 2022, the Company was awarded $79.2 million of coastal protection projects, including projects in Florida, New York and New Jersey. During the nine months ended September 30, 2022, the Company continued to earn revenue on coastal protection projects in New Jersey, North Carolina and Florida which were in dredging backlog at December 31, 2021</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Coastal protection and storm impacts continue to provide the major impetus for coastal project investment at federal and state levels. Strong hurricane and storm seasons, including the most recent Hurricane Ian, have resulted in an increase in beach erosion and other damage which adds to the recurring nature of our business and the need for more frequent coastal protection and port maintenance projects. As a result of the extreme storm systems in prior years involving Hurricanes Harvey, Irma, and Maria,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w:t>
      </w:r>
    </w:p>
    <w:p>
      <w:pPr>
        <w:spacing w:after="0" w:line="18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Maintenance dredging backlog at September 30, 2022 increased $81.5 million from December 31, 2021. In the three months ended September 30, 2022, the Company was awarded multiple maintenance projects, including a project in Arkansas for $59.1 million, a project in Texas for $42.6 million and one in Delaware for $39.3 million. During the nine months ended September 30, 2022, the Company continued to earn revenue on projects in Louisiana, Mississippi and North Carolina that were in dredging backlog at December 31, 2021.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anticipates increased funding for harbor maintenance projects to be let for bid.</w:t>
      </w:r>
    </w:p>
    <w:p>
      <w:pPr>
        <w:spacing w:after="0" w:line="18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Rivers &amp; lakes backlog at September 30, 2022 increased $9.7 million compared to dredging backlog at December 31, 2021. For the nine months ended September 30, 2022, the Company continued to earn revenue on projects in Tennessee and Mississippi which were in dredging backlog at December 31,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continues to actively manage its liquidity. 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6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Company’s cash provided by (used in) operating activities for the nine months ended September 30, 2022 and 2021 was a use of $6.7 million and proceeds of $42.8 million, respectively. Normal increases or decreases in the level of working capital relative to the level of operational activity impact cash flow from operating activities. The decrease in cash provided by operating activities during the nine months ended September 30, 2022, compared to the same period in the prior year, was due to a decrease in net income as well as an increase in working capital due to an increase in inventories and contract revenues in excess of billings during the current year when compared to the same period in the prior year.</w:t>
      </w:r>
    </w:p>
    <w:p>
      <w:pPr>
        <w:spacing w:after="0" w:line="17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 xml:space="preserve">The Company’s cash flows used in investing activities for the nine months ended September 30, 2022 and 2021 were $100.5 million and $77.6 million, respectively. Investing activities primarily relate to normal course upgrades and capital maintenance of the Company’s dredging fleet. The Company is currently building a 6,500 cubic yard trailing suction hopper dredge, the </w:t>
      </w:r>
      <w:r>
        <w:rPr>
          <w:rFonts w:ascii="Times New Roman" w:cs="Times New Roman" w:eastAsia="Times New Roman" w:hAnsi="Times New Roman"/>
          <w:sz w:val="18"/>
          <w:szCs w:val="18"/>
          <w:i w:val="1"/>
          <w:iCs w:val="1"/>
          <w:color w:val="auto"/>
        </w:rPr>
        <w:t>Galveston Island</w:t>
      </w:r>
      <w:r>
        <w:rPr>
          <w:rFonts w:ascii="Times New Roman" w:cs="Times New Roman" w:eastAsia="Times New Roman" w:hAnsi="Times New Roman"/>
          <w:sz w:val="18"/>
          <w:szCs w:val="18"/>
          <w:color w:val="auto"/>
        </w:rPr>
        <w:t xml:space="preserve">, with expected delivery in the first quarter of 2023, additionally, in June 2022 the Company exercised the contract option with the same builder to build a second 6,500 cubic yard trailing suction hopper dredge with expected delivery in the first half of 2025. The delivery of the new </w:t>
      </w:r>
      <w:r>
        <w:rPr>
          <w:rFonts w:ascii="Times New Roman" w:cs="Times New Roman" w:eastAsia="Times New Roman" w:hAnsi="Times New Roman"/>
          <w:sz w:val="18"/>
          <w:szCs w:val="18"/>
          <w:i w:val="1"/>
          <w:iCs w:val="1"/>
          <w:color w:val="auto"/>
        </w:rPr>
        <w:t>Galveston Island</w:t>
      </w:r>
      <w:r>
        <w:rPr>
          <w:rFonts w:ascii="Times New Roman" w:cs="Times New Roman" w:eastAsia="Times New Roman" w:hAnsi="Times New Roman"/>
          <w:sz w:val="18"/>
          <w:szCs w:val="18"/>
          <w:color w:val="auto"/>
        </w:rPr>
        <w:t xml:space="preserve"> hopper dredge will provide the Company with added capacity and the opportunity to potentially retire some older dredges. In November 2021, the Company entered into a $197 million contract with Philly Shipyard Inc. to build the first U.S. flagged Jones Act compliant, inclined fall-pipe vessel for subsea rock installation for wind turbine foundations to support the new</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3" w:name="page24"/>
    <w:bookmarkEnd w:id="23"/>
    <w:p>
      <w:pPr>
        <w:ind w:right="220"/>
        <w:spacing w:after="0" w:line="250" w:lineRule="auto"/>
        <w:rPr>
          <w:sz w:val="20"/>
          <w:szCs w:val="20"/>
          <w:color w:val="auto"/>
        </w:rPr>
      </w:pPr>
      <w:r>
        <w:rPr>
          <w:rFonts w:ascii="Times New Roman" w:cs="Times New Roman" w:eastAsia="Times New Roman" w:hAnsi="Times New Roman"/>
          <w:sz w:val="18"/>
          <w:szCs w:val="18"/>
          <w:color w:val="auto"/>
        </w:rPr>
        <w:t>U.S. offshore wind industry with expected delivery in the second half of 2024. In July 2021, the Company announced a contract to build two multifunctional all-purpose vessels (“multicats”). During the nine months ended September 30, 2022, the Company invested $28.5 million in the new hopper dredges, $29.2 million in multicats and scows and $2.7 million in the rock installation vessel. The Company anticipates that remaining new build program payments will be made with cash on hand, future cash flows generated from operations and revolver availability.</w:t>
      </w:r>
    </w:p>
    <w:p>
      <w:pPr>
        <w:spacing w:after="0" w:line="19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cash flows used in financing activities for the nine months ended September 30, 2022 and 2021 totaled $1.5 million and $5.9 million, respectively. The decrease in cash used in financing activities relates to greater new debt financing fees in the prior year period in addition to changes in the taxes paid on settlement of vested shares awards and a decrease in the exercise of options and purchases from the Company’s employee stock purchase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liquidity matters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Refer to Note 4, Long-term debt, in the Notes to Condensed Consolidated Financial Statements for discussion of the Company’s Amended Credit Agreement and 2029 Notes. Additionally, refer to Note 8, Commitments and contingencies, in the Notes to Condensed Consolidated Financial Statements for discussion of the Company’s surety agreements.</w:t>
      </w:r>
    </w:p>
    <w:p>
      <w:pPr>
        <w:spacing w:after="0" w:line="16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Company intends to upgrade its existing domestic fleet by acquiring or building new vessels, equipment and technology to increase productivity and efficiency and further enhance safety. Existing cash on hand, future net cash flows, debt financing and new leases are all available funding resources from which the Company will evaluate its options when considering these upgrades.</w:t>
      </w:r>
    </w:p>
    <w:p>
      <w:pPr>
        <w:spacing w:after="0" w:line="16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will be sufficient to fund the Company’s operations, capital expenditures, scheduled debt service requirements for the next twelve months. The Company recently took a $10.0 million draw on the Amended Credit Agreement in the current fourth quarter to expand cash on hand for operational and investing needs. Beyond the next twelve months, the Company’s ability to fund its working capital needs, planned capital expenditures, scheduled debt payments and dividends, if any, and to comply with all the financial covenants under the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Basis of presentation, to the Company’s December 31, 2021 Consolidated Financial Statements included in the Company’s Annual Report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2021.</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September 30, 2022 has not materially changed since December 31, 2021. The market risk profile of the Company on December 31, 2021 is disclosed in Item 7A. “Quantitative and Qualitative Disclosures about Market Risk” of the Company’s Annual Report on Form 10-K for the year ended December 31,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0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2022.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as of September 30, 2022 in providing such a reasonable assurance.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September 30, 2022 that have materially affected, or are reasonably likely to materially affect, our internal control over financial reporting.</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74" w:right="439" w:bottom="1440" w:gutter="0" w:footer="0" w:header="0"/>
        </w:sectPr>
      </w:pPr>
    </w:p>
    <w:bookmarkStart w:id="25" w:name="page26"/>
    <w:bookmarkEnd w:id="2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Commitments and contingencies, in the Notes to Condensed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during the nine months ended September 30, 2022 to the risk factors previously disclosed in Item 1A. “Risk Factors” in the Company’s Annual Report on Form 10-K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60"/>
          </w:cols>
          <w:pgMar w:left="320" w:top="644" w:right="41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54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4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65576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36" w:lineRule="exact"/>
        <w:rPr>
          <w:sz w:val="20"/>
          <w:szCs w:val="20"/>
          <w:color w:val="auto"/>
        </w:rPr>
      </w:pPr>
    </w:p>
    <w:p>
      <w:pPr>
        <w:ind w:right="20"/>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Amended and Restated Revolving Credit and Security Agreement dated as of July 29, 2022 by and among Great Lakes Dredge &amp; Dock</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Corporation, as Borrower, each other Credit Party party hereto from time to time, the financial institutions which are now or which hereafter</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become a party hereto as lenders, PNC Bank, National Association, as Agent (the “Agent”), PNC Capital Markets, CIBC Bank USA, Bank of</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America, N.A. and Truist Securities, Inc., as Joint Lead Arrangers and Joint Bookrunners, CIBC Bank USA and Truist Bank as Co-</w:t>
        </w:r>
      </w:hyperlink>
      <w:hyperlink r:id="rId152">
        <w:r>
          <w:rPr>
            <w:rFonts w:ascii="Times New Roman" w:cs="Times New Roman" w:eastAsia="Times New Roman" w:hAnsi="Times New Roman"/>
            <w:sz w:val="18"/>
            <w:szCs w:val="18"/>
            <w:u w:val="single" w:color="auto"/>
            <w:color w:val="0000FF"/>
          </w:rPr>
          <w:t>Syndication Agents, Bank of America, N.A., as Documentation Agent and PNC Bank National Association, as Green Loan Coordinator</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(Incorporated by reference to Great Lakes Dredge &amp; Dock Corporation’s Current Report on Form 8-K filed with the Commission on July 29,</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2022 (Commission file no. 001-33225)).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-742950</wp:posOffset>
            </wp:positionV>
            <wp:extent cx="62350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2350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-622935</wp:posOffset>
            </wp:positionV>
            <wp:extent cx="64458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4458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-502920</wp:posOffset>
            </wp:positionV>
            <wp:extent cx="65176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5176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-382905</wp:posOffset>
            </wp:positionV>
            <wp:extent cx="6017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-262890</wp:posOffset>
            </wp:positionV>
            <wp:extent cx="62509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2509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-142875</wp:posOffset>
            </wp:positionV>
            <wp:extent cx="6482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4820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-22860</wp:posOffset>
            </wp:positionV>
            <wp:extent cx="18815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16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 w:space="260"/>
            <w:col w:w="10240"/>
          </w:cols>
          <w:pgMar w:left="320" w:top="644" w:right="419" w:bottom="1440" w:gutter="0" w:footer="0" w:header="0"/>
          <w:type w:val="continuous"/>
        </w:sectPr>
      </w:pPr>
    </w:p>
    <w:tbl>
      <w:tblPr>
        <w:tblLayout w:type="fixed"/>
        <w:tblInd w:w="3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p>
        </w:tc>
        <w:tc>
          <w:tcPr>
            <w:tcW w:w="580" w:type="dxa"/>
            <w:vAlign w:val="bottom"/>
          </w:tcPr>
          <w:p>
            <w:pPr>
              <w:spacing w:after="0"/>
              <w:rPr>
                <w:sz w:val="17"/>
                <w:szCs w:val="17"/>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Rules 13a-14 and 15d-14 under the Securities Exchange Act of 1934, as Adopted Pursuant to Section 302 of the</w:t>
            </w:r>
          </w:p>
        </w:tc>
      </w:tr>
      <w:tr>
        <w:trPr>
          <w:trHeight w:val="169"/>
        </w:trPr>
        <w:tc>
          <w:tcPr>
            <w:tcW w:w="320" w:type="dxa"/>
            <w:vAlign w:val="bottom"/>
            <w:tcBorders>
              <w:top w:val="single" w:sz="8" w:color="0000FF"/>
            </w:tcBorders>
          </w:tcPr>
          <w:p>
            <w:pPr>
              <w:spacing w:after="0"/>
              <w:rPr>
                <w:sz w:val="14"/>
                <w:szCs w:val="14"/>
                <w:color w:val="auto"/>
              </w:rPr>
            </w:pPr>
          </w:p>
        </w:tc>
        <w:tc>
          <w:tcPr>
            <w:tcW w:w="580" w:type="dxa"/>
            <w:vAlign w:val="bottom"/>
          </w:tcPr>
          <w:p>
            <w:pPr>
              <w:spacing w:after="0"/>
              <w:rPr>
                <w:sz w:val="14"/>
                <w:szCs w:val="14"/>
                <w:color w:val="auto"/>
              </w:rPr>
            </w:pPr>
          </w:p>
        </w:tc>
        <w:tc>
          <w:tcPr>
            <w:tcW w:w="22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w:t>
            </w:r>
          </w:p>
        </w:tc>
        <w:tc>
          <w:tcPr>
            <w:tcW w:w="7700" w:type="dxa"/>
            <w:vAlign w:val="bottom"/>
            <w:tcBorders>
              <w:top w:val="single" w:sz="8" w:color="0000FF"/>
            </w:tcBorders>
            <w:gridSpan w:val="3"/>
          </w:tcPr>
          <w:p>
            <w:pPr>
              <w:spacing w:after="0"/>
              <w:rPr>
                <w:sz w:val="14"/>
                <w:szCs w:val="14"/>
                <w:color w:val="auto"/>
              </w:rPr>
            </w:pPr>
          </w:p>
        </w:tc>
        <w:tc>
          <w:tcPr>
            <w:tcW w:w="300" w:type="dxa"/>
            <w:vAlign w:val="bottom"/>
          </w:tcPr>
          <w:p>
            <w:pPr>
              <w:spacing w:after="0"/>
              <w:rPr>
                <w:sz w:val="14"/>
                <w:szCs w:val="14"/>
                <w:color w:val="auto"/>
              </w:rPr>
            </w:pPr>
          </w:p>
        </w:tc>
      </w:tr>
      <w:tr>
        <w:trPr>
          <w:trHeight w:val="30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p>
        </w:tc>
        <w:tc>
          <w:tcPr>
            <w:tcW w:w="58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Rules 13a-14 and 15d-14 under the Securities Exchange Act of 1934, as Adopted Pursuant to Section 302 of the</w:t>
            </w:r>
          </w:p>
        </w:tc>
      </w:tr>
      <w:tr>
        <w:trPr>
          <w:trHeight w:val="169"/>
        </w:trPr>
        <w:tc>
          <w:tcPr>
            <w:tcW w:w="320" w:type="dxa"/>
            <w:vAlign w:val="bottom"/>
            <w:tcBorders>
              <w:top w:val="single" w:sz="8" w:color="0000FF"/>
            </w:tcBorders>
          </w:tcPr>
          <w:p>
            <w:pPr>
              <w:spacing w:after="0"/>
              <w:rPr>
                <w:sz w:val="14"/>
                <w:szCs w:val="14"/>
                <w:color w:val="auto"/>
              </w:rPr>
            </w:pPr>
          </w:p>
        </w:tc>
        <w:tc>
          <w:tcPr>
            <w:tcW w:w="580" w:type="dxa"/>
            <w:vAlign w:val="bottom"/>
          </w:tcPr>
          <w:p>
            <w:pPr>
              <w:spacing w:after="0"/>
              <w:rPr>
                <w:sz w:val="14"/>
                <w:szCs w:val="14"/>
                <w:color w:val="auto"/>
              </w:rPr>
            </w:pPr>
          </w:p>
        </w:tc>
        <w:tc>
          <w:tcPr>
            <w:tcW w:w="22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w:t>
            </w:r>
          </w:p>
        </w:tc>
        <w:tc>
          <w:tcPr>
            <w:tcW w:w="20" w:type="dxa"/>
            <w:vAlign w:val="bottom"/>
            <w:tcBorders>
              <w:top w:val="single" w:sz="8" w:color="0000FF"/>
              <w:bottom w:val="single" w:sz="8" w:color="0000EE"/>
            </w:tcBorders>
          </w:tcPr>
          <w:p>
            <w:pPr>
              <w:spacing w:after="0"/>
              <w:rPr>
                <w:sz w:val="14"/>
                <w:szCs w:val="14"/>
                <w:color w:val="auto"/>
              </w:rPr>
            </w:pPr>
          </w:p>
        </w:tc>
        <w:tc>
          <w:tcPr>
            <w:tcW w:w="7680" w:type="dxa"/>
            <w:vAlign w:val="bottom"/>
            <w:tcBorders>
              <w:top w:val="single" w:sz="8" w:color="0000FF"/>
            </w:tcBorders>
            <w:gridSpan w:val="2"/>
          </w:tcPr>
          <w:p>
            <w:pPr>
              <w:spacing w:after="0"/>
              <w:rPr>
                <w:sz w:val="14"/>
                <w:szCs w:val="14"/>
                <w:color w:val="auto"/>
              </w:rPr>
            </w:pPr>
          </w:p>
        </w:tc>
        <w:tc>
          <w:tcPr>
            <w:tcW w:w="300" w:type="dxa"/>
            <w:vAlign w:val="bottom"/>
          </w:tcPr>
          <w:p>
            <w:pPr>
              <w:spacing w:after="0"/>
              <w:rPr>
                <w:sz w:val="14"/>
                <w:szCs w:val="14"/>
                <w:color w:val="auto"/>
              </w:rPr>
            </w:pPr>
          </w:p>
        </w:tc>
      </w:tr>
      <w:tr>
        <w:trPr>
          <w:trHeight w:val="30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p>
        </w:tc>
        <w:tc>
          <w:tcPr>
            <w:tcW w:w="58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w:t>
            </w:r>
          </w:p>
        </w:tc>
      </w:tr>
      <w:tr>
        <w:trPr>
          <w:trHeight w:val="20"/>
        </w:trPr>
        <w:tc>
          <w:tcPr>
            <w:tcW w:w="32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902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49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p>
        </w:tc>
        <w:tc>
          <w:tcPr>
            <w:tcW w:w="58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w:t>
            </w:r>
          </w:p>
        </w:tc>
      </w:tr>
      <w:tr>
        <w:trPr>
          <w:trHeight w:val="20"/>
        </w:trPr>
        <w:tc>
          <w:tcPr>
            <w:tcW w:w="32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2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5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Interactive Data Files pursuant to Rule 405 of Regulation S-T formatted in Inline Extensible Business Reporting Language ("Inline XBRL") *</w:t>
            </w:r>
          </w:p>
        </w:tc>
      </w:tr>
    </w:tbl>
    <w:p>
      <w:pPr>
        <w:spacing w:after="0" w:line="90" w:lineRule="exact"/>
        <w:rPr>
          <w:rFonts w:ascii="Times New Roman" w:cs="Times New Roman" w:eastAsia="Times New Roman" w:hAnsi="Times New Roman"/>
          <w:sz w:val="18"/>
          <w:szCs w:val="18"/>
          <w:u w:val="single" w:color="auto"/>
          <w:color w:val="0000FF"/>
        </w:rPr>
      </w:pPr>
    </w:p>
    <w:p>
      <w:pPr>
        <w:ind w:right="3580" w:firstLine="21"/>
        <w:spacing w:after="0" w:line="448" w:lineRule="auto"/>
        <w:tabs>
          <w:tab w:leader="none" w:pos="9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 * Filed herewith</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96"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4" w:right="419" w:bottom="1440" w:gutter="0" w:footer="0" w:header="0"/>
          <w:type w:val="continuous"/>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p>
      <w:pPr>
        <w:ind w:left="666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1"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Scott Kornblau</w:t>
      </w:r>
    </w:p>
    <w:p>
      <w:pPr>
        <w:spacing w:after="0" w:line="12"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Senior Vice President, Chief Financial Officer and Treasurer</w:t>
      </w:r>
    </w:p>
    <w:p>
      <w:pPr>
        <w:spacing w:after="0" w:line="26"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(Principal Financial Officer and Duly Authorized Officer)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SECTION 302 OF</w:t>
      </w: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0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SECTION 302 OF</w:t>
      </w: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Kornblau, certify that:</w:t>
      </w:r>
    </w:p>
    <w:p>
      <w:pPr>
        <w:spacing w:after="0" w:line="104"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Scott Kornblau</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2022,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8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1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2022 as filed with the Securities and Exchange Commission on the date hereof (the “Report”), I, Scott Kornblau, Senior Vice President, Chief Financial Officer and Treasurer of the Company, certify pursuant to 18 U.S.C. Section 1350, as adopted pursuant to Section 906 of the Sarbanes-Oxley Act of 2002, that:</w:t>
      </w:r>
    </w:p>
    <w:p>
      <w:pPr>
        <w:spacing w:after="0" w:line="69"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Kornblau</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1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amp;"/>
      <w:numFmt w:val="bullet"/>
      <w:start w:val="1"/>
    </w:lvl>
  </w:abstractNum>
  <w:abstractNum w:abstractNumId="12">
    <w:nsid w:val="41A7C4C9"/>
    <w:multiLevelType w:val="hybridMultilevel"/>
    <w:lvl w:ilvl="0">
      <w:lvlJc w:val="left"/>
      <w:lvlText w:val="*"/>
      <w:numFmt w:val="bullet"/>
      <w:start w:val="1"/>
    </w:lvl>
    <w:lvl w:ilvl="1">
      <w:lvlJc w:val="left"/>
      <w:lvlText w:val="%2"/>
      <w:numFmt w:val="decimal"/>
      <w:start w:val="104"/>
    </w:lvl>
  </w:abstractNum>
  <w:abstractNum w:abstractNumId="13">
    <w:nsid w:val="6B68079A"/>
    <w:multiLevelType w:val="hybridMultilevel"/>
    <w:lvl w:ilvl="0">
      <w:lvlJc w:val="left"/>
      <w:lvlText w:val="**"/>
      <w:numFmt w:val="bullet"/>
      <w:start w:val="1"/>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52" Type="http://schemas.openxmlformats.org/officeDocument/2006/relationships/hyperlink" Target="https://www.sec.gov/Archives/edgar/data/1372020/000156459022027173/gldd-ex101_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2022-11-01T15:38:50Z</dcterms:created>
  <dcterms:modified xsi:type="dcterms:W3CDTF">2022-11-01T15:38:50Z</dcterms:modified>
</cp:coreProperties>
</file>