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85725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6760" w:type="dxa"/>
            <w:vAlign w:val="bottom"/>
          </w:tcPr>
          <w:p>
            <w:pPr>
              <w:jc w:val="center"/>
              <w:ind w:right="32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760" w:type="dxa"/>
            <w:vAlign w:val="bottom"/>
          </w:tcPr>
          <w:p>
            <w:pPr>
              <w:jc w:val="center"/>
              <w:ind w:right="3238"/>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r>
      <w:tr>
        <w:trPr>
          <w:trHeight w:val="300"/>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9811 Katy Freeway, Suite 1200, Houston, TX</w:t>
            </w:r>
          </w:p>
        </w:tc>
        <w:tc>
          <w:tcPr>
            <w:tcW w:w="1260" w:type="dxa"/>
            <w:vAlign w:val="bottom"/>
          </w:tcPr>
          <w:p>
            <w:pPr>
              <w:jc w:val="right"/>
              <w:ind w:right="261"/>
              <w:spacing w:after="0"/>
              <w:rPr>
                <w:sz w:val="20"/>
                <w:szCs w:val="20"/>
                <w:color w:val="auto"/>
              </w:rPr>
            </w:pPr>
            <w:r>
              <w:rPr>
                <w:rFonts w:ascii="Arial" w:cs="Arial" w:eastAsia="Arial" w:hAnsi="Arial"/>
                <w:sz w:val="18"/>
                <w:szCs w:val="18"/>
                <w:b w:val="1"/>
                <w:bCs w:val="1"/>
                <w:color w:val="auto"/>
              </w:rPr>
              <w:t>77024</w:t>
            </w:r>
          </w:p>
        </w:tc>
      </w:tr>
      <w:tr>
        <w:trPr>
          <w:trHeight w:val="186"/>
        </w:trPr>
        <w:tc>
          <w:tcPr>
            <w:tcW w:w="6760" w:type="dxa"/>
            <w:vAlign w:val="bottom"/>
          </w:tcPr>
          <w:p>
            <w:pPr>
              <w:jc w:val="center"/>
              <w:ind w:right="32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237"/>
        </w:trPr>
        <w:tc>
          <w:tcPr>
            <w:tcW w:w="6760" w:type="dxa"/>
            <w:vAlign w:val="bottom"/>
          </w:tcPr>
          <w:p>
            <w:pPr>
              <w:jc w:val="right"/>
              <w:ind w:right="1538"/>
              <w:spacing w:after="0"/>
              <w:rPr>
                <w:sz w:val="20"/>
                <w:szCs w:val="20"/>
                <w:color w:val="auto"/>
              </w:rPr>
            </w:pPr>
            <w:r>
              <w:rPr>
                <w:rFonts w:ascii="Arial" w:cs="Arial" w:eastAsia="Arial" w:hAnsi="Arial"/>
                <w:sz w:val="18"/>
                <w:szCs w:val="18"/>
                <w:b w:val="1"/>
                <w:bCs w:val="1"/>
                <w:color w:val="auto"/>
              </w:rPr>
              <w:t>(346) 359-1010</w:t>
            </w:r>
          </w:p>
        </w:tc>
        <w:tc>
          <w:tcPr>
            <w:tcW w:w="1260" w:type="dxa"/>
            <w:vAlign w:val="bottom"/>
          </w:tcPr>
          <w:p>
            <w:pPr>
              <w:spacing w:after="0"/>
              <w:rPr>
                <w:sz w:val="20"/>
                <w:szCs w:val="20"/>
                <w:color w:val="auto"/>
              </w:rPr>
            </w:pPr>
          </w:p>
        </w:tc>
      </w:tr>
      <w:tr>
        <w:trPr>
          <w:trHeight w:val="234"/>
        </w:trPr>
        <w:tc>
          <w:tcPr>
            <w:tcW w:w="6760" w:type="dxa"/>
            <w:vAlign w:val="bottom"/>
          </w:tcPr>
          <w:p>
            <w:pPr>
              <w:jc w:val="center"/>
              <w:ind w:left="233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40"/>
        </w:trPr>
        <w:tc>
          <w:tcPr>
            <w:tcW w:w="45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120" w:type="dxa"/>
            <w:vAlign w:val="bottom"/>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GLDD</w:t>
            </w:r>
          </w:p>
        </w:tc>
        <w:tc>
          <w:tcPr>
            <w:tcW w:w="120" w:type="dxa"/>
            <w:vAlign w:val="bottom"/>
            <w:vMerge w:val="continue"/>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Nasdaq Stock Market, LLC</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3"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29, 2022, 66,065,420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0"/>
        </w:trPr>
        <w:tc>
          <w:tcPr>
            <w:tcW w:w="1040" w:type="dxa"/>
            <w:vAlign w:val="bottom"/>
          </w:tcPr>
          <w:p>
            <w:pPr>
              <w:spacing w:after="0"/>
              <w:rPr>
                <w:sz w:val="24"/>
                <w:szCs w:val="24"/>
                <w:color w:val="auto"/>
              </w:rPr>
            </w:pPr>
          </w:p>
        </w:tc>
        <w:tc>
          <w:tcPr>
            <w:tcW w:w="3180" w:type="dxa"/>
            <w:vAlign w:val="bottom"/>
            <w:tcBorders>
              <w:bottom w:val="single" w:sz="8" w:color="0000EE"/>
            </w:tcBorders>
            <w:gridSpan w:val="11"/>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Financial Information (Unaudited)</w:t>
              </w:r>
            </w:hyperlink>
          </w:p>
        </w:tc>
        <w:tc>
          <w:tcPr>
            <w:tcW w:w="612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8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60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March 31, 2022 and December 31, 2021</w:t>
              </w:r>
            </w:hyperlink>
          </w:p>
        </w:tc>
        <w:tc>
          <w:tcPr>
            <w:tcW w:w="32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2022 and 2021</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Comprehensive Income for the Three Months ended March 31, 2022 and 2021</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73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Equity for the Three Months ended March 31, 2022 and 2021</w:t>
              </w:r>
            </w:hyperlink>
          </w:p>
        </w:tc>
        <w:tc>
          <w:tcPr>
            <w:tcW w:w="1220" w:type="dxa"/>
            <w:vAlign w:val="bottom"/>
            <w:tcBorders>
              <w:top w:val="single" w:sz="8" w:color="0000EE"/>
            </w:tcBorders>
            <w:gridSpan w:val="3"/>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2022 and 2021</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7680" w:type="dxa"/>
            <w:vAlign w:val="bottom"/>
            <w:tcBorders>
              <w:top w:val="single" w:sz="8" w:color="0000EE"/>
            </w:tcBorders>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6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75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730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98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496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75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7"/>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Signature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4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142,583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145,459</w:t>
            </w:r>
          </w:p>
        </w:tc>
        <w:tc>
          <w:tcPr>
            <w:tcW w:w="120" w:type="dxa"/>
            <w:vAlign w:val="bottom"/>
            <w:shd w:val="clear" w:color="auto" w:fill="CFF0FC"/>
          </w:tcPr>
          <w:p>
            <w:pPr>
              <w:spacing w:after="0"/>
              <w:rPr>
                <w:sz w:val="19"/>
                <w:szCs w:val="19"/>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82,953</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revenues in excess of billings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74,535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39,844</w:t>
            </w: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30,394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30,760</w:t>
            </w:r>
          </w:p>
        </w:tc>
        <w:tc>
          <w:tcPr>
            <w:tcW w:w="120" w:type="dxa"/>
            <w:vAlign w:val="bottom"/>
          </w:tcPr>
          <w:p>
            <w:pPr>
              <w:spacing w:after="0"/>
              <w:rPr>
                <w:sz w:val="19"/>
                <w:szCs w:val="19"/>
                <w:color w:val="auto"/>
              </w:rPr>
            </w:pPr>
          </w:p>
        </w:tc>
      </w:tr>
      <w:tr>
        <w:trPr>
          <w:trHeight w:val="229"/>
        </w:trPr>
        <w:tc>
          <w:tcPr>
            <w:tcW w:w="7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43,368</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28,416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74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328,042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327,432</w:t>
            </w:r>
          </w:p>
        </w:tc>
        <w:tc>
          <w:tcPr>
            <w:tcW w:w="12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468,555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455,102</w:t>
            </w:r>
          </w:p>
        </w:tc>
        <w:tc>
          <w:tcPr>
            <w:tcW w:w="12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63,345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62,233</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INVENTORIES—Noncurrent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71,117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65,049</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11,204</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11,278</w:t>
            </w:r>
          </w:p>
        </w:tc>
        <w:tc>
          <w:tcPr>
            <w:tcW w:w="120" w:type="dxa"/>
            <w:vAlign w:val="bottom"/>
            <w:shd w:val="clear" w:color="auto" w:fill="CFF0FC"/>
          </w:tcPr>
          <w:p>
            <w:pPr>
              <w:spacing w:after="0"/>
              <w:rPr>
                <w:sz w:val="19"/>
                <w:szCs w:val="19"/>
                <w:color w:val="auto"/>
              </w:rPr>
            </w:pPr>
          </w:p>
        </w:tc>
      </w:tr>
      <w:tr>
        <w:trPr>
          <w:trHeight w:val="263"/>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1,018,839</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997,670</w:t>
            </w:r>
          </w:p>
        </w:tc>
        <w:tc>
          <w:tcPr>
            <w:tcW w:w="120" w:type="dxa"/>
            <w:vAlign w:val="bottom"/>
            <w:tcBorders>
              <w:bottom w:val="single" w:sz="8" w:color="CFF0FC"/>
            </w:tcBorders>
          </w:tcPr>
          <w:p>
            <w:pPr>
              <w:spacing w:after="0"/>
              <w:rPr>
                <w:sz w:val="22"/>
                <w:szCs w:val="22"/>
                <w:color w:val="auto"/>
              </w:rPr>
            </w:pPr>
          </w:p>
        </w:tc>
      </w:tr>
      <w:tr>
        <w:trPr>
          <w:trHeight w:val="210"/>
        </w:trPr>
        <w:tc>
          <w:tcPr>
            <w:tcW w:w="7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98,182</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85,566</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37,626</w:t>
            </w: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16,729</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contract revenues</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14,814</w:t>
            </w:r>
          </w:p>
        </w:tc>
        <w:tc>
          <w:tcPr>
            <w:tcW w:w="120" w:type="dxa"/>
            <w:vAlign w:val="bottom"/>
            <w:shd w:val="clear" w:color="auto" w:fill="CFF0FC"/>
          </w:tcPr>
          <w:p>
            <w:pPr>
              <w:spacing w:after="0"/>
              <w:rPr>
                <w:sz w:val="19"/>
                <w:szCs w:val="19"/>
                <w:color w:val="auto"/>
              </w:rPr>
            </w:pPr>
          </w:p>
        </w:tc>
      </w:tr>
      <w:tr>
        <w:trPr>
          <w:trHeight w:val="223"/>
        </w:trPr>
        <w:tc>
          <w:tcPr>
            <w:tcW w:w="740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151,854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154,735</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321,108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320,971</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LIABILITIES—Noncurrent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47,839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45,986</w:t>
            </w: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73,888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68,497</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8,746</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8,484</w:t>
            </w:r>
          </w:p>
        </w:tc>
        <w:tc>
          <w:tcPr>
            <w:tcW w:w="120" w:type="dxa"/>
            <w:vAlign w:val="bottom"/>
            <w:shd w:val="clear" w:color="auto" w:fill="CFF0FC"/>
          </w:tcPr>
          <w:p>
            <w:pPr>
              <w:spacing w:after="0"/>
              <w:rPr>
                <w:sz w:val="19"/>
                <w:szCs w:val="19"/>
                <w:color w:val="auto"/>
              </w:rPr>
            </w:pPr>
          </w:p>
        </w:tc>
      </w:tr>
      <w:tr>
        <w:trPr>
          <w:trHeight w:val="223"/>
        </w:trPr>
        <w:tc>
          <w:tcPr>
            <w:tcW w:w="7400" w:type="dxa"/>
            <w:vAlign w:val="bottom"/>
          </w:tcPr>
          <w:p>
            <w:pPr>
              <w:ind w:left="7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603,435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598,673</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400" w:type="dxa"/>
            <w:vAlign w:val="bottom"/>
          </w:tcPr>
          <w:p>
            <w:pPr>
              <w:ind w:left="260"/>
              <w:spacing w:after="0"/>
              <w:rPr>
                <w:sz w:val="20"/>
                <w:szCs w:val="20"/>
                <w:color w:val="auto"/>
              </w:rPr>
            </w:pPr>
            <w:r>
              <w:rPr>
                <w:rFonts w:ascii="Arial" w:cs="Arial" w:eastAsia="Arial" w:hAnsi="Arial"/>
                <w:sz w:val="18"/>
                <w:szCs w:val="18"/>
                <w:color w:val="auto"/>
                <w:w w:val="96"/>
              </w:rPr>
              <w:t>Common stock—$.0001 par value; 90,000 authorized, 66,046 and 65,746 shares issued and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outstanding at March 31, 2022 and December 31, 2021, respectively.</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307,597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308,482</w:t>
            </w: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101,426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90,369</w:t>
            </w:r>
          </w:p>
        </w:tc>
        <w:tc>
          <w:tcPr>
            <w:tcW w:w="12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6,375</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r>
      <w:tr>
        <w:trPr>
          <w:trHeight w:val="223"/>
        </w:trPr>
        <w:tc>
          <w:tcPr>
            <w:tcW w:w="74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415,404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398,997</w:t>
            </w:r>
          </w:p>
        </w:tc>
        <w:tc>
          <w:tcPr>
            <w:tcW w:w="120" w:type="dxa"/>
            <w:vAlign w:val="bottom"/>
            <w:tcBorders>
              <w:bottom w:val="single" w:sz="8" w:color="CFF0FC"/>
            </w:tcBorders>
          </w:tcPr>
          <w:p>
            <w:pPr>
              <w:spacing w:after="0"/>
              <w:rPr>
                <w:sz w:val="19"/>
                <w:szCs w:val="19"/>
                <w:color w:val="auto"/>
              </w:rPr>
            </w:pP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1,018,839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997,670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-3175</wp:posOffset>
            </wp:positionV>
            <wp:extent cx="2228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29"/>
        </w:trPr>
        <w:tc>
          <w:tcPr>
            <w:tcW w:w="7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194,349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177,633</w:t>
            </w:r>
          </w:p>
        </w:tc>
        <w:tc>
          <w:tcPr>
            <w:tcW w:w="100" w:type="dxa"/>
            <w:vAlign w:val="bottom"/>
            <w:shd w:val="clear" w:color="auto" w:fill="CFF0FC"/>
          </w:tcPr>
          <w:p>
            <w:pPr>
              <w:spacing w:after="0"/>
              <w:rPr>
                <w:sz w:val="19"/>
                <w:szCs w:val="19"/>
                <w:color w:val="auto"/>
              </w:rPr>
            </w:pPr>
          </w:p>
        </w:tc>
      </w:tr>
      <w:tr>
        <w:trPr>
          <w:trHeight w:val="229"/>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161,294</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144,557</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33,076</w:t>
            </w:r>
          </w:p>
        </w:tc>
        <w:tc>
          <w:tcPr>
            <w:tcW w:w="100" w:type="dxa"/>
            <w:vAlign w:val="bottom"/>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14,604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16,322</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(321)</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18,772</w:t>
            </w: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16,648</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(4,025)</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(6,586)</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(405)</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r>
      <w:tr>
        <w:trPr>
          <w:trHeight w:val="223"/>
        </w:trPr>
        <w:tc>
          <w:tcPr>
            <w:tcW w:w="76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14,342</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Income tax provision</w:t>
            </w:r>
          </w:p>
        </w:tc>
        <w:tc>
          <w:tcPr>
            <w:tcW w:w="9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(3,285)</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(1,389)</w:t>
            </w:r>
          </w:p>
        </w:tc>
      </w:tr>
      <w:tr>
        <w:trPr>
          <w:trHeight w:val="223"/>
        </w:trPr>
        <w:tc>
          <w:tcPr>
            <w:tcW w:w="76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65,847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65,269</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66,436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66,159</w:t>
            </w:r>
          </w:p>
        </w:tc>
        <w:tc>
          <w:tcPr>
            <w:tcW w:w="100" w:type="dxa"/>
            <w:vAlign w:val="bottom"/>
            <w:shd w:val="clear" w:color="auto" w:fill="CFF0FC"/>
          </w:tcPr>
          <w:p>
            <w:pPr>
              <w:spacing w:after="0"/>
              <w:rPr>
                <w:sz w:val="19"/>
                <w:szCs w:val="19"/>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128"/>
        </w:trPr>
        <w:tc>
          <w:tcPr>
            <w:tcW w:w="7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11,057</w:t>
            </w:r>
          </w:p>
        </w:tc>
        <w:tc>
          <w:tcPr>
            <w:tcW w:w="84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change in cash flow derivative hedges—net of tax (1)</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17,292</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180" w:right="1620" w:hanging="3172"/>
        <w:spacing w:after="0" w:line="573" w:lineRule="auto"/>
        <w:tabs>
          <w:tab w:leader="none" w:pos="517"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(provision) benefit of $(2,106) and $637 for the three months ended March 31, 2022 and 2021, respectively. See notes to unaudited condensed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Shares of</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7"/>
                <w:szCs w:val="17"/>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7"/>
                <w:szCs w:val="17"/>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Paid-In</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Income</w:t>
            </w:r>
          </w:p>
        </w:tc>
        <w:tc>
          <w:tcPr>
            <w:tcW w:w="2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120" w:type="dxa"/>
            <w:vAlign w:val="bottom"/>
            <w:tcBorders>
              <w:top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BALANCE—January 1, 2022</w:t>
            </w:r>
          </w:p>
        </w:tc>
        <w:tc>
          <w:tcPr>
            <w:tcW w:w="90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65,746</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6</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308,482</w:t>
            </w:r>
          </w:p>
        </w:tc>
        <w:tc>
          <w:tcPr>
            <w:tcW w:w="2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90,369</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140</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398,997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1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Vesting of restricted stock units and impact of shares withheld</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212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(1,827)</w:t>
            </w:r>
          </w:p>
        </w:tc>
        <w:tc>
          <w:tcPr>
            <w:tcW w:w="1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01"/>
        </w:trPr>
        <w:tc>
          <w:tcPr>
            <w:tcW w:w="412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for taxes</w:t>
            </w:r>
          </w:p>
        </w:tc>
        <w:tc>
          <w:tcPr>
            <w:tcW w:w="90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2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00" w:type="dxa"/>
            <w:vAlign w:val="bottom"/>
            <w:gridSpan w:val="2"/>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20" w:type="dxa"/>
            <w:vAlign w:val="bottom"/>
            <w:vMerge w:val="continue"/>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w w:val="99"/>
              </w:rPr>
              <w:t>Exercise of options and purchases from employee stock plans</w:t>
            </w:r>
          </w:p>
        </w:tc>
        <w:tc>
          <w:tcPr>
            <w:tcW w:w="900" w:type="dxa"/>
            <w:vAlign w:val="bottom"/>
          </w:tcPr>
          <w:p>
            <w:pPr>
              <w:jc w:val="right"/>
              <w:spacing w:after="0"/>
              <w:rPr>
                <w:sz w:val="20"/>
                <w:szCs w:val="20"/>
                <w:color w:val="auto"/>
              </w:rPr>
            </w:pPr>
            <w:r>
              <w:rPr>
                <w:rFonts w:ascii="Arial" w:cs="Arial" w:eastAsia="Arial" w:hAnsi="Arial"/>
                <w:sz w:val="14"/>
                <w:szCs w:val="14"/>
                <w:color w:val="auto"/>
              </w:rPr>
              <w:t>79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11,057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Other comprehensive loss—net of tax</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6,235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BALANCE—March 31, 2022</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66,046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307,597</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101,426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6,375</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415,404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51"/>
              <w:spacing w:after="0" w:line="145" w:lineRule="exact"/>
              <w:rPr>
                <w:sz w:val="20"/>
                <w:szCs w:val="20"/>
                <w:color w:val="auto"/>
              </w:rPr>
            </w:pPr>
            <w:r>
              <w:rPr>
                <w:rFonts w:ascii="Arial" w:cs="Arial" w:eastAsia="Arial" w:hAnsi="Arial"/>
                <w:sz w:val="13"/>
                <w:szCs w:val="13"/>
                <w:b w:val="1"/>
                <w:bCs w:val="1"/>
                <w:color w:val="auto"/>
                <w:w w:val="88"/>
              </w:rPr>
              <w:t>Accumulated</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Shares of</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7"/>
                <w:szCs w:val="17"/>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7"/>
                <w:szCs w:val="17"/>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Paid-In</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Income</w:t>
            </w:r>
          </w:p>
        </w:tc>
        <w:tc>
          <w:tcPr>
            <w:tcW w:w="2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120" w:type="dxa"/>
            <w:vAlign w:val="bottom"/>
            <w:tcBorders>
              <w:top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BALANCE—January 1, 2021</w:t>
            </w:r>
          </w:p>
        </w:tc>
        <w:tc>
          <w:tcPr>
            <w:tcW w:w="90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65,023</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6</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304,757</w:t>
            </w:r>
          </w:p>
        </w:tc>
        <w:tc>
          <w:tcPr>
            <w:tcW w:w="2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40,937</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968</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346,668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1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Vesting of restricted stock units and impact of shares withheld</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(3,784)</w:t>
            </w:r>
          </w:p>
        </w:tc>
        <w:tc>
          <w:tcPr>
            <w:tcW w:w="1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01"/>
        </w:trPr>
        <w:tc>
          <w:tcPr>
            <w:tcW w:w="412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for taxes</w:t>
            </w:r>
          </w:p>
        </w:tc>
        <w:tc>
          <w:tcPr>
            <w:tcW w:w="90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2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00" w:type="dxa"/>
            <w:vAlign w:val="bottom"/>
            <w:gridSpan w:val="2"/>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20" w:type="dxa"/>
            <w:vAlign w:val="bottom"/>
            <w:vMerge w:val="continue"/>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w w:val="99"/>
              </w:rPr>
              <w:t>Exercise of options and purchases from employee stock plans</w:t>
            </w:r>
          </w:p>
        </w:tc>
        <w:tc>
          <w:tcPr>
            <w:tcW w:w="900" w:type="dxa"/>
            <w:vAlign w:val="bottom"/>
          </w:tcPr>
          <w:p>
            <w:pPr>
              <w:jc w:val="right"/>
              <w:spacing w:after="0"/>
              <w:rPr>
                <w:sz w:val="20"/>
                <w:szCs w:val="20"/>
                <w:color w:val="auto"/>
              </w:rPr>
            </w:pPr>
            <w:r>
              <w:rPr>
                <w:rFonts w:ascii="Arial" w:cs="Arial" w:eastAsia="Arial" w:hAnsi="Arial"/>
                <w:sz w:val="14"/>
                <w:szCs w:val="14"/>
                <w:color w:val="auto"/>
              </w:rPr>
              <w:t>124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Other comprehensive income—net of tax</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1,886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BALANCE—March 31, 2021</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65,620</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303,999</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49,751</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2,854</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356,610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11,057</w:t>
            </w:r>
          </w:p>
        </w:tc>
        <w:tc>
          <w:tcPr>
            <w:tcW w:w="26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8,814</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w w:val="96"/>
              </w:rPr>
              <w:t>Adjustments to reconcile net income to net cash flows provided by operating activities: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11,316</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10,053</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(Gain) loss on sale of assets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deferred financing fees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45,791</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(26,742)</w:t>
            </w:r>
          </w:p>
        </w:tc>
      </w:tr>
      <w:tr>
        <w:trPr>
          <w:trHeight w:val="230"/>
        </w:trPr>
        <w:tc>
          <w:tcPr>
            <w:tcW w:w="6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(34,691)</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(5,703)</w:t>
            </w:r>
          </w:p>
        </w:tc>
        <w:tc>
          <w:tcPr>
            <w:tcW w:w="5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(3,379)</w:t>
            </w:r>
          </w:p>
        </w:tc>
      </w:tr>
      <w:tr>
        <w:trPr>
          <w:trHeight w:val="229"/>
        </w:trPr>
        <w:tc>
          <w:tcPr>
            <w:tcW w:w="6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(6,612)</w:t>
            </w: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(832)</w:t>
            </w:r>
          </w:p>
        </w:tc>
      </w:tr>
      <w:tr>
        <w:trPr>
          <w:trHeight w:val="230"/>
        </w:trPr>
        <w:tc>
          <w:tcPr>
            <w:tcW w:w="660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12,247</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(10,303)</w:t>
            </w:r>
          </w:p>
        </w:tc>
      </w:tr>
      <w:tr>
        <w:trPr>
          <w:trHeight w:val="229"/>
        </w:trPr>
        <w:tc>
          <w:tcPr>
            <w:tcW w:w="6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(11,126)</w:t>
            </w: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 noncurrent assets and liabilities</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(used in) provided by operating activities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26,317</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(9,240)</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(28,866)</w:t>
            </w: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(27,038)</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1,110</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(27,756)</w:t>
            </w:r>
          </w:p>
        </w:tc>
        <w:tc>
          <w:tcPr>
            <w:tcW w:w="2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60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(1,827)</w:t>
            </w:r>
          </w:p>
        </w:tc>
        <w:tc>
          <w:tcPr>
            <w:tcW w:w="5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(3,784)</w:t>
            </w: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FF0FC"/>
          </w:tcPr>
          <w:p>
            <w:pPr>
              <w:spacing w:after="0"/>
              <w:rPr>
                <w:sz w:val="19"/>
                <w:szCs w:val="19"/>
                <w:color w:val="auto"/>
              </w:rPr>
            </w:pPr>
          </w:p>
        </w:tc>
      </w:tr>
      <w:tr>
        <w:trPr>
          <w:trHeight w:val="223"/>
        </w:trPr>
        <w:tc>
          <w:tcPr>
            <w:tcW w:w="6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Cash used in financing activities</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(38,802)</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147,459</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216,510</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144,583</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142,583</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177,708</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 included in other long-term assets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144,583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FF0FC"/>
            </w:tcBorders>
          </w:tcPr>
          <w:p>
            <w:pPr>
              <w:spacing w:after="0"/>
              <w:rPr>
                <w:sz w:val="23"/>
                <w:szCs w:val="23"/>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FF0FC"/>
            </w:tcBorders>
          </w:tcPr>
          <w:p>
            <w:pPr>
              <w:spacing w:after="0"/>
              <w:rPr>
                <w:sz w:val="23"/>
                <w:szCs w:val="23"/>
                <w:color w:val="auto"/>
              </w:rPr>
            </w:pPr>
          </w:p>
        </w:tc>
      </w:tr>
      <w:tr>
        <w:trPr>
          <w:trHeight w:val="210"/>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10,319</w:t>
            </w:r>
          </w:p>
        </w:tc>
        <w:tc>
          <w:tcPr>
            <w:tcW w:w="26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5,855</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553" w:right="8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2021.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2022 and December 31, 2021, and its results of operations for the three months ended March 31, 2022 and 2021 and cash flows for the three months ended March 31, 2022 and 2021 have been included.</w:t>
      </w:r>
    </w:p>
    <w:p>
      <w:pPr>
        <w:spacing w:after="0" w:line="185"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one operating segment which is also the Company’s reportable segment and reporting unit of which the Company tests goodwill for impairment. The Company performed its most recent annual test of impairment as of July 1, 2021 with no indication of impairment as of the test date. The Company will perform its next scheduled annual test of goodwill in the third quarter of 2022.</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for basic and diluted earnings per share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w:t>
            </w:r>
          </w:p>
        </w:tc>
        <w:tc>
          <w:tcPr>
            <w:tcW w:w="2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56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2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stock options and restricted stock units</w:t>
            </w:r>
          </w:p>
        </w:tc>
        <w:tc>
          <w:tcPr>
            <w:tcW w:w="2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70"/>
        </w:trPr>
        <w:tc>
          <w:tcPr>
            <w:tcW w:w="580" w:type="dxa"/>
            <w:vAlign w:val="bottom"/>
          </w:tcPr>
          <w:p>
            <w:pPr>
              <w:spacing w:after="0"/>
              <w:rPr>
                <w:sz w:val="23"/>
                <w:szCs w:val="23"/>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8"/>
              </w:rPr>
              <w:t>Weighted-average common shares outstanding — diluted</w:t>
            </w:r>
          </w:p>
        </w:tc>
        <w:tc>
          <w:tcPr>
            <w:tcW w:w="28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66,436</w:t>
            </w:r>
          </w:p>
        </w:tc>
        <w:tc>
          <w:tcPr>
            <w:tcW w:w="2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66,159</w:t>
            </w:r>
          </w:p>
        </w:tc>
        <w:tc>
          <w:tcPr>
            <w:tcW w:w="100" w:type="dxa"/>
            <w:vAlign w:val="bottom"/>
            <w:tcBorders>
              <w:bottom w:val="single" w:sz="8" w:color="CFF0FC"/>
            </w:tcBorders>
          </w:tcPr>
          <w:p>
            <w:pPr>
              <w:spacing w:after="0"/>
              <w:rPr>
                <w:sz w:val="23"/>
                <w:szCs w:val="23"/>
                <w:color w:val="auto"/>
              </w:rPr>
            </w:pPr>
          </w:p>
        </w:tc>
        <w:tc>
          <w:tcPr>
            <w:tcW w:w="560" w:type="dxa"/>
            <w:vAlign w:val="bottom"/>
          </w:tcPr>
          <w:p>
            <w:pPr>
              <w:spacing w:after="0"/>
              <w:rPr>
                <w:sz w:val="23"/>
                <w:szCs w:val="23"/>
                <w:color w:val="auto"/>
              </w:rPr>
            </w:pPr>
          </w:p>
        </w:tc>
      </w:tr>
      <w:tr>
        <w:trPr>
          <w:trHeight w:val="210"/>
        </w:trPr>
        <w:tc>
          <w:tcPr>
            <w:tcW w:w="580" w:type="dxa"/>
            <w:vAlign w:val="bottom"/>
          </w:tcPr>
          <w:p>
            <w:pPr>
              <w:spacing w:after="0"/>
              <w:rPr>
                <w:sz w:val="18"/>
                <w:szCs w:val="18"/>
                <w:color w:val="auto"/>
              </w:rPr>
            </w:pPr>
          </w:p>
        </w:tc>
        <w:tc>
          <w:tcPr>
            <w:tcW w:w="456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3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 diluted</w:t>
            </w:r>
          </w:p>
        </w:tc>
        <w:tc>
          <w:tcPr>
            <w:tcW w:w="30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5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0" w:type="dxa"/>
            <w:vAlign w:val="bottom"/>
          </w:tcPr>
          <w:p>
            <w:pPr>
              <w:jc w:val="right"/>
              <w:ind w:right="219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March 31, 2022 and December 31, 2021 were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6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Income and other taxes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reserves</w:t>
            </w:r>
          </w:p>
        </w:tc>
        <w:tc>
          <w:tcPr>
            <w:tcW w:w="15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33,949</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March 31, 2022 and December 31, 2021, the Company had no borrowings outstanding under our $200,000 amended and restated revolving credit and security agreement (as amended, the “Amended Credit Agreement”). There were $21,527 and $25,127 of letters of credit outstanding and $178,146 and $174,546 of availability under the Amended Credit Agreement as of March 31, 2022 and December 31, 2021, respectively. The availability under the Amended Credit Agreement is suppressed by $327 as of March 31, 2022 and December 31, 2021, as a result of certain limitations set forth in the Amended Credit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May 2021, the Company sold $325,000 of unsecured 5.25% Senior Notes (the “2029 Notes”) pursuant to a private offering. The 2029 Notes were priced to investors at par and will mature on June 1, 2029. The Company used the net proceeds from the offering, together with cash on hand, to redeem all $325,000 aggregate principal amount of its outstanding 8.000% Senior Notes due 2022 (the “8% Notes”).</w:t>
      </w:r>
    </w:p>
    <w:p>
      <w:pPr>
        <w:spacing w:after="0" w:line="184"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Company’s obligations under these 2029 Notes are guaranteed by each of the Company’s existing and future 100% owned domestic subsidiaries that are co-borrowers or guarantors under the Amended Credit Agreement. Such guarantees are full, unconditional and joint and several. The parent company issuer has no independent assets or operations and all non-guarantor subsidiaries have been determined to be minor.</w:t>
      </w:r>
    </w:p>
    <w:p>
      <w:pPr>
        <w:spacing w:after="0" w:line="14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 w:name="page10"/>
    <w:bookmarkEnd w:id="9"/>
    <w:p>
      <w:pPr>
        <w:ind w:right="8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The Company does not hold or issue derivatives for speculative or trading purposes. The fair values of these financial instruments are summarized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7"/>
          </w:tcPr>
          <w:p>
            <w:pPr>
              <w:jc w:val="right"/>
              <w:ind w:right="26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2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8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At March 31, 2022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4"/>
              </w:rPr>
              <w:t>(Level 3)</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10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8,971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8,971</w:t>
            </w:r>
          </w:p>
        </w:tc>
        <w:tc>
          <w:tcPr>
            <w:tcW w:w="220" w:type="dxa"/>
            <w:vAlign w:val="bottom"/>
          </w:tcPr>
          <w:p>
            <w:pPr>
              <w:spacing w:after="0"/>
              <w:rPr>
                <w:sz w:val="24"/>
                <w:szCs w:val="24"/>
                <w:color w:val="auto"/>
              </w:rPr>
            </w:pPr>
          </w:p>
        </w:tc>
        <w:tc>
          <w:tcPr>
            <w:tcW w:w="1100" w:type="dxa"/>
            <w:vAlign w:val="bottom"/>
            <w:gridSpan w:val="2"/>
          </w:tcPr>
          <w:p>
            <w:pPr>
              <w:jc w:val="right"/>
              <w:ind w:right="928"/>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26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2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8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At December 31, 2021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4"/>
              </w:rPr>
              <w:t>(Level 3)</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10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24"/>
                <w:szCs w:val="24"/>
                <w:color w:val="auto"/>
              </w:rPr>
            </w:pPr>
          </w:p>
        </w:tc>
        <w:tc>
          <w:tcPr>
            <w:tcW w:w="1100" w:type="dxa"/>
            <w:vAlign w:val="bottom"/>
            <w:gridSpan w:val="2"/>
          </w:tcPr>
          <w:p>
            <w:pPr>
              <w:jc w:val="right"/>
              <w:ind w:right="928"/>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typical goal is to hedge approximately 80% of the eligible fuel requirements for work in domestic backlog.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2022, the Company was party to various swap arrangements to hedge a portion of the price of its diesel fuel purchase requirements for work in its backlog to be performed through March 2023. As of March 31, 2022, there were 7.1 million gallons remaining on these contracts representing forecasted domestic fuel purchases through March 2023. Under these swap agreements, the Company will pay fixed prices ranging from $1.64 to $3.50 per gallon.</w:t>
      </w:r>
    </w:p>
    <w:p>
      <w:pPr>
        <w:spacing w:after="0" w:line="18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At March 31, 2022 and December 31, 2021, the fair value asset of the fuel hedge contracts were estimated to be $8,971 and $630, respectively, and are recorded in prepaid expenses and other current assets. For fuel hedge contracts considered to be highly effective, the gains reclassified to earnings from changes in fair value of derivatives, net of cash settlements and taxes, for the three months ended March 31, 2022 were $2,481. The remaining gains and losses included in accumulated other comprehensive loss at March 31, 2022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6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March 31, 2022 and December 31, 2021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Fair Value at</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84"/>
              <w:spacing w:after="0" w:line="147" w:lineRule="exact"/>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4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r>
      <w:tr>
        <w:trPr>
          <w:trHeight w:val="171"/>
        </w:trPr>
        <w:tc>
          <w:tcPr>
            <w:tcW w:w="3360" w:type="dxa"/>
            <w:vAlign w:val="bottom"/>
          </w:tcPr>
          <w:p>
            <w:pPr>
              <w:spacing w:after="0"/>
              <w:rPr>
                <w:sz w:val="14"/>
                <w:szCs w:val="14"/>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16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3360" w:type="dxa"/>
            <w:vAlign w:val="bottom"/>
          </w:tcPr>
          <w:p>
            <w:pPr>
              <w:ind w:left="240"/>
              <w:spacing w:after="0"/>
              <w:rPr>
                <w:sz w:val="20"/>
                <w:szCs w:val="20"/>
                <w:color w:val="auto"/>
              </w:rPr>
            </w:pPr>
            <w:r>
              <w:rPr>
                <w:rFonts w:ascii="Arial" w:cs="Arial" w:eastAsia="Arial" w:hAnsi="Arial"/>
                <w:sz w:val="18"/>
                <w:szCs w:val="18"/>
                <w:color w:val="auto"/>
              </w:rPr>
              <w:t>Derivatives designated as hedging</w:t>
            </w: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3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2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0"/>
              </w:rPr>
              <w:t>Prepaid expenses and other</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3360" w:type="dxa"/>
            <w:vAlign w:val="bottom"/>
            <w:shd w:val="clear" w:color="auto" w:fill="CFF0FC"/>
          </w:tcPr>
          <w:p>
            <w:pPr>
              <w:spacing w:after="0"/>
              <w:rPr>
                <w:sz w:val="23"/>
                <w:szCs w:val="23"/>
                <w:color w:val="auto"/>
              </w:rPr>
            </w:pPr>
          </w:p>
        </w:tc>
        <w:tc>
          <w:tcPr>
            <w:tcW w:w="22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current assets</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8,971</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FF0FC"/>
          </w:tcPr>
          <w:p>
            <w:pPr>
              <w:spacing w:after="0"/>
              <w:rPr>
                <w:sz w:val="23"/>
                <w:szCs w:val="23"/>
                <w:color w:val="auto"/>
              </w:rPr>
            </w:pPr>
          </w:p>
        </w:tc>
      </w:tr>
      <w:tr>
        <w:trPr>
          <w:trHeight w:val="210"/>
        </w:trPr>
        <w:tc>
          <w:tcPr>
            <w:tcW w:w="3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3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Reclassification of derivative gains to earnings—net of tax</w:t>
            </w:r>
          </w:p>
        </w:tc>
        <w:tc>
          <w:tcPr>
            <w:tcW w:w="10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(2,481)</w:t>
            </w:r>
          </w:p>
        </w:tc>
        <w:tc>
          <w:tcPr>
            <w:tcW w:w="5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(1,526)</w:t>
            </w:r>
          </w:p>
        </w:tc>
      </w:tr>
      <w:tr>
        <w:trPr>
          <w:trHeight w:val="229"/>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0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8,716</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FF0FC"/>
          </w:tcPr>
          <w:p>
            <w:pPr>
              <w:spacing w:after="0"/>
              <w:rPr>
                <w:sz w:val="19"/>
                <w:szCs w:val="19"/>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Net change in cash flow derivative hedges—net of tax</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r>
      <w:tr>
        <w:trPr>
          <w:trHeight w:val="228"/>
        </w:trPr>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1980" w:type="dxa"/>
            <w:vAlign w:val="bottom"/>
          </w:tcPr>
          <w:p>
            <w:pPr>
              <w:spacing w:after="0"/>
              <w:rPr>
                <w:sz w:val="20"/>
                <w:szCs w:val="20"/>
                <w:color w:val="auto"/>
              </w:rPr>
            </w:pPr>
          </w:p>
        </w:tc>
        <w:tc>
          <w:tcPr>
            <w:tcW w:w="4360" w:type="dxa"/>
            <w:vAlign w:val="bottom"/>
            <w:gridSpan w:val="2"/>
          </w:tcPr>
          <w:p>
            <w:pPr>
              <w:ind w:left="240"/>
              <w:spacing w:after="0"/>
              <w:rPr>
                <w:sz w:val="20"/>
                <w:szCs w:val="20"/>
                <w:color w:val="auto"/>
              </w:rPr>
            </w:pPr>
            <w:r>
              <w:rPr>
                <w:rFonts w:ascii="Arial" w:cs="Arial" w:eastAsia="Arial" w:hAnsi="Arial"/>
                <w:sz w:val="14"/>
                <w:szCs w:val="14"/>
                <w:b w:val="1"/>
                <w:bCs w:val="1"/>
                <w:color w:val="auto"/>
              </w:rPr>
              <w:t>Statement of Operations Location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r>
      <w:tr>
        <w:trPr>
          <w:trHeight w:val="237"/>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240" w:type="dxa"/>
            <w:vAlign w:val="bottom"/>
            <w:tcBorders>
              <w:top w:val="single" w:sz="8" w:color="CFF0FC"/>
            </w:tcBorders>
            <w:shd w:val="clear" w:color="auto" w:fill="CFF0FC"/>
          </w:tcPr>
          <w:p>
            <w:pPr>
              <w:spacing w:after="0"/>
              <w:rPr>
                <w:sz w:val="20"/>
                <w:szCs w:val="20"/>
                <w:color w:val="auto"/>
              </w:rPr>
            </w:pPr>
          </w:p>
        </w:tc>
        <w:tc>
          <w:tcPr>
            <w:tcW w:w="41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198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Costs of contract revenues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(3,319)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(2,041)</w:t>
            </w:r>
          </w:p>
        </w:tc>
      </w:tr>
      <w:tr>
        <w:trPr>
          <w:trHeight w:val="243"/>
        </w:trPr>
        <w:tc>
          <w:tcPr>
            <w:tcW w:w="1980" w:type="dxa"/>
            <w:vAlign w:val="bottom"/>
            <w:shd w:val="clear" w:color="auto" w:fill="CFF0FC"/>
          </w:tcPr>
          <w:p>
            <w:pPr>
              <w:spacing w:after="0"/>
              <w:rPr>
                <w:sz w:val="21"/>
                <w:szCs w:val="21"/>
                <w:color w:val="auto"/>
              </w:rPr>
            </w:pPr>
          </w:p>
        </w:tc>
        <w:tc>
          <w:tcPr>
            <w:tcW w:w="4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(515)</w:t>
            </w:r>
          </w:p>
        </w:tc>
      </w:tr>
      <w:tr>
        <w:trPr>
          <w:trHeight w:val="20"/>
        </w:trPr>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(2,481)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(1,526)</w:t>
            </w:r>
          </w:p>
        </w:tc>
      </w:tr>
      <w:tr>
        <w:trPr>
          <w:trHeight w:val="20"/>
        </w:trPr>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2021, the Company sold $325,000 of the 2029 Notes, which were outstanding at March 31, 2022 (see Note 4, Long-term debt). The 2029 Notes are senior unsecured obligations of the Company and its subsidiaries that guarantee the 2029 Notes. The fair value of the 2029 Notes was $310,375 at March 31, 2022,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9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months ended March 31, 2022, the Company granted 8,000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$552 and $1,766 for the three months ended March 31, 2022 and 2021, respectively.</w:t>
      </w:r>
    </w:p>
    <w:p>
      <w:pPr>
        <w:spacing w:after="0" w:line="18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At March 31, 2022, the Company had $473,471 of remaining performance obligations, which the Company refers to as total backlog. Approximately 79% of the Company’s backlog is expected to be completed in 2022 with the remaining balance expected to be completed in 2023.</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9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00" w:type="dxa"/>
            <w:vAlign w:val="bottom"/>
            <w:vMerge w:val="restart"/>
          </w:tcPr>
          <w:p>
            <w:pPr>
              <w:spacing w:after="0"/>
              <w:rPr>
                <w:sz w:val="20"/>
                <w:szCs w:val="20"/>
                <w:color w:val="auto"/>
              </w:rPr>
            </w:pPr>
            <w:r>
              <w:rPr>
                <w:rFonts w:ascii="Arial" w:cs="Arial" w:eastAsia="Arial" w:hAnsi="Arial"/>
                <w:sz w:val="18"/>
                <w:szCs w:val="18"/>
                <w:color w:val="auto"/>
              </w:rPr>
              <w:t>Dredging:</w:t>
            </w:r>
          </w:p>
        </w:tc>
        <w:tc>
          <w:tcPr>
            <w:tcW w:w="1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Capital—U.S.</w:t>
            </w:r>
          </w:p>
        </w:tc>
        <w:tc>
          <w:tcPr>
            <w:tcW w:w="17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101,010</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40"/>
              <w:spacing w:after="0"/>
              <w:rPr>
                <w:sz w:val="20"/>
                <w:szCs w:val="20"/>
                <w:color w:val="auto"/>
              </w:rPr>
            </w:pPr>
            <w:r>
              <w:rPr>
                <w:rFonts w:ascii="Arial" w:cs="Arial" w:eastAsia="Arial" w:hAnsi="Arial"/>
                <w:sz w:val="18"/>
                <w:szCs w:val="18"/>
                <w:color w:val="auto"/>
              </w:rPr>
              <w:t>Capital—foreign</w:t>
            </w: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1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71,917</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19,812</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13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4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 revenues</w:t>
            </w:r>
          </w:p>
        </w:tc>
        <w:tc>
          <w:tcPr>
            <w:tcW w:w="13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194,349</w:t>
            </w:r>
          </w:p>
        </w:tc>
        <w:tc>
          <w:tcPr>
            <w:tcW w:w="4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customer, for the periods indicated,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170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Federal government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167,574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130,732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24,601</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Private</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2,174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170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194,349</w:t>
            </w:r>
          </w:p>
        </w:tc>
        <w:tc>
          <w:tcPr>
            <w:tcW w:w="4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177,633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w w:val="92"/>
              </w:rPr>
              <w:t>Accounts receivable at March 31, 2022 and December 31, 2021 are as follows:</w:t>
            </w: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6,348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10,612</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Contracts in progress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23,639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65,415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7,739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37,726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83,517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40" w:type="dxa"/>
            <w:vAlign w:val="bottom"/>
            <w:gridSpan w:val="2"/>
          </w:tcPr>
          <w:p>
            <w:pPr>
              <w:ind w:left="1700"/>
              <w:spacing w:after="0"/>
              <w:rPr>
                <w:sz w:val="20"/>
                <w:szCs w:val="20"/>
                <w:color w:val="auto"/>
              </w:rPr>
            </w:pPr>
            <w:r>
              <w:rPr>
                <w:rFonts w:ascii="Arial" w:cs="Arial" w:eastAsia="Arial" w:hAnsi="Arial"/>
                <w:sz w:val="18"/>
                <w:szCs w:val="18"/>
                <w:color w:val="auto"/>
              </w:rPr>
              <w:t>Total accounts receivable—net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37,162</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82,953</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55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5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components of contracts in progress at March 31, 2022 and December 31, 2021 are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369,584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(323,841)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(240,941)</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7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75,641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74,535</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39,844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780" w:type="dxa"/>
            <w:vAlign w:val="bottom"/>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9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(141,076)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7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209,567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billings in excess of contract revenues</w:t>
            </w:r>
          </w:p>
        </w:tc>
        <w:tc>
          <w:tcPr>
            <w:tcW w:w="7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the first quarter of 2022, a revision to the estimated gross profit percentage of a project was recognized due to a positive settlement of a claim from the recently completed project resulting in a cumulative net impact on the project margin, which increased gross profit by $11,724.</w:t>
      </w: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At March 31, 2022 and December 31, 2021, costs to fulfill a contract with a customer recognized as an asset were $5,656 and $5,652, respectively, and are recorded in other current assets and other noncurrent assets. These costs relate to pre-contract and pre-construction activities. During the three months ended March 31, 2022 and 2021, the Company amortized $2,402 and $5,847, respectively, of pre-construction costs.</w:t>
      </w:r>
    </w:p>
    <w:p>
      <w:pPr>
        <w:spacing w:after="0" w:line="16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Performance and bid bonds are customarily required for dredging and marine construction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Bid bonds are generally obtained for a percentage of bid value and amounts outstanding typically range from $1,000 to $10,000. At March 31, 2022, the Company had outstanding performance bonds with a notional amount of approximately $1,178,796. The revenue value remaining in backlog totaled approximately $473,471.</w:t>
      </w:r>
    </w:p>
    <w:p>
      <w:pPr>
        <w:spacing w:after="0" w:line="1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 w:name="page14"/>
    <w:bookmarkEnd w:id="13"/>
    <w:p>
      <w:pPr>
        <w:ind w:right="240"/>
        <w:spacing w:after="0" w:line="342" w:lineRule="auto"/>
        <w:rPr>
          <w:sz w:val="20"/>
          <w:szCs w:val="20"/>
          <w:color w:val="auto"/>
        </w:rPr>
      </w:pPr>
      <w:r>
        <w:rPr>
          <w:rFonts w:ascii="Arial" w:cs="Arial" w:eastAsia="Arial" w:hAnsi="Arial"/>
          <w:sz w:val="16"/>
          <w:szCs w:val="16"/>
          <w:color w:val="auto"/>
        </w:rPr>
        <w:t>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April 23, 2014, the Company completed the sale of NASDI, LLC (“NASDI”) and Yankee Environmental Services, LLC (“Yankee”), which together comprised the Company’s historical demolition business, to a privately-owned demolition company. On January 14, 2015, the Company and its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In addition, the Company has been granted a judgment in the amount of $21,934 based upon the buyer’s default of its obligations to indemnify the Company for losses resulting from failure to perform in accordance with terms of surety performance bond. The defendants filed a notice of appeal from that judgement. The Company continues to aggressively pursue collection from the buyer on outstanding amounts owed under the sale and the indemnification. An estimate of a range of potential gains or losses relating to these matters cannot reasonably be made.</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April 22, 2021, the U.S. Attorney’s Office for the Eastern District of Louisiana filed a bill of information against the Company charging the Company with a negligent discharge violation of the Clean Water Act arising from a September 2016 oil spill. The spill occurred during the Company’s Cheniere Ronquille project and resulted in the discharge of around one hundred sixty barrels of crude oil in Bay Long, Louisiana. The Company has cooperated with the U.S. Attorney’s Office and other relevant agencies in their investigation of the oil spill and on June 15, 2021, the Company pleaded guilty to the misdemeanor violation alleged in the bill of information and agreed to pay a fine of $1,000. In the first quarter of 2022, the Company entered into a settlement of a civil suit arising from the same matter which was primarily covered by its insurance policies. The Company remains subject to potential liability for restitution in connection with this criminal matter, and has deposited the potential liability for the criminal matter of $2,000 into the registry of the court. That amount is presented as restricted cash in other noncurrent assets. On April 18, 2022, the government filed a motion seeking restitution for an amount less than what was deposited into the registry of the court. The related hearing was held in federal court on April 26, 2022, and the sentencing hearing is scheduled for June 14, 2022. If it is determined that the Company owes additional restitution, the Company believes that the amount could range between $0 and the $2,000 previously deposited. As a result of the pending conviction, the government will initiate statutory debarment proceedings against the Company, which might prohibit the Company from bidding for, entering into or completing certain government projects. Although the Company does not know whether debarment proceedings will result in prohibitions, or the impact of any such resulting prohibitions, the Company does not expect any such proceedings or prohibitions to cause a material disruption to its business, financial condition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2021 and in other securities filings by Great Lakes with the SEC.</w:t>
      </w:r>
    </w:p>
    <w:p>
      <w:pPr>
        <w:spacing w:after="0" w:line="16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is the largest provider of dredging services in the United States. In addition, the Company is fully engaged in expanding its core business into the rapidly developing offshore wind energy industry. The Company has a long history of performing significant international projects. The mobility of the Company’s fleet enables the Company to move equipment in response to changes in demand for dredging services.</w:t>
      </w:r>
    </w:p>
    <w:p>
      <w:pPr>
        <w:spacing w:after="0" w:line="5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(“bid market”). The Company experienced an average combined bid market share in the U.S. of 35% over the prior three years, including 49%, 54%, 17% and 23% of the domestic capital, coastal protection, maintenance and rivers &amp; lakes sectors, respectively.</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largest domestic customer is the U.S. Army Corps of Engineers (the “Corps”), which has responsibility for federally funded projects related to navigation and flood control of U.S. waterways. In the first three months of 2022, the Company’s dredging revenues earned from contracts with federal government agencies, including the Corps as well as other federal entities such as the U.S. Coast Guard and the U.S. Navy were approximately 86% of dredging revenues, above the Company’s prior three-year average of 80%.</w:t>
      </w:r>
    </w:p>
    <w:p>
      <w:pPr>
        <w:spacing w:after="0" w:line="18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coronavirus (“COVID-19”) pandemic has impacted global economic activity and many countries, including the United States and its governmental entities and private businesses, have reacted by instituting quarantines, mandating school and business closures and limiting travel at various times throughout the pandemic.</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28, 2020, dredging was specifically listed in the U.S. Department of Homeland Security’s “Advisory Memorandum on Identification of Essential Critical Infrastructure Workers During COVID-19 Response” which federally designates the Company as an essential business or “critical infrastructure” company that can maintain operations during the ongoing pandemic. As mentioned above, the Company’s largest domestic dredging customer is the Corps; the Corps oversees the majority of these critical infrastructure projects and, in this capacity, has continued to follow their bid schedule and prioritize all types of dredging including port maintenance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ind w:right="760"/>
        <w:spacing w:after="0" w:line="277" w:lineRule="auto"/>
        <w:rPr>
          <w:sz w:val="20"/>
          <w:szCs w:val="20"/>
          <w:color w:val="auto"/>
        </w:rPr>
      </w:pPr>
      <w:r>
        <w:rPr>
          <w:rFonts w:ascii="Arial" w:cs="Arial" w:eastAsia="Arial" w:hAnsi="Arial"/>
          <w:sz w:val="18"/>
          <w:szCs w:val="18"/>
          <w:color w:val="auto"/>
        </w:rPr>
        <w:t>and expansion and coastal protection projects that are necessary to avoid potential storm damage during hurricane season. Despite the uncertainty surrounding COVID-19, to date, the Corps is continuing to advertise new projects.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Executive Leadership team has established a COVID-19 Command Team that meets once each week to update contingency plans, as necessary, and address the challenges related to maintaining operations in this evolving economic environment. The Company’s primary focus has been the health and safety of its employees. The Company has implemented new paid leave policies and additional sanitary and safety measures to mitigate the risk of infection to employees. On vessels and job sites, the Company has instituted fewer employee shift changes and increased sanitary measures. The Company is now 100% fully vaccinated against COVID-19, with few accommodations. Direct COVID-19 related costs were approximately $1,000 for the first quarter of 2022 compared to approximately $4,300 in the first quarter of 2021.</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mid-2021, the Company’s corporate employees began transitioning from a remote working environment to working in person with a hybrid working environment. The Company is following the protocols published by the U.S. Centers for Disease Control and Prevention, the World Health Organization and state and local governments. As the Company’s employees, customers and communities are facing significant challenges, the Company cannot predict how COVID-19 will evolve or the impact it, or actions taken to contain it, will have on future results. Due to the uncertainty that surrounds this virus, the Company will be continually evaluating safety and operational contingency plans and the potential future impact that this evolving environment has on the Company’s business, financial condition and results of operations.</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plans to participate in the offshore wind market and in November 2021, the Company entered into a $197 million contract with Philly Shipyard Inc. to build the first U.S. flagged Jones Act compliant, inclined fall-pipe vessel for subsea rock installation for wind turbine foundations with expected delivery of the vessel in the second half of 2024. This vessel represents a significant and critical advancement in building the U.S. logistics infrastructure to support the future of the new U.S. offshore wind industry. The Company has begun bidding on select projects in the offshore wind market and was recently awarded its first contract.</w:t>
      </w:r>
    </w:p>
    <w:p>
      <w:pPr>
        <w:spacing w:after="0" w:line="18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current Presidential Administration has pushed to accelerate renewable energy developments and has set a target to install 30GW of offshore wind energy generation capacity by 2030 on the U.S. East Coast. In March 2021, the White House announced new initiatives that will advance the administration’s goals to expand the nation’s offshore wind energy capacity in the coming decade by opening new areas of development, improving environmental permitting and increasing public financing for projects In addition, in January 2022, the administration announced plans to auction more than 480,000 acres in the New York Bight for six new offshore wind energy leases, the administration’s first wind sale and the largest lease area ever offered, with potential build-out capacity of up to 7GW. Additionally, in 2021, the U.S. Senate passed the $1.2 trillion infrastructure bill where the Corps will be granted $11.6 billion in funding to improve the nation’s resilience to the effects of climate change.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On March 15, 2022 the Omnibus Appropriations Bill was signed into law, which included funding for the Corps totaling $8.3 billion for fiscal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2022. This is an increase of $548 million above the fiscal year 2021 amount and an increase of $1.6 billion above the President’s original budget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request. Appropriations included $4.6 billion for operation and maintenance, including $2.5 billion from the Harbor Maintenance Trust Fund (“HMTF”)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Coronavirus Aid, Relief and Economic Security Act (the “CARES Act”) and $35.0 million for flood control and coastal emergencies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includes $19.8 million for the construction of shore protection projects.</w:t>
      </w:r>
    </w:p>
    <w:p>
      <w:pPr>
        <w:spacing w:after="0" w:line="21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Water Resource Development Act bill (the “WRDA”), which authorizes new projects and makes policy changes that will make natural infrastructure and beneficial use of dredged material more common, was included in the Consolidated Appropriations Act 2021 signed into law on December 27, 2020. This continues the trend of WRDA legislation in each session of Congress since 2014. The legislation provides access to the $9.3 billion in unspent HMTF tax collections, establishes a funds distribution process for HMTF funding and approves projects to proceed to construction.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segment which is also the Company’s one reportable segment and reporting unit.</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vessels are subject to periodic dry dock inspections to verify that the vessels have been maintained in accordance with the rules of the U.S. Coast Guard and the American Bureau of Shipping (“ABS”) and that recommended repairs have been satisfactorily completed. Dry dock frequency is a statutory requirement mandated by the U.S. Coast Guard and the ABS. The Company’s vessels dry-dock every two to three years or every five years, depending on the vessel type and also on an as-needed basis for occasional unscheduled repairs. The Company experienced two dry dock inspections in the first quarter of 2022. One vessel remained in dry dock at quarter end with the expectation of returning to work in the second quarter.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set forth the components of net income and Adjusted EBITDA, as defined below, as a percentage of contract revenues for the three months ended March 31, 2022 and 2021:</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4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580" w:type="dxa"/>
            <w:vAlign w:val="bottom"/>
            <w:tcBorders>
              <w:bottom w:val="single" w:sz="8" w:color="auto"/>
            </w:tcBorders>
            <w:gridSpan w:val="4"/>
          </w:tcPr>
          <w:p>
            <w:pPr>
              <w:jc w:val="center"/>
              <w:ind w:left="674"/>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20" w:type="dxa"/>
            <w:vAlign w:val="bottom"/>
            <w:vMerge w:val="restart"/>
          </w:tcPr>
          <w:p>
            <w:pPr>
              <w:spacing w:after="0"/>
              <w:rPr>
                <w:sz w:val="20"/>
                <w:szCs w:val="20"/>
                <w:color w:val="auto"/>
              </w:rPr>
            </w:pPr>
            <w:r>
              <w:rPr>
                <w:rFonts w:ascii="Arial" w:cs="Arial" w:eastAsia="Arial" w:hAnsi="Arial"/>
                <w:sz w:val="18"/>
                <w:szCs w:val="18"/>
                <w:color w:val="auto"/>
              </w:rPr>
              <w:t>Contract revenues</w:t>
            </w:r>
          </w:p>
        </w:tc>
        <w:tc>
          <w:tcPr>
            <w:tcW w:w="10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522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expense—net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Adjusted EBITDA</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EBITDA,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4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47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402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11,057</w:t>
            </w:r>
          </w:p>
        </w:tc>
        <w:tc>
          <w:tcPr>
            <w:tcW w:w="86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Adjusted for:</w:t>
            </w:r>
          </w:p>
        </w:tc>
        <w:tc>
          <w:tcPr>
            <w:tcW w:w="3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3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3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3,285</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1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11,316</w:t>
            </w:r>
          </w:p>
        </w:tc>
        <w:tc>
          <w:tcPr>
            <w:tcW w:w="3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Adjusted EBITDA</w:t>
            </w:r>
          </w:p>
        </w:tc>
        <w:tc>
          <w:tcPr>
            <w:tcW w:w="316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29,683</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160" w:type="dxa"/>
            <w:vAlign w:val="bottom"/>
            <w:vMerge w:val="restart"/>
          </w:tcPr>
          <w:p>
            <w:pPr>
              <w:jc w:val="right"/>
              <w:ind w:right="1636"/>
              <w:spacing w:after="0"/>
              <w:rPr>
                <w:sz w:val="20"/>
                <w:szCs w:val="20"/>
                <w:color w:val="auto"/>
              </w:rPr>
            </w:pPr>
            <w:r>
              <w:rPr>
                <w:rFonts w:ascii="Arial" w:cs="Arial" w:eastAsia="Arial" w:hAnsi="Arial"/>
                <w:sz w:val="18"/>
                <w:szCs w:val="18"/>
                <w:color w:val="auto"/>
              </w:rPr>
              <w:t>17</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Arial" w:cs="Arial" w:eastAsia="Arial" w:hAnsi="Arial"/>
                <w:sz w:val="18"/>
                <w:szCs w:val="18"/>
                <w:color w:val="auto"/>
              </w:rPr>
              <w:t>Capital—U.S.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101,010</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77,606</w:t>
            </w:r>
          </w:p>
        </w:tc>
        <w:tc>
          <w:tcPr>
            <w:tcW w:w="220" w:type="dxa"/>
            <w:vAlign w:val="bottom"/>
          </w:tcPr>
          <w:p>
            <w:pPr>
              <w:spacing w:after="0"/>
              <w:rPr>
                <w:sz w:val="19"/>
                <w:szCs w:val="19"/>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2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Capital—foreign</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2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46,631</w:t>
            </w:r>
          </w:p>
        </w:tc>
        <w:tc>
          <w:tcPr>
            <w:tcW w:w="220" w:type="dxa"/>
            <w:vAlign w:val="bottom"/>
          </w:tcPr>
          <w:p>
            <w:pPr>
              <w:spacing w:after="0"/>
              <w:rPr>
                <w:sz w:val="19"/>
                <w:szCs w:val="19"/>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2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45,301</w:t>
            </w:r>
          </w:p>
        </w:tc>
        <w:tc>
          <w:tcPr>
            <w:tcW w:w="2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Arial" w:cs="Arial" w:eastAsia="Arial" w:hAnsi="Arial"/>
                <w:sz w:val="18"/>
                <w:szCs w:val="18"/>
                <w:color w:val="auto"/>
              </w:rPr>
              <w:t>Rivers &amp; lakes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3,386</w:t>
            </w:r>
          </w:p>
        </w:tc>
        <w:tc>
          <w:tcPr>
            <w:tcW w:w="22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24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4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194,349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177,633</w:t>
            </w:r>
          </w:p>
        </w:tc>
        <w:tc>
          <w:tcPr>
            <w:tcW w:w="2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Total revenue was $194.3 million for the three months ended March 31, 2022, up $16.7 million, or 9.4%, from $177.6 million for the same period in the prior year. For the three months ended March 31, 2022, the Company experienced an increase in domestic capital and coastal protection revenue as compared to the same period in the prior year. This increase was partially offset by a decrease in maintenance, rivers &amp; lakes and foreign capital revenue during the first quarter of 2022 as compared to the same period in the prior year.</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March 31, 2022, domestic capital dredging revenue was $101.0 million, up $23.4 million, or 30.2%, compared to $77.6 million for the same period in 2021. The increase in capital dredging revenues for the three months ended March 31, 2022 was mostly due to a greater amount of revenue earned on projects in Texas, Massachusetts, Florida, Louisiana, Alabama, New Hampshire and Maine in the first quarter of 2022 when compared to the same period in the prior year. This increase was partially offset by revenue earned on projects in South Carolina and Mississippi in the prior year.</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In the first quarter of 2022, there was no foreign capital revenue compared to $4.7 million in the same quarter in the prior year.</w:t>
      </w:r>
    </w:p>
    <w:p>
      <w:pPr>
        <w:spacing w:after="0" w:line="170"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Coastal protection projects involve moving sand from the ocean floor to shoreline locations where erosion threatens shoreline assets. Coastal protection revenue for the quarter ended March 31, 2022 was $71.9 million, an increase of $25.3 million, or 54.3%, compared to $46.6 million in the prior year period. The increase in coastal protection revenues for the three months ended March 31, 2022 was mostly attributable to a greater amount of revenue earned on projects in North Carolina, New Jersey and New York in the current year period when compared to the prior year. This increase was slightly offset by revenue earned on projects in Florida, Louisiana and Virginia in the prior year.</w:t>
      </w:r>
    </w:p>
    <w:p>
      <w:pPr>
        <w:spacing w:after="0" w:line="1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first quarter of 2022 was $19.8 million, down $25.5 million, or 56.3%, from $45.3 million in the same period of 2021. The decrease in maintenance revenues for the three months ended March 31, 2022 was mostly attributable to a decrease in revenue earned on projects in North Carolina, Louisiana, Texas, Florida, Maryland, New York and New Jersey from the prior year. This decrease was partially offset by an increase in revenue earned on a project in Georgia and North Carolina in the current year.</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Rivers &amp; lakes dredging and related operations typically consist of lake and river dredging, inland levee and construction dredging, environmental restoration and habitat improvement and other marine construction projects. During the first quarter of 2022, rivers &amp; lakes revenue was $1.6 million, a decrease of $1.8 million, or 52.9%, from $3.4 million during the same period of 2021. The decrease in river and lakes revenue for the three-months ended March 31, 2022 was mostly attributable to a decrease in revenue earned on projects in Texas, Kansas and Mississippi from the prior year. This decrease was partially offset by a greater amount of revenue earned on a project in Tennessee in the current year.</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Consolidated gross profit for the quarters ended March 31, 2022 and March 31, 2021 was relatively flat at $33.1 million. Gross profit margin for the three months ended March 31, 2022 was 17.0% compared to 18.6% in the same period of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right="80"/>
        <w:spacing w:after="0" w:line="259" w:lineRule="auto"/>
        <w:rPr>
          <w:sz w:val="20"/>
          <w:szCs w:val="20"/>
          <w:color w:val="auto"/>
        </w:rPr>
      </w:pPr>
      <w:r>
        <w:rPr>
          <w:rFonts w:ascii="Arial" w:cs="Arial" w:eastAsia="Arial" w:hAnsi="Arial"/>
          <w:sz w:val="18"/>
          <w:szCs w:val="18"/>
          <w:color w:val="auto"/>
        </w:rPr>
        <w:t>During the three months ended March 31, 2022, general and administrative expenses were $14.6 million, a decrease of $1.7 million compared to the same period in the prior year, which totaled $16.3 million. The decrease in general and administrative expenses for the quarter was primarily due to $1.1 million in lower share-based compensation expense and $0.8 million in lower relocation expense in the current year related to the Company’s regional office and headquarters.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Operating income for the first quarter of 2022 was $18.8 million, up $2.2 million compared to operating income of $16.6 million for the same quarter in 2021. The increase in operating income for the first quarter of 2022 was partially as a result of lower general and administrative expense in the current year when compared to the same period in the prior year.</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For the three months ended March 31, 2022, net interest expense was $4.0 million, $2.6 million lower compared to $6.6 million for the same period in the prior year. The decrease in net interest expense was primarily due to the refinancing of the senior notes in May 2021 at a lower interest rate.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tax provision for the three months ended March 31, 2022 was $3.3 million compared to an income tax provision of $1.4 million for the same period in the prior year. The effective tax rate for the three months ended March 31, 2022 was 22.9%, up 9.3% from the effective tax rate of 13.6% for the same period of 2021. The increase in the effective tax rate was primarily due to a one-time benefit associated with a stock compensation tax deduction in the first quarter of the prior year.</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Net income for the quarter ended March 31, 2022 was $11.1 million, up $2.3 million, or 26%, from $8.8 million in the same quarter in the prior year. Diluted earnings per share was $0.17 for the three months ended March 31, 2022, compared to $0.13 for the three months ended March 31, 2021. The increase in net income for the three months ended March 31, 2021 was primarily due to the decrease in general and administrative expense and net interest expense in the current year quarter, partially offset by the higher income tax provision in the current quarter compared to the same quarter in the prior year.</w:t>
      </w:r>
    </w:p>
    <w:p>
      <w:pPr>
        <w:spacing w:after="0" w:line="15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Adjusted EBITDA (as defined on page 17) for the quarter ended March 31, 2022 was $29.7 million, up $2.9 million, or 11%, from $26.8 million in the same quarter in the prior year. The increase in Adjusted EBITDA during the first quarter of 2022 was driven by the increase in gross profit, excluding depreciation and the decrease in general and administrative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type of work, the Company’s backlog as of the dates indicated:</w:t>
      </w:r>
    </w:p>
    <w:p>
      <w:pPr>
        <w:spacing w:after="0" w:line="298"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16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Dredging:</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U.S.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320,352</w:t>
            </w:r>
          </w:p>
        </w:tc>
        <w:tc>
          <w:tcPr>
            <w:tcW w:w="4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398,748</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310,163</w:t>
            </w:r>
          </w:p>
        </w:tc>
        <w:tc>
          <w:tcPr>
            <w:tcW w:w="80" w:type="dxa"/>
            <w:vAlign w:val="bottom"/>
            <w:shd w:val="clear" w:color="auto" w:fill="CFF0FC"/>
          </w:tcPr>
          <w:p>
            <w:pPr>
              <w:spacing w:after="0"/>
              <w:rPr>
                <w:sz w:val="19"/>
                <w:szCs w:val="19"/>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Capital - foreign</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2,077</w:t>
            </w:r>
          </w:p>
        </w:tc>
        <w:tc>
          <w:tcPr>
            <w:tcW w:w="80" w:type="dxa"/>
            <w:vAlign w:val="bottom"/>
          </w:tcPr>
          <w:p>
            <w:pPr>
              <w:spacing w:after="0"/>
              <w:rPr>
                <w:sz w:val="19"/>
                <w:szCs w:val="19"/>
                <w:color w:val="auto"/>
              </w:rPr>
            </w:pPr>
          </w:p>
        </w:tc>
      </w:tr>
      <w:tr>
        <w:trPr>
          <w:trHeight w:val="230"/>
        </w:trPr>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120,457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82,589</w:t>
            </w:r>
          </w:p>
        </w:tc>
        <w:tc>
          <w:tcPr>
            <w:tcW w:w="80" w:type="dxa"/>
            <w:vAlign w:val="bottom"/>
            <w:shd w:val="clear" w:color="auto" w:fill="CFF0FC"/>
          </w:tcPr>
          <w:p>
            <w:pPr>
              <w:spacing w:after="0"/>
              <w:rPr>
                <w:sz w:val="19"/>
                <w:szCs w:val="19"/>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31,451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84,820</w:t>
            </w:r>
          </w:p>
        </w:tc>
        <w:tc>
          <w:tcPr>
            <w:tcW w:w="80" w:type="dxa"/>
            <w:vAlign w:val="bottom"/>
          </w:tcPr>
          <w:p>
            <w:pPr>
              <w:spacing w:after="0"/>
              <w:rPr>
                <w:sz w:val="19"/>
                <w:szCs w:val="19"/>
                <w:color w:val="auto"/>
              </w:rPr>
            </w:pPr>
          </w:p>
        </w:tc>
      </w:tr>
      <w:tr>
        <w:trPr>
          <w:trHeight w:val="229"/>
        </w:trPr>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16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6,334</w:t>
            </w:r>
          </w:p>
        </w:tc>
        <w:tc>
          <w:tcPr>
            <w:tcW w:w="80" w:type="dxa"/>
            <w:vAlign w:val="bottom"/>
            <w:shd w:val="clear" w:color="auto" w:fill="CFF0FC"/>
          </w:tcPr>
          <w:p>
            <w:pPr>
              <w:spacing w:after="0"/>
              <w:rPr>
                <w:sz w:val="19"/>
                <w:szCs w:val="19"/>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Total backlog</w:t>
            </w:r>
          </w:p>
        </w:tc>
        <w:tc>
          <w:tcPr>
            <w:tcW w:w="1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473,471</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551,588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485,983</w:t>
            </w:r>
          </w:p>
        </w:tc>
        <w:tc>
          <w:tcPr>
            <w:tcW w:w="8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53% of the Company’s March 31, 2022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The Company’s backlog includes only those projects for which the Company has obtained a signed contract with the customer. A quarterly increase or decrease of the Company’s backlog does not necessarily result in an improvement or a deterioration of the Company’s business.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ind w:right="60"/>
        <w:spacing w:after="0" w:line="273" w:lineRule="auto"/>
        <w:rPr>
          <w:sz w:val="20"/>
          <w:szCs w:val="20"/>
          <w:color w:val="auto"/>
        </w:rPr>
      </w:pPr>
      <w:r>
        <w:rPr>
          <w:rFonts w:ascii="Arial" w:cs="Arial" w:eastAsia="Arial" w:hAnsi="Arial"/>
          <w:sz w:val="17"/>
          <w:szCs w:val="17"/>
          <w:color w:val="auto"/>
        </w:rPr>
        <w:t>The domestic dredging bid market for the quarter ended March 31, 2022 was $198.2 million, a $16.7 million decrease compared to the same period in the prior year. Total domestic dredging bid market for the current year period included awards for costal storm risk management project in New York and three costal protection projects in North Carolina. For the contracts awarded in the current year, the Company won, 89.9%, or $99.0 million, of the coastal protection projects, through March 31, 2022. The Company won 49.9% of the overall domestic bid market for the three months ended March 31, 2022, which is higher than the Company’s prior three-year average of 35.0%. Variability in contract wins from quarter to quarter is not unusual and one quarter’s win rate is generally not indicative of the win rate the Company is likely to achieve for a full year</w:t>
      </w:r>
      <w:r>
        <w:rPr>
          <w:rFonts w:ascii="Arial" w:cs="Arial" w:eastAsia="Arial" w:hAnsi="Arial"/>
          <w:sz w:val="17"/>
          <w:szCs w:val="17"/>
          <w:color w:val="FF0000"/>
        </w:rPr>
        <w:t>.</w:t>
      </w:r>
    </w:p>
    <w:p>
      <w:pPr>
        <w:spacing w:after="0" w:line="17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Company’s contracted dredging backlog was $473.5 million at March 31, 2022 compared to $551.6 million of backlog at December 31, 2021. These amounts do not reflect approximately $505.3 million of domestic low bids pending formal award and additional phases (“options”) pending on projects currently in backlog at March 31, 2022. At December 31, 2021 the amount of domestic low bids and options pending award was $567.3 million.</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Domestic capital dredging backlog at March 31, 2022 was $78.4 million lower than at December 31, 2021. During the three months ended March 31, 2022, the Company continued to earn revenue on deepening projects in Texas, Alabama, Florida, South Carolina, Massachusetts and New Hampshire and Maine, multiple coastal restoration projects in Louisiana, and a liquefied natural gas project in Louisiana. Government funded projects coming into the pipeline include the Norfolk Harbor deepening, Freeport Reaches, as well as additional phases of Mobile deepening and Corpus Christi. These deepenings continue the trend of ensuring all East Coast and Gulf of Mexico ports will be able to accommodate the deeper draft vessels currently used on several trade routes. In addition, multiple project phases for port deepenings in Norfolk and the Houston ship channel are expected to continue for the next several years.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There was no foreign capital dredging backlog at March 31, 2022 and December 31, 2021 and there are no future foreign projects in the pipeline.</w:t>
      </w:r>
    </w:p>
    <w:p>
      <w:pPr>
        <w:spacing w:after="0" w:line="23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Coastal protection dredging backlog increased $21.4 million from December 31, 2021. In the three months ended March 31, 2022, the Company was awarded three coastal protection projects totaling $57.8 million in North Carolina and one costal protection project of $37.2 million in New York. During the three months ended March 31, 2022, the Company continued to earn revenue on coastal protection projects in New Jersey, New York, North Carolina and Florida which were in backlog at December 31, 2021.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2019, an additional $3.3 billion of supplemental appropriations was approved for disaster relief funding as a result of Hurricane Florence and Hurricane Michael.</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Maintenance dredging backlog decreased $19.5 million from December 31, 2021. During the three months ended March 31, 2022, the Company continued to earn revenue on two projects in Louisiana and projects in Georgia and North Carolina that were in backlog at December 31, 2021.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anticipates increased funding for harbor maintenance projects to be let for bid.</w:t>
      </w:r>
    </w:p>
    <w:p>
      <w:pPr>
        <w:spacing w:after="0" w:line="19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Rivers &amp; lakes backlog at March 31, 2022 was down $1.6 million compared to backlog at December 31, 2021. For the three months ended March 31, 2022, the Company continued to earn revenue on projects in Tennessee and Mississippi which was in backlog at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20"/>
        <w:spacing w:after="0" w:line="257" w:lineRule="auto"/>
        <w:rPr>
          <w:sz w:val="20"/>
          <w:szCs w:val="20"/>
          <w:color w:val="auto"/>
        </w:rPr>
      </w:pPr>
      <w:r>
        <w:rPr>
          <w:rFonts w:ascii="Arial" w:cs="Arial" w:eastAsia="Arial" w:hAnsi="Arial"/>
          <w:sz w:val="18"/>
          <w:szCs w:val="18"/>
          <w:color w:val="auto"/>
        </w:rPr>
        <w:t>The Company’s cash provided by or used in operating activities for the three months ended March 31, 2022 and 2021 was the source of $26.3 million and a use of $9.2 million in cash, respectively. Normal increases or decreases in the level of working capital relative to the level of operational activity impact cash flow from operating activities. The increase in cash provided by operating activities during the three months ended March 31, 2022 compared to the same period in the prior year was due to an increase in net income as well as a decrease in working capital due to a decrease in accounts receivable during the current year when compared to the same period in the prior year.</w:t>
      </w:r>
    </w:p>
    <w:p>
      <w:pPr>
        <w:spacing w:after="0" w:line="18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Company’s cash flows used in investing activities for the three months ended March 31, 2022 and 2021 totaled $27.8 million and $27.0 million, respectively. Investing activities primarily relate to normal course upgrades and capital maintenance of the Company’s dredging fleet. The Company is currently building a 6,500 cubic yard trailing suction hopper dredge with expected delivery in the first quarter of 2023. In November 2021, the Company entered into a $197 million contract with Philly Shipyard Inc. to build the first U.S. flagged Jones Act compliant, inclined fall-pipe vessel for subsea rock installation for wind turbine foundations to support the new U.S. offshore wind industry with expected delivery in the second half of 2024. In July 2021, the Company announced a contract to build two multifunctional all-purpose vessels (“multicats”). During the three months ended March 31, 2022, the Company invested $8.0 million in a new hopper dredge, $6.2 million in multicats and scows and $0.5 million in the rock installation vessel.</w:t>
      </w:r>
    </w:p>
    <w:p>
      <w:pPr>
        <w:spacing w:after="0" w:line="1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Company’s cash flows used in financing activities for the three months ended March 31, 2022 and 2021 totaled $1.4 million and $2.5 million, respectively. The decrease in cash used in financing activities relates to changes in the taxes paid on settlement of vested shares awards and a decrease in cash from the Company’s employee stock purchase plan.</w:t>
      </w:r>
    </w:p>
    <w:p>
      <w:pPr>
        <w:spacing w:after="0" w:line="18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Company maintains a favorable cash on hand position and revolver availability and as a result is well positioned for changes in the current economic environment. To date, the Company has had various operational or financial impacts as a result of the ongoing COVID-19 pandemic and will continue to assess the potential economic impact that the virus and actions taken to contain it could have on the Company’s operations and liquidity.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May 2021, the Company sold $325 million of unsecured 5.25% Senior Notes (the “2029 Notes”) pursuant to a private offering. The 2029 Notes were priced to investors at par and will mature on June 1, 2029. The Company used the net proceeds from the offering, together with cash on hand, to redeem the $325 million aggregate principal amount of its outstanding 8.000% Senior Notes due 2022.</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2029 Notes are senior unsecured obligations of the Company and are guaranteed on a senior unsecured basis by the guarantors and any other subsidiary guarantors that from time to time become parties to the indenture. The terms of the indenture,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enter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contingencies and liquidity matters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Refer to Note 4, Long-term debt, in the Notes to Condensed Consolidated Financial Statements for discussion of the Company’s Amended Credit Agreement. Additionally, refer to Note 8, Commitments and contingencies, in the Notes to Condensed Consolidated Financial Statements for discussion of the Company’s surety agreements.</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Company intends to upgrade its existing domestic fleet by acquiring or building new vessels, equipment and technology to increase productivity and efficiency and further enhance safety. Existing cash on hand, future net cash flows, debt financing and new leases are all available funding resources from which the Company will evaluate its options when considering these upgrades.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Amended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preparing its consolidated financial statements, the Company follows GAAP, which is described in Note 1, Basis of presentation, to the Company’s December 31, 2021 Consolidated Financial Statements included in the Company’s Annual Report on Form 10-K. The application of these principles requires significant judgments or an estimation process that can affect the results of operations, financial position and cash flows of the Company, as well as the related footnote disclosures. The Company continually reviews 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260"/>
        <w:spacing w:after="0" w:line="277" w:lineRule="auto"/>
        <w:rPr>
          <w:sz w:val="20"/>
          <w:szCs w:val="20"/>
          <w:color w:val="auto"/>
        </w:rPr>
      </w:pPr>
      <w:r>
        <w:rPr>
          <w:rFonts w:ascii="Arial" w:cs="Arial" w:eastAsia="Arial" w:hAnsi="Arial"/>
          <w:sz w:val="18"/>
          <w:szCs w:val="18"/>
          <w:color w:val="auto"/>
        </w:rPr>
        <w:t>accounting policies and financial information disclosures. Except as noted in Note 1, Basis of presentation, of the Company’s financial statements, there have been no material changes in the Company’s critical accounting policies or estimates since December 31, 2021.</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market risk of the Company’s financial instruments as of March 31, 2022 has not materially changed since December 31, 2021. The market risk profile of the Company on December 31, 2021 is disclosed in Item 7A. “Quantitative and Qualitative Disclosures about Market Risk” of the Company’s Annual Report on Form 10-K for the year ended December 31, 2021.</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 2022.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March 31, 2022 in providing such a reasonable assurance.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March 31, 2022 that have materially affected, or are reasonably likely to materially affect, our internal control over financial reporting.</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during the three months ended March 31, 2022 to the risk factors previously disclosed in Item 1A. “Risk Factors” in the Company’s Annual Report on Form 10-K for the year ended December 31, 2021.</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20" w:type="dxa"/>
            <w:vAlign w:val="bottom"/>
          </w:tcPr>
          <w:p>
            <w:pPr>
              <w:spacing w:after="0"/>
              <w:rPr>
                <w:sz w:val="20"/>
                <w:szCs w:val="20"/>
                <w:color w:val="auto"/>
              </w:rPr>
            </w:pPr>
          </w:p>
        </w:tc>
        <w:tc>
          <w:tcPr>
            <w:tcW w:w="10320" w:type="dxa"/>
            <w:vAlign w:val="bottom"/>
            <w:gridSpan w:val="4"/>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ind w:left="2060"/>
              <w:spacing w:after="0"/>
              <w:rPr>
                <w:sz w:val="20"/>
                <w:szCs w:val="20"/>
                <w:color w:val="auto"/>
              </w:rPr>
            </w:pPr>
            <w:r>
              <w:rPr>
                <w:rFonts w:ascii="Arial" w:cs="Arial" w:eastAsia="Arial" w:hAnsi="Arial"/>
                <w:sz w:val="18"/>
                <w:szCs w:val="18"/>
                <w:b w:val="1"/>
                <w:bCs w:val="1"/>
                <w:color w:val="auto"/>
              </w:rPr>
              <w:t>Document Description</w:t>
            </w:r>
          </w:p>
        </w:tc>
      </w:tr>
      <w:tr>
        <w:trPr>
          <w:trHeight w:val="236"/>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Certification Pursuant to Rules 13a-14 and 15d-14 under the Securities Exchange Act of 1934, as Adopted Pursuant to Section 302 of the</w:t>
              </w:r>
            </w:hyperlink>
          </w:p>
        </w:tc>
        <w:tc>
          <w:tcPr>
            <w:tcW w:w="440" w:type="dxa"/>
            <w:vAlign w:val="bottom"/>
          </w:tcPr>
          <w:p>
            <w:pPr>
              <w:spacing w:after="0"/>
              <w:rPr>
                <w:sz w:val="20"/>
                <w:szCs w:val="20"/>
                <w:color w:val="auto"/>
              </w:rPr>
            </w:pP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Sarbanes-Oxley Act of 2002. *</w:t>
              </w:r>
            </w:hyperlink>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344"/>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Certification Pursuant to Rules 13a-14 and 15d-14 under the Securities Exchange Act of 1934, as Adopted Pursuant to Section 302 of the</w:t>
              </w:r>
            </w:hyperlink>
          </w:p>
        </w:tc>
        <w:tc>
          <w:tcPr>
            <w:tcW w:w="44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Sarbanes-Oxley Act of 2002. *</w:t>
              </w:r>
            </w:hyperlink>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344"/>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Certification Pursuant to 18 U.S.C. Section 1350, as Adopted Pursuant to Section 906 of the Sarbanes-Oxley Act of 2002. **</w:t>
              </w:r>
            </w:hyperlink>
          </w:p>
        </w:tc>
        <w:tc>
          <w:tcPr>
            <w:tcW w:w="1320" w:type="dxa"/>
            <w:vAlign w:val="bottom"/>
            <w:gridSpan w:val="2"/>
          </w:tcPr>
          <w:p>
            <w:pPr>
              <w:spacing w:after="0"/>
              <w:rPr>
                <w:sz w:val="24"/>
                <w:szCs w:val="24"/>
                <w:color w:val="auto"/>
              </w:rPr>
            </w:pPr>
          </w:p>
        </w:tc>
      </w:tr>
      <w:tr>
        <w:trPr>
          <w:trHeight w:val="344"/>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Certification Pursuant to 18 U.S.C. Section 1350, as Adopted Pursuant to Section 906 of the Sarbanes-Oxley Act of 2002. **</w:t>
              </w:r>
            </w:hyperlink>
          </w:p>
        </w:tc>
        <w:tc>
          <w:tcPr>
            <w:tcW w:w="1320" w:type="dxa"/>
            <w:vAlign w:val="bottom"/>
            <w:gridSpan w:val="2"/>
          </w:tcPr>
          <w:p>
            <w:pPr>
              <w:spacing w:after="0"/>
              <w:rPr>
                <w:sz w:val="24"/>
                <w:szCs w:val="24"/>
                <w:color w:val="auto"/>
              </w:rPr>
            </w:pP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4"/>
          </w:tcPr>
          <w:p>
            <w:pPr>
              <w:spacing w:after="0"/>
              <w:rPr>
                <w:sz w:val="20"/>
                <w:szCs w:val="20"/>
                <w:color w:val="auto"/>
              </w:rPr>
            </w:pPr>
            <w:r>
              <w:rPr>
                <w:rFonts w:ascii="Arial" w:cs="Arial" w:eastAsia="Arial" w:hAnsi="Arial"/>
                <w:sz w:val="18"/>
                <w:szCs w:val="18"/>
                <w:color w:val="auto"/>
                <w:w w:val="93"/>
              </w:rPr>
              <w:t>Interactive Data Files pursuant to Rule 405 of Regulation S-T formatted in Inline Extensible Business Reporting Language ("Inline XBRL") *</w:t>
            </w:r>
          </w:p>
        </w:tc>
      </w:tr>
      <w:tr>
        <w:trPr>
          <w:trHeight w:val="58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 *</w:t>
            </w:r>
          </w:p>
        </w:tc>
      </w:tr>
    </w:tbl>
    <w:p>
      <w:pPr>
        <w:spacing w:after="0" w:line="200" w:lineRule="exact"/>
        <w:rPr>
          <w:sz w:val="20"/>
          <w:szCs w:val="20"/>
          <w:color w:val="auto"/>
        </w:rPr>
      </w:pPr>
    </w:p>
    <w:p>
      <w:pPr>
        <w:spacing w:after="0" w:line="23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760"/>
        <w:spacing w:after="0"/>
        <w:tabs>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K</w:t>
      </w:r>
      <w:r>
        <w:rPr>
          <w:rFonts w:ascii="Arial" w:cs="Arial" w:eastAsia="Arial" w:hAnsi="Arial"/>
          <w:sz w:val="12"/>
          <w:szCs w:val="12"/>
          <w:color w:val="auto"/>
        </w:rPr>
        <w:t>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231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 w:lineRule="exact"/>
        <w:rPr>
          <w:sz w:val="20"/>
          <w:szCs w:val="20"/>
          <w:color w:val="auto"/>
        </w:rPr>
      </w:pPr>
    </w:p>
    <w:p>
      <w:pPr>
        <w:jc w:val="center"/>
        <w:ind w:left="7080"/>
        <w:spacing w:after="0"/>
        <w:rPr>
          <w:sz w:val="20"/>
          <w:szCs w:val="20"/>
          <w:color w:val="auto"/>
        </w:rPr>
      </w:pPr>
      <w:r>
        <w:rPr>
          <w:rFonts w:ascii="Arial" w:cs="Arial" w:eastAsia="Arial" w:hAnsi="Arial"/>
          <w:sz w:val="13"/>
          <w:szCs w:val="13"/>
          <w:b w:val="1"/>
          <w:bCs w:val="1"/>
          <w:color w:val="auto"/>
        </w:rPr>
        <w:t>Scott Kornblau</w:t>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3"/>
          <w:szCs w:val="13"/>
          <w:b w:val="1"/>
          <w:bCs w:val="1"/>
          <w:color w:val="auto"/>
        </w:rPr>
        <w:t>Senior Vice President, Chief Financial Officer and Treasurer</w:t>
      </w:r>
    </w:p>
    <w:p>
      <w:pPr>
        <w:jc w:val="center"/>
        <w:ind w:left="7080"/>
        <w:spacing w:after="0"/>
        <w:rPr>
          <w:sz w:val="20"/>
          <w:szCs w:val="20"/>
          <w:color w:val="auto"/>
        </w:rPr>
      </w:pPr>
      <w:r>
        <w:rPr>
          <w:rFonts w:ascii="Arial" w:cs="Arial" w:eastAsia="Arial" w:hAnsi="Arial"/>
          <w:sz w:val="13"/>
          <w:szCs w:val="13"/>
          <w:b w:val="1"/>
          <w:bCs w:val="1"/>
          <w:color w:val="auto"/>
        </w:rPr>
        <w:t>(Principal Financial Officer and Duly Authorized Officer)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553" w:right="3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Kornblau, certify that:</w:t>
      </w:r>
    </w:p>
    <w:p>
      <w:pPr>
        <w:spacing w:after="0" w:line="117"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Kornblau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Chief Financial Officer and Treasurer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March 31, 2022,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2022 as filed with the Securities and Exchange Commission on the date hereof (the “Report”), I, Scott Kornblau, Senior Vice President, Chief Financial Officer and Treasurer of the Company, certify pursuant to 18 U.S.C. Section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86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Kornblau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7"/>
    </w:lvl>
  </w:abstractNum>
  <w:abstractNum w:abstractNumId="10">
    <w:nsid w:val="DED7263"/>
    <w:multiLevelType w:val="hybridMultilevel"/>
    <w:lvl w:ilvl="0">
      <w:lvlJc w:val="left"/>
      <w:lvlText w:val="%1."/>
      <w:numFmt w:val="decimal"/>
      <w:start w:val="8"/>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2022-05-03T15:21:18Z</dcterms:created>
  <dcterms:modified xsi:type="dcterms:W3CDTF">2022-05-03T15:21:18Z</dcterms:modified>
</cp:coreProperties>
</file>