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19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Delaware</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2122 York Road,</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3"/>
              </w:rPr>
              <w:t>Oak Brook, IL</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60523</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8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November 2, 2012, 59,279,750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0" w:right="2740"/>
        <w:spacing w:after="0" w:line="356" w:lineRule="auto"/>
        <w:rPr>
          <w:sz w:val="20"/>
          <w:szCs w:val="20"/>
          <w:color w:val="auto"/>
        </w:rPr>
      </w:pPr>
      <w:r>
        <w:rPr>
          <w:rFonts w:ascii="Arial" w:cs="Arial" w:eastAsia="Arial" w:hAnsi="Arial"/>
          <w:sz w:val="18"/>
          <w:szCs w:val="18"/>
          <w:b w:val="1"/>
          <w:bCs w:val="1"/>
          <w:color w:val="auto"/>
        </w:rPr>
        <w:t>GREAT LAKES DREDGE &amp; DOCK CORPORATION AND SUBSIDIARIES Form 10-Q/A for the Quarterly Period Ended September 30, 2012 EXPLANATORY NOTE</w:t>
      </w:r>
    </w:p>
    <w:p>
      <w:pPr>
        <w:spacing w:after="0" w:line="5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Great Lakes Dredge &amp; Dock Corporation (“Great Lakes”) is filing this Amendment No. 1 on Form 10-Q/A a) to restate its previously issued interim financial statements for 1) the recognition of revenue with respect to certain projects in its demolition segment and 2) the recognition of accelerated maintenance expense related to new international deployments and b) to address matters related to the foregoing with respect to Great Lakes’ disclosure controls and procedures. Subsequent to the filing of the Quarterly Report on Form 10-Q for the quarter ended September 30, 2012, management became aware of a material weakness in our internal control over financial reporting. The restatement and conclusion regarding the material weakness affect Items 1, 2 and 4 of Part I of the Quarterly Report on Form 10-Q for the quarter ended September 30, 2012 as originally filed with the Securities and Exchange Commission (“SEC”) on November 7, 2012.</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Additionally, in connection with the filing of this Form 10-Q/A and pursuant to SEC rules, Great Lakes is including currently dated certifications in Item 6 of Part II.</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Except as described in this Explanatory Note, no other portions of the originally filed Form 10-Q for the third quarter of 2012 were affected, but for the convenience of the reader, this interim report on Form 10-Q/A has been filed in its entirety. In addition, this Form 10-Q/A is presented as of the filing date of the original Form 10-Q and has not been updated for events or information subsequent to the date of filing of the original Form 10-Q, except in connection with the foregoing. Accordingly, this Form 10-Q/A should be read in conjunction with our other filings with the SEC. For more information about the restatement and the related disclosure controls and procedures matters, please see Great Lakes’ Current Report on Form 8-K (Items 2.02 and 4.02(a)) filed on March 14, 2013.</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25"/>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 (Unaudited)</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2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318"/>
        </w:trPr>
        <w:tc>
          <w:tcPr>
            <w:tcW w:w="440" w:type="dxa"/>
            <w:vAlign w:val="bottom"/>
            <w:tcBorders>
              <w:top w:val="single" w:sz="8" w:color="0000EE"/>
            </w:tcBorders>
          </w:tcPr>
          <w:p>
            <w:pPr>
              <w:spacing w:after="0"/>
              <w:rPr>
                <w:sz w:val="24"/>
                <w:szCs w:val="24"/>
                <w:color w:val="auto"/>
              </w:rPr>
            </w:pPr>
          </w:p>
        </w:tc>
        <w:tc>
          <w:tcPr>
            <w:tcW w:w="266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9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60" w:type="dxa"/>
            <w:vAlign w:val="bottom"/>
            <w:tcBorders>
              <w:bottom w:val="single" w:sz="8" w:color="0000EE"/>
            </w:tcBorders>
            <w:gridSpan w:val="17"/>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 at September 30, 2012 (Restated) and December 31, 2011</w:t>
              </w:r>
            </w:hyperlink>
          </w:p>
        </w:tc>
        <w:tc>
          <w:tcPr>
            <w:tcW w:w="32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60" w:type="dxa"/>
            <w:vAlign w:val="bottom"/>
            <w:tcBorders>
              <w:bottom w:val="single" w:sz="8" w:color="0000EE"/>
            </w:tcBorders>
            <w:gridSpan w:val="21"/>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Operations for the Three and Nine Months ended September 30, 2012 (Restated) and 2011</w:t>
              </w:r>
            </w:hyperlink>
          </w:p>
        </w:tc>
        <w:tc>
          <w:tcPr>
            <w:tcW w:w="10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00" w:type="dxa"/>
            <w:vAlign w:val="bottom"/>
            <w:tcBorders>
              <w:bottom w:val="single" w:sz="8" w:color="0000EE"/>
            </w:tcBorders>
            <w:gridSpan w:val="20"/>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Comprehensive Income (Loss) for the Three and Nine Months ended September 30, 2012</w:t>
              </w:r>
            </w:hyperlink>
          </w:p>
        </w:tc>
        <w:tc>
          <w:tcPr>
            <w:tcW w:w="10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(Restated) and 2011</w:t>
              </w:r>
            </w:hyperlink>
          </w:p>
        </w:tc>
        <w:tc>
          <w:tcPr>
            <w:tcW w:w="854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0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Equity for the Nine Months ended September 30, 2012 (Restated) and 2011</w:t>
              </w:r>
            </w:hyperlink>
          </w:p>
        </w:tc>
        <w:tc>
          <w:tcPr>
            <w:tcW w:w="20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60" w:type="dxa"/>
            <w:vAlign w:val="bottom"/>
            <w:tcBorders>
              <w:bottom w:val="single" w:sz="8" w:color="0000EE"/>
            </w:tcBorders>
            <w:gridSpan w:val="19"/>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Condensed Consolidated Statements of Cash Flows for the Nine Months ended September 30, 2012 (Restated) and 2011</w:t>
              </w:r>
            </w:hyperlink>
          </w:p>
        </w:tc>
        <w:tc>
          <w:tcPr>
            <w:tcW w:w="17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Item 2 Management’s Discussion and Analysis of Financial Condition and Results of Operations</w:t>
              </w:r>
            </w:hyperlink>
          </w:p>
        </w:tc>
        <w:tc>
          <w:tcPr>
            <w:tcW w:w="380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 Quantitative and Qualitative Disclosures About Market Risk</w:t>
              </w:r>
            </w:hyperlink>
          </w:p>
        </w:tc>
        <w:tc>
          <w:tcPr>
            <w:tcW w:w="58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980" w:type="dxa"/>
            <w:vAlign w:val="bottom"/>
            <w:tcBorders>
              <w:bottom w:val="single" w:sz="8" w:color="0000EE"/>
            </w:tcBorders>
            <w:gridSpan w:val="8"/>
          </w:tcPr>
          <w:p>
            <w:pPr>
              <w:spacing w:after="0"/>
              <w:rPr>
                <w:rFonts w:ascii="Arial" w:cs="Arial" w:eastAsia="Arial" w:hAnsi="Arial"/>
                <w:sz w:val="18"/>
                <w:szCs w:val="18"/>
                <w:b w:val="1"/>
                <w:bCs w:val="1"/>
                <w:color w:val="0000EE"/>
                <w:w w:val="94"/>
              </w:rPr>
            </w:pPr>
            <w:hyperlink w:anchor="page37">
              <w:r>
                <w:rPr>
                  <w:rFonts w:ascii="Arial" w:cs="Arial" w:eastAsia="Arial" w:hAnsi="Arial"/>
                  <w:sz w:val="18"/>
                  <w:szCs w:val="18"/>
                  <w:b w:val="1"/>
                  <w:bCs w:val="1"/>
                  <w:color w:val="0000EE"/>
                  <w:w w:val="94"/>
                </w:rPr>
                <w:t>Part II Other Information</w:t>
              </w:r>
            </w:hyperlink>
          </w:p>
        </w:tc>
        <w:tc>
          <w:tcPr>
            <w:tcW w:w="906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1 Legal Proceedings</w:t>
              </w:r>
            </w:hyperlink>
          </w:p>
        </w:tc>
        <w:tc>
          <w:tcPr>
            <w:tcW w:w="880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1A 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74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2 Unregistered Sales of Equity Securities and Use of Proceeds</w:t>
              </w:r>
            </w:hyperlink>
          </w:p>
        </w:tc>
        <w:tc>
          <w:tcPr>
            <w:tcW w:w="58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 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760" w:type="dxa"/>
            <w:vAlign w:val="bottom"/>
            <w:tcBorders>
              <w:top w:val="single" w:sz="8" w:color="0000EE"/>
            </w:tcBorders>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 Mine Safety Disclosures</w:t>
              </w:r>
            </w:hyperlink>
          </w:p>
        </w:tc>
        <w:tc>
          <w:tcPr>
            <w:tcW w:w="78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5 Other Information</w:t>
              </w:r>
            </w:hyperlink>
          </w:p>
        </w:tc>
        <w:tc>
          <w:tcPr>
            <w:tcW w:w="440" w:type="dxa"/>
            <w:vAlign w:val="bottom"/>
            <w:tcBorders>
              <w:top w:val="single" w:sz="8" w:color="0000EE"/>
            </w:tcBorders>
            <w:gridSpan w:val="4"/>
          </w:tcPr>
          <w:p>
            <w:pPr>
              <w:spacing w:after="0"/>
              <w:rPr>
                <w:sz w:val="24"/>
                <w:szCs w:val="24"/>
                <w:color w:val="auto"/>
              </w:rPr>
            </w:pPr>
          </w:p>
        </w:tc>
        <w:tc>
          <w:tcPr>
            <w:tcW w:w="838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2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 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520" w:type="dxa"/>
            <w:vAlign w:val="bottom"/>
            <w:gridSpan w:val="1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39">
              <w:r>
                <w:rPr>
                  <w:rFonts w:ascii="Arial" w:cs="Arial" w:eastAsia="Arial" w:hAnsi="Arial"/>
                  <w:sz w:val="18"/>
                  <w:szCs w:val="18"/>
                  <w:b w:val="1"/>
                  <w:bCs w:val="1"/>
                  <w:color w:val="0000EE"/>
                  <w:w w:val="86"/>
                </w:rPr>
                <w:t>Signature</w:t>
              </w:r>
            </w:hyperlink>
          </w:p>
        </w:tc>
        <w:tc>
          <w:tcPr>
            <w:tcW w:w="10300" w:type="dxa"/>
            <w:vAlign w:val="bottom"/>
            <w:gridSpan w:val="2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040" w:type="dxa"/>
            <w:vAlign w:val="bottom"/>
            <w:tcBorders>
              <w:bottom w:val="single" w:sz="8" w:color="0000EE"/>
            </w:tcBorders>
            <w:gridSpan w:val="4"/>
          </w:tcPr>
          <w:p>
            <w:pPr>
              <w:spacing w:after="0"/>
              <w:rPr>
                <w:rFonts w:ascii="Arial" w:cs="Arial" w:eastAsia="Arial" w:hAnsi="Arial"/>
                <w:sz w:val="18"/>
                <w:szCs w:val="18"/>
                <w:b w:val="1"/>
                <w:bCs w:val="1"/>
                <w:color w:val="0000EE"/>
                <w:w w:val="90"/>
              </w:rPr>
            </w:pPr>
            <w:hyperlink w:anchor="page40">
              <w:r>
                <w:rPr>
                  <w:rFonts w:ascii="Arial" w:cs="Arial" w:eastAsia="Arial" w:hAnsi="Arial"/>
                  <w:sz w:val="18"/>
                  <w:szCs w:val="18"/>
                  <w:b w:val="1"/>
                  <w:bCs w:val="1"/>
                  <w:color w:val="0000EE"/>
                  <w:w w:val="90"/>
                </w:rPr>
                <w:t>Exhibit Index</w:t>
              </w:r>
            </w:hyperlink>
          </w:p>
        </w:tc>
        <w:tc>
          <w:tcPr>
            <w:tcW w:w="1000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83"/>
        </w:trPr>
        <w:tc>
          <w:tcPr>
            <w:tcW w:w="7240" w:type="dxa"/>
            <w:vAlign w:val="bottom"/>
            <w:gridSpan w:val="19"/>
          </w:tcPr>
          <w:p>
            <w:pPr>
              <w:ind w:left="568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32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(Restated, See Note 1)</w:t>
            </w:r>
          </w:p>
        </w:tc>
        <w:tc>
          <w:tcPr>
            <w:tcW w:w="7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38,324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127,359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60,846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36,511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52,016</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315,056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325,778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314,181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310,520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98,666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37,354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7,076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16,273</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8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790,316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788,460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92,019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23,905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20,817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Current portion of long term debt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139,328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130,526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LONG TERM NOTE PAYABLE</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104,349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502,934</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495,923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Common stock—$.0001 par value; 90,000,000 authorized, 59,274,393 and 58,999,404 shares issued and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at September 30, 2012 and December 31, 2011, respectively.</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270,434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17,280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287,173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287,382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292,537</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8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790,316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788,460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(Restated,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(Restated,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0"/>
              </w:rPr>
              <w:t>See Note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0"/>
              </w:rPr>
              <w:t>See Note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162,484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158,468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480,498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468,765</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154,664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131,077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433,950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394,166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74,599</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12,736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36,390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38,447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440"/>
              <w:spacing w:after="0"/>
              <w:rPr>
                <w:sz w:val="20"/>
                <w:szCs w:val="20"/>
                <w:color w:val="auto"/>
              </w:rPr>
            </w:pPr>
            <w:r>
              <w:rPr>
                <w:rFonts w:ascii="Arial" w:cs="Arial" w:eastAsia="Arial" w:hAnsi="Arial"/>
                <w:sz w:val="18"/>
                <w:szCs w:val="18"/>
                <w:color w:val="auto"/>
              </w:rPr>
              <w:t>Operating income (loss)</w:t>
            </w: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6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(3,739)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14,786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10,390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39,054</w:t>
            </w:r>
          </w:p>
        </w:tc>
        <w:tc>
          <w:tcPr>
            <w:tcW w:w="0" w:type="dxa"/>
            <w:vAlign w:val="bottom"/>
          </w:tcPr>
          <w:p>
            <w:pPr>
              <w:spacing w:after="0"/>
              <w:rPr>
                <w:sz w:val="1"/>
                <w:szCs w:val="1"/>
                <w:color w:val="auto"/>
              </w:rPr>
            </w:pPr>
          </w:p>
        </w:tc>
      </w:tr>
      <w:tr>
        <w:trPr>
          <w:trHeight w:val="218"/>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(15,747)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(16,432)</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before income taxes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16"/>
        </w:trPr>
        <w:tc>
          <w:tcPr>
            <w:tcW w:w="6960" w:type="dxa"/>
            <w:vAlign w:val="bottom"/>
          </w:tcPr>
          <w:p>
            <w:pPr>
              <w:ind w:left="880"/>
              <w:spacing w:after="0"/>
              <w:rPr>
                <w:sz w:val="20"/>
                <w:szCs w:val="20"/>
                <w:color w:val="auto"/>
              </w:rPr>
            </w:pPr>
            <w:r>
              <w:rPr>
                <w:rFonts w:ascii="Arial" w:cs="Arial" w:eastAsia="Arial" w:hAnsi="Arial"/>
                <w:sz w:val="18"/>
                <w:szCs w:val="18"/>
                <w:color w:val="auto"/>
              </w:rPr>
              <w:t>Net (income) loss attributable to noncontrolling interests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Great Lakes Dredge &amp; Dock Corporation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Basic earnings (loss) per share attributable to Great Lakes Dredge &amp; Dock Corporation</w:t>
            </w: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60" w:type="dxa"/>
            <w:vAlign w:val="bottom"/>
            <w:vMerge w:val="continue"/>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8"/>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58,863</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w w:val="98"/>
              </w:rPr>
              <w:t>Diluted earnings (loss) per share attributable to Great Lakes Dredge &amp; Dock Corporation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59,533</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0"/>
              </w:rPr>
              <w:t>(Restated, See</w:t>
            </w:r>
          </w:p>
        </w:tc>
        <w:tc>
          <w:tcPr>
            <w:tcW w:w="50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(Restated, See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2"/>
              </w:rPr>
              <w:t>Note 1)</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6"/>
              </w:rPr>
              <w:t>Note 1)</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(5,356)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$5,659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140" w:type="dxa"/>
            <w:vAlign w:val="bottom"/>
          </w:tcPr>
          <w:p>
            <w:pPr>
              <w:spacing w:after="0"/>
              <w:rPr>
                <w:sz w:val="18"/>
                <w:szCs w:val="18"/>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losses to earnings—net of tax (2)</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(85)</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Change in fair value of derivatives—net of tax (3)</w:t>
            </w:r>
          </w:p>
        </w:tc>
        <w:tc>
          <w:tcPr>
            <w:tcW w:w="140" w:type="dxa"/>
            <w:vAlign w:val="bottom"/>
          </w:tcPr>
          <w:p>
            <w:pPr>
              <w:spacing w:after="0"/>
              <w:rPr>
                <w:sz w:val="18"/>
                <w:szCs w:val="18"/>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827</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(loss)—net of tax</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742</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(1,152)</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(4,614)</w:t>
            </w:r>
          </w:p>
        </w:tc>
        <w:tc>
          <w:tcPr>
            <w:tcW w:w="500" w:type="dxa"/>
            <w:vAlign w:val="bottom"/>
          </w:tcPr>
          <w:p>
            <w:pPr>
              <w:jc w:val="right"/>
              <w:spacing w:after="0"/>
              <w:rPr>
                <w:sz w:val="20"/>
                <w:szCs w:val="20"/>
                <w:color w:val="auto"/>
              </w:rPr>
            </w:pPr>
            <w:r>
              <w:rPr>
                <w:rFonts w:ascii="Arial" w:cs="Arial" w:eastAsia="Arial" w:hAnsi="Arial"/>
                <w:sz w:val="18"/>
                <w:szCs w:val="18"/>
                <w:color w:val="auto"/>
              </w:rPr>
              <w:t>4,755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(3,773)</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(loss) attributable to Great Lakes Dredge &amp; Dock Corporation</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(4,594)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4,698</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(3,547)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8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$0 and $0 for the three months ended September 30, 2012 and 2011, respectively, and $(3) and $0 for nine months ended September 30, 2012 and 2011, respectively.</w:t>
      </w:r>
    </w:p>
    <w:p>
      <w:pPr>
        <w:ind w:left="460" w:right="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$56 and $295 for the three months ended September 30, 2012 and 2011, respectively, and $231 and $830 for the nine months ended September 30, 2012 and 2011, respectively.</w:t>
      </w:r>
    </w:p>
    <w:p>
      <w:pPr>
        <w:ind w:left="460" w:right="16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$549 and $(246) for the three months ended September 30, 2012 and 2011, respectively, and $(132) and $(313) for the nine months ended September 30, 2012 and 2011,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000" w:type="dxa"/>
            <w:vAlign w:val="bottom"/>
            <w:tcBorders>
              <w:bottom w:val="single" w:sz="8" w:color="auto"/>
            </w:tcBorders>
            <w:gridSpan w:val="12"/>
          </w:tcPr>
          <w:p>
            <w:pPr>
              <w:jc w:val="right"/>
              <w:ind w:right="9"/>
              <w:spacing w:after="0"/>
              <w:rPr>
                <w:sz w:val="20"/>
                <w:szCs w:val="20"/>
                <w:color w:val="auto"/>
              </w:rPr>
            </w:pPr>
            <w:r>
              <w:rPr>
                <w:rFonts w:ascii="Arial" w:cs="Arial" w:eastAsia="Arial" w:hAnsi="Arial"/>
                <w:sz w:val="14"/>
                <w:szCs w:val="14"/>
                <w:b w:val="1"/>
                <w:bCs w:val="1"/>
                <w:color w:val="auto"/>
              </w:rPr>
              <w:t>Great Lakes Dredge &amp; Dock Corporation shareholders</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20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Retained</w:t>
            </w: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Earnings</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(Restated, See</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2"/>
              </w:rPr>
              <w:t>(Restated, See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Note 1)</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Note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58,999,404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420"/>
              <w:spacing w:after="0"/>
              <w:rPr>
                <w:sz w:val="20"/>
                <w:szCs w:val="20"/>
                <w:color w:val="auto"/>
              </w:rPr>
            </w:pPr>
            <w:r>
              <w:rPr>
                <w:rFonts w:ascii="Arial" w:cs="Arial" w:eastAsia="Arial" w:hAnsi="Arial"/>
                <w:sz w:val="15"/>
                <w:szCs w:val="15"/>
                <w:color w:val="auto"/>
                <w:w w:val="71"/>
              </w:rPr>
              <w:t>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$267,918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24,042</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568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145,349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Vesting of restricted stock units, including impact of</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withheld for taxes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20"/>
              <w:spacing w:after="0"/>
              <w:rPr>
                <w:sz w:val="20"/>
                <w:szCs w:val="20"/>
                <w:color w:val="auto"/>
              </w:rPr>
            </w:pPr>
            <w:r>
              <w:rPr>
                <w:rFonts w:ascii="Arial" w:cs="Arial" w:eastAsia="Arial" w:hAnsi="Arial"/>
                <w:sz w:val="18"/>
                <w:szCs w:val="18"/>
                <w:color w:val="auto"/>
                <w:w w:val="79"/>
              </w:rPr>
              <w:t>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139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(3,726)</w:t>
            </w: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Distributions paid to noncontrolling interests</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w w:val="99"/>
              </w:rPr>
              <w:t>(133)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(226)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Other comprehensive loss—net of tax</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BALANCE—September 30,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59,274,393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420"/>
              <w:spacing w:after="0"/>
              <w:rPr>
                <w:sz w:val="20"/>
                <w:szCs w:val="20"/>
                <w:color w:val="auto"/>
              </w:rPr>
            </w:pPr>
            <w:r>
              <w:rPr>
                <w:rFonts w:ascii="Arial" w:cs="Arial" w:eastAsia="Arial" w:hAnsi="Arial"/>
                <w:sz w:val="15"/>
                <w:szCs w:val="15"/>
                <w:color w:val="auto"/>
                <w:w w:val="71"/>
              </w:rPr>
              <w:t>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270,434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17,280</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209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86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Great Lakes Dredge &amp; Dock Corporation shareholders</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Shares of</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Additional</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Common</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BALANCE—January 1, 2011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58,770,369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5"/>
                <w:szCs w:val="15"/>
                <w:color w:val="auto"/>
                <w:w w:val="71"/>
              </w:rPr>
              <w:t>6</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$266,329</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$ 12,261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357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$276,825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77,369</w:t>
            </w: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1,224</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Vesting of restricted stock units, including impact of shares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withheld for taxes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106,428</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6,278</w:t>
            </w: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Excess income tax benefit from share-based compensation</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Acquisition of noncontrolling interest in NASDI, LLC</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525</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Other comprehensive loss—net of tax</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BALANCE—September 30, 2011</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58,960,444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267,297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$ 18,468</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370</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285,346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(Restated, See Note 1)</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(3,223)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used in operating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26,637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(earnings) loss of joint ventures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Loss on extinguishment of 7 3/4% senior subordinated notes</w:t>
            </w:r>
          </w:p>
        </w:tc>
        <w:tc>
          <w:tcPr>
            <w:tcW w:w="2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2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adjustment of contingent earnout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foreign currency loss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2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(32,245)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(17,044)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7,189</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420"/>
              <w:spacing w:after="0"/>
              <w:rPr>
                <w:sz w:val="20"/>
                <w:szCs w:val="20"/>
                <w:color w:val="auto"/>
              </w:rPr>
            </w:pPr>
            <w:r>
              <w:rPr>
                <w:rFonts w:ascii="Arial" w:cs="Arial" w:eastAsia="Arial" w:hAnsi="Arial"/>
                <w:sz w:val="18"/>
                <w:szCs w:val="18"/>
                <w:color w:val="auto"/>
              </w:rPr>
              <w:t>Net cash flows provided by (used in) operating activities</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(38,412)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(30,813)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22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(30,250)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Proceeds from issuance of 7 3/8% senior notes</w:t>
            </w:r>
          </w:p>
        </w:tc>
        <w:tc>
          <w:tcPr>
            <w:tcW w:w="2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Redemption of 7 3/4% senior subordinated notes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Senior subordinated notes redemption premium</w:t>
            </w:r>
          </w:p>
        </w:tc>
        <w:tc>
          <w:tcPr>
            <w:tcW w:w="2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Distributions paid to minority interests</w:t>
            </w:r>
          </w:p>
        </w:tc>
        <w:tc>
          <w:tcPr>
            <w:tcW w:w="2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Dividend equivalents paid on restricted stock units</w:t>
            </w:r>
          </w:p>
        </w:tc>
        <w:tc>
          <w:tcPr>
            <w:tcW w:w="2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Taxes paid on settlement of vested share awards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Repayments of equipment debt</w:t>
            </w:r>
          </w:p>
        </w:tc>
        <w:tc>
          <w:tcPr>
            <w:tcW w:w="2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(502)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(used in) financing activities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62,791</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113,288</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38,324</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107,050</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Cash paid (refunded) for income taxes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gridSpan w:val="2"/>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(4,840)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Property and equipment purchased but not yet paid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7,693</w:t>
            </w:r>
          </w:p>
        </w:tc>
        <w:tc>
          <w:tcPr>
            <w:tcW w:w="4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on capital leases and equipment notes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Acquisition of noncontrolling interest in NASDI, LLC</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gridSpan w:val="2"/>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2011.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2012, and its results of operations for the three and nine months ended September 30, 2012 and 2011 and cash flows for the nine months ended September 30, 2012 and 2011 have been included.</w:t>
      </w:r>
    </w:p>
    <w:p>
      <w:pPr>
        <w:spacing w:after="0" w:line="12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w:t>
      </w:r>
    </w:p>
    <w:p>
      <w:pPr>
        <w:spacing w:after="0" w:line="113"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21% to 25%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0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Company operates in two reportable segments: dredging and demolition. These reportable segments are the Company’s operating segments and the reporting units at which the Company tests goodwill for impairment. The Company performed its most recent annual test of impairment as of July 1, 2012 for the goodwill in both the dredging and demolition segments with no indication of goodwill impairment as of the test date. The Company will perform its next scheduled annual test of goodwill in the third quarter of 2013.</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 has identified instances in its demolition segment where revenue was recognized in a manner not consistent with Great Lakes’ accounting policy. Great Lakes’ policy regarding pending change orders is to immediately recognize the costs but defer the recognition of the related revenue until the recovery is probable and collectability is reasonably assured. Certain pending change orders where client acceptance has not been finalized were included as revenue. As a result of this error, contract revenues were overstated by $4,279 and $8,185 for the three and nine months ended September 30, 2012, respectively. Accounts receivable—net and contract revenues in excess of billings were overstated by $8,185.</w:t>
      </w:r>
    </w:p>
    <w:p>
      <w:pPr>
        <w:spacing w:after="0" w:line="1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addition, the Company is restating certain costs related to the preparation of vessels for new international deployments that were originally recorded as a component of other current assets. These expenses are being recorded as a component of costs of contract revenues in conformity with their presentation at year end. The Company is also correcting for other immaterial adjustments that were initially recorded in the period they were identified. These immaterial adjustments are being recast into the periods in which they originated.</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three and nine months ended, the errors noted above overstated net income by $3,204 and $6,370, respectively. Net income per basic and diluted common share was overstated by $0.05 and $0.11,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the restatement on certain line items within the Company’s previously issued financial statements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9"/>
          </w:tcPr>
          <w:p>
            <w:pPr>
              <w:jc w:val="right"/>
              <w:ind w:right="72"/>
              <w:spacing w:after="0"/>
              <w:rPr>
                <w:sz w:val="20"/>
                <w:szCs w:val="20"/>
                <w:color w:val="auto"/>
              </w:rPr>
            </w:pPr>
            <w:r>
              <w:rPr>
                <w:rFonts w:ascii="Arial" w:cs="Arial" w:eastAsia="Arial" w:hAnsi="Arial"/>
                <w:sz w:val="14"/>
                <w:szCs w:val="14"/>
                <w:b w:val="1"/>
                <w:bCs w:val="1"/>
                <w:color w:val="auto"/>
              </w:rPr>
              <w:t>September 30, 2012</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As</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6"/>
          </w:tcPr>
          <w:p>
            <w:pPr>
              <w:ind w:left="20"/>
              <w:spacing w:after="0" w:line="129" w:lineRule="exact"/>
              <w:rPr>
                <w:sz w:val="20"/>
                <w:szCs w:val="20"/>
                <w:color w:val="auto"/>
              </w:rPr>
            </w:pPr>
            <w:r>
              <w:rPr>
                <w:rFonts w:ascii="Arial" w:cs="Arial" w:eastAsia="Arial" w:hAnsi="Arial"/>
                <w:sz w:val="14"/>
                <w:szCs w:val="14"/>
                <w:b w:val="1"/>
                <w:bCs w:val="1"/>
                <w:color w:val="auto"/>
              </w:rPr>
              <w:t>Restatement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77"/>
              </w:rPr>
              <w:t>As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9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1"/>
              </w:rPr>
              <w:t>Reported</w:t>
            </w:r>
          </w:p>
        </w:tc>
        <w:tc>
          <w:tcPr>
            <w:tcW w:w="80" w:type="dxa"/>
            <w:vAlign w:val="bottom"/>
          </w:tcPr>
          <w:p>
            <w:pPr>
              <w:spacing w:after="0"/>
              <w:rPr>
                <w:sz w:val="14"/>
                <w:szCs w:val="14"/>
                <w:color w:val="auto"/>
              </w:rPr>
            </w:pPr>
          </w:p>
        </w:tc>
        <w:tc>
          <w:tcPr>
            <w:tcW w:w="1120" w:type="dxa"/>
            <w:vAlign w:val="bottom"/>
            <w:gridSpan w:val="6"/>
          </w:tcPr>
          <w:p>
            <w:pPr>
              <w:jc w:val="right"/>
              <w:ind w:right="312"/>
              <w:spacing w:after="0"/>
              <w:rPr>
                <w:sz w:val="20"/>
                <w:szCs w:val="20"/>
                <w:color w:val="auto"/>
              </w:rPr>
            </w:pPr>
            <w:r>
              <w:rPr>
                <w:rFonts w:ascii="Arial" w:cs="Arial" w:eastAsia="Arial" w:hAnsi="Arial"/>
                <w:sz w:val="14"/>
                <w:szCs w:val="14"/>
                <w:b w:val="1"/>
                <w:bCs w:val="1"/>
                <w:color w:val="auto"/>
                <w:w w:val="84"/>
              </w:rPr>
              <w:t>Adjustments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Consolidated Balance Sheets</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Accounts receivable—net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9"/>
          </w:tcPr>
          <w:p>
            <w:pPr>
              <w:jc w:val="right"/>
              <w:ind w:right="252"/>
              <w:spacing w:after="0"/>
              <w:rPr>
                <w:sz w:val="20"/>
                <w:szCs w:val="20"/>
                <w:color w:val="auto"/>
              </w:rPr>
            </w:pPr>
            <w:r>
              <w:rPr>
                <w:rFonts w:ascii="Arial" w:cs="Arial" w:eastAsia="Arial" w:hAnsi="Arial"/>
                <w:sz w:val="18"/>
                <w:szCs w:val="18"/>
                <w:color w:val="auto"/>
              </w:rPr>
              <w:t>$134,244</w:t>
            </w:r>
          </w:p>
        </w:tc>
        <w:tc>
          <w:tcPr>
            <w:tcW w:w="8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(6,885)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w w:val="90"/>
              </w:rPr>
              <w:t>$127,359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 in excess of billings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color w:val="auto"/>
              </w:rPr>
              <w:t>62,146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(1,300)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60,846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5"/>
          </w:tcPr>
          <w:p>
            <w:pPr>
              <w:jc w:val="right"/>
              <w:ind w:right="252"/>
              <w:spacing w:after="0"/>
              <w:rPr>
                <w:sz w:val="20"/>
                <w:szCs w:val="20"/>
                <w:color w:val="auto"/>
              </w:rPr>
            </w:pPr>
            <w:r>
              <w:rPr>
                <w:rFonts w:ascii="Arial" w:cs="Arial" w:eastAsia="Arial" w:hAnsi="Arial"/>
                <w:sz w:val="18"/>
                <w:szCs w:val="18"/>
                <w:color w:val="auto"/>
              </w:rPr>
              <w:t>50,999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1,017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52,016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color w:val="auto"/>
                <w:w w:val="86"/>
              </w:rPr>
              <w:t>322,224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(7,168)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315,056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5"/>
          </w:tcPr>
          <w:p>
            <w:pPr>
              <w:jc w:val="right"/>
              <w:ind w:right="252"/>
              <w:spacing w:after="0"/>
              <w:rPr>
                <w:sz w:val="20"/>
                <w:szCs w:val="20"/>
                <w:color w:val="auto"/>
              </w:rPr>
            </w:pPr>
            <w:r>
              <w:rPr>
                <w:rFonts w:ascii="Arial" w:cs="Arial" w:eastAsia="Arial" w:hAnsi="Arial"/>
                <w:sz w:val="18"/>
                <w:szCs w:val="18"/>
                <w:color w:val="auto"/>
                <w:w w:val="86"/>
              </w:rPr>
              <w:t>313,383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798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314,181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color w:val="auto"/>
                <w:w w:val="86"/>
              </w:rPr>
              <w:t>796,686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(6,370)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790,316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5"/>
          </w:tcPr>
          <w:p>
            <w:pPr>
              <w:jc w:val="right"/>
              <w:ind w:right="252"/>
              <w:spacing w:after="0"/>
              <w:rPr>
                <w:sz w:val="20"/>
                <w:szCs w:val="20"/>
                <w:color w:val="auto"/>
              </w:rPr>
            </w:pPr>
            <w:r>
              <w:rPr>
                <w:rFonts w:ascii="Arial" w:cs="Arial" w:eastAsia="Arial" w:hAnsi="Arial"/>
                <w:sz w:val="18"/>
                <w:szCs w:val="18"/>
                <w:color w:val="auto"/>
                <w:w w:val="86"/>
              </w:rPr>
              <w:t>293,543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(6,370)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287,173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2"/>
        </w:trPr>
        <w:tc>
          <w:tcPr>
            <w:tcW w:w="9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14"/>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gridSpan w:val="13"/>
          </w:tcPr>
          <w:p>
            <w:pPr>
              <w:jc w:val="center"/>
              <w:ind w:right="620"/>
              <w:spacing w:after="0"/>
              <w:rPr>
                <w:sz w:val="20"/>
                <w:szCs w:val="20"/>
                <w:color w:val="auto"/>
              </w:rPr>
            </w:pPr>
            <w:r>
              <w:rPr>
                <w:rFonts w:ascii="Arial" w:cs="Arial" w:eastAsia="Arial" w:hAnsi="Arial"/>
                <w:sz w:val="14"/>
                <w:szCs w:val="14"/>
                <w:b w:val="1"/>
                <w:bCs w:val="1"/>
                <w:color w:val="auto"/>
                <w:w w:val="85"/>
              </w:rPr>
              <w:t>For the nine months ended</w:t>
            </w:r>
          </w:p>
        </w:tc>
      </w:tr>
      <w:tr>
        <w:trPr>
          <w:trHeight w:val="161"/>
        </w:trPr>
        <w:tc>
          <w:tcPr>
            <w:tcW w:w="9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85"/>
              </w:rPr>
              <w:t>September 30, 2012</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7"/>
              </w:rPr>
              <w:t>September 30, 2012</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As</w:t>
            </w:r>
          </w:p>
        </w:tc>
        <w:tc>
          <w:tcPr>
            <w:tcW w:w="220" w:type="dxa"/>
            <w:vAlign w:val="bottom"/>
          </w:tcPr>
          <w:p>
            <w:pPr>
              <w:spacing w:after="0"/>
              <w:rPr>
                <w:sz w:val="11"/>
                <w:szCs w:val="11"/>
                <w:color w:val="auto"/>
              </w:rPr>
            </w:pPr>
          </w:p>
        </w:tc>
        <w:tc>
          <w:tcPr>
            <w:tcW w:w="8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w w:val="92"/>
              </w:rPr>
              <w:t>Restatement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192"/>
              <w:spacing w:after="0" w:line="129" w:lineRule="exact"/>
              <w:rPr>
                <w:sz w:val="20"/>
                <w:szCs w:val="20"/>
                <w:color w:val="auto"/>
              </w:rPr>
            </w:pPr>
            <w:r>
              <w:rPr>
                <w:rFonts w:ascii="Arial" w:cs="Arial" w:eastAsia="Arial" w:hAnsi="Arial"/>
                <w:sz w:val="14"/>
                <w:szCs w:val="14"/>
                <w:b w:val="1"/>
                <w:bCs w:val="1"/>
                <w:color w:val="auto"/>
              </w:rPr>
              <w:t>As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jc w:val="right"/>
              <w:ind w:right="492"/>
              <w:spacing w:after="0" w:line="129" w:lineRule="exact"/>
              <w:rPr>
                <w:sz w:val="20"/>
                <w:szCs w:val="20"/>
                <w:color w:val="auto"/>
              </w:rPr>
            </w:pPr>
            <w:r>
              <w:rPr>
                <w:rFonts w:ascii="Arial" w:cs="Arial" w:eastAsia="Arial" w:hAnsi="Arial"/>
                <w:sz w:val="14"/>
                <w:szCs w:val="14"/>
                <w:b w:val="1"/>
                <w:bCs w:val="1"/>
                <w:color w:val="auto"/>
              </w:rPr>
              <w:t>As</w:t>
            </w:r>
          </w:p>
        </w:tc>
        <w:tc>
          <w:tcPr>
            <w:tcW w:w="98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Restatement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r>
      <w:tr>
        <w:trPr>
          <w:trHeight w:val="161"/>
        </w:trPr>
        <w:tc>
          <w:tcPr>
            <w:tcW w:w="9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Reported</w:t>
            </w:r>
          </w:p>
        </w:tc>
        <w:tc>
          <w:tcPr>
            <w:tcW w:w="22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1"/>
              </w:rPr>
              <w:t>Restated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w w:val="97"/>
              </w:rPr>
              <w:t>Reported</w:t>
            </w:r>
          </w:p>
        </w:tc>
        <w:tc>
          <w:tcPr>
            <w:tcW w:w="980" w:type="dxa"/>
            <w:vAlign w:val="bottom"/>
            <w:gridSpan w:val="6"/>
          </w:tcPr>
          <w:p>
            <w:pPr>
              <w:spacing w:after="0"/>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Restated</w:t>
            </w:r>
          </w:p>
        </w:tc>
      </w:tr>
      <w:tr>
        <w:trPr>
          <w:trHeight w:val="196"/>
        </w:trPr>
        <w:tc>
          <w:tcPr>
            <w:tcW w:w="55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Consolidated Statement of Operations</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Contract revenues</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166,763</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(4,279)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162,484</w:t>
            </w:r>
          </w:p>
        </w:tc>
        <w:tc>
          <w:tcPr>
            <w:tcW w:w="80" w:type="dxa"/>
            <w:vAlign w:val="bottom"/>
          </w:tcPr>
          <w:p>
            <w:pPr>
              <w:spacing w:after="0"/>
              <w:rPr>
                <w:sz w:val="18"/>
                <w:szCs w:val="18"/>
                <w:color w:val="auto"/>
              </w:rPr>
            </w:pPr>
          </w:p>
        </w:tc>
        <w:tc>
          <w:tcPr>
            <w:tcW w:w="900" w:type="dxa"/>
            <w:vAlign w:val="bottom"/>
            <w:gridSpan w:val="6"/>
          </w:tcPr>
          <w:p>
            <w:pPr>
              <w:jc w:val="right"/>
              <w:spacing w:after="0"/>
              <w:rPr>
                <w:sz w:val="20"/>
                <w:szCs w:val="20"/>
                <w:color w:val="auto"/>
              </w:rPr>
            </w:pPr>
            <w:r>
              <w:rPr>
                <w:rFonts w:ascii="Arial" w:cs="Arial" w:eastAsia="Arial" w:hAnsi="Arial"/>
                <w:sz w:val="18"/>
                <w:szCs w:val="18"/>
                <w:color w:val="auto"/>
              </w:rPr>
              <w:t>$488,202</w:t>
            </w: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(7,704)</w:t>
            </w: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480,498</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contract revenues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153,743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154,664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431,271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2,679</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433,950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13,020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(5,200)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7,820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56,931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(10,383)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46,548</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20,773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(10,383)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10,390</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1,996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3,351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172"/>
              <w:spacing w:after="0"/>
              <w:rPr>
                <w:sz w:val="20"/>
                <w:szCs w:val="20"/>
                <w:color w:val="auto"/>
              </w:rPr>
            </w:pPr>
            <w:r>
              <w:rPr>
                <w:rFonts w:ascii="Arial" w:cs="Arial" w:eastAsia="Arial" w:hAnsi="Arial"/>
                <w:sz w:val="18"/>
                <w:szCs w:val="18"/>
                <w:color w:val="auto"/>
              </w:rPr>
              <w:t>(1,977)</w:t>
            </w:r>
          </w:p>
        </w:tc>
        <w:tc>
          <w:tcPr>
            <w:tcW w:w="1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2,036</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(5,356)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(6,370)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(3,223)</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w w:val="93"/>
              </w:rPr>
              <w:t>Net income (loss) attributable to Great Lakes Dredge &amp; Dock Corporation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(3,204)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(5,336)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3,373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(6,370)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(2,997)</w:t>
            </w:r>
          </w:p>
        </w:tc>
      </w:tr>
      <w:tr>
        <w:trPr>
          <w:trHeight w:val="208"/>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Basic earnings (loss) per share attributable to Great Lakes Dredge &amp; Dock</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r>
      <w:tr>
        <w:trPr>
          <w:trHeight w:val="208"/>
        </w:trPr>
        <w:tc>
          <w:tcPr>
            <w:tcW w:w="5500" w:type="dxa"/>
            <w:vAlign w:val="bottom"/>
            <w:gridSpan w:val="2"/>
          </w:tcPr>
          <w:p>
            <w:pPr>
              <w:spacing w:after="0"/>
              <w:rPr>
                <w:sz w:val="20"/>
                <w:szCs w:val="20"/>
                <w:color w:val="auto"/>
              </w:rPr>
            </w:pPr>
            <w:r>
              <w:rPr>
                <w:rFonts w:ascii="Arial" w:cs="Arial" w:eastAsia="Arial" w:hAnsi="Arial"/>
                <w:sz w:val="18"/>
                <w:szCs w:val="18"/>
                <w:color w:val="auto"/>
                <w:w w:val="90"/>
              </w:rPr>
              <w:t>Diluted earnings (loss) per share attributable to Great Lakes Dredge &amp; Dock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500" w:type="dxa"/>
            <w:vAlign w:val="bottom"/>
            <w:gridSpan w:val="2"/>
          </w:tcPr>
          <w:p>
            <w:pPr>
              <w:ind w:left="220"/>
              <w:spacing w:after="0"/>
              <w:rPr>
                <w:sz w:val="20"/>
                <w:szCs w:val="20"/>
                <w:color w:val="auto"/>
              </w:rPr>
            </w:pPr>
            <w:r>
              <w:rPr>
                <w:rFonts w:ascii="Arial" w:cs="Arial" w:eastAsia="Arial" w:hAnsi="Arial"/>
                <w:sz w:val="18"/>
                <w:szCs w:val="18"/>
                <w:color w:val="auto"/>
              </w:rPr>
              <w:t>Corporation</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(0.09)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0.06</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r>
      <w:tr>
        <w:trPr>
          <w:trHeight w:val="340"/>
        </w:trPr>
        <w:tc>
          <w:tcPr>
            <w:tcW w:w="9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10"/>
          </w:tcPr>
          <w:p>
            <w:pPr>
              <w:jc w:val="center"/>
              <w:ind w:left="92"/>
              <w:spacing w:after="0"/>
              <w:rPr>
                <w:sz w:val="20"/>
                <w:szCs w:val="20"/>
                <w:color w:val="auto"/>
              </w:rPr>
            </w:pPr>
            <w:r>
              <w:rPr>
                <w:rFonts w:ascii="Arial" w:cs="Arial" w:eastAsia="Arial" w:hAnsi="Arial"/>
                <w:sz w:val="14"/>
                <w:szCs w:val="14"/>
                <w:b w:val="1"/>
                <w:bCs w:val="1"/>
                <w:color w:val="auto"/>
                <w:w w:val="85"/>
              </w:rPr>
              <w:t>For the nine months ended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9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7"/>
              </w:rPr>
              <w:t>September 30, 2012</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89"/>
              </w:rPr>
              <w:t>As</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7"/>
          </w:tcPr>
          <w:p>
            <w:pPr>
              <w:jc w:val="center"/>
              <w:ind w:right="412"/>
              <w:spacing w:after="0" w:line="129" w:lineRule="exact"/>
              <w:rPr>
                <w:sz w:val="20"/>
                <w:szCs w:val="20"/>
                <w:color w:val="auto"/>
              </w:rPr>
            </w:pPr>
            <w:r>
              <w:rPr>
                <w:rFonts w:ascii="Arial" w:cs="Arial" w:eastAsia="Arial" w:hAnsi="Arial"/>
                <w:sz w:val="14"/>
                <w:szCs w:val="14"/>
                <w:b w:val="1"/>
                <w:bCs w:val="1"/>
                <w:color w:val="auto"/>
                <w:w w:val="85"/>
              </w:rPr>
              <w:t>Restatement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77"/>
              </w:rPr>
              <w:t>As</w:t>
            </w:r>
          </w:p>
        </w:tc>
        <w:tc>
          <w:tcPr>
            <w:tcW w:w="1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9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7"/>
          </w:tcPr>
          <w:p>
            <w:pPr>
              <w:jc w:val="center"/>
              <w:ind w:right="392"/>
              <w:spacing w:after="0"/>
              <w:rPr>
                <w:sz w:val="20"/>
                <w:szCs w:val="20"/>
                <w:color w:val="auto"/>
              </w:rPr>
            </w:pPr>
            <w:r>
              <w:rPr>
                <w:rFonts w:ascii="Arial" w:cs="Arial" w:eastAsia="Arial" w:hAnsi="Arial"/>
                <w:sz w:val="14"/>
                <w:szCs w:val="14"/>
                <w:b w:val="1"/>
                <w:bCs w:val="1"/>
                <w:color w:val="auto"/>
                <w:w w:val="87"/>
              </w:rPr>
              <w:t>Adjustments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Consolidated Statement of Cash Flows</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cash flows used in operating activities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8"/>
          </w:tcPr>
          <w:p>
            <w:pPr>
              <w:jc w:val="right"/>
              <w:ind w:right="92"/>
              <w:spacing w:after="0"/>
              <w:rPr>
                <w:sz w:val="20"/>
                <w:szCs w:val="20"/>
                <w:color w:val="auto"/>
              </w:rPr>
            </w:pPr>
            <w:r>
              <w:rPr>
                <w:rFonts w:ascii="Arial" w:cs="Arial" w:eastAsia="Arial" w:hAnsi="Arial"/>
                <w:sz w:val="18"/>
                <w:szCs w:val="18"/>
                <w:color w:val="auto"/>
              </w:rPr>
              <w:t>$ (39,210)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798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w w:val="85"/>
              </w:rPr>
              <w:t>$ (38,412)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8"/>
            <w:shd w:val="clear" w:color="auto" w:fill="CCEEFF"/>
          </w:tcPr>
          <w:p>
            <w:pPr>
              <w:jc w:val="right"/>
              <w:ind w:right="92"/>
              <w:spacing w:after="0"/>
              <w:rPr>
                <w:sz w:val="20"/>
                <w:szCs w:val="20"/>
                <w:color w:val="auto"/>
              </w:rPr>
            </w:pPr>
            <w:r>
              <w:rPr>
                <w:rFonts w:ascii="Arial" w:cs="Arial" w:eastAsia="Arial" w:hAnsi="Arial"/>
                <w:sz w:val="18"/>
                <w:szCs w:val="18"/>
                <w:color w:val="auto"/>
              </w:rPr>
              <w:t>(29,452)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(30,250)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3"/>
        </w:trPr>
        <w:tc>
          <w:tcPr>
            <w:tcW w:w="9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20" w:type="dxa"/>
            <w:vAlign w:val="bottom"/>
            <w:gridSpan w:val="3"/>
          </w:tcPr>
          <w:p>
            <w:pPr>
              <w:ind w:left="1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Earnings per share</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three and nine months ended September 30, 2012, 462 and 413 thousand shares of potentially dilutive stock options and restricted stock units were excluded from the diluted weighted-average common shares outstanding, in accordance with the treasury stock method, as the Company incurred a loss during these periods. The impact of such shares would have been antidilutive. For the three and nine months ended September 30, 2011, zero options to purchase shares of common stock were excluded from the calculation of diluted earnings per share based on the application of the treasury stock method. The computations for basic and diluted earnings per share from continuing operations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6860" w:type="dxa"/>
            <w:vAlign w:val="bottom"/>
            <w:gridSpan w:val="3"/>
          </w:tcPr>
          <w:p>
            <w:pPr>
              <w:ind w:left="460"/>
              <w:spacing w:after="0"/>
              <w:rPr>
                <w:sz w:val="20"/>
                <w:szCs w:val="20"/>
                <w:color w:val="auto"/>
              </w:rPr>
            </w:pPr>
            <w:r>
              <w:rPr>
                <w:rFonts w:ascii="Arial" w:cs="Arial" w:eastAsia="Arial" w:hAnsi="Arial"/>
                <w:sz w:val="14"/>
                <w:szCs w:val="14"/>
                <w:b w:val="1"/>
                <w:bCs w:val="1"/>
                <w:color w:val="auto"/>
              </w:rPr>
              <w:t>(shares in thousands)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54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64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w w:val="92"/>
              </w:rPr>
              <w:t>Net income (loss) attributable to common shareholders of Great Lakes Dredge &amp; Dock</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(5,336)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5,602</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(2,997)</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 — basic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59,253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w w:val="83"/>
              </w:rPr>
              <w:t>58,930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59,154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58,863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8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ind w:left="460"/>
              <w:spacing w:after="0"/>
              <w:rPr>
                <w:sz w:val="20"/>
                <w:szCs w:val="20"/>
                <w:color w:val="auto"/>
              </w:rPr>
            </w:pPr>
            <w:r>
              <w:rPr>
                <w:rFonts w:ascii="Arial" w:cs="Arial" w:eastAsia="Arial" w:hAnsi="Arial"/>
                <w:sz w:val="18"/>
                <w:szCs w:val="18"/>
                <w:color w:val="auto"/>
              </w:rPr>
              <w:t>Weighted-average common shares outstanding — diluted</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3"/>
              </w:rPr>
              <w:t>59,253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59,161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3"/>
              </w:rPr>
              <w:t>59,154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59,533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share — basic</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Earnings (loss) per share — diluted</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0.09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451"/>
        </w:trPr>
        <w:tc>
          <w:tcPr>
            <w:tcW w:w="6860" w:type="dxa"/>
            <w:vAlign w:val="bottom"/>
            <w:gridSpan w:val="3"/>
          </w:tcPr>
          <w:p>
            <w:pPr>
              <w:ind w:left="460"/>
              <w:spacing w:after="0"/>
              <w:rPr>
                <w:sz w:val="20"/>
                <w:szCs w:val="20"/>
                <w:color w:val="auto"/>
              </w:rPr>
            </w:pPr>
            <w:r>
              <w:rPr>
                <w:rFonts w:ascii="Arial" w:cs="Arial" w:eastAsia="Arial" w:hAnsi="Arial"/>
                <w:sz w:val="18"/>
                <w:szCs w:val="18"/>
                <w:b w:val="1"/>
                <w:bCs w:val="1"/>
                <w:color w:val="auto"/>
              </w:rPr>
              <w:t>3. Accounts receivable and contracts in progress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gridSpan w:val="3"/>
          </w:tcPr>
          <w:p>
            <w:pPr>
              <w:jc w:val="right"/>
              <w:ind w:right="932"/>
              <w:spacing w:after="0"/>
              <w:rPr>
                <w:sz w:val="20"/>
                <w:szCs w:val="20"/>
                <w:color w:val="auto"/>
              </w:rPr>
            </w:pPr>
            <w:r>
              <w:rPr>
                <w:rFonts w:ascii="Arial" w:cs="Arial" w:eastAsia="Arial" w:hAnsi="Arial"/>
                <w:sz w:val="18"/>
                <w:szCs w:val="18"/>
                <w:color w:val="auto"/>
                <w:w w:val="87"/>
              </w:rPr>
              <w:t>Accounts receivable at September 30, 2012 and December 31, 2011 are as follows: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7"/>
          </w:tcPr>
          <w:p>
            <w:pPr>
              <w:ind w:left="4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Completed contracts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27,119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38,317</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Contracts in progress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87,786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69,469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left w:val="single" w:sz="8" w:color="CCEEFF"/>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21,788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20,692</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136,693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128,478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00" w:type="dxa"/>
            <w:vAlign w:val="bottom"/>
            <w:gridSpan w:val="2"/>
            <w:vMerge w:val="restart"/>
          </w:tcPr>
          <w:p>
            <w:pPr>
              <w:ind w:left="920"/>
              <w:spacing w:after="0"/>
              <w:rPr>
                <w:sz w:val="20"/>
                <w:szCs w:val="20"/>
                <w:color w:val="auto"/>
              </w:rPr>
            </w:pPr>
            <w:r>
              <w:rPr>
                <w:rFonts w:ascii="Arial" w:cs="Arial" w:eastAsia="Arial" w:hAnsi="Arial"/>
                <w:sz w:val="18"/>
                <w:szCs w:val="18"/>
                <w:color w:val="auto"/>
              </w:rPr>
              <w:t>Total accounts receivable—net</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4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135,943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126,639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127,359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120,268</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8,584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135,943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126,639</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jc w:val="right"/>
              <w:ind w:right="972"/>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8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September 30, 2012 and December 31, 2011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60" w:type="dxa"/>
            <w:vAlign w:val="bottom"/>
            <w:gridSpan w:val="4"/>
          </w:tcPr>
          <w:p>
            <w:pPr>
              <w:ind w:left="90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Costs and earnings for contracts in progress</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324,873</w:t>
            </w:r>
          </w:p>
        </w:tc>
        <w:tc>
          <w:tcPr>
            <w:tcW w:w="340" w:type="dxa"/>
            <w:vAlign w:val="bottom"/>
          </w:tcPr>
          <w:p>
            <w:pPr>
              <w:spacing w:after="0"/>
              <w:rPr>
                <w:sz w:val="18"/>
                <w:szCs w:val="18"/>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173,187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billed</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(267,388)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(152,045)</w:t>
            </w:r>
          </w:p>
        </w:tc>
        <w:tc>
          <w:tcPr>
            <w:tcW w:w="0" w:type="dxa"/>
            <w:vAlign w:val="bottom"/>
          </w:tcPr>
          <w:p>
            <w:pPr>
              <w:spacing w:after="0"/>
              <w:rPr>
                <w:sz w:val="1"/>
                <w:szCs w:val="1"/>
                <w:color w:val="auto"/>
              </w:rPr>
            </w:pPr>
          </w:p>
        </w:tc>
      </w:tr>
      <w:tr>
        <w:trPr>
          <w:trHeight w:val="221"/>
        </w:trPr>
        <w:tc>
          <w:tcPr>
            <w:tcW w:w="5400" w:type="dxa"/>
            <w:vAlign w:val="bottom"/>
            <w:gridSpan w:val="2"/>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57,485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Total contract revenues in excess of billings</w:t>
            </w:r>
          </w:p>
        </w:tc>
        <w:tc>
          <w:tcPr>
            <w:tcW w:w="10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60,846</w:t>
            </w:r>
          </w:p>
        </w:tc>
        <w:tc>
          <w:tcPr>
            <w:tcW w:w="340" w:type="dxa"/>
            <w:vAlign w:val="bottom"/>
          </w:tcPr>
          <w:p>
            <w:pPr>
              <w:spacing w:after="0"/>
              <w:rPr>
                <w:sz w:val="19"/>
                <w:szCs w:val="19"/>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60,846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Portion included in other noncurrent assets</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 revenues in excess of billings</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60,846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Billings in excess of costs and earnings:</w:t>
            </w: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billed</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(451,568)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(427,797)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Costs and earnings for contracts in progress</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430,751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414,170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in excess of contract revenues</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(20,817)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Fair value measurements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September 30, 2012 and December 31, 2011, the Company held certain derivative contracts that it uses to manage foreign currency risk, commodity price risk and interest rate risk. The Company does not hold or issue derivatives for speculative or trading purposes. The fair values of these financial instruments are summarized as follows: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8"/>
          </w:tcPr>
          <w:p>
            <w:pPr>
              <w:jc w:val="center"/>
              <w:ind w:left="21"/>
              <w:spacing w:after="0"/>
              <w:rPr>
                <w:sz w:val="20"/>
                <w:szCs w:val="20"/>
                <w:color w:val="auto"/>
              </w:rPr>
            </w:pPr>
            <w:r>
              <w:rPr>
                <w:rFonts w:ascii="Arial" w:cs="Arial" w:eastAsia="Arial" w:hAnsi="Arial"/>
                <w:sz w:val="14"/>
                <w:szCs w:val="14"/>
                <w:b w:val="1"/>
                <w:bCs w:val="1"/>
                <w:color w:val="auto"/>
                <w:w w:val="87"/>
              </w:rPr>
              <w:t>Fair Value Measurements at Reporting Date Using</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0" w:type="dxa"/>
            <w:vAlign w:val="bottom"/>
            <w:gridSpan w:val="5"/>
          </w:tcPr>
          <w:p>
            <w:pPr>
              <w:ind w:left="80"/>
              <w:spacing w:after="0" w:line="129"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16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Significant Other</w:t>
            </w:r>
          </w:p>
        </w:tc>
        <w:tc>
          <w:tcPr>
            <w:tcW w:w="920" w:type="dxa"/>
            <w:vAlign w:val="bottom"/>
          </w:tcPr>
          <w:p>
            <w:pPr>
              <w:jc w:val="center"/>
              <w:ind w:left="203"/>
              <w:spacing w:after="0" w:line="149" w:lineRule="exact"/>
              <w:rPr>
                <w:sz w:val="20"/>
                <w:szCs w:val="20"/>
                <w:color w:val="auto"/>
              </w:rPr>
            </w:pPr>
            <w:r>
              <w:rPr>
                <w:rFonts w:ascii="Arial" w:cs="Arial" w:eastAsia="Arial" w:hAnsi="Arial"/>
                <w:sz w:val="14"/>
                <w:szCs w:val="14"/>
                <w:b w:val="1"/>
                <w:bCs w:val="1"/>
                <w:color w:val="auto"/>
                <w:w w:val="89"/>
              </w:rPr>
              <w:t>Significant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400" w:type="dxa"/>
            <w:vAlign w:val="bottom"/>
            <w:vMerge w:val="restart"/>
          </w:tcPr>
          <w:p>
            <w:pPr>
              <w:spacing w:after="0"/>
              <w:rPr>
                <w:sz w:val="12"/>
                <w:szCs w:val="12"/>
                <w:color w:val="auto"/>
              </w:rPr>
            </w:pPr>
          </w:p>
        </w:tc>
        <w:tc>
          <w:tcPr>
            <w:tcW w:w="162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At September 30,</w:t>
            </w:r>
          </w:p>
        </w:tc>
        <w:tc>
          <w:tcPr>
            <w:tcW w:w="80" w:type="dxa"/>
            <w:vAlign w:val="bottom"/>
          </w:tcPr>
          <w:p>
            <w:pPr>
              <w:spacing w:after="0"/>
              <w:rPr>
                <w:sz w:val="12"/>
                <w:szCs w:val="12"/>
                <w:color w:val="auto"/>
              </w:rPr>
            </w:pPr>
          </w:p>
        </w:tc>
        <w:tc>
          <w:tcPr>
            <w:tcW w:w="17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6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76"/>
              <w:spacing w:after="0" w:line="148"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ind w:left="120"/>
              <w:spacing w:after="0" w:line="148"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150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(Level 2)</w:t>
            </w:r>
          </w:p>
        </w:tc>
        <w:tc>
          <w:tcPr>
            <w:tcW w:w="920" w:type="dxa"/>
            <w:vAlign w:val="bottom"/>
          </w:tcPr>
          <w:p>
            <w:pPr>
              <w:jc w:val="center"/>
              <w:ind w:left="203"/>
              <w:spacing w:after="0" w:line="148" w:lineRule="exact"/>
              <w:rPr>
                <w:sz w:val="20"/>
                <w:szCs w:val="20"/>
                <w:color w:val="auto"/>
              </w:rPr>
            </w:pPr>
            <w:r>
              <w:rPr>
                <w:rFonts w:ascii="Arial" w:cs="Arial" w:eastAsia="Arial" w:hAnsi="Arial"/>
                <w:sz w:val="14"/>
                <w:szCs w:val="14"/>
                <w:b w:val="1"/>
                <w:bCs w:val="1"/>
                <w:color w:val="auto"/>
                <w:w w:val="91"/>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58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Fuel hedge contracts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459</w:t>
            </w:r>
          </w:p>
        </w:tc>
        <w:tc>
          <w:tcPr>
            <w:tcW w:w="58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c>
          <w:tcPr>
            <w:tcW w:w="58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4"/>
          </w:tcPr>
          <w:p>
            <w:pPr>
              <w:jc w:val="center"/>
              <w:ind w:right="60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168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Significant Other</w:t>
            </w:r>
          </w:p>
        </w:tc>
        <w:tc>
          <w:tcPr>
            <w:tcW w:w="920" w:type="dxa"/>
            <w:vAlign w:val="bottom"/>
          </w:tcPr>
          <w:p>
            <w:pPr>
              <w:jc w:val="center"/>
              <w:ind w:left="203"/>
              <w:spacing w:after="0" w:line="149" w:lineRule="exact"/>
              <w:rPr>
                <w:sz w:val="20"/>
                <w:szCs w:val="20"/>
                <w:color w:val="auto"/>
              </w:rPr>
            </w:pPr>
            <w:r>
              <w:rPr>
                <w:rFonts w:ascii="Arial" w:cs="Arial" w:eastAsia="Arial" w:hAnsi="Arial"/>
                <w:sz w:val="14"/>
                <w:szCs w:val="14"/>
                <w:b w:val="1"/>
                <w:bCs w:val="1"/>
                <w:color w:val="auto"/>
                <w:w w:val="89"/>
              </w:rPr>
              <w:t>Significant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4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At 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6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Observable Inputs</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720"/>
              <w:spacing w:after="0" w:line="148" w:lineRule="exact"/>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4"/>
                <w:szCs w:val="14"/>
                <w:color w:val="auto"/>
              </w:rPr>
            </w:pPr>
          </w:p>
        </w:tc>
        <w:tc>
          <w:tcPr>
            <w:tcW w:w="1500" w:type="dxa"/>
            <w:vAlign w:val="bottom"/>
            <w:gridSpan w:val="3"/>
          </w:tcPr>
          <w:p>
            <w:pPr>
              <w:jc w:val="center"/>
              <w:ind w:right="760"/>
              <w:spacing w:after="0" w:line="148" w:lineRule="exact"/>
              <w:rPr>
                <w:sz w:val="20"/>
                <w:szCs w:val="20"/>
                <w:color w:val="auto"/>
              </w:rPr>
            </w:pPr>
            <w:r>
              <w:rPr>
                <w:rFonts w:ascii="Arial" w:cs="Arial" w:eastAsia="Arial" w:hAnsi="Arial"/>
                <w:sz w:val="14"/>
                <w:szCs w:val="14"/>
                <w:b w:val="1"/>
                <w:bCs w:val="1"/>
                <w:color w:val="auto"/>
                <w:w w:val="87"/>
              </w:rPr>
              <w:t>(Level 2)</w:t>
            </w:r>
          </w:p>
        </w:tc>
        <w:tc>
          <w:tcPr>
            <w:tcW w:w="920" w:type="dxa"/>
            <w:vAlign w:val="bottom"/>
          </w:tcPr>
          <w:p>
            <w:pPr>
              <w:jc w:val="center"/>
              <w:ind w:left="203"/>
              <w:spacing w:after="0" w:line="148" w:lineRule="exact"/>
              <w:rPr>
                <w:sz w:val="20"/>
                <w:szCs w:val="20"/>
                <w:color w:val="auto"/>
              </w:rPr>
            </w:pPr>
            <w:r>
              <w:rPr>
                <w:rFonts w:ascii="Arial" w:cs="Arial" w:eastAsia="Arial" w:hAnsi="Arial"/>
                <w:sz w:val="14"/>
                <w:szCs w:val="14"/>
                <w:b w:val="1"/>
                <w:bCs w:val="1"/>
                <w:color w:val="auto"/>
                <w:w w:val="91"/>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Fuel hedge contracts</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449</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ind w:left="740"/>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449</w:t>
            </w:r>
          </w:p>
        </w:tc>
        <w:tc>
          <w:tcPr>
            <w:tcW w:w="5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5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1,359</w:t>
            </w:r>
          </w:p>
        </w:tc>
        <w:tc>
          <w:tcPr>
            <w:tcW w:w="50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6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1,359</w:t>
            </w:r>
          </w:p>
        </w:tc>
        <w:tc>
          <w:tcPr>
            <w:tcW w:w="58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Although the senior subordinated notes were redeemed in January 2011, the swaps remain in place. The swaps are not accounted for as a hedge; therefore, the changes in fair value are recorded as adjustments to interest expense in each reporting period.</w:t>
      </w:r>
    </w:p>
    <w:p>
      <w:pPr>
        <w:spacing w:after="0" w:line="11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 previously verified the fair value of the interest rate swap contracts using a quantitative model that contained both observable and unobservable inputs. The unobservable inputs related primarily to the implied LIBOR forward rate and the long-term nature of the contracts. As of December 31, 2011, the unobservable inputs began to be corroborated by observable market data and accordingly the Company transferred the swaps into Level 2 of the fair value hierarchy. The change in Level 3 interest rate swap contracts during the comparable quarter of the prior year was as follows:</w:t>
      </w:r>
    </w:p>
    <w:p>
      <w:pPr>
        <w:spacing w:after="0" w:line="13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4180" w:type="dxa"/>
            <w:vAlign w:val="bottom"/>
            <w:gridSpan w:val="4"/>
          </w:tcPr>
          <w:p>
            <w:pPr>
              <w:ind w:left="1560"/>
              <w:spacing w:after="0"/>
              <w:rPr>
                <w:sz w:val="20"/>
                <w:szCs w:val="20"/>
                <w:color w:val="auto"/>
              </w:rPr>
            </w:pPr>
            <w:r>
              <w:rPr>
                <w:rFonts w:ascii="Arial" w:cs="Arial" w:eastAsia="Arial" w:hAnsi="Arial"/>
                <w:sz w:val="14"/>
                <w:szCs w:val="14"/>
                <w:b w:val="1"/>
                <w:bCs w:val="1"/>
                <w:color w:val="auto"/>
                <w:w w:val="90"/>
              </w:rPr>
              <w:t>Fair Value Measurements Using Significant</w:t>
            </w: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Unobservable Inputs (Level 3)</w:t>
            </w: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280" w:type="dxa"/>
            <w:vAlign w:val="bottom"/>
            <w:tcBorders>
              <w:top w:val="single" w:sz="8" w:color="auto"/>
              <w:bottom w:val="single" w:sz="8" w:color="auto"/>
            </w:tcBorders>
          </w:tcPr>
          <w:p>
            <w:pPr>
              <w:jc w:val="right"/>
              <w:ind w:right="103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rate swap contracts</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Balance at January 1</w:t>
            </w:r>
          </w:p>
        </w:tc>
        <w:tc>
          <w:tcPr>
            <w:tcW w:w="178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Total unrealized gains (losses) included in</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earnings</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3"/>
        </w:trPr>
        <w:tc>
          <w:tcPr>
            <w:tcW w:w="358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1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September 30</w:t>
            </w: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ind w:left="440"/>
              <w:spacing w:after="0"/>
              <w:rPr>
                <w:sz w:val="20"/>
                <w:szCs w:val="20"/>
                <w:color w:val="auto"/>
              </w:rPr>
            </w:pPr>
            <w:r>
              <w:rPr>
                <w:rFonts w:ascii="Arial" w:cs="Arial" w:eastAsia="Arial" w:hAnsi="Arial"/>
                <w:sz w:val="18"/>
                <w:szCs w:val="18"/>
                <w:color w:val="auto"/>
              </w:rPr>
              <w:t>Balance at July 1</w:t>
            </w:r>
          </w:p>
        </w:tc>
        <w:tc>
          <w:tcPr>
            <w:tcW w:w="1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vMerge w:val="continue"/>
          </w:tcPr>
          <w:p>
            <w:pPr>
              <w:spacing w:after="0"/>
              <w:rPr>
                <w:sz w:val="18"/>
                <w:szCs w:val="18"/>
                <w:color w:val="auto"/>
              </w:rPr>
            </w:pPr>
          </w:p>
        </w:tc>
        <w:tc>
          <w:tcPr>
            <w:tcW w:w="178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Total unrealized gains (losses) included in</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earnings</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440"/>
              <w:spacing w:after="0"/>
              <w:rPr>
                <w:sz w:val="20"/>
                <w:szCs w:val="20"/>
                <w:color w:val="auto"/>
              </w:rPr>
            </w:pPr>
            <w:r>
              <w:rPr>
                <w:rFonts w:ascii="Arial" w:cs="Arial" w:eastAsia="Arial" w:hAnsi="Arial"/>
                <w:sz w:val="18"/>
                <w:szCs w:val="18"/>
                <w:color w:val="auto"/>
              </w:rPr>
              <w:t>Settlements</w:t>
            </w:r>
          </w:p>
        </w:tc>
        <w:tc>
          <w:tcPr>
            <w:tcW w:w="1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September 30</w:t>
            </w:r>
          </w:p>
        </w:tc>
        <w:tc>
          <w:tcPr>
            <w:tcW w:w="17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60" w:type="dxa"/>
            <w:vAlign w:val="bottom"/>
            <w:vMerge w:val="restart"/>
          </w:tcPr>
          <w:p>
            <w:pPr>
              <w:ind w:left="20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exposure to foreign currencies that fluctuate in relation to the U.S. dollar. The Company periodically enters into foreign exchange forward contracts to hedge this risk. At September 30, 2012 and December 31, 2011, the Company had one outstanding contract related to the Brazilian Real. This foreign exchange contract is not accounted for as a hedge.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September 30, 2012, the Company was party to various swap arrangements to hedge the price of a portion of its diesel fuel purchase requirements for work in its backlog to be performed through March 2013. As of September 30, 2012, there were 5.0 million gallons remaining on these contracts which represent approximately 80% of the Company’s forecasted fuel purchases through March 2013. Under these swap agreements, the Company will pay fixed prices ranging from $2.86 to $3.29 per gallon.</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each balance sheet date, unrealized gains and losses on fuel hedge contracts are recorded as a component of accumulated other comprehensive income (loss) in the condensed consolidated balance sheets. Gains and losses realized upon settlement of fuel hedge contracts are reclassified from accumulated other comprehensive income (loss) as the fuel is utilized and included in fuel expense, which is a component of costs of contract revenues in the condensed consolidated statements of operations.</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At September 30, 2012, the fair value liability of the fuel hedge contracts was estimated to be $459 and is recorded in accrued expenses. At December 31, 2011 the fair value asset of the fuel hedge contracts was estimated to be $449 and is recorded in other current assets. The loss reclassified to earnings from changes in fair value of derivatives, net of cash settlements and taxes, for the nine months ended September 30, 2012 was $348. The remaining gains and losses included in accumulated other comprehensive income (loss) at September 30, 2012 will be reclassified into earnings over the next six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2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fair value of the foreign exchange contracts, interest rate and fuel hedge contracts outstanding as of September 30, 2012 and December 31, 2011 is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Balance Sheet Location</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Fair Value at</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460" w:type="dxa"/>
            <w:vAlign w:val="bottom"/>
            <w:gridSpan w:val="3"/>
          </w:tcPr>
          <w:p>
            <w:pPr>
              <w:ind w:left="6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6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Derivatives designated as hedges</w:t>
            </w: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Fuel hedge contracts</w:t>
            </w:r>
          </w:p>
        </w:tc>
        <w:tc>
          <w:tcPr>
            <w:tcW w:w="2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5"/>
              </w:rPr>
              <w:t>Other current assets</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Derivatives not designated as hedges</w:t>
            </w: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Interest rate swaps</w:t>
            </w:r>
          </w:p>
        </w:tc>
        <w:tc>
          <w:tcPr>
            <w:tcW w:w="2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85"/>
              </w:rPr>
              <w:t>Other current assets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430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840"/>
              <w:spacing w:after="0"/>
              <w:rPr>
                <w:sz w:val="20"/>
                <w:szCs w:val="20"/>
                <w:color w:val="auto"/>
              </w:rPr>
            </w:pPr>
            <w:r>
              <w:rPr>
                <w:rFonts w:ascii="Arial" w:cs="Arial" w:eastAsia="Arial" w:hAnsi="Arial"/>
                <w:sz w:val="18"/>
                <w:szCs w:val="18"/>
                <w:color w:val="auto"/>
              </w:rPr>
              <w:t>Foreign exchange contracts</w:t>
            </w:r>
          </w:p>
        </w:tc>
        <w:tc>
          <w:tcPr>
            <w:tcW w:w="2060" w:type="dxa"/>
            <w:vAlign w:val="bottom"/>
            <w:gridSpan w:val="2"/>
          </w:tcPr>
          <w:p>
            <w:pPr>
              <w:ind w:left="640"/>
              <w:spacing w:after="0"/>
              <w:rPr>
                <w:sz w:val="20"/>
                <w:szCs w:val="20"/>
                <w:color w:val="auto"/>
              </w:rPr>
            </w:pPr>
            <w:r>
              <w:rPr>
                <w:rFonts w:ascii="Arial" w:cs="Arial" w:eastAsia="Arial" w:hAnsi="Arial"/>
                <w:sz w:val="18"/>
                <w:szCs w:val="18"/>
                <w:color w:val="auto"/>
                <w:w w:val="85"/>
              </w:rPr>
              <w:t>Other current assets</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asset derivatives</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430</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1,359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Liability derivatives:</w:t>
            </w: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Derivatives designated as hedges</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840"/>
              <w:spacing w:after="0"/>
              <w:rPr>
                <w:sz w:val="20"/>
                <w:szCs w:val="20"/>
                <w:color w:val="auto"/>
              </w:rPr>
            </w:pPr>
            <w:r>
              <w:rPr>
                <w:rFonts w:ascii="Arial" w:cs="Arial" w:eastAsia="Arial" w:hAnsi="Arial"/>
                <w:sz w:val="18"/>
                <w:szCs w:val="18"/>
                <w:color w:val="auto"/>
              </w:rPr>
              <w:t>Fuel hedge contracts</w:t>
            </w:r>
          </w:p>
        </w:tc>
        <w:tc>
          <w:tcPr>
            <w:tcW w:w="2060" w:type="dxa"/>
            <w:vAlign w:val="bottom"/>
            <w:gridSpan w:val="2"/>
          </w:tcPr>
          <w:p>
            <w:pPr>
              <w:ind w:left="640"/>
              <w:spacing w:after="0"/>
              <w:rPr>
                <w:sz w:val="20"/>
                <w:szCs w:val="20"/>
                <w:color w:val="auto"/>
              </w:rPr>
            </w:pPr>
            <w:r>
              <w:rPr>
                <w:rFonts w:ascii="Arial" w:cs="Arial" w:eastAsia="Arial" w:hAnsi="Arial"/>
                <w:sz w:val="18"/>
                <w:szCs w:val="18"/>
                <w:color w:val="auto"/>
                <w:w w:val="94"/>
              </w:rPr>
              <w:t>Accrued expenses</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w w:val="79"/>
              </w:rPr>
              <w:t>459</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Derivatives not designated as hedges</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840"/>
              <w:spacing w:after="0"/>
              <w:rPr>
                <w:sz w:val="20"/>
                <w:szCs w:val="20"/>
                <w:color w:val="auto"/>
              </w:rPr>
            </w:pPr>
            <w:r>
              <w:rPr>
                <w:rFonts w:ascii="Arial" w:cs="Arial" w:eastAsia="Arial" w:hAnsi="Arial"/>
                <w:sz w:val="18"/>
                <w:szCs w:val="18"/>
                <w:color w:val="auto"/>
              </w:rPr>
              <w:t>Foreign exchange contracts</w:t>
            </w:r>
          </w:p>
        </w:tc>
        <w:tc>
          <w:tcPr>
            <w:tcW w:w="2060" w:type="dxa"/>
            <w:vAlign w:val="bottom"/>
            <w:gridSpan w:val="2"/>
          </w:tcPr>
          <w:p>
            <w:pPr>
              <w:ind w:left="640"/>
              <w:spacing w:after="0"/>
              <w:rPr>
                <w:sz w:val="20"/>
                <w:szCs w:val="20"/>
                <w:color w:val="auto"/>
              </w:rPr>
            </w:pPr>
            <w:r>
              <w:rPr>
                <w:rFonts w:ascii="Arial" w:cs="Arial" w:eastAsia="Arial" w:hAnsi="Arial"/>
                <w:sz w:val="18"/>
                <w:szCs w:val="18"/>
                <w:color w:val="auto"/>
                <w:w w:val="94"/>
              </w:rPr>
              <w:t>Accrued expenses</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79"/>
              </w:rPr>
              <w:t>13</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liability derivatives</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472</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In January 2011, the Company issued $250,000 of 7.375% senior notes due February 1, 2019, which were outstanding at September 30, 2012. The senior notes are senior unsecured obligations of the Company and its subsidiaries that guarantee the senior notes. The fair value of the senior notes was $263,750 at September 30, 2012, which is a Level 1 fair value measurement as the senior notes value was obtained using quoted prices in active markets.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at September 30, 2012 and December 31, 2011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7,567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10,763</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Income and other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Fuel hedge liability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23,905</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party thereto as lenders, Wells Fargo Bank, National Association, as Administrative Agent, Swingline Lender and an Issuing Lender, Bank of America, N.A.,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Syndication Agent and PNC Bank, National Association, BMO Harris Bank N.A. and Fifth Third Bank, as Co-Documentation Agents. The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replaced the Company’s former revolving credit agreement, provides for a senior revolving credit facility in an aggregate principal amount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$175,000, subfacilities for the issuance of standby letters of credit up to a $125,000 sublimit, multicurrency borrowings up to a $50,000 sublimit and swingline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up to a $10,000 sublimit. The Credit Agreement also includes an incremental loans feature that will allow the Company to increase the senior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by an aggregate principal amount of up to $50,000. This is subject to lenders providing incremental commitments for such increase, provided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default or event of default exists, and the Company will be in pro forma compliance with the existing financial covenants both before and after giving effect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and subject to other standard conditions. The prior credit agreement with Bank of America N.A. was terminated.</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revolving credit facility is an unsecured facility and will remain unsecured provided the Company maintains a total leverage ratio less than or equal to 3.75 to 1.00 as of the end of each fiscal quarter. If the leverage ratio exceeds 3.75 to 1.00, or an event of default occurs and is not cured within the applicable grace period, the revolving credit facility will cease to remain unsecured. In the event of the facility becomes secured, outstanding obligations shall be automatically secured by certain vessels and all domestic accounts receivable, subject to the liens and interests of other parties (including the Company’s bonding provider) holding first priority perfected liens.</w:t>
      </w:r>
    </w:p>
    <w:p>
      <w:pPr>
        <w:spacing w:after="0" w:line="14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At September 30, 2012 the Company was in compliance with its debt covenants.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 Share-based compensation</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3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June 2012, the Company granted 497 thousand options to purchase shares of common stock and 273 thousand restricted stock units to certain employees pursuant to the plan. In addition, all non-employee directors on the Company’s board of directors are paid a portion of their board related compensation in stock grants. Compensation cost charged to expense related to share-based compensation arrangements was $675 and $2,389, respectively, for the three and nine months ended September 30, 2012 and $381 and $1,224, respectively, for the three and nine months ended September 30, 2011.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 Segment information</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and its subsidiaries currently operate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3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2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Contract revenues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138,811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134,591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396,425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396,273</w:t>
            </w: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45,008</w:t>
            </w:r>
          </w:p>
        </w:tc>
      </w:tr>
      <w:tr>
        <w:trPr>
          <w:trHeight w:val="216"/>
        </w:trPr>
        <w:tc>
          <w:tcPr>
            <w:tcW w:w="4340" w:type="dxa"/>
            <w:vAlign w:val="bottom"/>
          </w:tcPr>
          <w:p>
            <w:pPr>
              <w:spacing w:after="0"/>
              <w:rPr>
                <w:sz w:val="20"/>
                <w:szCs w:val="20"/>
                <w:color w:val="auto"/>
              </w:rPr>
            </w:pPr>
            <w:r>
              <w:rPr>
                <w:rFonts w:ascii="Arial" w:cs="Arial" w:eastAsia="Arial" w:hAnsi="Arial"/>
                <w:sz w:val="18"/>
                <w:szCs w:val="18"/>
                <w:b w:val="1"/>
                <w:bCs w:val="1"/>
                <w:color w:val="auto"/>
              </w:rPr>
              <w:t>Demolition</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revenues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23,877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84,073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72,492</w:t>
            </w: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Operating income (loss)</w:t>
            </w: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(5,504)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(7,971)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(5,954)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Contract revenues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162,484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158,468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480,498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468,765</w:t>
            </w: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 (loss)</w:t>
            </w: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39,054</w:t>
            </w:r>
          </w:p>
        </w:tc>
      </w:tr>
    </w:tbl>
    <w:p>
      <w:pPr>
        <w:spacing w:after="0" w:line="15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Dredging contract revenues for the nine months ended September 30, 2012 are net of $1,374 in intersegment revenues. Demolition contract revenues for the nine months ended September 30, 2012 are net of $75 in intersegment revenues. In addition, foreign dredging revenue of $36,329 and $75,202 for the three and nine months ended September 30, 2012 and $21,843 and $59,779 for the three and nine months ended September 30, 2011, respectively, was primarily attributable to work done in the Middle East as well as the early stages of mobilization for the Wheatstone LNG project in Western Australia.</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07" w:lineRule="exact"/>
        <w:rPr>
          <w:sz w:val="20"/>
          <w:szCs w:val="20"/>
          <w:color w:val="auto"/>
        </w:rPr>
      </w:pPr>
    </w:p>
    <w:p>
      <w:pPr>
        <w:ind w:left="240" w:right="8260" w:firstLine="224"/>
        <w:spacing w:after="0" w:line="417" w:lineRule="auto"/>
        <w:tabs>
          <w:tab w:leader="none" w:pos="644"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Commercial commitments</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As of September 30, 2012, the Company had no borrowings and $33,252 of letters of credit outstanding, resulting in $141,748 of availability under the Credit Agreement. At September 30, 2012, the Company was in compliance with its various covenants under its Credit Agreement.</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Performance and bid bonds are customarily required for dredging and marine construction projects, as well as some demolition projects. In September 2011, the Company entered into a bonding agreement with Zurich American Insurance Company (“Zurich”) under which the Company can obtain performance, bid and payment bonds. Bid bonds are generally obtained for a percentage of bid value and amounts outstanding typically range from $1,000 to $10,000. At September 30, 2012, the Company had outstanding performance bonds valued at approximately $457,924; however, the revenue value remaining in backlog related to these projects totaled approximately $133,252.</w:t>
      </w:r>
    </w:p>
    <w:p>
      <w:pPr>
        <w:spacing w:after="0" w:line="14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September 30, 2012, Great Lakes had no of letters of credit outstanding under this facility. At September 30, 2012, the Company also had $250,000 of 7.375% senior notes outstanding, which mature in February 2019.</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4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or its former subsidiary, NATCO Limited Partnership, was named as a defendant in approximately 251 asbestos-related personal injury lawsuits, the majority of which were filed between 1989 and 2000. The claims were filed on behalf of seamen or their personal representatives alleging injury or illness from exposure to asbestos while employed as seamen on Company-owned vessels. In these cases, the Company is typically one of many defendants, including manufacturers and suppliers of products containing asbestos, as well as other vessel owners. Following certain administrative proceedings, counsel for plaintiffs agreed to name a group of cases that they intended to pursue and to dismiss the remaining cases without prejudice. Plaintiffs previously named 40 cases against the Company that they intended to pursue, each of which involves one plaintiff. The remaining cases against the Company were dismissed without prejudice. Plaintiffs in the dismissed cases could file a new lawsuit if they develop a new disease allegedly caused by exposure to asbestos on board our vessels. Of the 40 named cases, three were subsequently dismissed, leaving 37 cases remaining. The Company is presently unable to quantify the amounts of damages being sought in the remaining lawsuits because none of the complaints specify a damage amount. Based on preliminary discovery and settlement demands received to date, the Company does not believe that it is probable that losses from these claims could be material, and an estimate of a range of losses relating to these claims cannot reasonably be made. Based on the foregoing, management does not believe that any of the remaining 37 lawsuits, individually or in the aggregate, will have a material impact on our business, financial position, results of operations or cash flows.</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August 26, 2009, the Company’s subsidiary, NASDI, LLC (“NASDI”), received a letter stating that the Attorney General for the Commonwealth of Massachusetts is investigating alleged violations of the Massachusetts Solid Waste Act. The Company believes that the Massachusetts Attorney General is investigating illegal dumping activities at a dump site NASDI contracted with to have waste materials disposed of between September 2007 and July 2008. Per the Massachusetts Attorney General’s request, NASDI executed a tolling agreement regarding the matter in 2009 and engaged in further discussions with the Massachusetts Attorney General’s office in the second quarter of 2011, but has had no further contact with the Massachusetts Attorney General’s office since then. The matter remains open, and, to the Company’s knowledge, no proceedings have currently been initiated against NASDI. Should a claim be brought, NASDI intends to defend itself vigorously. Based on consideration of all of the facts and circumstances now known, the Company does not believe this claim will have a material impact on its business, financial position, results of operations or cash flows.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27, 2011, NASDI received a subpoena from a federal grand jury in the District of Massachusetts directing NASDI to furnish certain documents relating to certain projects performed by NASDI since January 2005. The Company conducted an internal investigation into this matter and continues to fully cooperate with the federal grand jury subpoena. Based on the early stage of the U.S. Department of Justice’s investigation and the limited information known to the Company, the Company cannot predict the outcome of the investigation, the U.S. Attorney’s views of the issues being investigated, any action the U.S. Attorney may take, or the impact, if any, that this matter may have on the Company’s business, financial position, results of operations or cash flows.</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has not accrued any amounts with respect to these two NASDI matters as the Company does not believe, based on information currently known to it, that a loss relating to these matters is probable, and an estimate of a range of potential losses relating to these matters cannot reasonably be made.</w:t>
      </w:r>
    </w:p>
    <w:p>
      <w:pPr>
        <w:spacing w:after="0" w:line="8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During the quarter ended March 31, 2012, a favorable judgment was rendered in the Company’s loss of use claim related to the dredge </w:t>
      </w:r>
      <w:r>
        <w:rPr>
          <w:rFonts w:ascii="Arial" w:cs="Arial" w:eastAsia="Arial" w:hAnsi="Arial"/>
          <w:sz w:val="18"/>
          <w:szCs w:val="18"/>
          <w:i w:val="1"/>
          <w:iCs w:val="1"/>
          <w:color w:val="auto"/>
        </w:rPr>
        <w:t>New York</w:t>
      </w:r>
      <w:r>
        <w:rPr>
          <w:rFonts w:ascii="Arial" w:cs="Arial" w:eastAsia="Arial" w:hAnsi="Arial"/>
          <w:sz w:val="18"/>
          <w:szCs w:val="18"/>
          <w:color w:val="auto"/>
        </w:rPr>
        <w:t xml:space="preserve"> allision in the approach channel to Port Newark, New Jersey. In January 2008, the Company filed suit against the M/V </w:t>
      </w:r>
      <w:r>
        <w:rPr>
          <w:rFonts w:ascii="Arial" w:cs="Arial" w:eastAsia="Arial" w:hAnsi="Arial"/>
          <w:sz w:val="18"/>
          <w:szCs w:val="18"/>
          <w:i w:val="1"/>
          <w:iCs w:val="1"/>
          <w:color w:val="auto"/>
        </w:rPr>
        <w:t>Orange Sun</w:t>
      </w:r>
      <w:r>
        <w:rPr>
          <w:rFonts w:ascii="Arial" w:cs="Arial" w:eastAsia="Arial" w:hAnsi="Arial"/>
          <w:sz w:val="18"/>
          <w:szCs w:val="18"/>
          <w:color w:val="auto"/>
        </w:rPr>
        <w:t xml:space="preserve"> and her owners for damages incurred by the Company in connection with the allision. Following a bench trial in the United States District Court in the Southern District of New York, the Court issued an opinion and order in the Company’s favor, entitling Great Lakes to $11,736 in damages plus pre-judgment interest. Judgment was rendered in the aggregate amount of $13,272. Defendants timely appealed the judgment to the United States Court of Appeals for the Second Circuit. Briefing on the appeal is now complete, and oral argument is expected to take place in the first half of 2013. The Company cannot be assured when the appeal will be heard or predict the outcome of the appellate process.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 Acquisition of noncontrolling interest</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previously owned 65% of the profits interests of NASDI. Effective January 1, 2011 the Company reacquired Mr. Christopher Berardi’s 35% membership interest in NASDI for no cost per the terms of NASDI’s limited liability company agreement. This resulted in the elimination of noncontrolling interest of $1,973 during the first quarter ended March 31, 2011. The Company now owns 100% of NASDI. In March 2011, Mr. Berardi resigned his employment with the Company’s demolition segment effective April 29, 2011. Mr. Berardi’s resignation and the repurchase of his NASDI membership interest also resulted in the reversal of a $1,933 accrual established in conjunction with a prior restructuring of ownership interest in NASDI. This reversal was recorded directly to equity as part of the reacquisition of the noncontrolling interest.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Subsidiary guarantors</w:t>
      </w:r>
    </w:p>
    <w:p>
      <w:pPr>
        <w:spacing w:after="0" w:line="9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The Company’s long-term debt at September 30, 2012 includes $250,000 of 7.375% senior notes due February 1, 2019. The Company’s obligations under these senior unsecured notes are guaranteed by the Company’s 100% owned domestic subsidiaries. Such guarantees are full, unconditional and joint and several.</w:t>
      </w:r>
    </w:p>
    <w:p>
      <w:pPr>
        <w:spacing w:after="0" w:line="62"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balance sheets as of September 30, 2012 and December 31,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of operations and comprehensive income for the three and nine months ended September 30, 2012 and 2011;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of cash flows for the nine months ended September 30, 2012 and 2011.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SEPTEMBER 30,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GLDD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60" w:type="dxa"/>
            <w:vAlign w:val="bottom"/>
            <w:gridSpan w:val="4"/>
          </w:tcPr>
          <w:p>
            <w:pPr>
              <w:ind w:left="98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Corporation</w:t>
            </w:r>
          </w:p>
        </w:tc>
        <w:tc>
          <w:tcPr>
            <w:tcW w:w="3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126,484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127,359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(87,682)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36,511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374,438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(87,955)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315,056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314,136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314,181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642,167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(645,526)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11,351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846,031</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10,141</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667,625</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(733,481)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790,316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21,926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(87,831)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196,390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25,291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(87,955)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139,328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7 3/8% SENIOR NOTES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104,177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205,044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380,243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(87,955)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502,934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640,987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287,173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(645,526)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287,173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640,987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287,382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(645,526)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287,382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846,031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667,625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(733,481)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790,316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vMerge w:val="restart"/>
          </w:tcPr>
          <w:p>
            <w:pPr>
              <w:jc w:val="right"/>
              <w:ind w:right="17"/>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44"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0"/>
              </w:rPr>
              <w:t>Non-Guarantor</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GLDD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60" w:type="dxa"/>
            <w:vAlign w:val="bottom"/>
            <w:gridSpan w:val="4"/>
          </w:tcPr>
          <w:p>
            <w:pPr>
              <w:ind w:left="98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4"/>
                <w:szCs w:val="14"/>
                <w:b w:val="1"/>
                <w:bCs w:val="1"/>
                <w:color w:val="auto"/>
                <w:w w:val="81"/>
              </w:rPr>
              <w:t>Subsidiaries</w:t>
            </w:r>
          </w:p>
        </w:tc>
        <w:tc>
          <w:tcPr>
            <w:tcW w:w="3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Corporation</w:t>
            </w:r>
          </w:p>
        </w:tc>
        <w:tc>
          <w:tcPr>
            <w:tcW w:w="3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108,985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118,530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(137,136)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382,876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(137,200)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325,778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310,459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310,520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627,754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843,949</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14,501</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699,355</w:t>
            </w: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(769,345)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788,460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(137,152)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206,921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8,705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(137,200)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7 3/4% SENIOR SUBORDINATED NOTES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250,000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217,606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406,818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(137,206)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495,923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626,343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291,969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291,969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626,343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292,537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(632,139)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292,537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843,949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699,355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(769,345)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788,460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80" w:type="dxa"/>
            <w:vAlign w:val="bottom"/>
            <w:vMerge w:val="restart"/>
          </w:tcPr>
          <w:p>
            <w:pPr>
              <w:jc w:val="right"/>
              <w:ind w:right="17"/>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right="3340"/>
        <w:spacing w:after="0" w:line="39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SEPTEMBER 30, 2012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161,720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(1,536)</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162,484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(153,932)</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(154,664)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11,667</w:t>
            </w: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Gain on sale of assets—net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expense—net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(4,973)</w:t>
            </w:r>
          </w:p>
        </w:tc>
        <w:tc>
          <w:tcPr>
            <w:tcW w:w="1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88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(5,603)</w:t>
            </w:r>
          </w:p>
        </w:tc>
        <w:tc>
          <w:tcPr>
            <w:tcW w:w="18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(5,356)</w:t>
            </w:r>
          </w:p>
        </w:tc>
        <w:tc>
          <w:tcPr>
            <w:tcW w:w="18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attributable to noncontrolling interests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5400" w:type="dxa"/>
            <w:vAlign w:val="bottom"/>
          </w:tcPr>
          <w:p>
            <w:pPr>
              <w:ind w:left="880"/>
              <w:spacing w:after="0"/>
              <w:rPr>
                <w:sz w:val="20"/>
                <w:szCs w:val="20"/>
                <w:color w:val="auto"/>
              </w:rPr>
            </w:pPr>
            <w:r>
              <w:rPr>
                <w:rFonts w:ascii="Arial" w:cs="Arial" w:eastAsia="Arial" w:hAnsi="Arial"/>
                <w:sz w:val="18"/>
                <w:szCs w:val="18"/>
                <w:color w:val="auto"/>
                <w:w w:val="92"/>
              </w:rPr>
              <w:t>Net income (loss) attributable to Great Lakes Dredge &amp; Dock</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187</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(5,336)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00" w:type="dxa"/>
            <w:vAlign w:val="bottom"/>
          </w:tcPr>
          <w:p>
            <w:pPr>
              <w:spacing w:after="0"/>
              <w:rPr>
                <w:sz w:val="24"/>
                <w:szCs w:val="24"/>
                <w:color w:val="auto"/>
              </w:rPr>
            </w:pPr>
          </w:p>
        </w:tc>
        <w:tc>
          <w:tcPr>
            <w:tcW w:w="920" w:type="dxa"/>
            <w:vAlign w:val="bottom"/>
            <w:gridSpan w:val="3"/>
          </w:tcPr>
          <w:p>
            <w:pPr>
              <w:ind w:left="22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right="3340"/>
        <w:spacing w:after="0" w:line="39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SEPTEMBER 30, 2011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155,426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158,468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(127,306)</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(7,525)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3,754</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(131,077)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27,391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11,630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Gain on sale of assets—net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expense—net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(5,060)</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14,864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(15,072)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88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16,459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8,912</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(15,072)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(3,253)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16,094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5,659</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(15,072)</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5"/>
        </w:trPr>
        <w:tc>
          <w:tcPr>
            <w:tcW w:w="5400" w:type="dxa"/>
            <w:vAlign w:val="bottom"/>
          </w:tcPr>
          <w:p>
            <w:pPr>
              <w:ind w:left="880"/>
              <w:spacing w:after="0"/>
              <w:rPr>
                <w:sz w:val="20"/>
                <w:szCs w:val="20"/>
                <w:color w:val="auto"/>
              </w:rPr>
            </w:pPr>
            <w:r>
              <w:rPr>
                <w:rFonts w:ascii="Arial" w:cs="Arial" w:eastAsia="Arial" w:hAnsi="Arial"/>
                <w:sz w:val="18"/>
                <w:szCs w:val="18"/>
                <w:color w:val="auto"/>
                <w:w w:val="92"/>
              </w:rPr>
              <w:t>Net income (loss) attributable to Great Lakes Dredge &amp; Dock</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16,094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5,602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(15,072)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(14,168)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00" w:type="dxa"/>
            <w:vAlign w:val="bottom"/>
          </w:tcPr>
          <w:p>
            <w:pPr>
              <w:spacing w:after="0"/>
              <w:rPr>
                <w:sz w:val="24"/>
                <w:szCs w:val="24"/>
                <w:color w:val="auto"/>
              </w:rPr>
            </w:pPr>
          </w:p>
        </w:tc>
        <w:tc>
          <w:tcPr>
            <w:tcW w:w="920" w:type="dxa"/>
            <w:vAlign w:val="bottom"/>
            <w:gridSpan w:val="3"/>
          </w:tcPr>
          <w:p>
            <w:pPr>
              <w:jc w:val="right"/>
              <w:ind w:right="432"/>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right="3340"/>
        <w:spacing w:after="0" w:line="39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NINE MONTHS ENDED SEPTEMBER 30, 2012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Corporation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480,206</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480,498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(433,172)</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6,058</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(433,950)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34,149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36,390</w:t>
            </w: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Gain on sale of assets—net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expense—net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(15,026)</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(15,747)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15,062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(14,423)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88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12,037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(1,760)</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(14,423)</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1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88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15,536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(3,223)</w:t>
            </w: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(14,423)</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7"/>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 attributable to noncontrolling interests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5"/>
        </w:trPr>
        <w:tc>
          <w:tcPr>
            <w:tcW w:w="5400" w:type="dxa"/>
            <w:vAlign w:val="bottom"/>
          </w:tcPr>
          <w:p>
            <w:pPr>
              <w:ind w:left="880"/>
              <w:spacing w:after="0"/>
              <w:rPr>
                <w:sz w:val="20"/>
                <w:szCs w:val="20"/>
                <w:color w:val="auto"/>
              </w:rPr>
            </w:pPr>
            <w:r>
              <w:rPr>
                <w:rFonts w:ascii="Arial" w:cs="Arial" w:eastAsia="Arial" w:hAnsi="Arial"/>
                <w:sz w:val="18"/>
                <w:szCs w:val="18"/>
                <w:color w:val="auto"/>
                <w:w w:val="92"/>
              </w:rPr>
              <w:t>Net income (loss) attributable to Great Lakes Dredge &amp; Dock</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080"/>
              <w:spacing w:after="0"/>
              <w:rPr>
                <w:sz w:val="20"/>
                <w:szCs w:val="20"/>
                <w:color w:val="auto"/>
              </w:rPr>
            </w:pPr>
            <w:r>
              <w:rPr>
                <w:rFonts w:ascii="Arial" w:cs="Arial" w:eastAsia="Arial" w:hAnsi="Arial"/>
                <w:sz w:val="18"/>
                <w:szCs w:val="18"/>
                <w:color w:val="auto"/>
              </w:rPr>
              <w:t>Corporation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15,536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(2,997)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(14,423)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Comprehensive income (loss) attributable to Great Lakes Dredge &amp; Dock</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(13,873)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00" w:type="dxa"/>
            <w:vAlign w:val="bottom"/>
          </w:tcPr>
          <w:p>
            <w:pPr>
              <w:spacing w:after="0"/>
              <w:rPr>
                <w:sz w:val="24"/>
                <w:szCs w:val="24"/>
                <w:color w:val="auto"/>
              </w:rPr>
            </w:pPr>
          </w:p>
        </w:tc>
        <w:tc>
          <w:tcPr>
            <w:tcW w:w="920" w:type="dxa"/>
            <w:vAlign w:val="bottom"/>
            <w:gridSpan w:val="3"/>
          </w:tcPr>
          <w:p>
            <w:pPr>
              <w:jc w:val="right"/>
              <w:ind w:right="432"/>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2011</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Subsidiary</w:t>
            </w:r>
          </w:p>
        </w:tc>
        <w:tc>
          <w:tcPr>
            <w:tcW w:w="2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460,688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16,382</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(8,305)</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468,765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(387,094)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(15,377)</w:t>
            </w:r>
          </w:p>
        </w:tc>
        <w:tc>
          <w:tcPr>
            <w:tcW w:w="12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(394,166)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635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38,447</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Gain on sale of assets—net</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370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39,054</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expense—net</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(15,693)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(16,432)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(44,404)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Equity in earnings of joint ventures</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 net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(5,145)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192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(44,404)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(9,463)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192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(44,404)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23"/>
        </w:trPr>
        <w:tc>
          <w:tcPr>
            <w:tcW w:w="5580" w:type="dxa"/>
            <w:vAlign w:val="bottom"/>
          </w:tcPr>
          <w:p>
            <w:pPr>
              <w:ind w:left="880"/>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8"/>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6"/>
              </w:rPr>
              <w:t>Net income (loss) attributable to Great Lakes Dredge &amp; Dock</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Corporation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44,212</w:t>
            </w:r>
          </w:p>
        </w:tc>
        <w:tc>
          <w:tcPr>
            <w:tcW w:w="2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192</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2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(44,404)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w w:val="95"/>
              </w:rPr>
              <w:t>Comprehensive income (loss) attributable to Great Lakes Dredge &amp; Dock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Arial" w:cs="Arial" w:eastAsia="Arial" w:hAnsi="Arial"/>
                <w:sz w:val="18"/>
                <w:szCs w:val="18"/>
                <w:color w:val="auto"/>
              </w:rPr>
              <w:t>Corporation</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43,060</w:t>
            </w:r>
          </w:p>
        </w:tc>
        <w:tc>
          <w:tcPr>
            <w:tcW w:w="26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560"/>
              <w:spacing w:after="0"/>
              <w:rPr>
                <w:sz w:val="20"/>
                <w:szCs w:val="20"/>
                <w:color w:val="auto"/>
              </w:rPr>
            </w:pPr>
            <w:r>
              <w:rPr>
                <w:rFonts w:ascii="Arial" w:cs="Arial" w:eastAsia="Arial" w:hAnsi="Arial"/>
                <w:sz w:val="18"/>
                <w:szCs w:val="18"/>
                <w:color w:val="auto"/>
                <w:w w:val="79"/>
              </w:rPr>
              <w:t>192</w:t>
            </w: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8,548</w:t>
            </w:r>
          </w:p>
        </w:tc>
        <w:tc>
          <w:tcPr>
            <w:tcW w:w="26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(43,252)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8,548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8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87" w:lineRule="auto"/>
        <w:rPr>
          <w:sz w:val="20"/>
          <w:szCs w:val="20"/>
          <w:color w:val="auto"/>
        </w:rPr>
      </w:pPr>
      <w:r>
        <w:rPr>
          <w:rFonts w:ascii="Arial" w:cs="Arial" w:eastAsia="Arial" w:hAnsi="Arial"/>
          <w:sz w:val="16"/>
          <w:szCs w:val="16"/>
          <w:b w:val="1"/>
          <w:bCs w:val="1"/>
          <w:color w:val="auto"/>
        </w:rPr>
        <w:t>GREAT LAKES DREDGE &amp; DOCK CORPORATION AND SUBSIDIARIES CONDENSED CONSOLIDATING STATEMENT OF CASH FLOWS FOR THE NINE MONTHS ENDED SEPTEMBER 30, 2012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Subsidiary</w:t>
            </w:r>
          </w:p>
        </w:tc>
        <w:tc>
          <w:tcPr>
            <w:tcW w:w="1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GLDD</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Eliminations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w w:val="99"/>
              </w:rPr>
              <w:t>Net cash flows provided by (used in) operating activities</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(8,984)</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(29,485)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(30,813)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(30,250)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(30,250)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Deferred financing fees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(2,039)</w:t>
            </w: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paid to minority interests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(3,726)</w:t>
            </w: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Taxes paid on settlement of vested share awards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(31,092)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(4,203)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35,295</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Repayments of equipment debt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Excess income tax benefit from share-based compensation</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Net cash flows provided by (used in) financing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(31,594)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(4,203)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29,485</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w w:val="92"/>
              </w:rPr>
              <w:t>Effect of foreign currency exchange rates on cash and cash equivalents</w:t>
            </w: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(70,828)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(4,136)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108,985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113,288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2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167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40" w:type="dxa"/>
            <w:vAlign w:val="bottom"/>
            <w:vMerge w:val="restart"/>
          </w:tcPr>
          <w:p>
            <w:pPr>
              <w:jc w:val="right"/>
              <w:ind w:right="160"/>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540"/>
        <w:spacing w:after="0" w:line="387" w:lineRule="auto"/>
        <w:rPr>
          <w:sz w:val="20"/>
          <w:szCs w:val="20"/>
          <w:color w:val="auto"/>
        </w:rPr>
      </w:pPr>
      <w:r>
        <w:rPr>
          <w:rFonts w:ascii="Arial" w:cs="Arial" w:eastAsia="Arial" w:hAnsi="Arial"/>
          <w:sz w:val="16"/>
          <w:szCs w:val="16"/>
          <w:b w:val="1"/>
          <w:bCs w:val="1"/>
          <w:color w:val="auto"/>
        </w:rPr>
        <w:t>GREAT LAKES DREDGE &amp; DOCK CORPORATION AND SUBSIDIARIES CONDENSED CONSOLIDATING STATEMENT OF CASH FLOWS FOR THE NINE MONTHS ENDED SEPTEMBER 30,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6"/>
              </w:rPr>
              <w:t>Subsidiary</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GLDD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20" w:type="dxa"/>
            <w:vAlign w:val="bottom"/>
            <w:gridSpan w:val="4"/>
          </w:tcPr>
          <w:p>
            <w:pPr>
              <w:ind w:left="106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Subsidiaries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Eliminations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w w:val="99"/>
              </w:rPr>
              <w:t>Net cash flows provided by (used in) operating activities</w:t>
            </w: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41,250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(26,984)</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(24,894)</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dispositions of property and equipment</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Net cash flows used in investing activities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(17,442)</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Proceeds from issuance of 7 3/8% senior notes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Redemption of 7 3/4% senior subordinated notes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(175,000)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Senior subordinated notes redemption premium</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fees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equivalents paid on restricted stock units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Taxes paid on vested share awards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accounts with affiliates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33,524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(36,081)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Capital contributions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equipment debt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Net cash flows provided by financing activities</w:t>
            </w:r>
          </w:p>
        </w:tc>
        <w:tc>
          <w:tcPr>
            <w:tcW w:w="1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30,045</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5,762</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2"/>
              </w:rPr>
              <w:t>Effect of foreign currency exchange rates on cash and cash equivalents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160" w:type="dxa"/>
            <w:vAlign w:val="bottom"/>
            <w:gridSpan w:val="2"/>
          </w:tcPr>
          <w:p>
            <w:pPr>
              <w:ind w:left="106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102,269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4,781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107,050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60" w:type="dxa"/>
            <w:vAlign w:val="bottom"/>
            <w:vMerge w:val="restart"/>
          </w:tcPr>
          <w:p>
            <w:pPr>
              <w:jc w:val="right"/>
              <w:ind w:right="477"/>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Quarterly Report on Form 10-Q/A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(the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associated with Great Lakes’ leverage, fixed price contracts, dependence on government contracts and funding, bonding requirement and obligations, international operations, backlog, severe weather related costs, uncertainty related to pending litigation, government regulation, restrictive debt covenants and fluctuations in quarterly operations, and those factors, risks and uncertainties that are described in Item 1A “Risk Factors” of the Company’s Annual Report on Form 10-K for the year ended December 31, 2011 and in other securities filings by Great Lakes with the SEC.</w:t>
      </w:r>
    </w:p>
    <w:p>
      <w:pPr>
        <w:spacing w:after="0" w:line="124"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Although the Company believes that its plans, intentions and expectations reflected in or suggested by such forward-looking statements are reasonable, actual results could differ materially from a projection or assumption in any forward-looking statements. Great Lakes’ future financial condition, results of operations and cash flows, as well as any forward-looking statements, are subject to change and inherent risks and uncertainties. The forward-looking statements contained in this Quarterly Report on Form 10-Q/A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 is the largest provider of dredging services in the United States. In addition, the Company is the only U.S. dredging service provider with significant international operations, which represented 19% of its dredging revenues for the first nine months of 2012, compared with the Company’s prior three year average of 17%. The mobility of the Company’s fleet enables the Company to move equipment in response to changes in demand for dredging services.</w:t>
      </w:r>
    </w:p>
    <w:p>
      <w:pPr>
        <w:spacing w:after="0" w:line="10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three primary types of work: capital, beach nourishment and maintenance. The Company’s “bid market” is defined as the aggregate dollar value of domestic projects on which the Company bid or could have bid if not for capacity constraints. The Company experienced an average combined bid market share in the U.S. of 39% over the prior three years, including 41%, 60% and 32% of the domestic capital, beach nourishment and maintenance sectors, respectively. Rivers &amp; lakes bid market share during the prior year of ownership by the Company is 39%.</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largest domestic dredging customer is the U.S. Army Corps of Engineers (the “Corps”), which is responsible for federally funded projects related to navigation and flood control of U.S. waterways. In the first nine months of 2012, the Company’s dredging revenues earned from contracts with federal government agencies, including the Corps as well as other federal entities such as the U.S. Coast Guard and the U.S. Navy, and third parties operating under contracts with federal agencies, were approximately 72% of dredging revenues, above the Company’s prior three year average of 59%.</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demolition subsidiaries are a major U.S. provider of commercial and industrial demolition services. Historically, the majority of the work was performed in the New England area. Through increased collaboration with Great Lakes’ other lines of business, the demolition operations continue to expand into the New York area and marine demolition markets, specifically bridge demolition. In the first nine months of 2012, demolition revenues accounted for 17% of total revenues, above the prior three year average of 12%. The demolition segment’s principal services consist of exterior and interior demolition of commercial and industrial buildings, dismantling and disposal of aged or failing bridges, site development, salvage and recycling of related materials and removal of hazardous substances and materials. The Company’s demolition operations are one of a few providers in New England with the required licenses, operating expertise, equipment fleet and access to bonding to execute larger, complex industrial demolition projects.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also owns 50% of Amboy Aggregates (“Amboy”) and 50% of TerraSea Environmental Solutions (“TerraSea”) as joint ventures. Amboy’s primary business is dredging sand from the entrance channel to the New York harbor in order to provide sand and aggregate for use in road and building construction and for clean land fill. Amboy also imports stone from upstate New York and Nova Scotia and distributes it throughout the New York area. TerraSea is engaged in the environmental services business through its ability to remediate contaminated soil and dredged sediment treatment. The Company operates in two reportable segments: dredging and demolition. These reportable segments are the Company’s operating segments and the reporting units at which the Company tests goodwill for impairment.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tables set forth the components of net income (loss) attributable to Great Lakes Dredge &amp; Dock Corporation and Adjusted EBITDA, as defined below, as a percentage of contract revenues for the three and nine months ended September 30,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0"/>
              </w:rPr>
              <w:t>Three Months Ended</w:t>
            </w:r>
          </w:p>
        </w:tc>
        <w:tc>
          <w:tcPr>
            <w:tcW w:w="156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7"/>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(95.2)</w:t>
            </w:r>
          </w:p>
        </w:tc>
        <w:tc>
          <w:tcPr>
            <w:tcW w:w="780" w:type="dxa"/>
            <w:vAlign w:val="bottom"/>
            <w:gridSpan w:val="2"/>
          </w:tcPr>
          <w:p>
            <w:pPr>
              <w:jc w:val="right"/>
              <w:ind w:right="152"/>
              <w:spacing w:after="0"/>
              <w:rPr>
                <w:sz w:val="20"/>
                <w:szCs w:val="20"/>
                <w:color w:val="auto"/>
              </w:rPr>
            </w:pPr>
            <w:r>
              <w:rPr>
                <w:rFonts w:ascii="Arial" w:cs="Arial" w:eastAsia="Arial" w:hAnsi="Arial"/>
                <w:sz w:val="18"/>
                <w:szCs w:val="18"/>
                <w:color w:val="auto"/>
              </w:rPr>
              <w:t>(82.7)</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(90.3)</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gridSpan w:val="2"/>
          </w:tcPr>
          <w:p>
            <w:pPr>
              <w:jc w:val="right"/>
              <w:ind w:right="272"/>
              <w:spacing w:after="0"/>
              <w:rPr>
                <w:sz w:val="20"/>
                <w:szCs w:val="20"/>
                <w:color w:val="auto"/>
              </w:rPr>
            </w:pPr>
            <w:r>
              <w:rPr>
                <w:rFonts w:ascii="Arial" w:cs="Arial" w:eastAsia="Arial" w:hAnsi="Arial"/>
                <w:sz w:val="18"/>
                <w:szCs w:val="18"/>
                <w:color w:val="auto"/>
              </w:rPr>
              <w:t>7.2</w:t>
            </w: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8.0</w:t>
            </w:r>
          </w:p>
        </w:tc>
        <w:tc>
          <w:tcPr>
            <w:tcW w:w="860" w:type="dxa"/>
            <w:vAlign w:val="bottom"/>
            <w:gridSpan w:val="2"/>
          </w:tcPr>
          <w:p>
            <w:pPr>
              <w:jc w:val="right"/>
              <w:ind w:right="272"/>
              <w:spacing w:after="0"/>
              <w:rPr>
                <w:sz w:val="20"/>
                <w:szCs w:val="20"/>
                <w:color w:val="auto"/>
              </w:rPr>
            </w:pPr>
            <w:r>
              <w:rPr>
                <w:rFonts w:ascii="Arial" w:cs="Arial" w:eastAsia="Arial" w:hAnsi="Arial"/>
                <w:sz w:val="18"/>
                <w:szCs w:val="18"/>
                <w:color w:val="auto"/>
              </w:rPr>
              <w:t>7.6</w:t>
            </w: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assets—net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(0.1)</w:t>
            </w: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8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0.0</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4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280" w:type="dxa"/>
            <w:vAlign w:val="bottom"/>
            <w:vMerge w:val="continue"/>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(2.3)</w:t>
            </w: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9.4</w:t>
            </w:r>
          </w:p>
        </w:tc>
        <w:tc>
          <w:tcPr>
            <w:tcW w:w="860" w:type="dxa"/>
            <w:vAlign w:val="bottom"/>
            <w:gridSpan w:val="2"/>
          </w:tcPr>
          <w:p>
            <w:pPr>
              <w:jc w:val="right"/>
              <w:ind w:right="272"/>
              <w:spacing w:after="0"/>
              <w:rPr>
                <w:sz w:val="20"/>
                <w:szCs w:val="20"/>
                <w:color w:val="auto"/>
              </w:rPr>
            </w:pPr>
            <w:r>
              <w:rPr>
                <w:rFonts w:ascii="Arial" w:cs="Arial" w:eastAsia="Arial" w:hAnsi="Arial"/>
                <w:sz w:val="18"/>
                <w:szCs w:val="18"/>
                <w:color w:val="auto"/>
              </w:rPr>
              <w:t>2.1</w:t>
            </w: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(3.3)</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860" w:type="dxa"/>
            <w:vAlign w:val="bottom"/>
            <w:gridSpan w:val="2"/>
          </w:tcPr>
          <w:p>
            <w:pPr>
              <w:jc w:val="right"/>
              <w:ind w:right="272"/>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0.4</w:t>
            </w:r>
          </w:p>
        </w:tc>
        <w:tc>
          <w:tcPr>
            <w:tcW w:w="860" w:type="dxa"/>
            <w:vAlign w:val="bottom"/>
            <w:gridSpan w:val="2"/>
          </w:tcPr>
          <w:p>
            <w:pPr>
              <w:jc w:val="right"/>
              <w:ind w:right="272"/>
              <w:spacing w:after="0"/>
              <w:rPr>
                <w:sz w:val="20"/>
                <w:szCs w:val="20"/>
                <w:color w:val="auto"/>
              </w:rPr>
            </w:pPr>
            <w:r>
              <w:rPr>
                <w:rFonts w:ascii="Arial" w:cs="Arial" w:eastAsia="Arial" w:hAnsi="Arial"/>
                <w:sz w:val="18"/>
                <w:szCs w:val="18"/>
                <w:color w:val="auto"/>
              </w:rPr>
              <w:t>0.0</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transactions—net</w:t>
            </w:r>
          </w:p>
        </w:tc>
        <w:tc>
          <w:tcPr>
            <w:tcW w:w="8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0.0</w:t>
            </w: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c>
          <w:tcPr>
            <w:tcW w:w="8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0.0</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60" w:type="dxa"/>
            <w:vAlign w:val="bottom"/>
            <w:gridSpan w:val="2"/>
          </w:tcPr>
          <w:p>
            <w:pPr>
              <w:jc w:val="right"/>
              <w:ind w:right="272"/>
              <w:spacing w:after="0"/>
              <w:rPr>
                <w:sz w:val="20"/>
                <w:szCs w:val="20"/>
                <w:color w:val="auto"/>
              </w:rPr>
            </w:pPr>
            <w:r>
              <w:rPr>
                <w:rFonts w:ascii="Arial" w:cs="Arial" w:eastAsia="Arial" w:hAnsi="Arial"/>
                <w:sz w:val="18"/>
                <w:szCs w:val="18"/>
                <w:color w:val="auto"/>
              </w:rPr>
              <w:t>0.0</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before income taxes</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(5.3)</w:t>
            </w:r>
          </w:p>
        </w:tc>
        <w:tc>
          <w:tcPr>
            <w:tcW w:w="7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6.0</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8"/>
                <w:szCs w:val="18"/>
                <w:color w:val="auto"/>
              </w:rPr>
              <w:t>(2.3)</w:t>
            </w:r>
          </w:p>
        </w:tc>
        <w:tc>
          <w:tcPr>
            <w:tcW w:w="860" w:type="dxa"/>
            <w:vAlign w:val="bottom"/>
            <w:gridSpan w:val="2"/>
          </w:tcPr>
          <w:p>
            <w:pPr>
              <w:jc w:val="right"/>
              <w:ind w:right="272"/>
              <w:spacing w:after="0"/>
              <w:rPr>
                <w:sz w:val="20"/>
                <w:szCs w:val="20"/>
                <w:color w:val="auto"/>
              </w:rPr>
            </w:pPr>
            <w:r>
              <w:rPr>
                <w:rFonts w:ascii="Arial" w:cs="Arial" w:eastAsia="Arial" w:hAnsi="Arial"/>
                <w:sz w:val="18"/>
                <w:szCs w:val="18"/>
                <w:color w:val="auto"/>
              </w:rPr>
              <w:t>0.4</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(3.2)</w:t>
            </w:r>
          </w:p>
        </w:tc>
        <w:tc>
          <w:tcPr>
            <w:tcW w:w="7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3.7</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860"/>
              <w:spacing w:after="0"/>
              <w:rPr>
                <w:sz w:val="20"/>
                <w:szCs w:val="20"/>
                <w:color w:val="auto"/>
              </w:rPr>
            </w:pPr>
            <w:r>
              <w:rPr>
                <w:rFonts w:ascii="Arial" w:cs="Arial" w:eastAsia="Arial" w:hAnsi="Arial"/>
                <w:sz w:val="18"/>
                <w:szCs w:val="18"/>
                <w:color w:val="auto"/>
              </w:rPr>
              <w:t>Net (income) loss attributable to noncontrolling interests</w:t>
            </w: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60" w:type="dxa"/>
            <w:vAlign w:val="bottom"/>
            <w:gridSpan w:val="2"/>
          </w:tcPr>
          <w:p>
            <w:pPr>
              <w:jc w:val="right"/>
              <w:ind w:right="272"/>
              <w:spacing w:after="0"/>
              <w:rPr>
                <w:sz w:val="20"/>
                <w:szCs w:val="20"/>
                <w:color w:val="auto"/>
              </w:rPr>
            </w:pPr>
            <w:r>
              <w:rPr>
                <w:rFonts w:ascii="Arial" w:cs="Arial" w:eastAsia="Arial" w:hAnsi="Arial"/>
                <w:sz w:val="18"/>
                <w:szCs w:val="18"/>
                <w:color w:val="auto"/>
              </w:rPr>
              <w:t>0.0</w:t>
            </w:r>
          </w:p>
        </w:tc>
        <w:tc>
          <w:tcPr>
            <w:tcW w:w="700" w:type="dxa"/>
            <w:vAlign w:val="bottom"/>
            <w:gridSpan w:val="2"/>
          </w:tcPr>
          <w:p>
            <w:pPr>
              <w:jc w:val="right"/>
              <w:ind w:right="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Great Lakes Dredge &amp; Dock Corporation</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(3.2)%</w:t>
            </w:r>
          </w:p>
        </w:tc>
        <w:tc>
          <w:tcPr>
            <w:tcW w:w="7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3.7 %</w:t>
            </w:r>
          </w:p>
        </w:tc>
        <w:tc>
          <w:tcPr>
            <w:tcW w:w="8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gridSpan w:val="2"/>
            <w:vMerge w:val="continue"/>
          </w:tcPr>
          <w:p>
            <w:pPr>
              <w:spacing w:after="0"/>
              <w:rPr>
                <w:sz w:val="18"/>
                <w:szCs w:val="18"/>
                <w:color w:val="auto"/>
              </w:rPr>
            </w:pPr>
          </w:p>
        </w:tc>
        <w:tc>
          <w:tcPr>
            <w:tcW w:w="860" w:type="dxa"/>
            <w:vAlign w:val="bottom"/>
            <w:gridSpan w:val="2"/>
          </w:tcPr>
          <w:p>
            <w:pPr>
              <w:jc w:val="right"/>
              <w:ind w:right="132"/>
              <w:spacing w:after="0"/>
              <w:rPr>
                <w:sz w:val="20"/>
                <w:szCs w:val="20"/>
                <w:color w:val="auto"/>
              </w:rPr>
            </w:pPr>
            <w:r>
              <w:rPr>
                <w:rFonts w:ascii="Arial" w:cs="Arial" w:eastAsia="Arial" w:hAnsi="Arial"/>
                <w:sz w:val="18"/>
                <w:szCs w:val="18"/>
                <w:color w:val="auto"/>
              </w:rPr>
              <w:t>4.8 %</w:t>
            </w:r>
          </w:p>
        </w:tc>
        <w:tc>
          <w:tcPr>
            <w:tcW w:w="780" w:type="dxa"/>
            <w:vAlign w:val="bottom"/>
            <w:gridSpan w:val="2"/>
          </w:tcPr>
          <w:p>
            <w:pPr>
              <w:jc w:val="right"/>
              <w:ind w:right="52"/>
              <w:spacing w:after="0"/>
              <w:rPr>
                <w:sz w:val="20"/>
                <w:szCs w:val="20"/>
                <w:color w:val="auto"/>
              </w:rPr>
            </w:pPr>
            <w:r>
              <w:rPr>
                <w:rFonts w:ascii="Arial" w:cs="Arial" w:eastAsia="Arial" w:hAnsi="Arial"/>
                <w:sz w:val="18"/>
                <w:szCs w:val="18"/>
                <w:color w:val="auto"/>
              </w:rPr>
              <w:t>16.4 %</w:t>
            </w: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8.2 %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Adjusted EBITDA, as provided herein, represents net income (loss) attributable to Great Lakes Dredge &amp; Dock Corporation, adjusted for net interest expense, income taxes, depreciation and amortization expense, debt extinguishment and accelerated maintenance expense for new international deployments. In the fourth quarter of 2012 and as recast in the second and third quarters of 2012, the Company has modified the Adjusted EBITDA calculation for accelerated maintenance expense for new international deployments that are not directly recoverable under the related dredging contract and are therefore expensed as incurred. The Company does not frequently incur significant accelerated maintenance as a part of its international deployments. As such, the exclusion of these accelerated maintenance expenses from the calculation of Adjusted EBITDA allows users of our financial statements to more easily compare our year-to-year results.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interest and income tax expense and the associated significant cash requirements and the exclusion of depreciation and amortization, which represent significant and unavoidable operating costs given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level of indebtedness and capital expenditures needed to maintain the Company’s business. For these reasons, the Company uses operating income to measure the Company’s operating performance and uses Adjusted EBITDA only as a supplement. The following is a reconciliation of Adjusted EBITDA to net income (loss) attributable to Great Lakes Dredge &amp; Dock Corporation:</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6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8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Great Lakes Dredge &amp; Dock Corporation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(5,336)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5,602</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(2,997)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Adjusted for:</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Accelerated maintenance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5,571</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15,747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(3,351)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3,618</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11,195</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26,637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7,854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25,986</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67,876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gridSpan w:val="4"/>
          </w:tcPr>
          <w:p>
            <w:pPr>
              <w:jc w:val="center"/>
              <w:ind w:left="356"/>
              <w:spacing w:after="0"/>
              <w:rPr>
                <w:sz w:val="20"/>
                <w:szCs w:val="20"/>
                <w:color w:val="auto"/>
              </w:rPr>
            </w:pPr>
            <w:r>
              <w:rPr>
                <w:rFonts w:ascii="Arial" w:cs="Arial" w:eastAsia="Arial" w:hAnsi="Arial"/>
                <w:sz w:val="14"/>
                <w:szCs w:val="14"/>
                <w:b w:val="1"/>
                <w:bCs w:val="1"/>
                <w:color w:val="auto"/>
                <w:w w:val="88"/>
              </w:rPr>
              <w:t>Nine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1"/>
              </w:rPr>
              <w:t>Change</w:t>
            </w:r>
          </w:p>
        </w:tc>
        <w:tc>
          <w:tcPr>
            <w:tcW w:w="440" w:type="dxa"/>
            <w:vAlign w:val="bottom"/>
          </w:tcPr>
          <w:p>
            <w:pPr>
              <w:spacing w:after="0"/>
              <w:rPr>
                <w:sz w:val="12"/>
                <w:szCs w:val="12"/>
                <w:color w:val="auto"/>
              </w:rPr>
            </w:pPr>
          </w:p>
        </w:tc>
        <w:tc>
          <w:tcPr>
            <w:tcW w:w="68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Capital—U.S.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45,456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39,778</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$ 117,547</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$130,287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Capital—foreign</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36,329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21,843</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75,202</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59,779</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Beach nourishment</w:t>
            </w: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20,935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41,714</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(49.8)%</w:t>
            </w:r>
          </w:p>
        </w:tc>
        <w:tc>
          <w:tcPr>
            <w:tcW w:w="680" w:type="dxa"/>
            <w:vAlign w:val="bottom"/>
          </w:tcPr>
          <w:p>
            <w:pPr>
              <w:jc w:val="right"/>
              <w:spacing w:after="0"/>
              <w:rPr>
                <w:sz w:val="20"/>
                <w:szCs w:val="20"/>
                <w:color w:val="auto"/>
              </w:rPr>
            </w:pPr>
            <w:r>
              <w:rPr>
                <w:rFonts w:ascii="Arial" w:cs="Arial" w:eastAsia="Arial" w:hAnsi="Arial"/>
                <w:sz w:val="18"/>
                <w:szCs w:val="18"/>
                <w:color w:val="auto"/>
              </w:rPr>
              <w:t>92,576</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87,947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16,583</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85,299</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92,525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Rivers &amp; lakes</w:t>
            </w: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10,031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14,673</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(31.6)%</w:t>
            </w:r>
          </w:p>
        </w:tc>
        <w:tc>
          <w:tcPr>
            <w:tcW w:w="680" w:type="dxa"/>
            <w:vAlign w:val="bottom"/>
          </w:tcPr>
          <w:p>
            <w:pPr>
              <w:jc w:val="right"/>
              <w:spacing w:after="0"/>
              <w:rPr>
                <w:sz w:val="20"/>
                <w:szCs w:val="20"/>
                <w:color w:val="auto"/>
              </w:rPr>
            </w:pPr>
            <w:r>
              <w:rPr>
                <w:rFonts w:ascii="Arial" w:cs="Arial" w:eastAsia="Arial" w:hAnsi="Arial"/>
                <w:sz w:val="18"/>
                <w:szCs w:val="18"/>
                <w:color w:val="auto"/>
              </w:rPr>
              <w:t>25,801</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25,735</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dredging revenues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138,811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134,591</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396,425</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396,273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Demolition</w:t>
            </w: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23,673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23,877</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680" w:type="dxa"/>
            <w:vAlign w:val="bottom"/>
          </w:tcPr>
          <w:p>
            <w:pPr>
              <w:jc w:val="right"/>
              <w:spacing w:after="0"/>
              <w:rPr>
                <w:sz w:val="20"/>
                <w:szCs w:val="20"/>
                <w:color w:val="auto"/>
              </w:rPr>
            </w:pPr>
            <w:r>
              <w:rPr>
                <w:rFonts w:ascii="Arial" w:cs="Arial" w:eastAsia="Arial" w:hAnsi="Arial"/>
                <w:sz w:val="18"/>
                <w:szCs w:val="18"/>
                <w:color w:val="auto"/>
              </w:rPr>
              <w:t>84,073</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72,492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162,484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158,468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480,498</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468,765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Total revenue for the 2012 third quarter was $162.5 million, up $4.0 million or 3% from $158.5 million during the 2011 third quarter. For the nine months ended September 30, 2012 and 2011, total revenue increased to $480.5 million from $468.8 million during such period in 2011, an increase of 3%. Dredging contract revenues for the nine months ended September 30, 2012 are net of $1.4 million in intersegment revenues. Demolition contract revenues for the nine months ended September 30, 2012 are net of $0.1 million in intersegment revenues. For the nine months ended September 30, 2012, total dredging revenues were in line with dredging revenues from the first nine months of 2011 with foreign capital revenue and beach nourishment revenue increasing and domestic capital revenue and maintenance revenue decreasing and rivers &amp; lakes maintaining from the respective period in the prior year. Demolition revenue for the nine months ended September 30, 2012 increased $11.6 million, or 16% compared to the prior year adding to the increased total revenues for the Company.</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increased to $45.5 million, adding $5.7 million, or 14%, in the 2012 third quarter compared to the 2011 third quarter. Domestic capital dredging revenue decreased $12.7 million, or 10%, in the first nine months of 2012 compared to the same period in 2011. Domestic capital dredging revenues in the quarter and nine months ended September 30, 2012 continued to be generated by work in the Ports of New York, as well as projects in Florida, Delaware and Louisiana. Capital dredging for the first nine months of 2011 included the completion of our work on the construction of sand berms off the coast of Louisiana, which accounted for approximately $19.7 million of revenue that did not reoccur in 2012.</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Foreign dredging revenue strongly increased $14.5 million, or 66%, for the third quarter of 2012 to $36.3 million, and increased $15.4 million to $75.2 million for the nine months ended September 30, 2012. The third quarter 2012 foreign revenue was driven by several projects in Bahrain, primarily our East Hidd land reclamation project as well as the early stages of mobilization for the Wheatstone LNG project in Western Australia.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Beach nourishment projects involve moving sand from the ocean floor to shoreline locations where erosion threatens shoreline assets. Beach nourishment revenue in the 2012 third quarter decreased $20.8 million, or 50%, from the 2011 third quarter. Year to date 2012 beach nourishment revenue increased $4.6 million, or 5%, compared to the first three quarters of 2011. In the prior year, a significant number of beach nourishment jobs were bid and awarded in the second and third quarter which drove prior year third quarter revenue higher as the dredging work was performed and revenue was earned. This drove the change from the prior year period. In the 2012 third quarter, the Company worked on beach nourishment projects in Florida, Virginia and California.</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in the 2012 third quarter increased by $9.5 million, or 57%, compared to the 2011 third quarter. In the quarter ended September 30, 2012, maintenance revenue included a large project in Louisiana and projects on the Mississippi River that were unique due to the drought in the Midwest U.S. during 2012. Maintenance revenue in the first nine months of 2012 decreased by $7.2 million, or 8%, compared to the first nine months of 2011. Maintenance revenue in the first half of 2011 was atypically high as the Company performed maintenance projects that had been delayed from 2010 in order to work on construction of sand berms off the coast of Louisiana, partially offset by the increase in Mississippi River projects mentioned above. In addition to performing maintenance dredging on the Mississippi River and in Louisiana, the Company also had projects in Delaware and Maryland during the third quarter of 2012.</w:t>
      </w:r>
    </w:p>
    <w:p>
      <w:pPr>
        <w:spacing w:after="0" w:line="1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third quarter of 2012 was $10.0 million, a decrease of $4.6 million or 32% compared to the third quarter of 2011. The decrease in the current quarter relates to a large dollar value contract in the third quarter of 2011 that did not reoccur in the current year. Rivers &amp; lakes revenue in the first nine months of 2012 was $25.8 million, in line with the revenue reported for the first nine months of 2011. Rivers &amp; lakes continued work on its large municipal lake project in Texas as well as other projects along the Mississippi River during the third quarter of 2012.</w:t>
      </w:r>
    </w:p>
    <w:p>
      <w:pPr>
        <w:spacing w:after="0" w:line="144"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Consolidated gross profit for the 2012 third quarter decreased by 71% to $7.8 million, from $27.4 million in the third quarter of 2011. Gross profit margin (gross profit divided by revenue) for the 2012 third quarter decreased to 4.8% from 17.3% in the 2011 third quarter. The decrease in consolidated gross profit and gross profit margin in the 2012 third quarter was primarily due to lower fixed cost coverage as Hurricane Isaac delayed four large dredging projects, as well as reduced equipment production that delayed the schedule and margin on existing projects. Gross profit for the nine months ended September 30, 2012 decreased by 38% to $46.5 million from $74.6 million in the same 2011 period, resulting in a decline in gross profit margin to 9.7% from 15.9%. The nine month 2012 gross profit margin was lower due to weather impacts in the first and third quarters of 2012 and equipment production delays both of which lower dredge fixed cost coverage.</w:t>
      </w:r>
    </w:p>
    <w:p>
      <w:pPr>
        <w:spacing w:after="0" w:line="1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general and administrative expenses totaled $11.7 million and $36.4 million for the three and nine months ended September 30, 2012. General and administrative expenses totaled $12.7 million and $38.4 million for the three and nine months ended September 30, 2011. In the third quarter of 2011, there was a $1.1 million reduction of the liability related to the earnout potentially payable, related to the Matteson acquisition that was unique to that period. Also, the current quarter ended September 30, 2012 reflects $1.6 million in lower legal and bad debt expense as compared to the same period in the prior year. In addition, amortization costs related to intangible assets from the Matteson acquisition have become fully amortized, representing a decrease in general and administrative expenses of $0.6 million and $1.7 million for the quarter and nine months ended 2012 over the same periods in the prior year.</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for the three months ended September 30, 2012 was $3.7 million compared to operating income of $14.8 million in the same period of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for the nine months ended September 30, 2012 decreased 73% to $10.4 million compared to the nine months ended September 30, 2011.</w:t>
      </w:r>
    </w:p>
    <w:p>
      <w:pPr>
        <w:spacing w:after="0" w:line="18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Company’s net interest expense totaled $5.1 million and $15.7 million, for the three and nine months ended September 30, 2012, respectively, compared to $5.6 million and $16.4 million from the same period of 2011. The net interest expense in the three months ended September 30, 2012 is slightly lower primarily due to a reduction in the amount and rates on our equipment capital leases. In the first quarter of 2011, the Company had two debt issuances outstanding at the same time that added duplicative interest expense of $1.1 million.</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Income tax expense for the three and nine months ended September 30, 2012 was a benefit of $3.4 million and $2.0 million, respectively, compared to $3.6 million and $6.6 million of provision for the same 2011 periods. This decrease was primarily attributable to the losses generated in 2012. The effective tax rate for the nine months ended September 30, 2012 was 38.7%, which is substantially consistent with the effective tax rate of 39.2% for the same period of 2011. The Company expects the tax rate for the full year to remain near 39%.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Net loss attributable to Great Lakes Dredge &amp; Dock Corporation was $5.3 million and the loss per diluted share was $0.09 for the 2012 third quarter compared to net income attributable to Great Lakes Dredge &amp; Dock Corporation of $5.6 million and earnings per share of $0.09 for the same 2011 period. Net loss attributable to Great Lakes Dredge &amp; Dock Corporation and loss per diluted share for the nine months ended September 30, 2012 was $3.0 million and $0.05, respectively, compared to $9.7 million and $0.16 for the same 2011 period. The decrease in 2012 is due to the lower operating income for the periods described above, partially offset by the resulting income tax benefit. Net income in 2011 was reduced by a $5.1 million loss on extinguishment of debt.</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Adjusted EBITDA (as defined on page 28) was $7.9 million and $39.5 million for the three and nine months ended September 30, 2012, respectively, compared with $26.0 million and $67.9 million in the same 2011 periods, for the reasons discussed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Dredging</w:t>
      </w:r>
    </w:p>
    <w:p>
      <w:pPr>
        <w:spacing w:after="0" w:line="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Dredging revenues for the three and nine months ended September 30, 2012 were $138.8 million and $396.4 million, respectively, compared to $134.6 million and $396.3 million for the same periods of 2011. Dredging revenues for the nine months ended September 30, 2012 were in line with dredging revenues from the same period in 2011. The dredging segment for the three months ended September 30, 2012 included increases in domestic and foreign capital as well as maintenance revenues. These increases for the quarter were partially offset by lower beach nourishment and rivers &amp; lakes revenues. Dredging revenue for the nine months contained larger dollar valued contracts in foreign capital jobs which drove the increased revenue in this category over the same period in the prior year. The domestic production mix experienced increases in beach nourishment revenue, offset by decreases in domestic capital and maintenance revenue year to date in 2012.</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margin in the dredging segment was 8.3% and 12.4% for the three and nine months ended September 30, 2012 compared to gross profit margin in the dredging segment of 17.5% and 18.4% for the three and nine months ended September 30, 2011, respectively. Dredging gross profit declined as Hurricane Isaac delayed four large dredging projects as well as reduced equipment production that delayed the schedule and margin on existing projects. These also impacted the gross profit margin for the nine months ended September 30, 2012 along with lower margins in a slow first quarter of 2012, which had been impacted by the mix of project types and offshore weather conditions.</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Dredging segment operating income was $1.8 million and $18.4 million for the three and nine months ended September 30, 2012, compared to operating income of $13.6 million and $45.0 million for the three and nine months ended September 30, 2011, respectively. The decrease in operating income for the nine months ended September 30, 2012 is a result of the decrease in gross profit in the first and third quarters of 2012, as mentioned above, along with additional general and administrative payroll and benefits of $2.4 million in the nine months ended September 30, 2012, the $2.1 million gain on the sale of the dredge </w:t>
      </w:r>
      <w:r>
        <w:rPr>
          <w:rFonts w:ascii="Arial" w:cs="Arial" w:eastAsia="Arial" w:hAnsi="Arial"/>
          <w:sz w:val="16"/>
          <w:szCs w:val="16"/>
          <w:i w:val="1"/>
          <w:iCs w:val="1"/>
          <w:color w:val="auto"/>
        </w:rPr>
        <w:t>Victoria Island</w:t>
      </w:r>
      <w:r>
        <w:rPr>
          <w:rFonts w:ascii="Arial" w:cs="Arial" w:eastAsia="Arial" w:hAnsi="Arial"/>
          <w:sz w:val="16"/>
          <w:szCs w:val="16"/>
          <w:color w:val="auto"/>
        </w:rPr>
        <w:t xml:space="preserve"> in 2011 and a $1.1 million reduction in 2011 of the liability related to the earnout potentially payable, related to the Matteson acquisition. These items were partially offset as the nine months ended September 30, 2011 included a $1.7 million of amortization costs related to intangible assets from the Matteson acquisition, which have become fully amortized and are not included in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Demolition</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Demolition revenues for the three and nine months ended September 30, 2012 totaled $23.7 million and $84.1 million, respectively, compared to $23.9 million and $72.5 million for the same 2011 periods. Demolition revenues for the three months ended September 30, 2012 were in line with demolition revenues for the same period in 2011. The demolition segment experienced higher revenue levels for the nine months ended September 30, 2012 driven by bridge demolition work and large site development projects in New York.</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demolition segment had a negative gross profit margin of 15.7% and 3.3% for the three and nine months ended September 30, 2012 and a gross profit margin of 15.8% and 2.2% for the three and nine months ended September 30, 2011, respectively. In the first nine months of 2012, significant work was done on projects where costs were recognized immediately but the recognition of the related revenue was deferred until recovery was probable and collectability was reasonably assured according to the Company’s policy. The demolition segment generated an operating loss of $5.5 million and $8.0 million for the three and nine months ended September 30, 2012, respectively, compared to operating income of $1.2 million and an operating loss of $5.9 million for the same periods of 2011. The foregoing decrease in operating income and increase in the operating loss was due to the increase in negative gross profit margin described above.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Bidding Activity and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3"/>
              </w:rPr>
              <w:t>December 31,</w:t>
            </w: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r>
      <w:tr>
        <w:trPr>
          <w:trHeight w:val="161"/>
        </w:trPr>
        <w:tc>
          <w:tcPr>
            <w:tcW w:w="39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Backlog (in thousands)</w:t>
            </w:r>
          </w:p>
        </w:tc>
        <w:tc>
          <w:tcPr>
            <w:tcW w:w="1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4"/>
                <w:szCs w:val="14"/>
                <w:color w:val="auto"/>
              </w:rPr>
            </w:pP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Capital—U.S.</w:t>
            </w:r>
          </w:p>
        </w:tc>
        <w:tc>
          <w:tcPr>
            <w:tcW w:w="200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96,354</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109,897</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109,568</w:t>
            </w: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Capital—foreign</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243,542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40,675</w:t>
            </w: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Beach nourishment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41,875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84,607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117,543</w:t>
            </w: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16,187</w:t>
            </w: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Rivers &amp; lakes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34,827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15,256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13,391</w:t>
            </w:r>
          </w:p>
        </w:tc>
      </w:tr>
      <w:tr>
        <w:trPr>
          <w:trHeight w:val="27"/>
        </w:trPr>
        <w:tc>
          <w:tcPr>
            <w:tcW w:w="3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Dredging Backlog</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463,153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319,432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297,364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Demolition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42,574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50,672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68,029</w:t>
            </w:r>
          </w:p>
        </w:tc>
      </w:tr>
      <w:tr>
        <w:trPr>
          <w:trHeight w:val="27"/>
        </w:trPr>
        <w:tc>
          <w:tcPr>
            <w:tcW w:w="3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200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505,727</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370,104</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365,393</w:t>
            </w:r>
          </w:p>
        </w:tc>
      </w:tr>
      <w:tr>
        <w:trPr>
          <w:trHeight w:val="20"/>
        </w:trPr>
        <w:tc>
          <w:tcPr>
            <w:tcW w:w="3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In addition, 31% of the Company’s dredging backlog relates to federal government contracts, which can be canceled at any time without penalty to the government, subject to the Company’s contractual right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2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domestic dredging bid market for the 2012 third quarter totaled $324.9 million, resulting in $678.1 million of work awarded during the first nine months of 2012. This represents a decrease of $169.2 million from the same period in the prior year. The quarter ended September 30</w:t>
      </w:r>
      <w:r>
        <w:rPr>
          <w:rFonts w:ascii="Arial" w:cs="Arial" w:eastAsia="Arial" w:hAnsi="Arial"/>
          <w:sz w:val="10"/>
          <w:szCs w:val="10"/>
          <w:color w:val="auto"/>
        </w:rPr>
        <w:t>th</w:t>
      </w:r>
      <w:r>
        <w:rPr>
          <w:rFonts w:ascii="Arial" w:cs="Arial" w:eastAsia="Arial" w:hAnsi="Arial"/>
          <w:sz w:val="16"/>
          <w:szCs w:val="16"/>
          <w:color w:val="auto"/>
        </w:rPr>
        <w:t xml:space="preserve"> typically represents the largest bidding quarter of each calendar year as this quarter coincides with the end of the U.S. government’s fiscal year. The bid market in the third quarter of 2011 was larger as there were a greater number of large contract value beach nourishment and domestic capital projects let to bid by governmental agencies. For the contracts released in the current year, the Company won 43%, or $48.0 million, of the beach nourishment projects awarded through September 30, 2012, as well as 25%, or $91.6 million, of the maintenance projects along with 74%, or $84.4 million, of the domestic capital projects and 45%, or $41.6 million, of the rivers &amp; lakes projects awarded year to date through September 30, 2012. The Company won 39% of the overall domestic bid market through September 30, 2012, which parallels the Company’s prior three year average of 39%. Variability in contract wins from quarter to quarter is not unusual and one quarter’s win rate is generally not indicative of the win rate the Company is likely to achieve for a full year.</w:t>
      </w:r>
    </w:p>
    <w:p>
      <w:pPr>
        <w:spacing w:after="0" w:line="12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Company’s contracted dredging backlog was $463.2 million at September 30, 2012 compared to $319.4 million as of December 31, 2011. These amounts do not reflect approximately $62.0 million of domestic low bids pending formal award and additional phases (“options”) pending on projects currently in backlog at September 30, 2012. At December 31, 2011 the amount of domestic low bids and options pending award was $36.1 million.</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Domestic capital dredging backlog at September 30, 2012 was $13.5 million less than at December 31, 2011 as progress on the Company’s capital projects in New York and Louisiana continued to convert backlog into revenue. River deepening projects in North Carolina and New Jersey were awarded during the quarter to add over $30 million to backlog. The Company anticipates a strong capital dredging bid market over the next twelve months. Several East Coast ports, including Miami, are accelerating their deepening efforts to facilitate larger draft vessels from international trade. In October 2012, the Corps began soliciting bids for the Miami harbor deepening with the expectation of an award date in the first quarter of 2013.</w:t>
      </w:r>
    </w:p>
    <w:p>
      <w:pPr>
        <w:spacing w:after="0" w:line="1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Beach nourishment dredging backlog at September 30, 2012 was $42.7 million lower than at December 31, 2011 as the Company finished three beach projects on the East Coast and began work renourishing beaches in Southern California. The Company was awarded projects in New York and New Jersey including a project near Ocean City that added over $15 million to backlog in the quarter and are planned to begin before year end.</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Maintenance dredging backlog was $15.3 million higher at September 30, 2012 than at December 31, 2011. The Corps awarded several maintenance projects in the quarter including $24.2 million, which includes pending options, in the Baltimore harbor as well as $8.2 million to build a sill at the end of the Mississippi River to prevent saltwater from seeping upstream given the drought-lowered river levels. The Company continued work on existing projects in Louisiana and Delaware.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Rivers &amp; lakes backlog is $19.6 million higher at September 30, 2012 than at December 31, 2011. Rivers &amp; lakes continued to earn on projects in its backlog, including work on the Mississippi River and its tributaries performing maintenance dredging and levee repair projects. The Corps awarded the Company several projects on the Mississippi River and its tributaries to assist in keeping the waterway navigable during the summer months when a drought throughout the Midwest lowered the level of the river. In addition, rivers &amp; lakes was awarded a $7.7 million multi-year contract to dredge sediment in Florida that would be used in phosphate mining.</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Foreign capital dredging backlog increased to $243.5 million at September 30, 2012 from December 31, 2011, due primarily to the award of the dredging contract for the Wheatstone LNG project in Western Australia. The Company will deploy the dredge </w:t>
      </w:r>
      <w:r>
        <w:rPr>
          <w:rFonts w:ascii="Arial" w:cs="Arial" w:eastAsia="Arial" w:hAnsi="Arial"/>
          <w:sz w:val="16"/>
          <w:szCs w:val="16"/>
          <w:i w:val="1"/>
          <w:iCs w:val="1"/>
          <w:color w:val="auto"/>
        </w:rPr>
        <w:t>New York</w:t>
      </w:r>
      <w:r>
        <w:rPr>
          <w:rFonts w:ascii="Arial" w:cs="Arial" w:eastAsia="Arial" w:hAnsi="Arial"/>
          <w:sz w:val="16"/>
          <w:szCs w:val="16"/>
          <w:color w:val="auto"/>
        </w:rPr>
        <w:t xml:space="preserve"> on the Company’s portion of the project for about 27 months to complete this significant international dredging opportunity. The Company also was awarded a $47.6 million contract for another land reclamation project in the Middle East. The Company also sees additional opportunities in the Middle East, Southeast Asia and South America that it continues to pursue.</w:t>
      </w:r>
    </w:p>
    <w:p>
      <w:pPr>
        <w:spacing w:after="0" w:line="113"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Demolition services backlog was $8.1 million lower at September 30, 2012 from December 31, 2011. New projects awarded in the nine months ended September 30, 2012 include the $22.2 million brownfield remediation project in New Jersey that was pending award at year end and four large civil site development projects that are expected each to generate over $3 million of revenue, including a new power plant project awarded in the third quarter 2012. A large portion of the backlog earned in the first nine months of 2012 relates to the new management’s focus on large complex projects such as municipal developments in New York and specialty work such as bridge demolition in Louisiana, New Hampshire and New York.</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of Hurricane Sandy</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the fourth quarter of 2012, Hurricane Sandy impacted the East Coast of the United States and will adversely affect the Company’s fourth quarter earnings and cash flows from operations. Although the Company cannot yet quantify the full financial effect of the event, the Company currently estimates that it will lose a total of 25 working days, in aggregate, over seven projects impacted by the storm, which required the Company to move dredges and support equipment to protected waters. The Company’s project estimates include contingencies for normal weather that could offset some of these additional costs for lost time and fixed cost coverage. Currently, management believes there was minimal damage to the Company’s operating equipment and the affected projects have been restarted quickly. The Company also experienced damage to its facilities located in the path of Hurricane Sandy, but management does not believe the losses, net of insurance recoveries, will be material in future periods. Due to the significant damage to our nation’s coastline, the Company could obtain additional future revenue on some of these projects, which if obtained could mitigate the one-time expenses on these projects.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Dredge New York litigation development</w:t>
      </w:r>
    </w:p>
    <w:p>
      <w:pPr>
        <w:spacing w:after="0" w:line="9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 xml:space="preserve">During the quarter ended March 31, 2012, a judgment in the aggregate amount of $13.3 million was rendered in the Company’s favor in its litigation regarding the dredge </w:t>
      </w:r>
      <w:r>
        <w:rPr>
          <w:rFonts w:ascii="Arial" w:cs="Arial" w:eastAsia="Arial" w:hAnsi="Arial"/>
          <w:sz w:val="15"/>
          <w:szCs w:val="15"/>
          <w:i w:val="1"/>
          <w:iCs w:val="1"/>
          <w:color w:val="auto"/>
        </w:rPr>
        <w:t>New York</w:t>
      </w:r>
      <w:r>
        <w:rPr>
          <w:rFonts w:ascii="Arial" w:cs="Arial" w:eastAsia="Arial" w:hAnsi="Arial"/>
          <w:sz w:val="15"/>
          <w:szCs w:val="15"/>
          <w:color w:val="auto"/>
        </w:rPr>
        <w:t xml:space="preserve"> loss of use claim. The defendants are appealing the judgment and the Company cannot be assured when the appeal will be heard or predict the outcome of the appellate process. For additional information regarding this matter, see Note 9 to the Company’s condensed consolidated financial statements.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net cash provided by (used in) operating activities for the nine months ended September 30, 2012 and 2011 totaled $(38.4) million, and $13.6 million, respectively. Normal increases or decreases in the level of working capital relative to the level of operational activity impact cash flow from operating activities. In the first nine months of 2012, the increase in net cash used in operating activities was primarily the result of lower adjusted EBITDA and an increased investment in working capital as compared to the same period in the prior year. Two projects with the most significant investment are Wheatstone and the Scofield coastal restoration.</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Company’s net cash flows used in investing activities for the first nine months of 2012 and 2011 totaled $30.3 million and $17.4 million, respectively. Investing activities in both periods primarily relate to normal course upgrades and capital maintenance of the Company’s dredging fleet. During the nine months ended September 30, 2012, the Company overhauled the engines on the dredge </w:t>
      </w:r>
      <w:r>
        <w:rPr>
          <w:rFonts w:ascii="Arial" w:cs="Arial" w:eastAsia="Arial" w:hAnsi="Arial"/>
          <w:sz w:val="18"/>
          <w:szCs w:val="18"/>
          <w:i w:val="1"/>
          <w:iCs w:val="1"/>
          <w:color w:val="auto"/>
        </w:rPr>
        <w:t>Alaska</w:t>
      </w:r>
      <w:r>
        <w:rPr>
          <w:rFonts w:ascii="Arial" w:cs="Arial" w:eastAsia="Arial" w:hAnsi="Arial"/>
          <w:sz w:val="18"/>
          <w:szCs w:val="18"/>
          <w:color w:val="auto"/>
        </w:rPr>
        <w:t xml:space="preserve"> to provide increased useful life and efficiency. This engine overhaul added $5.4 million in investing capital expenditures during the nine months ended September 30, 2012. Additionally, the Company purchased a $6.4 million storage yard during the nine months ended September 30, 2012. During the nine months ended September 30, 2011, the Company sold the dredge </w:t>
      </w:r>
      <w:r>
        <w:rPr>
          <w:rFonts w:ascii="Arial" w:cs="Arial" w:eastAsia="Arial" w:hAnsi="Arial"/>
          <w:sz w:val="18"/>
          <w:szCs w:val="18"/>
          <w:i w:val="1"/>
          <w:iCs w:val="1"/>
          <w:color w:val="auto"/>
        </w:rPr>
        <w:t>Victoria Island</w:t>
      </w:r>
      <w:r>
        <w:rPr>
          <w:rFonts w:ascii="Arial" w:cs="Arial" w:eastAsia="Arial" w:hAnsi="Arial"/>
          <w:sz w:val="18"/>
          <w:szCs w:val="18"/>
          <w:color w:val="auto"/>
        </w:rPr>
        <w:t xml:space="preserve"> for $6.6 million of cash proceeds.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net cash flows provided by (used in) financing activities for the nine months ended September 30, 2012 and 2011 totaled $(6.3) million and $62.8 million, respectively. The Company issued $250 million of 7.375% senior notes in the first nine months of 2011, resulting in $244.2 million of net proceeds. The Company used a portion of these net proceeds to redeem its $175 million of 7.75% senior subordinated notes in the first three months of 2011 for $180.0 million, which included a redemption premium and unpaid interest.</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paid $3.7 million in dividends in the first nine months of 2012. The future declaration and payment of dividends will be at the discretion of the Company’s board of directors and will depend on many factors, including general economic and business conditions, the Company’s strategic plans, financial results and condition and legal requirements, including restrictions and limitations contained in the revolving credit facility and the indenture relating to its senior notes. Accordingly, the Company cannot make any assurances as to the size of any such dividend or that it will pay any such dividend in future quarters.</w:t>
      </w:r>
    </w:p>
    <w:p>
      <w:pPr>
        <w:spacing w:after="0" w:line="11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which replaced the Company’s former revolving credit agreement, provides for a senior revolving credit facility in an aggregate principal amount of up to $175 million, subfacilities for the issuance of standby letters of credit up to a $125 million sublimit,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$50 million. This is subject to lenders providing incremental commitments for such increase, provided that no default or event of default exists, the Company will be in pro forma compliance with the existing financial covenants both before and after giving effect to the increase and other standard conditions. The prior credit agreement with Bank of America N.A. was terminated.</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new revolving credit facility will bear interest at the option of the Company of either a LIBOR rate plus a margin of between 1.50% to 2.50% per annum or a base rate plus a margin of between 0.50% to 1.50% per annum.</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revolving credit facility is an unsecured facility and will remain unsecured provided the Company maintains a total leverage ratio less than or equal to 3.75 to 1.00 as of the end of each fiscal quarter. If the leverage ratio exceeds 3.75 to 1.00, or an event of default occurs and is not cured within the applicable grace period, the revolving credit facility will cease to remain unsecured. In the event of the facility becomes secured, outstanding obligations shall be automatically secured by certain vessels and all domestic accounts receivable, subject to the liens and interests of other parties (including the Company’s bonding provider) holding first priority perfected liens.</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new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Company’s obligations under its international letter of credit facility are secured by the Company’s foreign accounts receivable. The Company’s obligations under its senior notes are unsecured. The Company’s material agreements related to long term debt contain various restrictive covenants, including limitations on dividends, redemption and repurchases of capital stock, and the incurrence of indebtedness and requirements to maintain certain financial covenants. The Company is in compliance with its various covenants under the respective agreements as of September 30, 2012.</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impact of changes in functional currency exchange rates against the U.S. dollar on non-U.S. dollar cash balances, primarily the Brazilian Real, is reflected in the cumulative translation adjustment, net within accumulated other comprehensive income (loss). Cash held in non-U.S. dollar currencies primarily is used for project-related and other operating costs in those currencies reducing the Company’s exposure to future realized exchange gains and losses.</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and pay any declared dividends for the next twelve months. Beyond the next twelve months, the Company’s ability to fund its working capital needs, planned capital expenditures, scheduled debt payments and dividends, if any, and to comply with all the financial covenants under the revolving credit facility and bonding agreement, depends on its future operating performance and cash flows, which in turn, are subject to prevailing economic conditions and to financial, business and other factors, some of which are beyond the Company’s control.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risk of the Company’s financial instruments as of September 30, 2012 has not materially changed since December 31, 2011. The market risk profile of the Company on December 31, 2011 is disclosed in Item 7A. “Quantitative and Qualitative Disclosures about Market Risk” of the Company’s Annual Report on Form 10-K for the year ended December 31,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under the Securities Exchange Act of 1934 (the “Exchange Act”) as of September 30, 2012. Based upon that evaluation, our Chief Executive Officer and Chief Financial Officer concluded that, as of such date, our disclosure controls and procedures were effective in providing reasonable assurance that information required to be disclosed in the reports that we file or submit under the Exchange Act is a) accumulated and communicated to our management, including our Chief Executive Officer and Chief Financial Officer, as appropriate to allow timely decisions regarding disclosure and b) recorded, processed, summarized and reported within the time periods specified in the Securities and Exchange Commission’s rules and forms. This conclusion was included in our Quarterly Report on Form 10-Q for the quarter ended September 30, 2012. Subsequent to the filing of such Form 10-Q, however, we became aware of a material weakness in our internal control over financial reporting; namely, a weakness in our processes and controls to timely and consistently capture and analyze contract change orders in our demolition segment as a result of inadequate training of segment personnel and insufficient monitoring by corporate office personnel, such that we did not maintain effective internal control over revenue recognition with respect to accounting for pending change orders at our demolition segment.</w:t>
      </w:r>
    </w:p>
    <w:p>
      <w:pPr>
        <w:spacing w:after="0" w:line="1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a result of this material weakness, our management, including our Chief Executive Officer and Chief Financial Officer, has re-evaluated the effectiveness of our disclosure controls and procedures as of September 30, 2012 and our Chief Executive Officer and our Chief Financial Officer have now concluded that our disclosure controls and procedures were not effective as of September 30, 2012 due to the existence of the material weakness in internal control over financial reporting.</w:t>
      </w:r>
    </w:p>
    <w:p>
      <w:pPr>
        <w:spacing w:after="0" w:line="14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Notwithstanding the material weakness that existed as of September 30, 2012, management has concluded that the condensed consolidated financial statements included in this Quarterly Report on Form 10-Q present fairly, in all material respects, the Company’s financial position, results of operations and cash flows in conformity with generally accepted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during the fiscal quarter ended September 30, 2012 that have materially affected, or are reasonably likely to materially affect, our internal control over financial reporting.</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has discussed the material weakness described above with our Audit Committee and external auditors. We have developed a remediation plan to address our material weakness described above. Our plan is designed to ensure that each area affected by a material control weakness is remediated properly. The remediation plan includes the following actions:</w:t>
      </w:r>
    </w:p>
    <w:p>
      <w:pPr>
        <w:spacing w:after="0" w:line="59" w:lineRule="exact"/>
        <w:rPr>
          <w:sz w:val="20"/>
          <w:szCs w:val="20"/>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comprehensive review of the organizational resources at our demolition segment, focused on the project management and accounting functions, to determine the appropriate level of staffing and skills and to ensure those resources are put in place.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finance team at the demolition segment will report directly to the corporate finance function, instead of divisional leadership.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the level of resources in the accounting, internal audit and compliance functions at the corporate office.</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Evaluating information technology systems in our demolition segment to ensure timely and accurate information is available for period-end reporting and analysis. The Company is currently installing new estimating and project management software at its demolition segment.</w:t>
      </w:r>
    </w:p>
    <w:p>
      <w:pPr>
        <w:spacing w:after="0" w:line="4"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Training all appropriate demolition segment and corporate accounting personnel regarding the application of the Company’s accounting policy regarding revenue recognition.</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remediation plan will be administered by the Chief Financial Officer and will involve key leaders from across the organization, including the Chief Executive Officer and Chief Legal Officer.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9 “Commitments and Contingencies” in the Notes to Condensed Consolidated Financial Statements.</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during the nine months ended September 30, 2012 to the risk factors previously disclosed in Item 1A. Risk Factors in the Company’s Annual Report on Form 10-K for the year ended December 31, 2011.</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700" w:hanging="23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520"/>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tcPr>
          <w:p>
            <w:pPr>
              <w:ind w:left="30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86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Sarbanes-Oxley Act of 2002. *</w:t>
            </w:r>
          </w:p>
        </w:tc>
      </w:tr>
      <w:tr>
        <w:trPr>
          <w:trHeight w:val="318"/>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tcPr>
          <w:p>
            <w:pPr>
              <w:ind w:left="300"/>
              <w:spacing w:after="0"/>
              <w:rPr>
                <w:sz w:val="20"/>
                <w:szCs w:val="20"/>
                <w:color w:val="auto"/>
              </w:rPr>
            </w:pPr>
            <w:r>
              <w:rPr>
                <w:rFonts w:ascii="Arial" w:cs="Arial" w:eastAsia="Arial" w:hAnsi="Arial"/>
                <w:sz w:val="18"/>
                <w:szCs w:val="18"/>
                <w:color w:val="auto"/>
                <w:w w:val="87"/>
              </w:rPr>
              <w:t>Certification Pursuant to Rules 13a-14(a) and 15d-14(a) under the Securities Exchange Act of 1934, as Adopted Pursuant to Section 302 of the</w:t>
            </w:r>
          </w:p>
        </w:tc>
      </w:tr>
      <w:tr>
        <w:trPr>
          <w:trHeight w:val="222"/>
        </w:trPr>
        <w:tc>
          <w:tcPr>
            <w:tcW w:w="860" w:type="dxa"/>
            <w:vAlign w:val="bottom"/>
          </w:tcPr>
          <w:p>
            <w:pPr>
              <w:spacing w:after="0"/>
              <w:rPr>
                <w:sz w:val="19"/>
                <w:szCs w:val="19"/>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Sarbanes-Oxley Act of 2002.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Instance Document.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Great Lakes Dredge &amp; Dock Corporation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5580"/>
        <w:spacing w:after="0"/>
        <w:tabs>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w:t>
      </w:r>
      <w:r>
        <w:rPr>
          <w:rFonts w:ascii="Arial" w:cs="Arial" w:eastAsia="Arial" w:hAnsi="Arial"/>
          <w:sz w:val="14"/>
          <w:szCs w:val="14"/>
          <w:color w:val="auto"/>
        </w:rPr>
        <w:t>ILLIAM</w:t>
      </w:r>
      <w:r>
        <w:rPr>
          <w:rFonts w:ascii="Arial" w:cs="Arial" w:eastAsia="Arial" w:hAnsi="Arial"/>
          <w:sz w:val="18"/>
          <w:szCs w:val="18"/>
          <w:color w:val="auto"/>
        </w:rPr>
        <w:t xml:space="preserve"> S. S</w:t>
      </w:r>
      <w:r>
        <w:rPr>
          <w:rFonts w:ascii="Arial" w:cs="Arial" w:eastAsia="Arial" w:hAnsi="Arial"/>
          <w:sz w:val="14"/>
          <w:szCs w:val="14"/>
          <w:color w:val="auto"/>
        </w:rPr>
        <w:t>TECKEL</w:t>
      </w:r>
    </w:p>
    <w:p>
      <w:pPr>
        <w:spacing w:after="0" w:line="17"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0"/>
          <w:szCs w:val="20"/>
          <w:color w:val="auto"/>
        </w:rPr>
      </w:pPr>
    </w:p>
    <w:p>
      <w:pPr>
        <w:jc w:val="center"/>
        <w:ind w:left="5880"/>
        <w:spacing w:after="0"/>
        <w:rPr>
          <w:sz w:val="20"/>
          <w:szCs w:val="20"/>
          <w:color w:val="auto"/>
        </w:rPr>
      </w:pPr>
      <w:r>
        <w:rPr>
          <w:rFonts w:ascii="Arial" w:cs="Arial" w:eastAsia="Arial" w:hAnsi="Arial"/>
          <w:sz w:val="16"/>
          <w:szCs w:val="16"/>
          <w:b w:val="1"/>
          <w:bCs w:val="1"/>
          <w:color w:val="auto"/>
        </w:rPr>
        <w:t>(Principal Financial and Accounting Officer and Duly Authorized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tcPr>
          <w:p>
            <w:pPr>
              <w:ind w:left="4480"/>
              <w:spacing w:after="0"/>
              <w:rPr>
                <w:sz w:val="20"/>
                <w:szCs w:val="20"/>
                <w:color w:val="auto"/>
              </w:rPr>
            </w:pPr>
            <w:r>
              <w:rPr>
                <w:rFonts w:ascii="Arial" w:cs="Arial" w:eastAsia="Arial" w:hAnsi="Arial"/>
                <w:sz w:val="14"/>
                <w:szCs w:val="14"/>
                <w:b w:val="1"/>
                <w:bCs w:val="1"/>
                <w:color w:val="auto"/>
              </w:rPr>
              <w:t>Document Description</w:t>
            </w:r>
          </w:p>
        </w:tc>
      </w:tr>
      <w:tr>
        <w:trPr>
          <w:trHeight w:val="302"/>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Pursuant to Rules 13a-14(a) and 15d-14(a) under the Securities Exchange Act of 1934, as Adopted Pursuant to Section 302 of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Sarbanes-Oxley Act of 2002. *</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19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Jonathan W. Berger,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William S. Steckel,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10-Q/A for the period ended September 30, 2012, as filed with the Securities and Exchange Commission on the date hereof (the “Report”), I, Jonathan W. Berger, Chief Executive Officer of the Registrant,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2013</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10-Q/A for the period ended September 30, 2012, as filed with the Securities and Exchange Commission on the date hereof (the “Report”), I, William S. Steckel, Senior Vice President and Chief Financial Officer, certify pursuant to 18 U.S.C. Section 1350, as adopted pursuant to Section 906 of the Sarbanes-Oxley Act of 2002, that:</w:t>
      </w:r>
    </w:p>
    <w:p>
      <w:pPr>
        <w:spacing w:after="0" w:line="2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William S. Steckel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S. Steckel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2013</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2019-12-07T13:48:15Z</dcterms:created>
  <dcterms:modified xsi:type="dcterms:W3CDTF">2019-12-07T13:48:15Z</dcterms:modified>
</cp:coreProperties>
</file>