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94615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13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28, 2017, 61,405,170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5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2017 and December 31, 2016</w:t>
              </w:r>
            </w:hyperlink>
          </w:p>
        </w:tc>
        <w:tc>
          <w:tcPr>
            <w:tcW w:w="35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2017 and 2016</w:t>
              </w:r>
            </w:hyperlink>
          </w:p>
        </w:tc>
        <w:tc>
          <w:tcPr>
            <w:tcW w:w="140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40" w:type="dxa"/>
            <w:vAlign w:val="bottom"/>
          </w:tcPr>
          <w:p>
            <w:pPr>
              <w:spacing w:after="0"/>
              <w:rPr>
                <w:sz w:val="24"/>
                <w:szCs w:val="24"/>
                <w:color w:val="auto"/>
              </w:rPr>
            </w:pPr>
          </w:p>
        </w:tc>
        <w:tc>
          <w:tcPr>
            <w:tcW w:w="88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Six Months ended June 30, 2017 and 2016</w:t>
              </w:r>
            </w:hyperlink>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Six Months Ended June 30, 2017 and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2017 and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380" w:type="dxa"/>
            <w:vAlign w:val="bottom"/>
            <w:tcBorders>
              <w:top w:val="single" w:sz="8" w:color="0000EE"/>
            </w:tcBorders>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1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2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42">
              <w:r>
                <w:rPr>
                  <w:rFonts w:ascii="Arial" w:cs="Arial" w:eastAsia="Arial" w:hAnsi="Arial"/>
                  <w:sz w:val="18"/>
                  <w:szCs w:val="18"/>
                  <w:b w:val="1"/>
                  <w:bCs w:val="1"/>
                  <w:color w:val="0000EE"/>
                  <w:w w:val="89"/>
                </w:rPr>
                <w:t>Signature</w:t>
              </w:r>
            </w:hyperlink>
          </w:p>
        </w:tc>
        <w:tc>
          <w:tcPr>
            <w:tcW w:w="8720" w:type="dxa"/>
            <w:vAlign w:val="bottom"/>
            <w:gridSpan w:val="2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Exhibit Index</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88,091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255,399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416,058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77,543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 term debt</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8% SENIOR NOTES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7 3/8% SENIOR NOTES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2"/>
              </w:rPr>
              <w:t>Common stock—$.0001 par value; 90,000 authorized, 61,683 and 61,240 shares issued; 61,405 and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60,962 shares outstanding at June 30, 2017 and December 31, 2016, respectively.</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288,167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286,303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(53,323)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230,798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3"/>
          </w:tcPr>
          <w:p>
            <w:pPr>
              <w:jc w:val="center"/>
              <w:ind w:left="299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jc w:val="right"/>
              <w:ind w:right="18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347,445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17,267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assets—net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(6,441)</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(5,903)</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(1,468)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(2,330)</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(518)</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Income (loss) from discontinued operations, net of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share attributable to continuing operations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loss per share</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Diluted loss per share attributable to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(694)</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(17,482)</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derivatives—net of tax (2)</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of $6 and $99 for the three months ended June 30, 2017 and 2016, respectively. Net of income tax (provision) benefit of $33 and $(370) for the six months ended June 30, 2017 and 2016, respectively.</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of $468 and $947 for the three and six months ended June 30,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2017</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0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loss—net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2016</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0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2016</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00" w:type="dxa"/>
            <w:vAlign w:val="bottom"/>
          </w:tcPr>
          <w:p>
            <w:pPr>
              <w:jc w:val="right"/>
              <w:spacing w:after="0"/>
              <w:rPr>
                <w:sz w:val="20"/>
                <w:szCs w:val="20"/>
                <w:color w:val="auto"/>
              </w:rPr>
            </w:pPr>
            <w:r>
              <w:rPr>
                <w:rFonts w:ascii="Arial" w:cs="Arial" w:eastAsia="Arial" w:hAnsi="Arial"/>
                <w:sz w:val="14"/>
                <w:szCs w:val="14"/>
                <w:color w:val="auto"/>
              </w:rPr>
              <w:t>61,240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286,303</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(35,841)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(1,145)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247,890</w:t>
            </w:r>
          </w:p>
        </w:tc>
        <w:tc>
          <w:tcPr>
            <w:tcW w:w="40" w:type="dxa"/>
            <w:vAlign w:val="bottom"/>
          </w:tcPr>
          <w:p>
            <w:pPr>
              <w:spacing w:after="0"/>
              <w:rPr>
                <w:sz w:val="24"/>
                <w:szCs w:val="24"/>
                <w:color w:val="auto"/>
              </w:rPr>
            </w:pPr>
          </w:p>
        </w:tc>
      </w:tr>
      <w:tr>
        <w:trPr>
          <w:trHeight w:val="324"/>
        </w:trPr>
        <w:tc>
          <w:tcPr>
            <w:tcW w:w="600" w:type="dxa"/>
            <w:vAlign w:val="bottom"/>
          </w:tcPr>
          <w:p>
            <w:pPr>
              <w:jc w:val="right"/>
              <w:spacing w:after="0"/>
              <w:rPr>
                <w:sz w:val="20"/>
                <w:szCs w:val="20"/>
                <w:color w:val="auto"/>
              </w:rPr>
            </w:pPr>
            <w:r>
              <w:rPr>
                <w:rFonts w:ascii="Arial" w:cs="Arial" w:eastAsia="Arial" w:hAnsi="Arial"/>
                <w:sz w:val="14"/>
                <w:szCs w:val="14"/>
                <w:color w:val="auto"/>
              </w:rPr>
              <w:t>164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1,758</w:t>
            </w:r>
          </w:p>
        </w:tc>
        <w:tc>
          <w:tcPr>
            <w:tcW w:w="40" w:type="dxa"/>
            <w:vAlign w:val="bottom"/>
          </w:tcPr>
          <w:p>
            <w:pPr>
              <w:spacing w:after="0"/>
              <w:rPr>
                <w:sz w:val="24"/>
                <w:szCs w:val="24"/>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4"/>
                <w:szCs w:val="14"/>
                <w:color w:val="auto"/>
              </w:rPr>
              <w:t>147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(328)</w:t>
            </w:r>
          </w:p>
        </w:tc>
      </w:tr>
      <w:tr>
        <w:trPr>
          <w:trHeight w:val="311"/>
        </w:trPr>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rPr>
                <w:sz w:val="24"/>
                <w:szCs w:val="24"/>
                <w:color w:val="auto"/>
              </w:rPr>
            </w:pPr>
          </w:p>
        </w:tc>
      </w:tr>
      <w:tr>
        <w:trPr>
          <w:trHeight w:val="223"/>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(17,482)</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(17,482)</w:t>
            </w:r>
          </w:p>
        </w:tc>
      </w:tr>
      <w:tr>
        <w:trPr>
          <w:trHeight w:val="16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(1,474)</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(1,474)</w:t>
            </w: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61,683</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288,167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(53,323)</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(2,619)</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230,798</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00" w:type="dxa"/>
            <w:vAlign w:val="bottom"/>
          </w:tcPr>
          <w:p>
            <w:pPr>
              <w:jc w:val="right"/>
              <w:spacing w:after="0"/>
              <w:rPr>
                <w:sz w:val="20"/>
                <w:szCs w:val="20"/>
                <w:color w:val="auto"/>
              </w:rPr>
            </w:pPr>
            <w:r>
              <w:rPr>
                <w:rFonts w:ascii="Arial" w:cs="Arial" w:eastAsia="Arial" w:hAnsi="Arial"/>
                <w:sz w:val="14"/>
                <w:szCs w:val="14"/>
                <w:color w:val="auto"/>
              </w:rPr>
              <w:t>60,709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283,247</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(27,664)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(1,983)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252,173</w:t>
            </w:r>
          </w:p>
        </w:tc>
        <w:tc>
          <w:tcPr>
            <w:tcW w:w="40" w:type="dxa"/>
            <w:vAlign w:val="bottom"/>
          </w:tcPr>
          <w:p>
            <w:pPr>
              <w:spacing w:after="0"/>
              <w:rPr>
                <w:sz w:val="24"/>
                <w:szCs w:val="24"/>
                <w:color w:val="auto"/>
              </w:rPr>
            </w:pPr>
          </w:p>
        </w:tc>
      </w:tr>
      <w:tr>
        <w:trPr>
          <w:trHeight w:val="324"/>
        </w:trPr>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24"/>
                <w:szCs w:val="24"/>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(162)</w:t>
            </w:r>
          </w:p>
        </w:tc>
      </w:tr>
      <w:tr>
        <w:trPr>
          <w:trHeight w:val="311"/>
        </w:trPr>
        <w:tc>
          <w:tcPr>
            <w:tcW w:w="600" w:type="dxa"/>
            <w:vAlign w:val="bottom"/>
          </w:tcPr>
          <w:p>
            <w:pPr>
              <w:jc w:val="right"/>
              <w:spacing w:after="0"/>
              <w:rPr>
                <w:sz w:val="20"/>
                <w:szCs w:val="20"/>
                <w:color w:val="auto"/>
              </w:rPr>
            </w:pPr>
            <w:r>
              <w:rPr>
                <w:rFonts w:ascii="Arial" w:cs="Arial" w:eastAsia="Arial" w:hAnsi="Arial"/>
                <w:sz w:val="14"/>
                <w:szCs w:val="14"/>
                <w:color w:val="auto"/>
              </w:rPr>
              <w:t>144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415</w:t>
            </w:r>
          </w:p>
        </w:tc>
        <w:tc>
          <w:tcPr>
            <w:tcW w:w="40" w:type="dxa"/>
            <w:vAlign w:val="bottom"/>
          </w:tcPr>
          <w:p>
            <w:pPr>
              <w:spacing w:after="0"/>
              <w:rPr>
                <w:sz w:val="24"/>
                <w:szCs w:val="24"/>
                <w:color w:val="auto"/>
              </w:rPr>
            </w:pPr>
          </w:p>
        </w:tc>
      </w:tr>
      <w:tr>
        <w:trPr>
          <w:trHeight w:val="223"/>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(5,754)</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(5,754)</w:t>
            </w:r>
          </w:p>
        </w:tc>
      </w:tr>
      <w:tr>
        <w:trPr>
          <w:trHeight w:val="16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557</w:t>
            </w: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61,026</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285,506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(33,418)</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(1,426)</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249,235</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-2837815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-2529205</wp:posOffset>
            </wp:positionV>
            <wp:extent cx="72466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-2134870</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-1929130</wp:posOffset>
            </wp:positionV>
            <wp:extent cx="72466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-1045845</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-736600</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-342265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-136525</wp:posOffset>
            </wp:positionV>
            <wp:extent cx="72466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320"/>
            <w:col w:w="7580"/>
          </w:cols>
          <w:pgMar w:left="240" w:top="337" w:right="299" w:bottom="1440" w:gutter="0" w:footer="0" w:header="0"/>
          <w:type w:val="continuous"/>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(17,482)</w:t>
            </w: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(12,697)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w w:val="98"/>
              </w:rPr>
              <w:t>Adjustments to reconcile net loss to net cash flows provided by (used in)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in earnings of joint ventures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distributions from joint ventures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7 3/8% senior notes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Amortization of deferred financing fees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net (gain) loss from mark-to-market valuations of derivatives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Unrealized foreign currency gain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Contract revenues in excess of billings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(34,498)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Billings in excess of contract revenues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noncurrent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Net cash flows provided by operating activities of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flows used in operating activities of discontinued operations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(20,900)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provided by (used in) operating activities</w:t>
            </w:r>
          </w:p>
        </w:tc>
        <w:tc>
          <w:tcPr>
            <w:tcW w:w="5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(34,266)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Changes in restricted cash</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(25,019)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7300" w:type="dxa"/>
            <w:vAlign w:val="bottom"/>
            <w:gridSpan w:val="2"/>
          </w:tcPr>
          <w:p>
            <w:pPr>
              <w:jc w:val="right"/>
              <w:ind w:right="1451"/>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Proceeds from issuance of 8% senior notes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Redemption of 7 3/8% senior notes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7 3/8% senior notes tender premium</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fees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(4,519)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Repayments of long term note payable</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term loan facility</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Proceeds from equipment debt</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equipment debt</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loans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(70,157)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Cash provided by financing activities</w:t>
            </w:r>
          </w:p>
        </w:tc>
        <w:tc>
          <w:tcPr>
            <w:tcW w:w="13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19,835</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17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gridSpan w:val="2"/>
            <w:vMerge w:val="continue"/>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purchased but not yet paid</w:t>
            </w:r>
          </w:p>
        </w:tc>
        <w:tc>
          <w:tcPr>
            <w:tcW w:w="17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2016.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2017, and its results of operations for the three and six months ended June 30, 2017 and 2016 and cash flows for the six months ended June 30, 2017 and 2016 have been included.</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cost structure includes significant annual equipment-related costs, including depreciation, maintenance, insurance and long-term rentals. These costs have averaged approximately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The Company has determined that dredging, Terra Contracting Services, LLC (“Terra”) and Great Lakes Environmental &amp; Infrastructure, LLC (“GLEI”) are the Company’s three reporting units.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performed its most recent annual test of impairment as of July 1, 2016 with no indication of impairment as of the test date. The Company will perform its next scheduled annual test of goodwill in the third quarter of 2017 should no triggering events occur which would require a test prior to the next annual test.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January 2017, the Financial Accounting Standards Board (“FASB”) issued Accounting Standard Update No. 2017-04 (“ASU 2017-04”),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(Topic 350): Simplifying the Test for Goodwill Impairment</w:t>
      </w:r>
      <w:r>
        <w:rPr>
          <w:rFonts w:ascii="Arial" w:cs="Arial" w:eastAsia="Arial" w:hAnsi="Arial"/>
          <w:sz w:val="16"/>
          <w:szCs w:val="16"/>
          <w:color w:val="auto"/>
        </w:rPr>
        <w:t>. The amendment removes the requirement to compare the implied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goodwill with its carrying amount as part of 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November 2016, the FASB issued Accounting Standard Update No. 2016-18 (“ASU 2016-18”), </w:t>
      </w:r>
      <w:r>
        <w:rPr>
          <w:rFonts w:ascii="Arial" w:cs="Arial" w:eastAsia="Arial" w:hAnsi="Arial"/>
          <w:sz w:val="17"/>
          <w:szCs w:val="17"/>
          <w:i w:val="1"/>
          <w:iCs w:val="1"/>
          <w:color w:val="auto"/>
        </w:rPr>
        <w:t>Statement of Cashflows (Topic 230): Restricted Cash</w:t>
      </w:r>
      <w:r>
        <w:rPr>
          <w:rFonts w:ascii="Arial" w:cs="Arial" w:eastAsia="Arial" w:hAnsi="Arial"/>
          <w:sz w:val="17"/>
          <w:szCs w:val="17"/>
          <w:color w:val="auto"/>
        </w:rPr>
        <w:t>. The amendments require that the statement of cash flows explain the changes during the period in the total of cash, cash equivalents, and amounts generally described as restricted cash or restricted cash equivalents. Therefore amounts generally described as restricted cash or restricted cash equivalents should be included with the cash and cash equivalents when reconciling the beginning-of-period and end-of-period total amounts shown on the statement of cash flows. The guidance is effective for fiscal years beginning after December 15, 2017. The Company does not anticipate that the adoption of ASU 2016-18 will have a material effect on the Company’s consolidated financial statements.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August 2016, the FASB issued Accounting Standard Update No. 2016-15 (“ASU 2016-15”), </w:t>
      </w:r>
      <w:r>
        <w:rPr>
          <w:rFonts w:ascii="Arial" w:cs="Arial" w:eastAsia="Arial" w:hAnsi="Arial"/>
          <w:sz w:val="18"/>
          <w:szCs w:val="18"/>
          <w:i w:val="1"/>
          <w:iCs w:val="1"/>
          <w:color w:val="auto"/>
        </w:rPr>
        <w:t>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which amends FASB’s standards for reporting cash flows in general-purpose financial statements. The amendments address the diversity in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related to the classification of certain cash receipts and payments. The guidance is effective for fiscal years beginning after December 15, 2017. The Company is currently evaluating the impact of ASU 2016-15 on its consolidated financial statements.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February 2016, the FASB issued Accounting Standard Update No. 2016-02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FASB issued this update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is currently evaluating the impact of ASU 2016-02 on its consolidated financial statements.</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May 2014, the FASB issued Accounting Standard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subsequently issued other Accounting Standard Updates related to Accounting Standards Codification Topic 606 (collectively, “ASC 606”), which supersede the existing revenue recognition requirements. ASC 606 is based on the principle that revenue is recognized to depict the transfer of goods or services to customers in an amount that reflects the consideration to which the entity expects to be entitled in exchange for those goods or services. ASC 606 has been deferred to be effective for fiscal years beginning after December 15, 2017, including interim periods within that reporting period, which will be our first quarter of fiscal 2018. Early adoption is permitted in fiscal 2017. The Company currently expects to adopt ASC 606 as of January 1, 2018, under the modified retrospective method where the cumulative effect is recognized at the date of initial application. The Company’s evaluation of ASC 606 is ongoing and not complete. The Company is currently evaluating the overall impacts that ASC 606 will have on the methods currently used to measure progress toward completion (which affect the timing of recognition of revenue) and the changes necessitated on our financial systems, existing internal controls and processes to comply with the guidance. The FASB has issued and may issue in the future, interpretative guidance, which may cause the Company’s evaluation to change in future periods prior to adoption. In addition, the ongoing assessment may be impacted by implementation guidance specific to the construction industry. Accordingly, the Company is still evaluating the effect of the adoption of ASC 606 on its consolidated financial statements.</w:t>
      </w:r>
    </w:p>
    <w:p>
      <w:pPr>
        <w:spacing w:after="0" w:line="151"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three months ended June 30, 2017 and 2016, the dilutive effect of 603 thousand and 651 thousand stock options and restricted stock units, respectively, were excluded from the diluted weighted-average common shares outstanding as the Company incurred a loss during these periods. For the six months ended June 30, 2017 and 2016, the dilutive effect of 654 thousand and 523 thousand stock options and restricted stock units, respectively, were excluded from the diluted weighted-average common shares outstanding as the Company incurred a loss during these periods. For the three months ended June 30, 2017 and 2016, 1,331 thousand and 1,603 thousand stock options and restricted stock units, respectively, were excluded from the calculation of diluted earnings per share based on the application of the treasury stock method, as such stock options and restricted stock units were determined to be anti-dilutive. Similarly, for the six months ended June 30, 2017 and 2016, 1,455 thousand and 1,694 thousand stock options and restricted stock units, respectively, were excluded from the calculation of diluted earnings per share as such stock options and restricted stock units were determined to be anti-dilutive.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computations for basic and diluted loss per share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80" w:type="dxa"/>
            <w:vAlign w:val="bottom"/>
            <w:gridSpan w:val="4"/>
          </w:tcPr>
          <w:p>
            <w:pPr>
              <w:ind w:left="580"/>
              <w:spacing w:after="0"/>
              <w:rPr>
                <w:sz w:val="20"/>
                <w:szCs w:val="20"/>
                <w:color w:val="auto"/>
              </w:rPr>
            </w:pPr>
            <w:r>
              <w:rPr>
                <w:rFonts w:ascii="Arial" w:cs="Arial" w:eastAsia="Arial" w:hAnsi="Arial"/>
                <w:sz w:val="14"/>
                <w:szCs w:val="14"/>
                <w:b w:val="1"/>
                <w:bCs w:val="1"/>
                <w:color w:val="auto"/>
              </w:rPr>
              <w:t>(shares in thousands)</w:t>
            </w: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(1,062)</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(1,719)</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(4,785)</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(12,697)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(17,482)</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98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basic</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61,342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60,711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61,204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98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diluted</w:t>
            </w:r>
          </w:p>
        </w:tc>
        <w:tc>
          <w:tcPr>
            <w:tcW w:w="4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61,342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per share from continuing operations — basic</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Loss per share from continuing operations — diluted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634"/>
        </w:trPr>
        <w:tc>
          <w:tcPr>
            <w:tcW w:w="8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w:t>
            </w:r>
          </w:p>
        </w:tc>
        <w:tc>
          <w:tcPr>
            <w:tcW w:w="5140" w:type="dxa"/>
            <w:vAlign w:val="bottom"/>
            <w:gridSpan w:val="2"/>
          </w:tcPr>
          <w:p>
            <w:pPr>
              <w:jc w:val="center"/>
              <w:ind w:right="1150"/>
              <w:spacing w:after="0"/>
              <w:rPr>
                <w:sz w:val="20"/>
                <w:szCs w:val="20"/>
                <w:color w:val="auto"/>
              </w:rPr>
            </w:pPr>
            <w:r>
              <w:rPr>
                <w:rFonts w:ascii="Arial" w:cs="Arial" w:eastAsia="Arial" w:hAnsi="Arial"/>
                <w:sz w:val="18"/>
                <w:szCs w:val="18"/>
                <w:b w:val="1"/>
                <w:bCs w:val="1"/>
                <w:color w:val="auto"/>
                <w:w w:val="87"/>
              </w:rPr>
              <w:t>Accounts receivable and contracts in progress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gridSpan w:val="4"/>
          </w:tcPr>
          <w:p>
            <w:pPr>
              <w:jc w:val="center"/>
              <w:ind w:right="330"/>
              <w:spacing w:after="0"/>
              <w:rPr>
                <w:sz w:val="20"/>
                <w:szCs w:val="20"/>
                <w:color w:val="auto"/>
              </w:rPr>
            </w:pPr>
            <w:r>
              <w:rPr>
                <w:rFonts w:ascii="Arial" w:cs="Arial" w:eastAsia="Arial" w:hAnsi="Arial"/>
                <w:sz w:val="18"/>
                <w:szCs w:val="18"/>
                <w:color w:val="auto"/>
                <w:w w:val="89"/>
              </w:rPr>
              <w:t>Accounts receivable at June 30, 2017 and December 31, 2016 are as follows: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18,727</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Contracts in progress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41,267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53,137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16,975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21,399</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67,195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gridSpan w:val="2"/>
          </w:tcPr>
          <w:p>
            <w:pPr>
              <w:ind w:left="880"/>
              <w:spacing w:after="0"/>
              <w:rPr>
                <w:sz w:val="20"/>
                <w:szCs w:val="20"/>
                <w:color w:val="auto"/>
              </w:rPr>
            </w:pPr>
            <w:r>
              <w:rPr>
                <w:rFonts w:ascii="Arial" w:cs="Arial" w:eastAsia="Arial" w:hAnsi="Arial"/>
                <w:sz w:val="18"/>
                <w:szCs w:val="18"/>
                <w:color w:val="auto"/>
              </w:rPr>
              <w:t>Total accounts receivable—net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66,432</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92,516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spacing w:after="0"/>
              <w:rPr>
                <w:sz w:val="10"/>
                <w:szCs w:val="10"/>
                <w:color w:val="auto"/>
              </w:rPr>
            </w:pPr>
          </w:p>
        </w:tc>
        <w:tc>
          <w:tcPr>
            <w:tcW w:w="4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61,957</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88,091</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accounts receivable and retainage</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66,432</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92,516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2017 and December 31, 2016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579,761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587,371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(514,069)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(511,548)</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90,830</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(325,617)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320,604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$17,860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than our expectations, we could sustain a loss of part or all of the costs incurred related to this project. Additionally, the timing of realization may be impacted by a delay in the sale of these environmental credits, resulting in a longer period to recover our investment.</w:t>
      </w:r>
    </w:p>
    <w:p>
      <w:pPr>
        <w:spacing w:after="0" w:line="15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2017 and December 31, 2016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Accumulated deficit in joint ventures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69,043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2" w:name="page13"/>
    <w:bookmarkEnd w:id="12"/>
    <w:p>
      <w:pPr>
        <w:spacing w:after="0" w:line="288" w:lineRule="auto"/>
        <w:rPr>
          <w:sz w:val="20"/>
          <w:szCs w:val="20"/>
          <w:color w:val="auto"/>
        </w:rPr>
      </w:pPr>
      <w:r>
        <w:rPr>
          <w:rFonts w:ascii="Arial" w:cs="Arial" w:eastAsia="Arial" w:hAnsi="Arial"/>
          <w:sz w:val="16"/>
          <w:szCs w:val="16"/>
          <w:color w:val="auto"/>
        </w:rPr>
        <w:t>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w:t>
      </w:r>
    </w:p>
    <w:p>
      <w:pPr>
        <w:ind w:right="180"/>
        <w:spacing w:after="0" w:line="277" w:lineRule="auto"/>
        <w:rPr>
          <w:sz w:val="20"/>
          <w:szCs w:val="20"/>
          <w:color w:val="auto"/>
        </w:rPr>
      </w:pPr>
      <w:r>
        <w:rPr>
          <w:rFonts w:ascii="Arial" w:cs="Arial" w:eastAsia="Arial" w:hAnsi="Arial"/>
          <w:sz w:val="17"/>
          <w:szCs w:val="17"/>
          <w:color w:val="auto"/>
        </w:rPr>
        <w:t>(2)(a)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June 30, 2017, the Company had $86,000 of borrowings on the revolver and $40,427 of letters of credit outstanding, resulting in $98,999 of availability under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revolving credit agreement and term loan facility</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conjunction with the Credit Agreement entered into on December 30, 2016, the senior revolving credit agreement with an aggregate principal amount of up to $199,000 and the senior secured term loan facility consisting of a term loan in an aggregate principal amount of $50,000 were paid in full. Depending on the Company’s consolidated leverage ratio, previous borrowings under the revolving credit facility bore interest at the option of the Company at either a LIBOR rate plus a margin of between 1.50% to 2.50% per annum or a base rate plus a margin of between 0.50% to 1.50% per annum. The previous borrowings under the senior secured term loan facility bore interest at a fixed rate of 4.655% per annum.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May 2017, the Company issued $325,000 of 8.000% senior notes (“8% Senior Notes”) due May 15, 2022. The 8% Senior Notes were issued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Credit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enters into note arrangements to finance certain vessels and ancillary equipment. The current portion of all equipment notes is $2,845. The long term portion is $14,149 and is included in notes payable or other long term liabilities.</w:t>
      </w:r>
    </w:p>
    <w:p>
      <w:pPr>
        <w:spacing w:after="0" w:line="153"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At June 30, 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At December 31, 2016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2017, the Company was party to various swap arrangements to hedge the price of a portion of its diesel fuel purchase requirements for work in its backlog to be performed through May 2018. As of June 30, 2017, there were 9.9 million gallons remaining on these contracts which represent approximately 80% of the Company’s forecasted domestic fuel purchases through May 2018. Under these swap agreements, the Company will pay fixed prices ranging from $1.53 to $1.76 per gallon.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June 30, 2017 the fair value liability of the fuel hedge contracts was estimated to be $1,853 and is recorded in accrued expenses. At December 31, 2016, the fair value asset of the fuel hedge contracts was estimated to be $2,293 and is recorded in prepaid expenses and other current assets. For fuel hedge contracts considered to be highly effective, the losses reclassified to earnings from changes in fair value of derivatives, net of cash settlements and taxes, for the six months ended June 30, 2017 were $195. The remaining gains and losses included in accumulated other comprehensive loss at June 30, 2017 will be reclassified into earnings over the next eleven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9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fair value of the fuel hedge contracts outstanding as of June 30, 2017 and December 31, 2016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at</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236"/>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80" w:type="dxa"/>
            <w:vAlign w:val="bottom"/>
            <w:gridSpan w:val="2"/>
          </w:tcPr>
          <w:p>
            <w:pPr>
              <w:ind w:left="320"/>
              <w:spacing w:after="0"/>
              <w:rPr>
                <w:sz w:val="20"/>
                <w:szCs w:val="20"/>
                <w:color w:val="auto"/>
              </w:rPr>
            </w:pPr>
            <w:r>
              <w:rPr>
                <w:rFonts w:ascii="Arial" w:cs="Arial" w:eastAsia="Arial" w:hAnsi="Arial"/>
                <w:sz w:val="14"/>
                <w:szCs w:val="14"/>
                <w:b w:val="1"/>
                <w:bCs w:val="1"/>
                <w:color w:val="auto"/>
              </w:rPr>
              <w:t>Balance Sheet Location</w:t>
            </w:r>
          </w:p>
        </w:tc>
        <w:tc>
          <w:tcPr>
            <w:tcW w:w="118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34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current assets</w:t>
            </w:r>
          </w:p>
        </w:tc>
        <w:tc>
          <w:tcPr>
            <w:tcW w:w="118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Derivatives not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 derivatives</w:t>
            </w:r>
          </w:p>
        </w:tc>
        <w:tc>
          <w:tcPr>
            <w:tcW w:w="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Liability derivatives: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Derivatives designated as hedging</w:t>
            </w: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1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1,853</w:t>
            </w:r>
          </w:p>
        </w:tc>
        <w:tc>
          <w:tcPr>
            <w:tcW w:w="24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right"/>
              <w:ind w:right="32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vMerge w:val="restart"/>
          </w:tcPr>
          <w:p>
            <w:pPr>
              <w:spacing w:after="0"/>
              <w:rPr>
                <w:sz w:val="20"/>
                <w:szCs w:val="20"/>
                <w:color w:val="auto"/>
              </w:rPr>
            </w:pPr>
            <w:r>
              <w:rPr>
                <w:rFonts w:ascii="Arial" w:cs="Arial" w:eastAsia="Arial" w:hAnsi="Arial"/>
                <w:sz w:val="18"/>
                <w:szCs w:val="18"/>
                <w:color w:val="auto"/>
              </w:rPr>
              <w:t>Cumulative translation adjustments—net of tax</w:t>
            </w:r>
          </w:p>
        </w:tc>
        <w:tc>
          <w:tcPr>
            <w:tcW w:w="120" w:type="dxa"/>
            <w:vAlign w:val="bottom"/>
          </w:tcPr>
          <w:p>
            <w:pPr>
              <w:spacing w:after="0"/>
              <w:rPr>
                <w:sz w:val="13"/>
                <w:szCs w:val="13"/>
                <w:color w:val="auto"/>
              </w:rPr>
            </w:pPr>
          </w:p>
        </w:tc>
        <w:tc>
          <w:tcPr>
            <w:tcW w:w="90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40"/>
              <w:spacing w:after="0"/>
              <w:rPr>
                <w:sz w:val="20"/>
                <w:szCs w:val="20"/>
                <w:color w:val="auto"/>
              </w:rPr>
            </w:pPr>
            <w:r>
              <w:rPr>
                <w:rFonts w:ascii="Arial" w:cs="Arial" w:eastAsia="Arial" w:hAnsi="Arial"/>
                <w:sz w:val="18"/>
                <w:szCs w:val="18"/>
                <w:color w:val="auto"/>
                <w:w w:val="93"/>
              </w:rPr>
              <w:t>Reclassification of derivative losses to earnings—net of</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unrealized gain on derivatives—net of tax</w:t>
            </w:r>
          </w:p>
        </w:tc>
        <w:tc>
          <w:tcPr>
            <w:tcW w:w="1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(712)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ind w:left="182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74"/>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Fuel hedge contracts Costs of contract revenues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c>
          <w:tcPr>
            <w:tcW w:w="88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820" w:type="dxa"/>
            <w:vAlign w:val="bottom"/>
            <w:gridSpan w:val="2"/>
            <w:shd w:val="clear" w:color="auto" w:fill="CFF0FC"/>
          </w:tcPr>
          <w:p>
            <w:pPr>
              <w:ind w:left="182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June 30, 2017 (see Note 5). The 8% Senior Notes are senior unsecured obligations of the Company and its subsidiaries that guarantee the 8% Senior Notes. The fair value of the senior notes was $331,110 at June 30, 2017,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57" w:right="419" w:bottom="1440" w:gutter="0" w:footer="0" w:header="0"/>
        </w:sectPr>
      </w:pPr>
    </w:p>
    <w:bookmarkStart w:id="15" w:name="page16"/>
    <w:bookmarkEnd w:id="15"/>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60" w:firstLine="45"/>
        <w:spacing w:after="0" w:line="279" w:lineRule="auto"/>
        <w:rPr>
          <w:sz w:val="20"/>
          <w:szCs w:val="20"/>
          <w:color w:val="auto"/>
        </w:rPr>
      </w:pPr>
      <w:r>
        <w:rPr>
          <w:rFonts w:ascii="Arial" w:cs="Arial" w:eastAsia="Arial" w:hAnsi="Arial"/>
          <w:sz w:val="17"/>
          <w:szCs w:val="17"/>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six months ended June 30, 2017, the Company granted 920 thousand restricted stock units to certain employees. In addition, all non-employee directors on the Company’s board of directors are paid a portion of their board-related compensation in stock grants. Compensation cost charged to expense related to share-based compensation arrangements was $840 and $1,079 for the three months ended June 30, 2017 and 2016, respectively, and $1,758 and $2,006 for the six months ended June 30,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Beginning in the first quarter of 2017, the Company includes income taxes related to share-based compensation as a component of net income.</w:t>
      </w:r>
    </w:p>
    <w:p>
      <w:pPr>
        <w:spacing w:after="0" w:line="21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Liberty Mutual Insurance Company and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June 30, 2017, the Company had outstanding performance bonds with a notional amount of approximately $1,083,982, of which $41,260 relates to projects from the Company’s historical environmental &amp; infrastructure businesses. The revenue value remaining in backlog related to these projects totaled approximately $347,860.</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10.</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20"/>
        <w:spacing w:after="0" w:line="257" w:lineRule="auto"/>
        <w:rPr>
          <w:sz w:val="20"/>
          <w:szCs w:val="20"/>
          <w:color w:val="auto"/>
        </w:rPr>
      </w:pPr>
      <w:r>
        <w:rPr>
          <w:rFonts w:ascii="Arial" w:cs="Arial" w:eastAsia="Arial" w:hAnsi="Arial"/>
          <w:sz w:val="18"/>
          <w:szCs w:val="18"/>
          <w:color w:val="auto"/>
        </w:rPr>
        <w:t>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81" w:lineRule="exact"/>
        <w:rPr>
          <w:sz w:val="20"/>
          <w:szCs w:val="20"/>
          <w:color w:val="auto"/>
        </w:rPr>
      </w:pPr>
    </w:p>
    <w:p>
      <w:pPr>
        <w:ind w:right="60" w:firstLine="45"/>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Also pursuant to the terms of the agreement to sell NASDI and Yankee and as described above, the Company agreed to keep in place surety bonds for certain pending demolition projects, and the buyer agreed to indemnify the Company for all losses relating to those bonds. As described above, in May 2017, Zurich drew upon the Company’s letter of credit in the amount of $20,881. On May 26, 2017, the Company and NASDI Holdings, LLC brought a second action in the Delaware Court of Chancery seeking indemnification for all losses relating to the bonds for that project.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36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owns 50% of TerraSea Environmental Solutions (“TerraSea”) as a joint venture. TerraSea is engaged in the environmental services business through its ability to remediate contaminated soil and dredged sediment treatment. At June 30, 2017 and December 31, 2016, the Company had net advances to TerraSea of $4,758 and $24,696, respectively, which are recorded in prepaid expenses and other current assets. The Company has an accumulated deficit in joint ventures, which represents losses recognized to date in excess of our investment in TerraSea, of $2,379 and $17,016 at June 30, 2017 and December 31, 2016, respectively, which is presented in accrued expenses. The Company is in the final stages of the wind down of TerraSea with its joint venture partner.</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second quarter of 2017, the Company and the joint venture partner agreed to a final resolution of the net advances through additional funding of the joint venture. The Company recorded additional losses of $1,458 related to this agreement during the quarter ended June 30, 2017. There are no remaining TerraSea projects at June 30, 2017.</w:t>
      </w:r>
    </w:p>
    <w:p>
      <w:pPr>
        <w:spacing w:after="0" w:line="27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The amount and timing of any realization of additional net proceeds has been impacted by the litigation with the buyer of the historical demolition business. However, management believes that the ultimate resolution of these matters will not be material to the Company’s consolidated financial position or results of operations.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discussed in Note 8, the Company was notified by Zurich of an alleged default triggered on a historical demolition surety performance bond in the aggregate of approximately $20,000 for failure of the contractor to perform in accordance with the terms of a project. Zurich could be obligated to reimburse the loss, damage and expense that may arise from the alleged default.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right="240"/>
        <w:spacing w:after="0" w:line="277" w:lineRule="auto"/>
        <w:rPr>
          <w:sz w:val="20"/>
          <w:szCs w:val="20"/>
          <w:color w:val="auto"/>
        </w:rPr>
      </w:pPr>
      <w:r>
        <w:rPr>
          <w:rFonts w:ascii="Arial" w:cs="Arial" w:eastAsia="Arial" w:hAnsi="Arial"/>
          <w:sz w:val="18"/>
          <w:szCs w:val="18"/>
          <w:color w:val="auto"/>
        </w:rPr>
        <w:t>estimated its exposure to a surety bond claim, including associated expenses, to be $20,900 and has recorded this amount in discontinued operations during the six months ended June 30, 2017 as follows:</w:t>
      </w: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38"/>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Magnus Pacific acquisition</w:t>
      </w:r>
    </w:p>
    <w:p>
      <w:pPr>
        <w:spacing w:after="0" w:line="200" w:lineRule="exact"/>
        <w:rPr>
          <w:sz w:val="20"/>
          <w:szCs w:val="20"/>
          <w:color w:val="auto"/>
        </w:rPr>
      </w:pPr>
    </w:p>
    <w:p>
      <w:pPr>
        <w:spacing w:after="0" w:line="24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On November 4, 2014, the Company acquired Magnus Pacific Corporation (“Magnus”), a California corporation, for an aggregate purchase price of approximately $40 million. Under the terms of the acquisition, the aggregate purchase price is satisfied by payment of $25 million paid at closing, the issuance of a promissory note and an earnout payment.</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Magnus did not reach the minimum EBITDA threshold for 2015 designated in the secured promissory note; therefore, during 2015, the Company reduced the remaining fair value to zero. Under the terms of the acquisition, as amended, the maximum potential aggregate earnout (the “Earnout Payment”) is $11,400 and will be determined based on the attainment of an average Adjusted EBITDA target of GLEI for the years ending December 31, 2017, December 31, 2018 and December 31, 2019. The Earnout Payment may be paid in cash or shares of the Company’s common stock, at the Company’s option. The Company remeasures the fair value of the contingent Earnout Payment based on projections of the earnings target for the business. Based on the Company’s current projections, GLEI is not expected to reach the minimum Adjusted EBITDA threshold designated in the amended share purchase agreement.</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fourth quarter of 2016, the Company sold assets associated with certain service lines of the environmental &amp; infrastructure segment’s business, excluding assets supporting the remediation service line.</w:t>
      </w:r>
    </w:p>
    <w:p>
      <w:pPr>
        <w:spacing w:after="0" w:line="153"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infrastructure.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Contract revenues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152,507</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153,661</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305,561</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298,674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340" w:type="dxa"/>
            <w:vAlign w:val="bottom"/>
            <w:gridSpan w:val="2"/>
          </w:tcPr>
          <w:p>
            <w:pPr>
              <w:ind w:left="580"/>
              <w:spacing w:after="0"/>
              <w:rPr>
                <w:sz w:val="20"/>
                <w:szCs w:val="20"/>
                <w:color w:val="auto"/>
              </w:rPr>
            </w:pPr>
            <w:r>
              <w:rPr>
                <w:rFonts w:ascii="Arial" w:cs="Arial" w:eastAsia="Arial" w:hAnsi="Arial"/>
                <w:sz w:val="18"/>
                <w:szCs w:val="18"/>
                <w:b w:val="1"/>
                <w:bCs w:val="1"/>
                <w:color w:val="auto"/>
              </w:rPr>
              <w:t>Environmental &amp; infrastructure</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(17,480)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58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(1,251)</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(2,051)</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192,192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347,445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355,311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8" w:name="page19"/>
    <w:bookmarkEnd w:id="18"/>
    <w:p>
      <w:pPr>
        <w:ind w:right="40"/>
        <w:spacing w:after="0" w:line="308" w:lineRule="auto"/>
        <w:rPr>
          <w:sz w:val="20"/>
          <w:szCs w:val="20"/>
          <w:color w:val="auto"/>
        </w:rPr>
      </w:pPr>
      <w:r>
        <w:rPr>
          <w:rFonts w:ascii="Arial" w:cs="Arial" w:eastAsia="Arial" w:hAnsi="Arial"/>
          <w:sz w:val="17"/>
          <w:szCs w:val="17"/>
          <w:color w:val="auto"/>
        </w:rPr>
        <w:t>Foreign dredging revenue for the three and six months ended June 30, 2017 of $12,420 and $31,574, respectively, was mostly attributable to work done in the Middle East. Foreign dredging revenue for the three and six months ended June 30, 2016 was $11,683 and $13,192, respectively.</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166"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Company’s long-term debt at June 30, 2017 includes $325,000 of 8.000% senior notes due May 15, 2022. The Company’s obligations under these senior unsecured notes are guaranteed by certain of the Company’s 100% owned domestic subsidiaries. Such guarantees are full, unconditional and joint and several.</w:t>
      </w:r>
    </w:p>
    <w:p>
      <w:pPr>
        <w:spacing w:after="0" w:line="13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In connection with the 8% Senior Notes issued in May 2017, certain of the Company’s 100% owned domestic subsidiaries were released as subsidiary guarantors of the debt. Accordingly, the 2016 financial information included below has been recast to reflect the release of these entities as subsidiary guarantors.</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38"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sheets as of June 30, 2017 and December 31, 2016;</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three and six months ended June 30, 2017 and 2016; and</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2017 and 2016.</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9" w:name="page20"/>
    <w:bookmarkEnd w:id="19"/>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JUNE 30, 2017</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12,958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54,199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247,193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255,399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ASSETS HELD FOR SALE—Noncurrent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172,294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(238,506)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540,750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(540,750)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718,528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(780,339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839,488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126,128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8% SENIOR NOTES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(238,506)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(30,927)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327,734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544,851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(35,028)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230,798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(509,823)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230,798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718,528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(780,339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839,488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0" w:name="page21"/>
    <w:bookmarkEnd w:id="20"/>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287,572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407,516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(157,431)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636,216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(636,216)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918,384</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725,509</w:t>
            </w:r>
          </w:p>
        </w:tc>
        <w:tc>
          <w:tcPr>
            <w:tcW w:w="2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(795,210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101,795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2,879</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162,739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7 3/8% SENIOR NOTES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272,998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NOTE PAYABLE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(157,431)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477,619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(190,994)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(34,568)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(604,216)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918,384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725,509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(795,210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(149,800)</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(Gain) loss on sale of assets—net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subsidiaries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95"/>
              </w:rPr>
              <w:t>Income (loss) from continuing operations before income</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(2,186)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(8,213)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(1,406)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(7,501)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Corporation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98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177,749</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15,551</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192,192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(148,127)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sale of assets—net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(7,808)</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joint ventures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 benefit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3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Corporation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76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344,298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4,277</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347,445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(302,340)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(4,279)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4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sale of assets—net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w w:val="95"/>
              </w:rPr>
              <w:t>Income (loss) from continuing operations before income</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6"/>
              </w:rPr>
              <w:t>Loss from discontinued operations, net of income taxes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(20,900)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Comprehensive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15,198</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Corporation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98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332,328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24,628</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(277,090)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(35,620)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55,238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sale of assets—net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(11,259)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(16,781)</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joint ventures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 benefit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(18,912)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(5,197)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5" w:name="page26"/>
    <w:bookmarkEnd w:id="25"/>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2017</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Net cash flows provided by (used in) operating activities of</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37,010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(16,915)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8"/>
              </w:rPr>
              <w:t>Net cash flows used in operating activities of discontinued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(20,900)</w:t>
            </w: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(20,900)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Cash provided by (used in) operating activities</w:t>
            </w: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(16,915)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(41,828)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Changes in restricted cash</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(90,635)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Transfer to parent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Cash provided by (used in)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Proceeds from issuance of 8% senior notes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Redemption of 7 3/8% senior notes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7 3/8% senior notes tender premium</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financing fees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equipment debt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(80,247)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Transfer to parent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(81,000)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Cash provided by (used in)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(383)</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6" w:name="page27"/>
    <w:bookmarkEnd w:id="26"/>
    <w:p>
      <w:pPr>
        <w:ind w:right="538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Cash provided by (used in) operating activities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23,152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(5,974)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(9,918)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(32,129)</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(2,618)</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Cash provided by (used in) investing activities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term loan facility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(35,304)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 to parent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(23,000)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(66,500)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Cash provided by (used in) financing activities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18,831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2016, and in other securities filings by Great Lakes with the SEC.</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42% over the prior three years, including 61%, 39%, 27% and 38% of the domestic capital, coastal protection, maintenance and rivers &amp; lakes sectors, respectively.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six months of 2017, the Company’s dredging revenues earned from contracts with federal government agencies, including the Corps as well as other federal entities such as the U.S. Coast Guard and the U.S. Navy were approximately 64% of dredging revenues, slightly below the Company’s prior three year average of 66%.</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environmental &amp; infrastructure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which is comprised of Great Lakes Environmental &amp; Infrastructure, LLC (“GLEI”) and Terra Contracting Services, LLC (“Terra”), accounted for 13% of total revenues in the first six months of 2017.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600"/>
        <w:spacing w:after="0" w:line="277"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The Company has determined that dredging, GLEI and Terra are the Company’s three reporting units.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set forth the components of net loss and Adjusted EBITDA from continuing operations, as defined below, as a percentage of contract revenues for the three and six months ended June 30,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40" w:type="dxa"/>
            <w:vAlign w:val="bottom"/>
            <w:gridSpan w:val="2"/>
            <w:vMerge w:val="restart"/>
          </w:tcPr>
          <w:p>
            <w:pPr>
              <w:ind w:left="580"/>
              <w:spacing w:after="0"/>
              <w:rPr>
                <w:sz w:val="20"/>
                <w:szCs w:val="20"/>
                <w:color w:val="auto"/>
              </w:rPr>
            </w:pPr>
            <w:r>
              <w:rPr>
                <w:rFonts w:ascii="Arial" w:cs="Arial" w:eastAsia="Arial" w:hAnsi="Arial"/>
                <w:sz w:val="18"/>
                <w:szCs w:val="18"/>
                <w:color w:val="auto"/>
              </w:rPr>
              <w:t>Contract revenues</w:t>
            </w: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(87.4)</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on sale of assets—net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expense—net</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1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w:t>
            </w:r>
          </w:p>
        </w:tc>
        <w:tc>
          <w:tcPr>
            <w:tcW w:w="152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Income (loss) from discontinued operations, net of income taxes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4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0" w:type="dxa"/>
            <w:vAlign w:val="bottom"/>
            <w:gridSpan w:val="2"/>
          </w:tcPr>
          <w:p>
            <w:pPr>
              <w:jc w:val="right"/>
              <w:ind w:right="856"/>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the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(694)</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(1,719)</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(17,482)</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w w:val="97"/>
              </w:rPr>
              <w:t>Income (loss) from discontinued operations, net of income taxes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(12,697)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Adjusted for:</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31,472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40,335</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98,073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92,272</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31,574</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57,426</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104,639</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66,224</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15,576</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22,347</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305,561</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298,674</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39,782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58,872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(1,251)</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(2,235)</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176,859</w:t>
            </w:r>
          </w:p>
        </w:tc>
        <w:tc>
          <w:tcPr>
            <w:tcW w:w="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192,192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347,445</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355,311</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revenue was $176.9 million for the three months ended June 30, 2017, down $15.3 million, or 8%, from $192.2 million for the same period in the prior year. For the three months ended June 30, 2017, the Company experienced increases in maintenance, coastal protection and foreign capital revenues. These increases were offset by decreases in environmental &amp; infrastructure, domestic capital and rivers &amp; lakes revenues. For the six months ended June 30, 2017, total revenue was $347.4 million, down from revenue of $355.3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ind w:right="140"/>
        <w:spacing w:after="0" w:line="264" w:lineRule="auto"/>
        <w:rPr>
          <w:sz w:val="20"/>
          <w:szCs w:val="20"/>
          <w:color w:val="auto"/>
        </w:rPr>
      </w:pPr>
      <w:r>
        <w:rPr>
          <w:rFonts w:ascii="Arial" w:cs="Arial" w:eastAsia="Arial" w:hAnsi="Arial"/>
          <w:sz w:val="18"/>
          <w:szCs w:val="18"/>
          <w:color w:val="auto"/>
        </w:rPr>
        <w:t>million for the same period in the prior year, representing a decrease of $7.9 million or 2%. For the six months ended June 30, 2017, the Company experienced increases in domestic capital and foreign capital revenues, which were offset by decreases in environmental &amp; infrastructure, coastal protection, maintenance and rivers &amp; lakes revenues.</w:t>
      </w:r>
    </w:p>
    <w:p>
      <w:pPr>
        <w:spacing w:after="0" w:line="18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June 30, 2017, domestic capital dredging was $31.5 million, down $8.9 million, or 22%, compared to $40.3 million for the same quarter in 2016. The decrease in domestic capital dredging revenues for the quarter ended June 30, 2017 was driven by a greater amount of revenue earned on coastal restoration projects in Louisiana during the same quarter of the prior year. This decrease in the second quarter of 2017 was partially offset by a greater amount of revenue earned on a liquefied natural gas (“LNG”) project in Texas during the three months ended June 30, 2017. Domestic capital dredging for the six months ended June 30, 2017 was $98.1 million compared to $92.3 million for the same period in 2016, representing an increase of $5.8 million, or 6%. For the six months ended June 30, 2017, the increase in domestic capital dredging revenues was largely attributable to revenue earned on the Savannah Harbor deepening project partially offset by a greater amount of revenue earned on coastal restoration projects in Louisiana during the prior year period. Further, work on a deepening project on the Delaware River and a project in Florida also contributed to revenue for the six months ended June 30, 2017.</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second quarter of 2017, foreign capital revenue was $12.4 million, an increase of $0.7 million, or 6%, as compared to $11.7 million in the same quarter in the prior year. Foreign capital revenue for the first half of 2017 was $31.6 million, an increase of $18.4 million, or 139%, as compared to the same period in the prior year. The increase in revenue for the three and six months ended June 30, 2017 was attributable to a greater amount of revenue earned on a project in Saudi Arabia as well as a sand supply project in Bahrain during the current year period. An additional project in Bahrain and a project in Brazil also contributed to revenue during the first half of 2017.</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Coastal protection projects generally involve moving sand from the ocean floor to shoreline locations where erosion threatens shoreline assets. Coastal protection revenue for the quarter ended June 30, 2017 was $60.3 million, an increase of $2.9 million, or 5%, compared to $57.4 million in the prior year period. The increase in coastal protection revenue for the current year quarter as compared to the prior year quarter was driven by a greater amount of revenue earned on a project in Florida during the second quarter of 2017. Coastal protection revenue for the six months ended June 30, 2017 was $100.6 million, down $4.0 million or 4%, from $104.6 million for the first six months of 2016. The decrease in coastal protection revenue for the first six months of 2017 was attributable to a lower amount of revenue earned on large projects in New Jersey and New York for the repair of shorelines damaged as a result of Superstorm Sandy and winter storms as compared to the same period in 2016. In addition, the prior year included a greater amount of revenue from projects in Florida as compared to the current year. This decrease was partially offset by a greater amount of revenue earned on a coastal protection project in Virginia along with revenue earned on projects in North Carolina and Delaware during the first half of 2017.</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Maintenance revenue for the second quarter of 2017 was $34.3 million, up $5.7 million, or 20%, from $28.6 million in the second quarter of 2016. During the second quarter of 2017, the increase in maintenance dredging revenues was driven by work on projects in Florida and Delaware during the current year period partially offset by a greater amount of revenue earned on projects in Louisiana during the same quarter of 2016. Maintenance revenue for the first half of 2017 was $56.3 million, down $10.0 million, or 15%, compared to $66.2 million for the same period in the prior year. The decrease in maintenance dredging revenues for the first six months of 2017 was mostly attributable to revenue earned on projects in Georgia and Massachusetts in the first half of 2016 that did not repeat during the current year. Maintenance projects in Maryland, North Carolina, Pennsylvania, Florida, Delaware and on the Columbia River also contributed to revenue during the first six months of 2017.</w:t>
      </w:r>
    </w:p>
    <w:p>
      <w:pPr>
        <w:spacing w:after="0" w:line="1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second quarter of 2017, rivers &amp; lakes revenue was $14.0 million, a decrease of $1.6 million, or 10%, from $15.6 million during the same period of 2016. Rivers &amp; lakes revenue for the six months ended June 30, 2017 was $19.0 million, down $3.3 million, or 15%, from $22.3 million in the first half of 2016. The decrease in rivers &amp; lakes revenue for the three and six months ended June 30, 2017 was driven by a greater amount of revenue earned on a reservoir project in Kansas during the prior year period. This decrease was partially offset by revenue earned on projects in New Jersey, Florida, Mississippi and Illinois during the first half of 2017.</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environmental &amp; infrastructure segment’s services include environmental and geotechnical construction, specifically, slurry wall construction, in-situ stabilization, large scale reclamation and habitat restoration. In addition, the segment provides remediation services which involve the containment, immobilization or removal of contamination from an environment through the use of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ind w:right="60"/>
        <w:spacing w:after="0" w:line="271" w:lineRule="auto"/>
        <w:rPr>
          <w:sz w:val="20"/>
          <w:szCs w:val="20"/>
          <w:color w:val="auto"/>
        </w:rPr>
      </w:pPr>
      <w:r>
        <w:rPr>
          <w:rFonts w:ascii="Arial" w:cs="Arial" w:eastAsia="Arial" w:hAnsi="Arial"/>
          <w:sz w:val="17"/>
          <w:szCs w:val="17"/>
          <w:color w:val="auto"/>
        </w:rPr>
        <w:t>combination of isolation, treatment or exhumation techniques, including off-site disposal, based on the quantity and severity of the contamination. Environmental &amp; infrastructure segment revenues during the second quarter of 2017 were $24.7 million, down $15.1 million, or 38%, compared to $39.8 million in the same quarter of the prior year. For the six months ended June 30, 2017, the environmental &amp; infrastructure segment recorded revenues of $43.9 million, a $14.9 million, or 25%, decrease from $58.9 million for the same prior year period. Environmental &amp; infrastructure revenue for the first six months of 2017 included work on remediation projects in Florida, New Jersey and Colorado and a geotechnical project in California. Revenue on these projects was offset by a greater amount of revenue earned on a large mine project in Washington and in the environmental &amp; infrastructure segment’s service lines during the first half of 2016. During the fourth quarter of 2016, the Company sold assets associated with certain service lines of the environmental &amp; infrastructure segment’s business, excluding assets supporting the remediation service line.</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Consolidated gross profit for the quarter ended June 30, 2017 was $25.8 million, up $1.5 million, or 6%, compared to $24.3 million in the same quarter of 2016. Gross profit margin for the three months ended June 30, 2017 was 14.6% compared to 12.6% in the second quarter of 2016. The increase in gross profit for the second quarter of 2017 was a result of an approved change order on a project in the environmental &amp; infrastructure segment which positively impacted margin, slightly offset by a decline in dredging segment gross profit attributable to fewer domestic dredging projects with strong performance during the current year period. Consolidated gross profit for the six months ended June 30, 2017 was $42.0 million, down $2.3 million, or 5%, compared to $44.2 million in the same period of the prior year. Gross profit margin for the six months ended June 30, 2017 decreased to 12.1% from 12.5% in the first half of 2016. The decrease in gross profit for the six months ended June 30, 2017 was attributable to fewer domestic dredging projects with strong performance and higher maintenance expense, driven by a higher number of dry dockings during the first half of 2017 than in the comparable period of the prior year. In comparison, the Company experienced strong performance on several coastal protection and maintenance projects during the prior year period. These decreases were partially offset by stronger contract margins and lower overhead, primarily related to improved absorption of the segment’s downsized fleet of equipment, in the environmental &amp; infrastructure segment during the first half of 2017 as compared to the prior year period, which positively contributed to gross profit.</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months ended June 30, 2017 and 2016, general and administrative expenses were $17.3 million and $19.8 million, respectively. The $2.5 million decrease in general and administrative expenses for the second quarter of 2017 was driven by a $1.9 million decrease in payroll and benefits and a $0.5 million decrease in legal and professional fees. General and administrative expenses for the six months ended June 30, 2017 and 2016 totaled $34.1 million and $39.8 million, respectively. The $5.8 million change in general and administrative expenses for the first half of 2017 was mostly attributable to a $4.3 million decrease in payroll and benefits primarily related to the service lines of the environmental &amp; infrastructure segment’s business sold in the fourth quarter of 2016 and a $1.8 million decrease in legal and professional fees slightly offset by a $0.4 million increase in technical and consulting expenses during the first six months of 2017.</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second quarter of 2017 was $8.3 million, up $4.5 million, compared to operating income of $3.8 million for the same quarter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increase in operating income for the second quarter of 2017 was a result of higher gross profit and lower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 in the prior year, as described above. For the six months ended June 30, 2017, the Company experienced operating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 million, an increase of $4.0 million, from operating income of $3.7 million in the same prior year period. The change in the Company’s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2017 was attributable to a decrease in general and administrative expenses partially offset by a decrease in gross profit, as described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three months ended June 30, 2017 and 2016, net interest expense was $6.4 million and $5.9 million, respectively. Net interest expense for the six months ended June 30, 2017 was $12.0 million, up $0.4 million, or 3%, from interest expense of $11.6 million for the same period in the prior year. The change in interest expense for the quarter and year to date 2017 was attributable to an increase in expense related to the Company’s new senior notes, partially offset by a decrease in expense related to the Company’s senior secured term loan facility, which was paid in full during the fourth quarter of 2016.</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tax benefit for the three months ended June 30, 2017 and 2016 was $1.1 million and $0.8 million, respectively. For the six months ended June 30, 2017 and 2016, the income tax benefit was $3.4 million. The effective tax rate for the six months ended June 30, 2017 was 41.5%, slightly above the effective tax rate of 37.2% for the same period of 2016.</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recorded a net loss from continuing operations of $1.1 million and a diluted loss per share attributable to continuing operations of $0.02 for the second quarter of 2017, compared to a net loss from continuing operations of $1.7 million and a diluted loss per share attributable to continuing operations of $0.03 for the second quarter of 2016. The Company experienced a net loss from continuing operations of $4.8 million and a diluted loss per share attributable to continuing operations of $0.08 for the six months ended June 30, 2017, compared to a net loss from continuing operations of $5.8 million and a diluted loss per share attributable to continuing operations of $0.10 for the same period of 2016. The change in net loss from continuing operations for the three and six months ended June 30, 2017 was driven by the increase in operating income, as described above, partially offset by an increase in interest expense and loss on extinguishment of debt resulting from the Company’s new senior notes during the current year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Further, the Company recognized a $1.5 million loss associated with the Company’s TerraSea joint venture during the second quarter of 2017.</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Adjusted EBITDA from continuing operations (as defined on page 30) for the quarter ended June 30, 2017 was $17.6 million, down $0.7 million, or 4%, from $18.3 million for the second quarter of 2016. The change in EBITDA from continuing operations during the second quarter of 2017 was driven by a decrease in gross profit, excluding depreciation, and the $1.5 million loss associated with the Company’s TerraSea joint venture during the current year quarter. These decreases were partially offset by lower general and administrative expenses, as described above, and positive changes to loss on sale of assets and other expense which impacted the second quarter of 2017. For the six months ended June 30, 2017, Adjusted EBITDA from continuing operations was $31.8 million, up $0.5 million, or 2%, from Adjusted EBITDA from continuing operations of $31.3 million for the same prior year period. The change in Adjusted EBITDA from continuing operations during the first half of 2017 was attributable to changes in general and administrative expenses, as described above, loss on sale of assets and other expense which positively impacted the current year period. These changes were partially offset by lower gross profit as compared to the same period in 2016 and loss associated with the Company’s TerraSea joint venture recorded during the first half of 2017.</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Dredging segment revenues for the second quarter of 2017 were $152.5 million, down $1.2 million, or 1%, compared to $153.7 million for the second quarter of 2016. For the quarter ended June 30, 2017, the decrease in dredging revenue was attributable to decreases in domestic capital and rivers &amp; lakes revenues partially offset by increases in maintenance, coastal protection and foreign capital revenues. A greater amount of revenue was earned on coastal restoration projects in Louisiana and a reservoir project in Kansas during the second quarter of 2016 as compared to the current year quarter. These decreases were partially offset by greater amount of revenue earned on a LNG project in Texas and a coastal protection project in Florida as compared to the prior year quarter as well as revenue earned on maintenance projects in Florida and Delaware. Dredging segment revenues for the six months ended June 30, 2017 were $305.6 million, up $6.9 million, or 2%, compared to revenues of $298.7 million for the same prior year period. For the six months ended June 30, 2017, the dredging segment experienced increases in domestic and foreign capital revenues which were partially offset by decreases in maintenance, coastal protection and rivers &amp; lakes revenues. This increase in current year revenues was driven by revenue earned on coastal protection projects in Virginia and North Carolina, a project in Saudi Arabia and a sand supply project in Bahrain as well as the Savannah Harbor deepening project. These increases were partially offset by lower revenue earned during the current year on a reservoir project in Kansas and on large projects in New York and New Jersey for the repair of shorelines damaged as a result of Superstorm Sandy and winter storms as compared to the same period in 2016. Further, maintenance projects in Georgia and Massachusetts during the first half of 2016 did not repeat during the current year.</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Dredging segment gross profit for the quarter ended June 30, 2017 was $21.5 million compared to $24.1 million in the same quarter of the prior year. Gross profit margin for the second quarter of 2017 and 2016 was 14.1% and 15.7%, respectively. For the six months ended June 30, 2017, the dredging segment gross profit was $36.0 million, down from a gross profit of $47.4 million in the same period of 2016. Further, dredging segment gross profit margin for the six months ended June 30, 2017 decreased to 11.8% from gross profit margin of 15.9% for the first half of 2016. The decrease in dredging segment gross profit for the three and six months ended June 30, 2017 was attributable to fewer domestic dredging projects with strong performance and higher maintenance expense, driven by a higher number of dry dockings during the first half of 2017 than in the comparable period of the prior year. In comparison, the Company experienced strong performance on several coastal protection and maintenance projects during the prior year period.</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Dredging segment operating income for the second quarter of 2017 was $8.5 million, a $2.1 million decrease compared to $10.6 million in the same period of the prior year. For the six months ended June 30, 2017, operating income was $10.6 million, a $10.6 million decrease from $21.2 million in the first six months of 2016. The change in operating income for the three and six months ending June 30, 2017 is the result of lower gross profit, as described above, partially offset by a decrease in general and administrative expenses. The dredging segment experienced lower legal and professional fees which were slightly offset by higher payroll and benefits as compared to the first half of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22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During the three months ended June 30, 2017, environmental &amp; infrastructure revenues were $24.7 million, down $15.1 million, or 38%, from $39.8 million in the same quarter in the prior year. Environmental &amp; infrastructure segment revenues for the six months ended June 30, 2017 were $43.9 million, down $14.9 million, or 25%, from revenue of $58.9 million for the first six months of 2016. Environmental &amp; infrastructure revenues for the first six</w:t>
      </w:r>
    </w:p>
    <w:p>
      <w:pPr>
        <w:ind w:right="520"/>
        <w:spacing w:after="0" w:line="261" w:lineRule="auto"/>
        <w:rPr>
          <w:sz w:val="20"/>
          <w:szCs w:val="20"/>
          <w:color w:val="auto"/>
        </w:rPr>
      </w:pPr>
      <w:r>
        <w:rPr>
          <w:rFonts w:ascii="Arial" w:cs="Arial" w:eastAsia="Arial" w:hAnsi="Arial"/>
          <w:sz w:val="18"/>
          <w:szCs w:val="18"/>
          <w:color w:val="auto"/>
        </w:rPr>
        <w:t>months of 2017 included work on remediation projects in Florida, New Jersey and Colorado and a geotechnical project in California. Revenue on these projects was offset by a greater amount of revenue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20"/>
        <w:spacing w:after="0" w:line="264" w:lineRule="auto"/>
        <w:rPr>
          <w:sz w:val="20"/>
          <w:szCs w:val="20"/>
          <w:color w:val="auto"/>
        </w:rPr>
      </w:pPr>
      <w:r>
        <w:rPr>
          <w:rFonts w:ascii="Arial" w:cs="Arial" w:eastAsia="Arial" w:hAnsi="Arial"/>
          <w:sz w:val="18"/>
          <w:szCs w:val="18"/>
          <w:color w:val="auto"/>
        </w:rPr>
        <w:t>earned on a large mine project in Washington and in the environmental &amp; infrastructure segment’s service lines during the first half of 2016. During the fourth quarter of 2016, the Company sold assets associated with certain service lines of the environmental &amp; infrastructure segment’s business, excluding assets supporting the remediation service line.</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Environmental &amp; infrastructure gross profit for the second quarter of 2017 was $4.3 million, an increase of $4.1 million compared to $0.2 million in the second quarter of 2016. Gross profit margin in the environmental &amp; infrastructure segment was 17.3% and 0.5% for the three months ended June 30, 2017 and 2016, respectively. The environmental &amp; infrastructure segment experienced a gross profit of $6.0 million and a negative gross profit of $3.2 million for the six months ended June 30, 2017 and 2016, respectively. For the first six months of 2017, the environmental &amp; infrastructure segment experienced a gross profit margin of 13.6% compared to a negative gross profit margin of 5.4% for the same period of the prior year. The change in gross profit during the three and six months ended June 30, 2017 was driven by an approved change order on a project in the environmental &amp; infrastructure segment which positively impacted margin during the current year period. Further, stronger contract margins and lower overhead, primarily related to improved absorption of the segment’s downsized fleet of equipment, during the first half of 2017 as compared to the prior year period, positively contributed to gross profit.</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Environmental &amp; infrastructure segment operating loss for the second quarter of 2017 was $0.1 million, a $6.7 million positive change compared to a $6.8 million operating loss in the same period in the prior year. For the six months ended June 30, 2017, the environmental &amp; infrastructure segment experienced an operating loss of $2.9 million, a positive change of $14.6 million compared to an operating loss of $17.5 million for the same period of the prior year. The change in operating loss for the three and six months ended June 30, 2017 is mostly attributable to the improved gross profit, as described above, and a decrease in general and administrative expenses, specifically a decrease in payroll and benefits primarily related to the service lines of the environmental &amp; infrastructure segment’s business, which was sold in the fourth quarter of 2016 and a decrease in legal and professional fees.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238,581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234,575</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344,230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109,871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149,748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38,801</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68,263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385,471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467,698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52,768</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438,239</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505,343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676,603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58% of the Company’s June 30, 2017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domestic dredging bid market for the 2017 quarter ended June 30, 2017 totaled $148.8 million, a $73.1 million decrease from $221.9 million in the same quarter of the prior year. The domestic dredging bid market for the six months ended June 30, 2017 was $327.6 million, a decrease of $20.5 million, compared to the first six months of 2016. Awards during the current year period include two coastal restoration projects in the Gulf of Mexico, a deepening project on the Delaware River, maintenance projects in Louisiana, Texas, Connecticut and on the Columbia River and coastal protection projects in South Carolina and New Jersey. The bid market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60"/>
        <w:spacing w:after="0" w:line="255" w:lineRule="auto"/>
        <w:rPr>
          <w:sz w:val="20"/>
          <w:szCs w:val="20"/>
          <w:color w:val="auto"/>
        </w:rPr>
      </w:pPr>
      <w:r>
        <w:rPr>
          <w:rFonts w:ascii="Arial" w:cs="Arial" w:eastAsia="Arial" w:hAnsi="Arial"/>
          <w:sz w:val="18"/>
          <w:szCs w:val="18"/>
          <w:color w:val="auto"/>
        </w:rPr>
        <w:t>the six months ended June 30, 2017 was down compared to the prior year primarily due to a larger amount of maintenance and rivers &amp; lakes projects awarded during the prior year period. This decrease was partially offset by the award of an $88 million coastal restoration project in the Gulf of Mexico during the first quarter of 2017. For the contracts awarded in the current year, the Company won 91%, or $37.6 million, of the coastal protection projects, 58%, or $88.5 million, of the domestic capital projects, 34%, or $40.6 million, of the maintenance projects and 20%, or $2.6 million, of the rivers &amp; lakes projects through June 30, 2017. The Company won 52% of the overall domestic bid market for the first six months of 2017, which is above the Company’s prior three year average of 42%. Variability in contract wins from quarter to quarter is not unusual and one quarter’s win rate is generally not indicative of the win rate the Company is likely to achieve for a full year.</w:t>
      </w:r>
    </w:p>
    <w:p>
      <w:pPr>
        <w:spacing w:after="0" w:line="189"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Company’s contracted dredging backlog was $385.5 million at June 30, 2017 compared to $467.7 million of backlog at December 31, 2016. These amounts do not reflect approximately $20.7 million of domestic low bids pending formal award and additional phases (“options”) pending on projects currently in backlog at June 30, 2017. At December 31, 2016 the amount of domestic low bids and options pending award was $24.6 million.</w:t>
      </w:r>
    </w:p>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Domestic capital dredging backlog at June 30, 2017 was $4.0 million higher than at December 31, 2016. During the first six months of 2017, the Company was awarded an $88 million coastal restoration project in the Gulf of Mexico. For the six months ended June 30, 2017, the Company continued to earn revenue on several coastal restoration projects in Louisiana, the Savannah Harbor deepening project, a deepening project on the Delaware River and an LNG project in Texas which were in backlog at December 31, 2016. The Company is encouraged by the new administration’s focus on repairing and rebuilding America’s infrastructure, including our nation’s ports and waterways. The Panama Canal expansion was completed during the second quarter of 2016, which continues to put pressure on the ports on the East Coast to continue with their studies and plans to deepen and widen in anticipation of the post-Panamax vessels. The Company anticipates that Jacksonville and Charleston will likely be the next ports that will be let for bid, potentially in the third quarter of 2017. Further, Boston and Port Everglades continue to look promising to potentially commence their port deepening projects by the end of 2017 and 2018, respectively. In April 2016, the federal court in New Orleans approved the October 2015 settlement, of approximately $20 billion, between the United States, the five Gulf States and BP for damages from the Deepwater Horizon oil spill. Louisiana will receive a minimum of $6.8 billion for claims related to natural resource damages under the Oil Pollution Act, Clean Water Act as civil penalties, and the State’s various economic claims.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States to come to fruition in the next couple of years providing a new source of domestic capital dredging projects on which the Company will bid.</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Foreign capital dredging backlog at June 30, 2017 was $12.2 million lower than at December 31, 2016. During the first six months of 2017, the Company was awarded a sand supply project in the Middle East. During the second quarter of 2017, the Company was the low bidder on a $67 million project in Bahrain which the Company expects to be awarded in the third quarter of 2017. During the first half of 2017, the Company continued to earn revenue on a project in Saudi Arabia which was in backlog at December 31, 2016.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six years. Besides the Middle East, the Company continues to pursue ancillary work in South America where we have positioned a clamshell dredge and operate as a reputable regional provider. The Company expects the additional opportunities globally to provide a continued source of future international dredging revenue.</w:t>
      </w:r>
    </w:p>
    <w:p>
      <w:pPr>
        <w:spacing w:after="0" w:line="19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Coastal protection dredging backlog at June 30, 2017 was $54.4 million lower than at December 31, 2016. In the first six months of 2017, the Company was awarded a $26 million coastal protection project in South Carolina and an option on a coastal protection project in New Jersey. In comparison, the Company was awarded larger coastal protection projects in North Carolina and Virginia during the prior year period. During the first six months of 2017, the Company continued to earn revenue on several large coastal protection projects in New Jersey and New York as well as on large projects in Virginia and North Carolina which were in backlog at December 31, 2016. Funding related to Northeastern U.S. beach replenishment continues to be released and the Company is anticipating these new dredging projects along the coast to extend through 2017. Federal and state government actions continue to support the repair and improvement of America’s coastline through the completion of protective beaches and berms.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Maintenance dredging backlog was down $14.1 million from December 31, 2016. During the first six months of 2017, the Company was awarded maintenance projects in North Carolina, Louisiana, Maryland and on the Columbia River. During the first six months of 2017, the Company continued to earn revenue on projects in Maryland, Pennsylvania, Florida and Delaware which were in backlog at December 31, 2016. The budget for fiscal year 2017 provides for a record budget for the Corps of $6 billion and exceeds the increase in Harbor Maintenance Trust Fund (“HMTF”) spending for maintenance dredging as required by the 2014 Water Resources and Development Act. Further, the water resources development bill, rebranded as the Water Infrastructure Improvements for the Nation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220"/>
        <w:spacing w:after="0" w:line="276" w:lineRule="auto"/>
        <w:rPr>
          <w:sz w:val="20"/>
          <w:szCs w:val="20"/>
          <w:color w:val="auto"/>
        </w:rPr>
      </w:pPr>
      <w:r>
        <w:rPr>
          <w:rFonts w:ascii="Arial" w:cs="Arial" w:eastAsia="Arial" w:hAnsi="Arial"/>
          <w:sz w:val="17"/>
          <w:szCs w:val="17"/>
          <w:color w:val="auto"/>
        </w:rPr>
        <w:t>Act (“WIIN”) was enacted during the fourth quarter of 2016. WIIN emphasizes previous Water Resources Reform and Development Act (“WRRDA”) language which calls for full use of the HMTF for its intended purpose of maintaining future access to the waterways and ports that support our nation’s economy. Further, WIIN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2017 and beyond.</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Rivers &amp; lakes backlog at June 30, 2017 was down by $5.5 million from backlog at December 31, 2016. During the first six months of 2017, the Company was awarded a rivers &amp; lakes project in New Jersey. For the six months ended June 30, 2017, the Company continued to earn revenue on projects in New Jersey, Florida, Mississippi, Illinois and a reservoir project in Kansas which were in backlog at December 31, 2016. The Corps’ work plan for fiscal year 2017 includes several upper Mississippi River projects to open channels that are often clogged by silt and sediment from upstream, in addition to planned levee repair along the Mississippi River. Additionally, the Company’s rivers &amp; lakes dredges are well suited for inland marsh projects in Louisiana that are expected to be let to bid through the Coastal Protection and Restoration Authority over the next year.</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Environmental &amp; infrastructure services backlog increased $15.1 million from December 31, 2016. During the first six months of 2017, the Company was awarded a levee project in California, remediation projects in New Jersey, South Dakota and Colorado and two geotechnical projects in California. Subsequent to the end of the second quarter of 2017, the Company was awarded a $7.4 million remediation project in Texas. For the six months ended June 30, 2017, the Company continued to earn revenue on remediation projects in Florida, New Jersey and Colorado which were in backlog at December 31, 2016. As part of the environmental &amp; infrastructure segment’s initiatives, the Company intends to focus on geographical expansion in the geotechnical services business. The Company anticipates an increase in levee work in 2017 due to the recent flooding in the Northwest. Additionally, the Company anticipates additional contracting opportunities arising from the transformation of the U.S. energy infrastructure, specifically related to the remediation requirements as mandated by the Environmental Protection Agency’s rule to regulate the disposal of coal combustion residuals from electric utilities promulgated in June 2015.</w:t>
      </w:r>
    </w:p>
    <w:p>
      <w:pPr>
        <w:spacing w:after="0" w:line="3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cash provided by operating activities of continuing operations for the six months ended June 30, 2017 and 2016 totaled $20.7 million and $7.3 million, respectively. Normal increases or decreases in the level of working capital relative to the level of operational activity impact cash flow from operating activities. The increase in cash provided by operating activities of continuing operations in the first six months of 2017 compared to the same period in the prior year was driven by a greater investment in working capital during the prior year period. During the first half of 2017, the Company received $4.5 million in cash distributions from joint ventures compared to $1.2 million in the prior year period.</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cash flows used in investing activities for the first six months of 2017 and 2016 totaled $25.0 million and $21.8 million, respectively. Investing activities in both periods primarily relate to normal course upgrades and capital maintenance of the Company’s dredging fleet. During the six months ended June 30, 2017, the Company spent $18.4 million on the construction of a dual mode articulated tug/barge trailing suction hopper dredge (“ATB”), compared to $11.3 million in the same period in the prior year. In connection with the termination of the Company’s former revolving credit facility, the Company was required to issue cash collateral of $7.0 million related to two letters of credit during the fourth quarter of 2016. During the first quarter of 2017, new letters of credit were issued under the Company’s new credit facility and the cash used to collateralize the previous letters of credit was paid back in full to the Company. In comparison, the Company received $10.0 million for the sale of an underutilized dredge during the first half of 2016.</w:t>
      </w:r>
    </w:p>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Company’s cash flows provided by financing activities for the six months ended June 30, 2017 and 2016 totaled $26.6 million and $21.5 million, respectively. The increase in net cash flows provided by financing activities is primarily due to the issuance of the Company’s $325 million of 8% senior notes during the second quarter of 2017. The Company used a portion of the net proceeds to redeem its $275 million of 7 3/8% senior notes and repay a portion of the Company’s revolver during the six months ended June 30, 2017. The Company also paid $4.5 million in financing fees on the issuance of the senior notes during the current year period. In comparison, net borrowings on the Company’s revolver during the first six months of 2016 were $25 million. Further, the Company had a $1.5 million payment on the senior secured term loan facility during the prior year period. The senior secured term loan facility was paid in full during the fourth quarter of 2016.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 million, subfacilities for the issuance of standby letters of credit up to a $250 million sublimit and swingline loans up to a $25 million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 million.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2017, the Company had $86.0 million of borrowings on the revolver and $40.4 million of letters of credit outstanding, resulting in $99.0 million of availability under the Credit Agreement. Borrowings under the line of credit may be limited based on the Company’s requirements to comply with its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 agreements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Liberty Mutual Insurance Company and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June 30, 2017, the Company had outstanding performance bonds totaling approximately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right="420"/>
        <w:spacing w:after="0" w:line="277" w:lineRule="auto"/>
        <w:rPr>
          <w:sz w:val="20"/>
          <w:szCs w:val="20"/>
          <w:color w:val="auto"/>
        </w:rPr>
      </w:pPr>
      <w:r>
        <w:rPr>
          <w:rFonts w:ascii="Arial" w:cs="Arial" w:eastAsia="Arial" w:hAnsi="Arial"/>
          <w:sz w:val="18"/>
          <w:szCs w:val="18"/>
          <w:color w:val="auto"/>
        </w:rPr>
        <w:t>$1,084.0 million, of which $41.3 million relates to projects from the Company’s historical environmental &amp; infrastructure businesses. The revenue value remaining in backlog related to these projects totaled approximately $347.9 million.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In May 2017, Zurich drew upon the letter of credit in the amount of $20.9 million.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10 to the Company’s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May 2017, the Company issued $325 million in aggregate principal amount of its 8% senior notes (“8% Senior Notes”) due May 15, 2022. Approximately $283 million of the net proceeds from the issuance of the 8% Senior Notes were used to prepay all of the Company’s 7.375% senior notes due February 2019, including a tender premium and accrued and unpaid interest. Interest on the 8% Senior Notes is payable semi-annually in arrears on May 15 and November 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to the Company’s December 31, 2016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2016.</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June 30, 2017 has not materially changed since December 31, 2016. The market risk profile of the Company on December 31, 2016 is disclosed in Item 7A. “Quantitative and Qualitative Disclosures about Market Risk” of the Company’s Annual Report on Form 10-K for the year ended December 31, 2016.</w:t>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w:t>
      </w:r>
    </w:p>
    <w:p>
      <w:pPr>
        <w:ind w:right="60"/>
        <w:spacing w:after="0" w:line="254" w:lineRule="auto"/>
        <w:rPr>
          <w:sz w:val="20"/>
          <w:szCs w:val="20"/>
          <w:color w:val="auto"/>
        </w:rPr>
      </w:pPr>
      <w:r>
        <w:rPr>
          <w:rFonts w:ascii="Arial" w:cs="Arial" w:eastAsia="Arial" w:hAnsi="Arial"/>
          <w:sz w:val="18"/>
          <w:szCs w:val="18"/>
          <w:color w:val="auto"/>
        </w:rPr>
        <w:t>2017.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June 30, 2017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9" w:name="page40"/>
    <w:bookmarkEnd w:id="39"/>
    <w:p>
      <w:pPr>
        <w:jc w:val="center"/>
        <w:ind w:right="-3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six months ended June 30, 2017 to the risk factors previously disclosed in Item 1A. “Risk Factors” in the Company’s Annual Report on Form 10-K for the year ended December 31,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337" w:right="59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Item 6.</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Indenture, dated May 24, 2017, by and among the Company, certain subsidiary guarantors named therein and Wells Fargo Bank, National Association, as trustee. (2)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Registration Rights Agreement, dated May 24, 2017, by and among the Company, certain subsidiary guarantors named therein and Deutsche Bank Securities Inc., as representative of the initial purchasers named therein. (2)</w:t>
      </w:r>
    </w:p>
    <w:p>
      <w:pPr>
        <w:spacing w:after="0" w:line="197" w:lineRule="exact"/>
        <w:rPr>
          <w:sz w:val="20"/>
          <w:szCs w:val="20"/>
          <w:color w:val="auto"/>
        </w:rPr>
      </w:pPr>
    </w:p>
    <w:p>
      <w:pPr>
        <w:sectPr>
          <w:pgSz w:w="11900" w:h="16838" w:orient="portrait"/>
          <w:cols w:equalWidth="0" w:num="2">
            <w:col w:w="540" w:space="560"/>
            <w:col w:w="10140"/>
          </w:cols>
          <w:pgMar w:left="240" w:top="661" w:right="419" w:bottom="1440" w:gutter="0" w:footer="0" w:header="0"/>
        </w:sect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200" w:type="dxa"/>
            <w:vAlign w:val="bottom"/>
          </w:tcPr>
          <w:p>
            <w:pPr>
              <w:ind w:left="200"/>
              <w:spacing w:after="0"/>
              <w:rPr>
                <w:sz w:val="20"/>
                <w:szCs w:val="20"/>
                <w:color w:val="auto"/>
              </w:rPr>
            </w:pPr>
            <w:r>
              <w:rPr>
                <w:rFonts w:ascii="Arial" w:cs="Arial" w:eastAsia="Arial" w:hAnsi="Arial"/>
                <w:sz w:val="18"/>
                <w:szCs w:val="18"/>
                <w:color w:val="auto"/>
              </w:rPr>
              <w:t>Great Lakes Dredge &amp; Dock Corporation 2017 Long-Term Incentive Plan. †(1)</w:t>
            </w:r>
          </w:p>
        </w:tc>
        <w:tc>
          <w:tcPr>
            <w:tcW w:w="0" w:type="dxa"/>
            <w:vAlign w:val="bottom"/>
          </w:tcPr>
          <w:p>
            <w:pPr>
              <w:spacing w:after="0"/>
              <w:rPr>
                <w:sz w:val="1"/>
                <w:szCs w:val="1"/>
                <w:color w:val="auto"/>
              </w:rPr>
            </w:pPr>
          </w:p>
        </w:tc>
      </w:tr>
      <w:tr>
        <w:trPr>
          <w:trHeight w:val="445"/>
        </w:trPr>
        <w:tc>
          <w:tcPr>
            <w:tcW w:w="90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0200" w:type="dxa"/>
            <w:vAlign w:val="bottom"/>
          </w:tcPr>
          <w:p>
            <w:pPr>
              <w:ind w:left="200"/>
              <w:spacing w:after="0"/>
              <w:rPr>
                <w:sz w:val="20"/>
                <w:szCs w:val="20"/>
                <w:color w:val="auto"/>
              </w:rPr>
            </w:pPr>
            <w:r>
              <w:rPr>
                <w:rFonts w:ascii="Arial" w:cs="Arial" w:eastAsia="Arial" w:hAnsi="Arial"/>
                <w:sz w:val="18"/>
                <w:szCs w:val="18"/>
                <w:color w:val="auto"/>
                <w:w w:val="90"/>
              </w:rPr>
              <w:t>Purchase Agreement, dated May 18, 2017, by and among the Company, certain subsidiary guarantors named therein and Deutsche Bank</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0200" w:type="dxa"/>
            <w:vAlign w:val="bottom"/>
            <w:vMerge w:val="restart"/>
          </w:tcPr>
          <w:p>
            <w:pPr>
              <w:ind w:left="200"/>
              <w:spacing w:after="0"/>
              <w:rPr>
                <w:sz w:val="20"/>
                <w:szCs w:val="20"/>
                <w:color w:val="auto"/>
              </w:rPr>
            </w:pPr>
            <w:r>
              <w:rPr>
                <w:rFonts w:ascii="Arial" w:cs="Arial" w:eastAsia="Arial" w:hAnsi="Arial"/>
                <w:sz w:val="18"/>
                <w:szCs w:val="18"/>
                <w:color w:val="auto"/>
              </w:rPr>
              <w:t>Securities Inc., as representative of the initial purchasers named therein. (2)</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0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9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0200" w:type="dxa"/>
            <w:vAlign w:val="bottom"/>
          </w:tcPr>
          <w:p>
            <w:pPr>
              <w:ind w:left="200"/>
              <w:spacing w:after="0"/>
              <w:rPr>
                <w:sz w:val="20"/>
                <w:szCs w:val="20"/>
                <w:color w:val="auto"/>
              </w:rPr>
            </w:pPr>
            <w:r>
              <w:rPr>
                <w:rFonts w:ascii="Arial" w:cs="Arial" w:eastAsia="Arial" w:hAnsi="Arial"/>
                <w:sz w:val="18"/>
                <w:szCs w:val="18"/>
                <w:color w:val="auto"/>
                <w:w w:val="89"/>
              </w:rPr>
              <w:t>Second Amendment to Amended and Restated Credit Agreement, dated May 18, 2017, by and among the Company, the subsidiaries of the</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0200" w:type="dxa"/>
            <w:vAlign w:val="bottom"/>
            <w:vMerge w:val="restart"/>
          </w:tcPr>
          <w:p>
            <w:pPr>
              <w:ind w:left="200"/>
              <w:spacing w:after="0"/>
              <w:rPr>
                <w:sz w:val="20"/>
                <w:szCs w:val="20"/>
                <w:color w:val="auto"/>
              </w:rPr>
            </w:pPr>
            <w:r>
              <w:rPr>
                <w:rFonts w:ascii="Arial" w:cs="Arial" w:eastAsia="Arial" w:hAnsi="Arial"/>
                <w:sz w:val="18"/>
                <w:szCs w:val="18"/>
                <w:color w:val="auto"/>
              </w:rPr>
              <w:t>Company named therein, and PNC Bank, N.A. as lender and agent, and certain other lenders named therein. (2)</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0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Pr>
          <w:p>
            <w:pPr>
              <w:ind w:left="20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c>
          <w:tcPr>
            <w:tcW w:w="0" w:type="dxa"/>
            <w:vAlign w:val="bottom"/>
          </w:tcPr>
          <w:p>
            <w:pPr>
              <w:spacing w:after="0"/>
              <w:rPr>
                <w:sz w:val="1"/>
                <w:szCs w:val="1"/>
                <w:color w:val="auto"/>
              </w:rPr>
            </w:pP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Pr>
          <w:p>
            <w:pPr>
              <w:ind w:left="20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Instance Document.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Schema.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firstLine="8"/>
        <w:spacing w:after="0" w:line="258"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17, 2017 (Commission file no. 001-33225).</w:t>
      </w:r>
    </w:p>
    <w:p>
      <w:pPr>
        <w:spacing w:after="0" w:line="1" w:lineRule="exact"/>
        <w:rPr>
          <w:rFonts w:ascii="Arial" w:cs="Arial" w:eastAsia="Arial" w:hAnsi="Arial"/>
          <w:sz w:val="18"/>
          <w:szCs w:val="18"/>
          <w:color w:val="auto"/>
        </w:rPr>
      </w:pPr>
    </w:p>
    <w:p>
      <w:pPr>
        <w:ind w:right="440" w:firstLine="8"/>
        <w:spacing w:after="0" w:line="258"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24, 2017 (Commission file no. 001-33225).</w:t>
      </w: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661" w:right="4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Number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8"/>
          <w:szCs w:val="18"/>
          <w:b w:val="1"/>
          <w:bCs w:val="1"/>
          <w:color w:val="auto"/>
        </w:rPr>
        <w:t>EXHIBIT INDEX</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601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Indenture, dated May 24, 2017, by and among the Company, certain subsidiary guarantors named therein and Wells Fargo Bank, National Association, as trustee. (2)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Registration Rights Agreement, dated May 24, 2017, by and among the Company, certain subsidiary guarantors named therein and Deutsche Bank Securities Inc., as representative of the initial purchasers named therein. (2)</w:t>
      </w:r>
    </w:p>
    <w:p>
      <w:pPr>
        <w:spacing w:after="0" w:line="197" w:lineRule="exact"/>
        <w:rPr>
          <w:sz w:val="20"/>
          <w:szCs w:val="20"/>
          <w:color w:val="auto"/>
        </w:rPr>
      </w:pPr>
    </w:p>
    <w:p>
      <w:pPr>
        <w:sectPr>
          <w:pgSz w:w="11900" w:h="16838" w:orient="portrait"/>
          <w:cols w:equalWidth="0" w:num="2">
            <w:col w:w="640" w:space="440"/>
            <w:col w:w="10140"/>
          </w:cols>
          <w:pgMar w:left="240" w:top="337" w:right="439" w:bottom="1440" w:gutter="0" w:footer="0" w:header="0"/>
        </w:sect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200"/>
              <w:spacing w:after="0"/>
              <w:rPr>
                <w:sz w:val="20"/>
                <w:szCs w:val="20"/>
                <w:color w:val="auto"/>
              </w:rPr>
            </w:pPr>
            <w:r>
              <w:rPr>
                <w:rFonts w:ascii="Arial" w:cs="Arial" w:eastAsia="Arial" w:hAnsi="Arial"/>
                <w:sz w:val="18"/>
                <w:szCs w:val="18"/>
                <w:color w:val="auto"/>
              </w:rPr>
              <w:t>Great Lakes Dredge &amp; Dock Corporation 2017 Long-Term Incentive Plan. †(1)</w:t>
            </w:r>
          </w:p>
        </w:tc>
        <w:tc>
          <w:tcPr>
            <w:tcW w:w="0" w:type="dxa"/>
            <w:vAlign w:val="bottom"/>
          </w:tcPr>
          <w:p>
            <w:pPr>
              <w:spacing w:after="0"/>
              <w:rPr>
                <w:sz w:val="1"/>
                <w:szCs w:val="1"/>
                <w:color w:val="auto"/>
              </w:rPr>
            </w:pPr>
          </w:p>
        </w:tc>
      </w:tr>
      <w:tr>
        <w:trPr>
          <w:trHeight w:val="445"/>
        </w:trPr>
        <w:tc>
          <w:tcPr>
            <w:tcW w:w="88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0220" w:type="dxa"/>
            <w:vAlign w:val="bottom"/>
          </w:tcPr>
          <w:p>
            <w:pPr>
              <w:ind w:left="200"/>
              <w:spacing w:after="0"/>
              <w:rPr>
                <w:sz w:val="20"/>
                <w:szCs w:val="20"/>
                <w:color w:val="auto"/>
              </w:rPr>
            </w:pPr>
            <w:r>
              <w:rPr>
                <w:rFonts w:ascii="Arial" w:cs="Arial" w:eastAsia="Arial" w:hAnsi="Arial"/>
                <w:sz w:val="18"/>
                <w:szCs w:val="18"/>
                <w:color w:val="auto"/>
                <w:w w:val="91"/>
              </w:rPr>
              <w:t>Purchase Agreement, dated May 18, 2017, by and among the Company, certain subsidiary guarantors named therein and Deutsche Bank</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0220" w:type="dxa"/>
            <w:vAlign w:val="bottom"/>
            <w:vMerge w:val="restart"/>
          </w:tcPr>
          <w:p>
            <w:pPr>
              <w:ind w:left="200"/>
              <w:spacing w:after="0"/>
              <w:rPr>
                <w:sz w:val="20"/>
                <w:szCs w:val="20"/>
                <w:color w:val="auto"/>
              </w:rPr>
            </w:pPr>
            <w:r>
              <w:rPr>
                <w:rFonts w:ascii="Arial" w:cs="Arial" w:eastAsia="Arial" w:hAnsi="Arial"/>
                <w:sz w:val="18"/>
                <w:szCs w:val="18"/>
                <w:color w:val="auto"/>
              </w:rPr>
              <w:t>Securities Inc., as representative of the initial purchasers named therein. (2)</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88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0220" w:type="dxa"/>
            <w:vAlign w:val="bottom"/>
          </w:tcPr>
          <w:p>
            <w:pPr>
              <w:ind w:left="200"/>
              <w:spacing w:after="0"/>
              <w:rPr>
                <w:sz w:val="20"/>
                <w:szCs w:val="20"/>
                <w:color w:val="auto"/>
              </w:rPr>
            </w:pPr>
            <w:r>
              <w:rPr>
                <w:rFonts w:ascii="Arial" w:cs="Arial" w:eastAsia="Arial" w:hAnsi="Arial"/>
                <w:sz w:val="18"/>
                <w:szCs w:val="18"/>
                <w:color w:val="auto"/>
                <w:w w:val="89"/>
              </w:rPr>
              <w:t>Second Amendment to Amended and Restated Credit Agreement, dated May 18, 2017, by and among the Company, the subsidiaries of the</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0220" w:type="dxa"/>
            <w:vAlign w:val="bottom"/>
            <w:vMerge w:val="restart"/>
          </w:tcPr>
          <w:p>
            <w:pPr>
              <w:ind w:left="200"/>
              <w:spacing w:after="0"/>
              <w:rPr>
                <w:sz w:val="20"/>
                <w:szCs w:val="20"/>
                <w:color w:val="auto"/>
              </w:rPr>
            </w:pPr>
            <w:r>
              <w:rPr>
                <w:rFonts w:ascii="Arial" w:cs="Arial" w:eastAsia="Arial" w:hAnsi="Arial"/>
                <w:sz w:val="18"/>
                <w:szCs w:val="18"/>
                <w:color w:val="auto"/>
              </w:rPr>
              <w:t>Company named therein, and PNC Bank, N.A. as lender and agent, and certain other lenders named therein. (2)</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20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c>
          <w:tcPr>
            <w:tcW w:w="0" w:type="dxa"/>
            <w:vAlign w:val="bottom"/>
          </w:tcPr>
          <w:p>
            <w:pPr>
              <w:spacing w:after="0"/>
              <w:rPr>
                <w:sz w:val="1"/>
                <w:szCs w:val="1"/>
                <w:color w:val="auto"/>
              </w:rPr>
            </w:pP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20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Instance Document. *</w:t>
            </w:r>
          </w:p>
        </w:tc>
        <w:tc>
          <w:tcPr>
            <w:tcW w:w="0" w:type="dxa"/>
            <w:vAlign w:val="bottom"/>
          </w:tcPr>
          <w:p>
            <w:pPr>
              <w:spacing w:after="0"/>
              <w:rPr>
                <w:sz w:val="1"/>
                <w:szCs w:val="1"/>
                <w:color w:val="auto"/>
              </w:rPr>
            </w:pPr>
          </w:p>
        </w:tc>
      </w:tr>
      <w:tr>
        <w:trPr>
          <w:trHeight w:val="473"/>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Taxonomy Extension Schema. *</w:t>
            </w:r>
          </w:p>
        </w:tc>
        <w:tc>
          <w:tcPr>
            <w:tcW w:w="0" w:type="dxa"/>
            <w:vAlign w:val="bottom"/>
          </w:tcPr>
          <w:p>
            <w:pPr>
              <w:spacing w:after="0"/>
              <w:rPr>
                <w:sz w:val="1"/>
                <w:szCs w:val="1"/>
                <w:color w:val="auto"/>
              </w:rPr>
            </w:pPr>
          </w:p>
        </w:tc>
      </w:tr>
      <w:tr>
        <w:trPr>
          <w:trHeight w:val="473"/>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w:t>
            </w:r>
          </w:p>
        </w:tc>
        <w:tc>
          <w:tcPr>
            <w:tcW w:w="0" w:type="dxa"/>
            <w:vAlign w:val="bottom"/>
          </w:tcPr>
          <w:p>
            <w:pPr>
              <w:spacing w:after="0"/>
              <w:rPr>
                <w:sz w:val="1"/>
                <w:szCs w:val="1"/>
                <w:color w:val="auto"/>
              </w:rPr>
            </w:pPr>
          </w:p>
        </w:tc>
      </w:tr>
      <w:tr>
        <w:trPr>
          <w:trHeight w:val="473"/>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w:t>
            </w:r>
          </w:p>
        </w:tc>
        <w:tc>
          <w:tcPr>
            <w:tcW w:w="0" w:type="dxa"/>
            <w:vAlign w:val="bottom"/>
          </w:tcPr>
          <w:p>
            <w:pPr>
              <w:spacing w:after="0"/>
              <w:rPr>
                <w:sz w:val="1"/>
                <w:szCs w:val="1"/>
                <w:color w:val="auto"/>
              </w:rPr>
            </w:pPr>
          </w:p>
        </w:tc>
      </w:tr>
      <w:tr>
        <w:trPr>
          <w:trHeight w:val="473"/>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w:t>
            </w:r>
          </w:p>
        </w:tc>
        <w:tc>
          <w:tcPr>
            <w:tcW w:w="0" w:type="dxa"/>
            <w:vAlign w:val="bottom"/>
          </w:tcPr>
          <w:p>
            <w:pPr>
              <w:spacing w:after="0"/>
              <w:rPr>
                <w:sz w:val="1"/>
                <w:szCs w:val="1"/>
                <w:color w:val="auto"/>
              </w:rPr>
            </w:pPr>
          </w:p>
        </w:tc>
      </w:tr>
      <w:tr>
        <w:trPr>
          <w:trHeight w:val="473"/>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20" w:firstLine="8"/>
        <w:spacing w:after="0" w:line="258"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17, 2017 (Commission file no. 001-33225).</w:t>
      </w:r>
    </w:p>
    <w:p>
      <w:pPr>
        <w:spacing w:after="0" w:line="1" w:lineRule="exact"/>
        <w:rPr>
          <w:rFonts w:ascii="Arial" w:cs="Arial" w:eastAsia="Arial" w:hAnsi="Arial"/>
          <w:sz w:val="18"/>
          <w:szCs w:val="18"/>
          <w:color w:val="auto"/>
        </w:rPr>
      </w:pPr>
    </w:p>
    <w:p>
      <w:pPr>
        <w:ind w:right="420" w:firstLine="8"/>
        <w:spacing w:after="0" w:line="258"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24, 2017 (Commission file no. 001-33225).</w:t>
      </w: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337" w:right="4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2017,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2017,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lowerRoman"/>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2019-12-29T05:28:25Z</dcterms:created>
  <dcterms:modified xsi:type="dcterms:W3CDTF">2019-12-29T05:28:25Z</dcterms:modified>
</cp:coreProperties>
</file>