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10-Q/A</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3"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5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3731260</wp:posOffset>
            </wp:positionH>
            <wp:positionV relativeFrom="paragraph">
              <wp:posOffset>-10160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Great Lakes Dredge &amp; Dock Corporation</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700" w:type="dxa"/>
        <w:tblCellMar>
          <w:top w:w="0" w:type="dxa"/>
          <w:left w:w="0" w:type="dxa"/>
          <w:bottom w:w="0" w:type="dxa"/>
          <w:right w:w="0" w:type="dxa"/>
        </w:tblCellMar>
      </w:tblPr>
      <w:tr>
        <w:trPr>
          <w:trHeight w:val="218"/>
        </w:trPr>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040" w:type="dxa"/>
            <w:vAlign w:val="bottom"/>
          </w:tcPr>
          <w:p>
            <w:pPr>
              <w:jc w:val="right"/>
              <w:ind w:right="24"/>
              <w:spacing w:after="0"/>
              <w:rPr>
                <w:sz w:val="20"/>
                <w:szCs w:val="20"/>
                <w:color w:val="auto"/>
              </w:rPr>
            </w:pPr>
            <w:r>
              <w:rPr>
                <w:rFonts w:ascii="Arial" w:cs="Arial" w:eastAsia="Arial" w:hAnsi="Arial"/>
                <w:sz w:val="18"/>
                <w:szCs w:val="18"/>
                <w:b w:val="1"/>
                <w:bCs w:val="1"/>
                <w:color w:val="auto"/>
              </w:rPr>
              <w:t>20-5336063</w:t>
            </w:r>
          </w:p>
        </w:tc>
      </w:tr>
      <w:tr>
        <w:trPr>
          <w:trHeight w:val="149"/>
        </w:trPr>
        <w:tc>
          <w:tcPr>
            <w:tcW w:w="2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040" w:type="dxa"/>
            <w:vAlign w:val="bottom"/>
          </w:tcPr>
          <w:p>
            <w:pPr>
              <w:jc w:val="center"/>
              <w:ind w:left="3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040" w:type="dxa"/>
            <w:vAlign w:val="bottom"/>
          </w:tcPr>
          <w:p>
            <w:pPr>
              <w:jc w:val="center"/>
              <w:ind w:left="390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91"/>
              </w:rPr>
              <w:t>2122 York Road, Oak Brook, IL</w:t>
            </w:r>
          </w:p>
        </w:tc>
        <w:tc>
          <w:tcPr>
            <w:tcW w:w="5040" w:type="dxa"/>
            <w:vAlign w:val="bottom"/>
          </w:tcPr>
          <w:p>
            <w:pPr>
              <w:jc w:val="right"/>
              <w:ind w:right="224"/>
              <w:spacing w:after="0"/>
              <w:rPr>
                <w:sz w:val="20"/>
                <w:szCs w:val="20"/>
                <w:color w:val="auto"/>
              </w:rPr>
            </w:pPr>
            <w:r>
              <w:rPr>
                <w:rFonts w:ascii="Arial" w:cs="Arial" w:eastAsia="Arial" w:hAnsi="Arial"/>
                <w:sz w:val="18"/>
                <w:szCs w:val="18"/>
                <w:b w:val="1"/>
                <w:bCs w:val="1"/>
                <w:color w:val="auto"/>
              </w:rPr>
              <w:t>60523</w:t>
            </w:r>
          </w:p>
        </w:tc>
      </w:tr>
      <w:tr>
        <w:trPr>
          <w:trHeight w:val="174"/>
        </w:trPr>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040" w:type="dxa"/>
            <w:vAlign w:val="bottom"/>
          </w:tcPr>
          <w:p>
            <w:pPr>
              <w:jc w:val="center"/>
              <w:ind w:left="390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440" w:type="dxa"/>
            <w:vAlign w:val="bottom"/>
          </w:tcPr>
          <w:p>
            <w:pPr>
              <w:spacing w:after="0"/>
              <w:rPr>
                <w:sz w:val="24"/>
                <w:szCs w:val="24"/>
                <w:color w:val="auto"/>
              </w:rPr>
            </w:pPr>
          </w:p>
        </w:tc>
        <w:tc>
          <w:tcPr>
            <w:tcW w:w="5040" w:type="dxa"/>
            <w:vAlign w:val="bottom"/>
          </w:tcPr>
          <w:p>
            <w:pPr>
              <w:jc w:val="right"/>
              <w:ind w:right="2844"/>
              <w:spacing w:after="0"/>
              <w:rPr>
                <w:sz w:val="20"/>
                <w:szCs w:val="20"/>
                <w:color w:val="auto"/>
              </w:rPr>
            </w:pPr>
            <w:r>
              <w:rPr>
                <w:rFonts w:ascii="Arial" w:cs="Arial" w:eastAsia="Arial" w:hAnsi="Arial"/>
                <w:sz w:val="18"/>
                <w:szCs w:val="18"/>
                <w:b w:val="1"/>
                <w:bCs w:val="1"/>
                <w:color w:val="auto"/>
              </w:rPr>
              <w:t>(630) 574-3000</w:t>
            </w:r>
          </w:p>
        </w:tc>
      </w:tr>
      <w:tr>
        <w:trPr>
          <w:trHeight w:val="174"/>
        </w:trPr>
        <w:tc>
          <w:tcPr>
            <w:tcW w:w="2440" w:type="dxa"/>
            <w:vAlign w:val="bottom"/>
          </w:tcPr>
          <w:p>
            <w:pPr>
              <w:spacing w:after="0"/>
              <w:rPr>
                <w:sz w:val="15"/>
                <w:szCs w:val="15"/>
                <w:color w:val="auto"/>
              </w:rPr>
            </w:pPr>
          </w:p>
        </w:tc>
        <w:tc>
          <w:tcPr>
            <w:tcW w:w="5040" w:type="dxa"/>
            <w:vAlign w:val="bottom"/>
          </w:tcPr>
          <w:p>
            <w:pPr>
              <w:jc w:val="center"/>
              <w:ind w:right="182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60" w:space="380"/>
            <w:col w:w="610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80" w:space="460"/>
            <w:col w:w="160" w:space="80"/>
            <w:col w:w="586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8440" w:space="160"/>
            <w:col w:w="260" w:space="100"/>
            <w:col w:w="140" w:space="200"/>
            <w:col w:w="2120"/>
          </w:cols>
          <w:pgMar w:left="240" w:top="230" w:right="23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As of August 3, 2012, 59,220,422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80" w:right="2740"/>
        <w:spacing w:after="0" w:line="440" w:lineRule="auto"/>
        <w:rPr>
          <w:sz w:val="20"/>
          <w:szCs w:val="20"/>
          <w:color w:val="auto"/>
        </w:rPr>
      </w:pPr>
      <w:r>
        <w:rPr>
          <w:rFonts w:ascii="Arial" w:cs="Arial" w:eastAsia="Arial" w:hAnsi="Arial"/>
          <w:sz w:val="18"/>
          <w:szCs w:val="18"/>
          <w:b w:val="1"/>
          <w:bCs w:val="1"/>
          <w:color w:val="auto"/>
        </w:rPr>
        <w:t xml:space="preserve">GREAT LAKES DREDGE &amp; DOCK CORPORATION AND SUBSIDIARIES </w:t>
      </w:r>
      <w:r>
        <w:rPr>
          <w:rFonts w:ascii="Arial" w:cs="Arial" w:eastAsia="Arial" w:hAnsi="Arial"/>
          <w:sz w:val="18"/>
          <w:szCs w:val="18"/>
          <w:color w:val="auto"/>
        </w:rPr>
        <w:t>Form 10-Q/A for the Quarterly Period Ended June 30, 2012 EXPLANATORY NOTE</w:t>
      </w:r>
    </w:p>
    <w:p>
      <w:pPr>
        <w:spacing w:after="0" w:line="2"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Great Lakes Dredge &amp; Dock Corporation (“Great Lakes”) is filing this Amendment No. 1 on Form 10-Q/A a) to restate its previously issued interim financial statements for 1) the recognition of revenue with respect to certain projects in its demolition segment and 2) the recognition of accelerated maintenance expense related to new international deployments and b) to address matters related to the foregoing with respect to Great Lakes’ disclosure controls and procedures. Subsequent to the filing of the Quarterly Report on Form 10-Q for the quarter ended June 30, 2012, management became aware of a material weakness in our internal control over financial reporting. The restatement and conclusion regarding the material weakness affect Items 1, 2 and 4 of Part I of the Quarterly Report on Form 10-Q for the quarter ended June 30, 2012 as originally filed with the Securities and Exchange Commission (“SEC”) on August 7, 2012.</w:t>
      </w:r>
    </w:p>
    <w:p>
      <w:pPr>
        <w:spacing w:after="0" w:line="10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Additionally, in connection with the filing of this Form 10-Q/A and pursuant to SEC rules, Great Lakes is including currently dated certifications in Item 6 of Part II.</w:t>
      </w:r>
    </w:p>
    <w:p>
      <w:pPr>
        <w:spacing w:after="0" w:line="13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Except as described in this Explanatory Note, no other portions of the originally filed Form 10-Q for the second quarter of 2012 were affected, but for the convenience of the reader, this interim report on Form 10-Q/A has been filed in its entirety. In addition, this Form 10-Q/A is presented as of the filing date of the original Form 10-Q and has not been updated for events or information subsequent to the date of filing of the original Form 10-Q, except in connection with the foregoing. Accordingly, this Form 10-Q/A should be read in conjunction with our other filings with the SEC. For more information about the restatement and the related disclosure controls and procedures matters, please see Great Lakes’ Current Report on Form 8-K (Items 2.02 and 4.02(a)) filed on March 14, 2013.</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7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25"/>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 (Unaudited)</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25"/>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318"/>
        </w:trPr>
        <w:tc>
          <w:tcPr>
            <w:tcW w:w="440" w:type="dxa"/>
            <w:vAlign w:val="bottom"/>
            <w:tcBorders>
              <w:top w:val="single" w:sz="8" w:color="0000EE"/>
            </w:tcBorders>
          </w:tcPr>
          <w:p>
            <w:pPr>
              <w:spacing w:after="0"/>
              <w:rPr>
                <w:sz w:val="24"/>
                <w:szCs w:val="24"/>
                <w:color w:val="auto"/>
              </w:rPr>
            </w:pPr>
          </w:p>
        </w:tc>
        <w:tc>
          <w:tcPr>
            <w:tcW w:w="2660" w:type="dxa"/>
            <w:vAlign w:val="bottom"/>
            <w:tcBorders>
              <w:top w:val="single" w:sz="8" w:color="0000EE"/>
            </w:tcBorders>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794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6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at June 30, 2012 (Restated) and December 31, 2011</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20" w:type="dxa"/>
            <w:vAlign w:val="bottom"/>
            <w:tcBorders>
              <w:bottom w:val="single" w:sz="8" w:color="0000EE"/>
            </w:tcBorders>
            <w:gridSpan w:val="20"/>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Statements of Operations for the Three and Six Months ended June 30, 2012 (Restated) and 2011</w:t>
              </w:r>
            </w:hyperlink>
          </w:p>
        </w:tc>
        <w:tc>
          <w:tcPr>
            <w:tcW w:w="154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60" w:type="dxa"/>
            <w:vAlign w:val="bottom"/>
            <w:gridSpan w:val="22"/>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Statements of Comprehensive Income (Loss) for the Three and Six Months ended June 30, 2012 (Restated) and</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gridSpan w:val="3"/>
          </w:tcPr>
          <w:p>
            <w:pPr>
              <w:spacing w:after="0"/>
              <w:rPr>
                <w:sz w:val="17"/>
                <w:szCs w:val="17"/>
                <w:color w:val="auto"/>
              </w:rPr>
            </w:pPr>
          </w:p>
        </w:tc>
        <w:tc>
          <w:tcPr>
            <w:tcW w:w="200" w:type="dxa"/>
            <w:vAlign w:val="bottom"/>
            <w:tcBorders>
              <w:top w:val="single" w:sz="8" w:color="0000EE"/>
            </w:tcBorders>
            <w:gridSpan w:val="2"/>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2011</w:t>
              </w:r>
            </w:hyperlink>
          </w:p>
        </w:tc>
        <w:tc>
          <w:tcPr>
            <w:tcW w:w="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60" w:type="dxa"/>
            <w:vAlign w:val="bottom"/>
            <w:gridSpan w:val="2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Equity for the Six Months ended June 30, 2012 (Restated) and 2011</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920" w:type="dxa"/>
            <w:vAlign w:val="bottom"/>
            <w:tcBorders>
              <w:bottom w:val="single" w:sz="8" w:color="0000EE"/>
            </w:tcBorders>
            <w:gridSpan w:val="19"/>
          </w:tcPr>
          <w:p>
            <w:pPr>
              <w:spacing w:after="0"/>
              <w:rPr>
                <w:rFonts w:ascii="Arial" w:cs="Arial" w:eastAsia="Arial" w:hAnsi="Arial"/>
                <w:sz w:val="18"/>
                <w:szCs w:val="18"/>
                <w:color w:val="0000EE"/>
                <w:w w:val="86"/>
              </w:rPr>
            </w:pPr>
            <w:hyperlink w:anchor="page8">
              <w:r>
                <w:rPr>
                  <w:rFonts w:ascii="Arial" w:cs="Arial" w:eastAsia="Arial" w:hAnsi="Arial"/>
                  <w:sz w:val="18"/>
                  <w:szCs w:val="18"/>
                  <w:color w:val="0000EE"/>
                  <w:w w:val="86"/>
                </w:rPr>
                <w:t>Condensed Consolidated Statements of Cash Flows for the Six Months ended June 30, 2012 (Restated) and 2011</w:t>
              </w:r>
            </w:hyperlink>
          </w:p>
        </w:tc>
        <w:tc>
          <w:tcPr>
            <w:tcW w:w="224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60" w:type="dxa"/>
            <w:vAlign w:val="bottom"/>
            <w:gridSpan w:val="22"/>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680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Item 2 Management’s Discussion and Analysis of Financial Condition and Results of Operations</w:t>
              </w:r>
            </w:hyperlink>
          </w:p>
        </w:tc>
        <w:tc>
          <w:tcPr>
            <w:tcW w:w="380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3 Quantitative and Qualitative Disclosures About Market Risk</w:t>
              </w:r>
            </w:hyperlink>
          </w:p>
        </w:tc>
        <w:tc>
          <w:tcPr>
            <w:tcW w:w="584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2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6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980" w:type="dxa"/>
            <w:vAlign w:val="bottom"/>
            <w:tcBorders>
              <w:bottom w:val="single" w:sz="8" w:color="0000EE"/>
            </w:tcBorders>
            <w:gridSpan w:val="9"/>
          </w:tcPr>
          <w:p>
            <w:pPr>
              <w:spacing w:after="0"/>
              <w:rPr>
                <w:rFonts w:ascii="Arial" w:cs="Arial" w:eastAsia="Arial" w:hAnsi="Arial"/>
                <w:sz w:val="18"/>
                <w:szCs w:val="18"/>
                <w:b w:val="1"/>
                <w:bCs w:val="1"/>
                <w:color w:val="0000EE"/>
                <w:w w:val="94"/>
              </w:rPr>
            </w:pPr>
            <w:hyperlink w:anchor="page37">
              <w:r>
                <w:rPr>
                  <w:rFonts w:ascii="Arial" w:cs="Arial" w:eastAsia="Arial" w:hAnsi="Arial"/>
                  <w:sz w:val="18"/>
                  <w:szCs w:val="18"/>
                  <w:b w:val="1"/>
                  <w:bCs w:val="1"/>
                  <w:color w:val="0000EE"/>
                  <w:w w:val="94"/>
                </w:rPr>
                <w:t>Part II Other Information</w:t>
              </w:r>
            </w:hyperlink>
          </w:p>
        </w:tc>
        <w:tc>
          <w:tcPr>
            <w:tcW w:w="906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0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Item 1 Legal Proceedings</w:t>
              </w:r>
            </w:hyperlink>
          </w:p>
        </w:tc>
        <w:tc>
          <w:tcPr>
            <w:tcW w:w="880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2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1A Risk Factors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6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474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Item 2 Unregistered Sales of Equity Securities and Use of Proceeds</w:t>
              </w:r>
            </w:hyperlink>
          </w:p>
        </w:tc>
        <w:tc>
          <w:tcPr>
            <w:tcW w:w="586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2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3 Defaults Upon Senior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760" w:type="dxa"/>
            <w:vAlign w:val="bottom"/>
            <w:tcBorders>
              <w:top w:val="single" w:sz="8" w:color="0000EE"/>
            </w:tcBorders>
            <w:gridSpan w:val="1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4 Mine Safety Disclosures</w:t>
              </w:r>
            </w:hyperlink>
          </w:p>
        </w:tc>
        <w:tc>
          <w:tcPr>
            <w:tcW w:w="784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5 Other Information</w:t>
              </w:r>
            </w:hyperlink>
          </w:p>
        </w:tc>
        <w:tc>
          <w:tcPr>
            <w:tcW w:w="440" w:type="dxa"/>
            <w:vAlign w:val="bottom"/>
            <w:tcBorders>
              <w:top w:val="single" w:sz="8" w:color="0000EE"/>
            </w:tcBorders>
            <w:gridSpan w:val="3"/>
          </w:tcPr>
          <w:p>
            <w:pPr>
              <w:spacing w:after="0"/>
              <w:rPr>
                <w:sz w:val="24"/>
                <w:szCs w:val="24"/>
                <w:color w:val="auto"/>
              </w:rPr>
            </w:pPr>
          </w:p>
        </w:tc>
        <w:tc>
          <w:tcPr>
            <w:tcW w:w="838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2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6 Exhibits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9520" w:type="dxa"/>
            <w:vAlign w:val="bottom"/>
            <w:gridSpan w:val="1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Borders>
              <w:bottom w:val="single" w:sz="8" w:color="0000EE"/>
            </w:tcBorders>
            <w:gridSpan w:val="2"/>
          </w:tcPr>
          <w:p>
            <w:pPr>
              <w:spacing w:after="0"/>
              <w:rPr>
                <w:rFonts w:ascii="Arial" w:cs="Arial" w:eastAsia="Arial" w:hAnsi="Arial"/>
                <w:sz w:val="18"/>
                <w:szCs w:val="18"/>
                <w:b w:val="1"/>
                <w:bCs w:val="1"/>
                <w:color w:val="0000EE"/>
                <w:w w:val="86"/>
              </w:rPr>
            </w:pPr>
            <w:hyperlink w:anchor="page39">
              <w:r>
                <w:rPr>
                  <w:rFonts w:ascii="Arial" w:cs="Arial" w:eastAsia="Arial" w:hAnsi="Arial"/>
                  <w:sz w:val="18"/>
                  <w:szCs w:val="18"/>
                  <w:b w:val="1"/>
                  <w:bCs w:val="1"/>
                  <w:color w:val="0000EE"/>
                  <w:w w:val="86"/>
                </w:rPr>
                <w:t>Signature</w:t>
              </w:r>
            </w:hyperlink>
          </w:p>
        </w:tc>
        <w:tc>
          <w:tcPr>
            <w:tcW w:w="10300" w:type="dxa"/>
            <w:vAlign w:val="bottom"/>
            <w:gridSpan w:val="2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1040" w:type="dxa"/>
            <w:vAlign w:val="bottom"/>
            <w:tcBorders>
              <w:bottom w:val="single" w:sz="8" w:color="0000EE"/>
            </w:tcBorders>
            <w:gridSpan w:val="4"/>
          </w:tcPr>
          <w:p>
            <w:pPr>
              <w:spacing w:after="0"/>
              <w:rPr>
                <w:rFonts w:ascii="Arial" w:cs="Arial" w:eastAsia="Arial" w:hAnsi="Arial"/>
                <w:sz w:val="18"/>
                <w:szCs w:val="18"/>
                <w:b w:val="1"/>
                <w:bCs w:val="1"/>
                <w:color w:val="0000EE"/>
                <w:w w:val="90"/>
              </w:rPr>
            </w:pPr>
            <w:hyperlink w:anchor="page40">
              <w:r>
                <w:rPr>
                  <w:rFonts w:ascii="Arial" w:cs="Arial" w:eastAsia="Arial" w:hAnsi="Arial"/>
                  <w:sz w:val="18"/>
                  <w:szCs w:val="18"/>
                  <w:b w:val="1"/>
                  <w:bCs w:val="1"/>
                  <w:color w:val="0000EE"/>
                  <w:w w:val="90"/>
                </w:rPr>
                <w:t>Exhibit Index</w:t>
              </w:r>
            </w:hyperlink>
          </w:p>
        </w:tc>
        <w:tc>
          <w:tcPr>
            <w:tcW w:w="10000" w:type="dxa"/>
            <w:vAlign w:val="bottom"/>
            <w:gridSpan w:val="2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83"/>
        </w:trPr>
        <w:tc>
          <w:tcPr>
            <w:tcW w:w="7240" w:type="dxa"/>
            <w:vAlign w:val="bottom"/>
            <w:gridSpan w:val="19"/>
          </w:tcPr>
          <w:p>
            <w:pPr>
              <w:ind w:left="56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June 30,</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2012</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20" w:type="dxa"/>
            <w:vAlign w:val="bottom"/>
          </w:tcPr>
          <w:p>
            <w:pPr>
              <w:spacing w:after="0"/>
              <w:rPr>
                <w:sz w:val="11"/>
                <w:szCs w:val="11"/>
                <w:color w:val="auto"/>
              </w:rPr>
            </w:pP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(Restated,</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2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See Note 1)</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113,288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Accounts receivable—net</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111,231</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120,268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48,696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33,426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vMerge w:val="restart"/>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322,084</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325,778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316,815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310,520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GOODWILL AND OTHER INTANGIBLE ASSETS—Net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98,729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98,863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INVENTORIES—Noncurrent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INVESTMENTS IN JOINT VENTURES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6,899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16,273</w:t>
            </w:r>
          </w:p>
        </w:tc>
        <w:tc>
          <w:tcPr>
            <w:tcW w:w="0" w:type="dxa"/>
            <w:vAlign w:val="bottom"/>
          </w:tcPr>
          <w:p>
            <w:pPr>
              <w:spacing w:after="0"/>
              <w:rPr>
                <w:sz w:val="1"/>
                <w:szCs w:val="1"/>
                <w:color w:val="auto"/>
              </w:rPr>
            </w:pPr>
          </w:p>
        </w:tc>
      </w:tr>
      <w:tr>
        <w:trPr>
          <w:trHeight w:val="20"/>
        </w:trPr>
        <w:tc>
          <w:tcPr>
            <w:tcW w:w="94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4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786,194</w:t>
            </w:r>
          </w:p>
        </w:tc>
        <w:tc>
          <w:tcPr>
            <w:tcW w:w="4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788,460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80,652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26,877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31,121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Current portion of long term debt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2,658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3,033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130,186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130,526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LONG TERM NOTE PAYABLE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7 3/8% SENIOR NOTES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250,000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102,920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104,352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vMerge w:val="restart"/>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4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493,759</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495,923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Common stock—$.0001 par value; 90,000,000 authorized, 59,220,422 and 58,999,404 shares issued and outstanding at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June 30, 2012 and December 31, 2011, respectively</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269,613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267,918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(1,289)</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292,207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291,969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292,435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292,537</w:t>
            </w:r>
          </w:p>
        </w:tc>
        <w:tc>
          <w:tcPr>
            <w:tcW w:w="0" w:type="dxa"/>
            <w:vAlign w:val="bottom"/>
          </w:tcPr>
          <w:p>
            <w:pPr>
              <w:spacing w:after="0"/>
              <w:rPr>
                <w:sz w:val="1"/>
                <w:szCs w:val="1"/>
                <w:color w:val="auto"/>
              </w:rPr>
            </w:pPr>
          </w:p>
        </w:tc>
      </w:tr>
      <w:tr>
        <w:trPr>
          <w:trHeight w:val="20"/>
        </w:trPr>
        <w:tc>
          <w:tcPr>
            <w:tcW w:w="94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4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786,194</w:t>
            </w:r>
          </w:p>
        </w:tc>
        <w:tc>
          <w:tcPr>
            <w:tcW w:w="4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788,460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7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6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8"/>
              </w:rPr>
              <w:t>(Restated,</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8"/>
              </w:rPr>
              <w:t>(Restated,</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6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See Note 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See Note 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0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163,107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154,959</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318,014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310,297</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144,401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135,193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279,286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263,089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19,766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38,728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47,208</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11,456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13,622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24,723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25,711</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assets—net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21"/>
        </w:trPr>
        <w:tc>
          <w:tcPr>
            <w:tcW w:w="674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8,657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14,129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expense—net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(10,642)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(10,861)</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currency transactions—net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(5,145)</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before income taxes</w:t>
            </w:r>
          </w:p>
        </w:tc>
        <w:tc>
          <w:tcPr>
            <w:tcW w:w="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Income tax provision</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(751)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(1,315)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(2,982)</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880"/>
              <w:spacing w:after="0"/>
              <w:rPr>
                <w:sz w:val="20"/>
                <w:szCs w:val="20"/>
                <w:color w:val="auto"/>
              </w:rPr>
            </w:pPr>
            <w:r>
              <w:rPr>
                <w:rFonts w:ascii="Arial" w:cs="Arial" w:eastAsia="Arial" w:hAnsi="Arial"/>
                <w:sz w:val="18"/>
                <w:szCs w:val="18"/>
                <w:color w:val="auto"/>
              </w:rPr>
              <w:t>Net (income) loss attributable to noncontrolling interests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attributable to Great Lakes Dredge &amp; Dock Corporation</w:t>
            </w:r>
          </w:p>
        </w:tc>
        <w:tc>
          <w:tcPr>
            <w:tcW w:w="10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1,706</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2,339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Basic earnings per share attributable to Great Lakes Dredge &amp; Dock Corporation</w:t>
            </w: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740" w:type="dxa"/>
            <w:vAlign w:val="bottom"/>
            <w:vMerge w:val="continue"/>
          </w:tcPr>
          <w:p>
            <w:pPr>
              <w:spacing w:after="0"/>
              <w:rPr>
                <w:sz w:val="18"/>
                <w:szCs w:val="18"/>
                <w:color w:val="auto"/>
              </w:rPr>
            </w:pPr>
          </w:p>
        </w:tc>
        <w:tc>
          <w:tcPr>
            <w:tcW w:w="1000" w:type="dxa"/>
            <w:vAlign w:val="bottom"/>
            <w:gridSpan w:val="2"/>
          </w:tcPr>
          <w:p>
            <w:pPr>
              <w:ind w:left="90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8"/>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59,171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58,875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59,105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58,830</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Diluted earnings per share attributable to Great Lakes Dredge &amp; Dock Corporation</w:t>
            </w:r>
          </w:p>
        </w:tc>
        <w:tc>
          <w:tcPr>
            <w:tcW w:w="1000" w:type="dxa"/>
            <w:vAlign w:val="bottom"/>
            <w:gridSpan w:val="2"/>
          </w:tcPr>
          <w:p>
            <w:pPr>
              <w:ind w:left="90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59,534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59,184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59,493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59,228</w:t>
            </w:r>
          </w:p>
        </w:tc>
        <w:tc>
          <w:tcPr>
            <w:tcW w:w="0" w:type="dxa"/>
            <w:vAlign w:val="bottom"/>
          </w:tcPr>
          <w:p>
            <w:pPr>
              <w:spacing w:after="0"/>
              <w:rPr>
                <w:sz w:val="1"/>
                <w:szCs w:val="1"/>
                <w:color w:val="auto"/>
              </w:rPr>
            </w:pPr>
          </w:p>
        </w:tc>
      </w:tr>
      <w:tr>
        <w:trPr>
          <w:trHeight w:val="222"/>
        </w:trPr>
        <w:tc>
          <w:tcPr>
            <w:tcW w:w="6740" w:type="dxa"/>
            <w:vAlign w:val="bottom"/>
          </w:tcPr>
          <w:p>
            <w:pPr>
              <w:spacing w:after="0"/>
              <w:rPr>
                <w:sz w:val="20"/>
                <w:szCs w:val="20"/>
                <w:color w:val="auto"/>
              </w:rPr>
            </w:pPr>
            <w:r>
              <w:rPr>
                <w:rFonts w:ascii="Arial" w:cs="Arial" w:eastAsia="Arial" w:hAnsi="Arial"/>
                <w:sz w:val="18"/>
                <w:szCs w:val="18"/>
                <w:color w:val="auto"/>
              </w:rPr>
              <w:t>Dividends declared per share</w:t>
            </w:r>
          </w:p>
        </w:tc>
        <w:tc>
          <w:tcPr>
            <w:tcW w:w="1000" w:type="dxa"/>
            <w:vAlign w:val="bottom"/>
            <w:gridSpan w:val="2"/>
          </w:tcPr>
          <w:p>
            <w:pPr>
              <w:ind w:left="90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7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89"/>
              </w:rPr>
              <w:t>Three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w w:val="96"/>
              </w:rPr>
              <w:t>2012</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5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80" w:type="dxa"/>
            <w:vAlign w:val="bottom"/>
          </w:tcPr>
          <w:p>
            <w:pPr>
              <w:spacing w:after="0"/>
              <w:rPr>
                <w:sz w:val="11"/>
                <w:szCs w:val="11"/>
                <w:color w:val="auto"/>
              </w:rPr>
            </w:pPr>
          </w:p>
        </w:tc>
        <w:tc>
          <w:tcPr>
            <w:tcW w:w="660" w:type="dxa"/>
            <w:vAlign w:val="bottom"/>
            <w:gridSpan w:val="2"/>
          </w:tcPr>
          <w:p>
            <w:pPr>
              <w:jc w:val="right"/>
              <w:spacing w:after="0" w:line="131" w:lineRule="exact"/>
              <w:rPr>
                <w:sz w:val="20"/>
                <w:szCs w:val="20"/>
                <w:color w:val="auto"/>
              </w:rPr>
            </w:pPr>
            <w:r>
              <w:rPr>
                <w:rFonts w:ascii="Arial" w:cs="Arial" w:eastAsia="Arial" w:hAnsi="Arial"/>
                <w:sz w:val="14"/>
                <w:szCs w:val="14"/>
                <w:color w:val="auto"/>
                <w:w w:val="89"/>
              </w:rPr>
              <w:t>(Restated,</w:t>
            </w:r>
          </w:p>
        </w:tc>
        <w:tc>
          <w:tcPr>
            <w:tcW w:w="42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jc w:val="right"/>
              <w:spacing w:after="0" w:line="131" w:lineRule="exact"/>
              <w:rPr>
                <w:sz w:val="20"/>
                <w:szCs w:val="20"/>
                <w:color w:val="auto"/>
              </w:rPr>
            </w:pPr>
            <w:r>
              <w:rPr>
                <w:rFonts w:ascii="Arial" w:cs="Arial" w:eastAsia="Arial" w:hAnsi="Arial"/>
                <w:sz w:val="14"/>
                <w:szCs w:val="14"/>
                <w:color w:val="auto"/>
                <w:w w:val="86"/>
              </w:rPr>
              <w:t>(Restated,</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080" w:type="dxa"/>
            <w:vAlign w:val="bottom"/>
            <w:gridSpan w:val="4"/>
          </w:tcPr>
          <w:p>
            <w:pPr>
              <w:ind w:left="20"/>
              <w:spacing w:after="0"/>
              <w:rPr>
                <w:sz w:val="20"/>
                <w:szCs w:val="20"/>
                <w:color w:val="auto"/>
              </w:rPr>
            </w:pPr>
            <w:r>
              <w:rPr>
                <w:rFonts w:ascii="Arial" w:cs="Arial" w:eastAsia="Arial" w:hAnsi="Arial"/>
                <w:sz w:val="14"/>
                <w:szCs w:val="14"/>
                <w:color w:val="auto"/>
              </w:rPr>
              <w:t>See Note 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color w:val="auto"/>
              </w:rPr>
              <w:t>See Note 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2,168</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2,133</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$ 4,566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Currency translation adjustment—net of tax (1)</w:t>
            </w:r>
          </w:p>
        </w:tc>
        <w:tc>
          <w:tcPr>
            <w:tcW w:w="140" w:type="dxa"/>
            <w:vAlign w:val="bottom"/>
          </w:tcPr>
          <w:p>
            <w:pPr>
              <w:spacing w:after="0"/>
              <w:rPr>
                <w:sz w:val="18"/>
                <w:szCs w:val="18"/>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derivative gains (losses) to earnings—net of tax (2)</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(263)</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Change in fair value of derivatives —net of tax (3)</w:t>
            </w:r>
          </w:p>
        </w:tc>
        <w:tc>
          <w:tcPr>
            <w:tcW w:w="140" w:type="dxa"/>
            <w:vAlign w:val="bottom"/>
          </w:tcPr>
          <w:p>
            <w:pPr>
              <w:spacing w:after="0"/>
              <w:rPr>
                <w:sz w:val="18"/>
                <w:szCs w:val="18"/>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w w:val="98"/>
              </w:rPr>
              <w:t>(1,905)</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(1,025)</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(loss)—net of tax</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8"/>
              </w:rPr>
              <w:t>(1,770)</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(1,292)</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 (loss)</w:t>
            </w: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(590)</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1,354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841</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4,318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 (loss) attributable to Great Lakes Dredge &amp; Dock Corporation</w:t>
            </w: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0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(499)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892</w:t>
            </w:r>
          </w:p>
        </w:tc>
        <w:tc>
          <w:tcPr>
            <w:tcW w:w="24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1,047</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$ 3,850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340" w:hanging="452"/>
        <w:spacing w:after="0" w:line="25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benefit of $(5) and $0 for the three months ended June 30, 2012 and 2011, respectively, and $(3) and $0 for the six months ended June 30, 2012 and 2011, respectively.</w:t>
      </w:r>
    </w:p>
    <w:p>
      <w:pPr>
        <w:ind w:left="460" w:right="16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benefit of $94 and $(295) for the three months ended June 30, 2012 and 2011, respectively, and $(175) and $(709) for the six months ended June 30, 2012 and 2011, respectively.</w:t>
      </w:r>
    </w:p>
    <w:p>
      <w:pPr>
        <w:ind w:left="460" w:right="180" w:hanging="452"/>
        <w:spacing w:after="0" w:line="261"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benefit of $(1,265) and $(246) for the three months ended June 30, 2012 and 2011, respectively, and $(681) and $544 for the six months ended June 30, 2012 and 2011, respectively.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92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rPr>
              <w:t>Great Lakes Dredge &amp; Dock Corporation shareholders</w:t>
            </w: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Shares of</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4"/>
              </w:rPr>
              <w:t>Additional</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Common</w:t>
            </w: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2"/>
                <w:szCs w:val="12"/>
                <w:color w:val="auto"/>
              </w:rPr>
            </w:pP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Paid-In</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Retained</w:t>
            </w:r>
          </w:p>
        </w:tc>
        <w:tc>
          <w:tcPr>
            <w:tcW w:w="11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Stock</w:t>
            </w:r>
          </w:p>
        </w:tc>
        <w:tc>
          <w:tcPr>
            <w:tcW w:w="640" w:type="dxa"/>
            <w:vAlign w:val="bottom"/>
            <w:gridSpan w:val="3"/>
          </w:tcPr>
          <w:p>
            <w:pPr>
              <w:ind w:left="8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Capital</w:t>
            </w: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Earnings</w:t>
            </w: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Income (Loss)</w:t>
            </w:r>
          </w:p>
        </w:tc>
        <w:tc>
          <w:tcPr>
            <w:tcW w:w="14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0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2"/>
              </w:rPr>
              <w:t>(Restated,</w:t>
            </w:r>
          </w:p>
        </w:tc>
        <w:tc>
          <w:tcPr>
            <w:tcW w:w="2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(Restated,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8"/>
              </w:rPr>
              <w:t>See Note 1)</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See Note 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BALANCE—January 1, 2012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58,999,404</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$267,918</w:t>
            </w:r>
          </w:p>
        </w:tc>
        <w:tc>
          <w:tcPr>
            <w:tcW w:w="300" w:type="dxa"/>
            <w:vAlign w:val="bottom"/>
            <w:tcBorders>
              <w:left w:val="single" w:sz="8" w:color="CCEEFF"/>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2"/>
              </w:rPr>
              <w:t>$ 24,042</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568</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$292,537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Share-based compensation</w:t>
            </w:r>
          </w:p>
        </w:tc>
        <w:tc>
          <w:tcPr>
            <w:tcW w:w="840" w:type="dxa"/>
            <w:vAlign w:val="bottom"/>
          </w:tcPr>
          <w:p>
            <w:pPr>
              <w:jc w:val="right"/>
              <w:spacing w:after="0"/>
              <w:rPr>
                <w:sz w:val="20"/>
                <w:szCs w:val="20"/>
                <w:color w:val="auto"/>
              </w:rPr>
            </w:pPr>
            <w:r>
              <w:rPr>
                <w:rFonts w:ascii="Arial" w:cs="Arial" w:eastAsia="Arial" w:hAnsi="Arial"/>
                <w:sz w:val="18"/>
                <w:szCs w:val="18"/>
                <w:color w:val="auto"/>
              </w:rPr>
              <w:t>122,136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1,714</w:t>
            </w:r>
          </w:p>
        </w:tc>
        <w:tc>
          <w:tcPr>
            <w:tcW w:w="3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Vesting of restricted stock units, including impact of</w:t>
            </w:r>
          </w:p>
        </w:tc>
        <w:tc>
          <w:tcPr>
            <w:tcW w:w="8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tcBorders>
              <w:left w:val="single" w:sz="8" w:color="CCEEFF"/>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0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shares withheld for taxes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81,640</w:t>
            </w:r>
          </w:p>
        </w:tc>
        <w:tc>
          <w:tcPr>
            <w:tcW w:w="2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(212)</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840" w:type="dxa"/>
            <w:vAlign w:val="bottom"/>
          </w:tcPr>
          <w:p>
            <w:pPr>
              <w:jc w:val="right"/>
              <w:spacing w:after="0"/>
              <w:rPr>
                <w:sz w:val="20"/>
                <w:szCs w:val="20"/>
                <w:color w:val="auto"/>
              </w:rPr>
            </w:pPr>
            <w:r>
              <w:rPr>
                <w:rFonts w:ascii="Arial" w:cs="Arial" w:eastAsia="Arial" w:hAnsi="Arial"/>
                <w:sz w:val="18"/>
                <w:szCs w:val="18"/>
                <w:color w:val="auto"/>
              </w:rPr>
              <w:t>17,242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Excess income tax benefit from share based</w:t>
            </w:r>
          </w:p>
        </w:tc>
        <w:tc>
          <w:tcPr>
            <w:tcW w:w="8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tcBorders>
              <w:left w:val="single" w:sz="8" w:color="CCEEFF"/>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0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compensation</w:t>
            </w:r>
          </w:p>
        </w:tc>
        <w:tc>
          <w:tcPr>
            <w:tcW w:w="110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300" w:type="dxa"/>
            <w:vAlign w:val="bottom"/>
            <w:tcBorders>
              <w:left w:val="single" w:sz="8" w:color="CCEEFF"/>
              <w:right w:val="single" w:sz="8" w:color="CCEEFF"/>
            </w:tcBorders>
            <w:shd w:val="clear" w:color="auto" w:fill="CCEEFF"/>
          </w:tcPr>
          <w:p>
            <w:pPr>
              <w:spacing w:after="0"/>
              <w:rPr>
                <w:sz w:val="19"/>
                <w:szCs w:val="19"/>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Dividends declared and paid</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(2,482)</w:t>
            </w:r>
          </w:p>
        </w:tc>
        <w:tc>
          <w:tcPr>
            <w:tcW w:w="22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Dividend equivalents paid on restricted stock units</w:t>
            </w:r>
          </w:p>
        </w:tc>
        <w:tc>
          <w:tcPr>
            <w:tcW w:w="110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Distributions paid to noncontrolling interests</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(134)</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10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2,339</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Other comprehensive loss—net of tax</w:t>
            </w:r>
          </w:p>
        </w:tc>
        <w:tc>
          <w:tcPr>
            <w:tcW w:w="8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(1,292)</w:t>
            </w:r>
          </w:p>
        </w:tc>
        <w:tc>
          <w:tcPr>
            <w:tcW w:w="14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BALANCE—June 30, 2012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59,220,422</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269,613</w:t>
            </w:r>
          </w:p>
        </w:tc>
        <w:tc>
          <w:tcPr>
            <w:tcW w:w="300" w:type="dxa"/>
            <w:vAlign w:val="bottom"/>
            <w:tcBorders>
              <w:left w:val="single" w:sz="8" w:color="CCEEFF"/>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2"/>
              </w:rPr>
              <w:t>$ 23,877</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228</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292,435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92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rPr>
              <w:t>Great Lakes Dredge &amp; Dock Corporation shareholders</w:t>
            </w:r>
          </w:p>
        </w:tc>
        <w:tc>
          <w:tcPr>
            <w:tcW w:w="6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1"/>
              </w:rPr>
              <w:t>Shares of</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0"/>
              </w:rPr>
              <w:t>Additional</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Common</w:t>
            </w: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2"/>
                <w:szCs w:val="12"/>
                <w:color w:val="auto"/>
              </w:rPr>
            </w:pP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Paid-In</w:t>
            </w: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Retained</w:t>
            </w:r>
          </w:p>
        </w:tc>
        <w:tc>
          <w:tcPr>
            <w:tcW w:w="11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Capital</w:t>
            </w: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Earnings</w:t>
            </w: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Income (Loss)</w:t>
            </w:r>
          </w:p>
        </w:tc>
        <w:tc>
          <w:tcPr>
            <w:tcW w:w="14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0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BALANCE—January 1, 2011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58,770,369</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$266,329</w:t>
            </w:r>
          </w:p>
        </w:tc>
        <w:tc>
          <w:tcPr>
            <w:tcW w:w="30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$12,261</w:t>
            </w: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79"/>
              </w:rPr>
              <w:t>357</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$276,825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Share-based compensation</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57,215</w:t>
            </w:r>
          </w:p>
        </w:tc>
        <w:tc>
          <w:tcPr>
            <w:tcW w:w="1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843</w:t>
            </w:r>
          </w:p>
        </w:tc>
        <w:tc>
          <w:tcPr>
            <w:tcW w:w="3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Vesting of restricted stock units, including impact of</w:t>
            </w:r>
          </w:p>
        </w:tc>
        <w:tc>
          <w:tcPr>
            <w:tcW w:w="8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tcBorders>
              <w:left w:val="single" w:sz="8" w:color="CCEEFF"/>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0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shares withheld for taxes</w:t>
            </w:r>
          </w:p>
        </w:tc>
        <w:tc>
          <w:tcPr>
            <w:tcW w:w="11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81,387</w:t>
            </w: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(250)</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6,278</w:t>
            </w:r>
          </w:p>
        </w:tc>
        <w:tc>
          <w:tcPr>
            <w:tcW w:w="1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Excess income tax benefit from share based</w:t>
            </w:r>
          </w:p>
        </w:tc>
        <w:tc>
          <w:tcPr>
            <w:tcW w:w="8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tcBorders>
              <w:left w:val="single" w:sz="8" w:color="CCEEFF"/>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0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compensation</w:t>
            </w:r>
          </w:p>
        </w:tc>
        <w:tc>
          <w:tcPr>
            <w:tcW w:w="11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00" w:type="dxa"/>
            <w:vAlign w:val="bottom"/>
            <w:tcBorders>
              <w:left w:val="single" w:sz="8" w:color="CCEEFF"/>
              <w:right w:val="single" w:sz="8" w:color="CCEEFF"/>
            </w:tcBorders>
            <w:shd w:val="clear" w:color="auto" w:fill="CCEEFF"/>
          </w:tcPr>
          <w:p>
            <w:pPr>
              <w:spacing w:after="0"/>
              <w:rPr>
                <w:sz w:val="19"/>
                <w:szCs w:val="19"/>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Acquisition of noncontrolling interest in NASDI, LLC</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(40)</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1,973</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Dividends declared and paid</w:t>
            </w:r>
          </w:p>
        </w:tc>
        <w:tc>
          <w:tcPr>
            <w:tcW w:w="11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Dividend equivalents paid on restricted stock units</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1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2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468</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Other comprehensive loss—net of tax</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(248)</w:t>
            </w:r>
          </w:p>
        </w:tc>
        <w:tc>
          <w:tcPr>
            <w:tcW w:w="14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BALANCE—June 30, 2011</w:t>
            </w:r>
          </w:p>
        </w:tc>
        <w:tc>
          <w:tcPr>
            <w:tcW w:w="11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58,915,249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266,961</w:t>
            </w:r>
          </w:p>
        </w:tc>
        <w:tc>
          <w:tcPr>
            <w:tcW w:w="300" w:type="dxa"/>
            <w:vAlign w:val="bottom"/>
            <w:tcBorders>
              <w:left w:val="single" w:sz="8" w:color="CCEEFF"/>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14,112</w:t>
            </w:r>
          </w:p>
        </w:tc>
        <w:tc>
          <w:tcPr>
            <w:tcW w:w="2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9"/>
              </w:rPr>
              <w:t>109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313</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281,501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2"/>
              </w:rPr>
              <w:t>June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(Restated,</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6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See Note 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2,133</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flows used in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 of joint ventures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Loss on extinguishment of 7 3/4% senior subordinated notes</w:t>
            </w:r>
          </w:p>
        </w:tc>
        <w:tc>
          <w:tcPr>
            <w:tcW w:w="100" w:type="dxa"/>
            <w:vAlign w:val="bottom"/>
          </w:tcPr>
          <w:p>
            <w:pPr>
              <w:spacing w:after="0"/>
              <w:rPr>
                <w:sz w:val="18"/>
                <w:szCs w:val="18"/>
                <w:color w:val="auto"/>
              </w:rPr>
            </w:pPr>
          </w:p>
        </w:tc>
        <w:tc>
          <w:tcPr>
            <w:tcW w:w="82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(478)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Gain on dispositions of property and equipment</w:t>
            </w:r>
          </w:p>
        </w:tc>
        <w:tc>
          <w:tcPr>
            <w:tcW w:w="100" w:type="dxa"/>
            <w:vAlign w:val="bottom"/>
          </w:tcPr>
          <w:p>
            <w:pPr>
              <w:spacing w:after="0"/>
              <w:rPr>
                <w:sz w:val="18"/>
                <w:szCs w:val="18"/>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adjustment of contingent earnout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Amortization of deferred financing fees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foreign currency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income tax benefit from share based compensation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Contract revenues in excess of billings</w:t>
            </w:r>
          </w:p>
        </w:tc>
        <w:tc>
          <w:tcPr>
            <w:tcW w:w="100" w:type="dxa"/>
            <w:vAlign w:val="bottom"/>
          </w:tcPr>
          <w:p>
            <w:pPr>
              <w:spacing w:after="0"/>
              <w:rPr>
                <w:sz w:val="18"/>
                <w:szCs w:val="18"/>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w w:val="89"/>
              </w:rPr>
              <w:t>(20,048)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(8,653)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rPr>
              <w:t>(5,658)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9"/>
              </w:rPr>
              <w:t>(12,371)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Billings in excess of contract revenues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6,371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noncurrent assets and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(519)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vMerge w:val="restart"/>
          </w:tcPr>
          <w:p>
            <w:pPr>
              <w:ind w:left="420"/>
              <w:spacing w:after="0"/>
              <w:rPr>
                <w:sz w:val="20"/>
                <w:szCs w:val="20"/>
                <w:color w:val="auto"/>
              </w:rPr>
            </w:pPr>
            <w:r>
              <w:rPr>
                <w:rFonts w:ascii="Arial" w:cs="Arial" w:eastAsia="Arial" w:hAnsi="Arial"/>
                <w:sz w:val="18"/>
                <w:szCs w:val="18"/>
                <w:color w:val="auto"/>
              </w:rPr>
              <w:t>Net cash flows used in operating activities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w w:val="89"/>
              </w:rPr>
              <w:t>(14,830)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(10,445)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w w:val="89"/>
              </w:rPr>
              <w:t>(22,783)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dispositions of property and equipment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Net cash flows used in investing activities</w:t>
            </w:r>
          </w:p>
        </w:tc>
        <w:tc>
          <w:tcPr>
            <w:tcW w:w="100" w:type="dxa"/>
            <w:vAlign w:val="bottom"/>
          </w:tcPr>
          <w:p>
            <w:pPr>
              <w:spacing w:after="0"/>
              <w:rPr>
                <w:sz w:val="19"/>
                <w:szCs w:val="19"/>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w w:val="89"/>
              </w:rPr>
              <w:t>(22,557)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(6,308)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Proceeds from issuance of 7 3/8% senior notes</w:t>
            </w:r>
          </w:p>
        </w:tc>
        <w:tc>
          <w:tcPr>
            <w:tcW w:w="100" w:type="dxa"/>
            <w:vAlign w:val="bottom"/>
          </w:tcPr>
          <w:p>
            <w:pPr>
              <w:spacing w:after="0"/>
              <w:rPr>
                <w:sz w:val="18"/>
                <w:szCs w:val="18"/>
                <w:color w:val="auto"/>
              </w:rPr>
            </w:pPr>
          </w:p>
        </w:tc>
        <w:tc>
          <w:tcPr>
            <w:tcW w:w="82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Redemption of 7 3/4% senior subordinated notes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Senior subordinated notes redemption premium</w:t>
            </w:r>
          </w:p>
        </w:tc>
        <w:tc>
          <w:tcPr>
            <w:tcW w:w="100" w:type="dxa"/>
            <w:vAlign w:val="bottom"/>
          </w:tcPr>
          <w:p>
            <w:pPr>
              <w:spacing w:after="0"/>
              <w:rPr>
                <w:sz w:val="18"/>
                <w:szCs w:val="18"/>
                <w:color w:val="auto"/>
              </w:rPr>
            </w:pPr>
          </w:p>
        </w:tc>
        <w:tc>
          <w:tcPr>
            <w:tcW w:w="82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fees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(2,039)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Distributions paid to minority interests</w:t>
            </w:r>
          </w:p>
        </w:tc>
        <w:tc>
          <w:tcPr>
            <w:tcW w:w="100" w:type="dxa"/>
            <w:vAlign w:val="bottom"/>
          </w:tcPr>
          <w:p>
            <w:pPr>
              <w:spacing w:after="0"/>
              <w:rPr>
                <w:sz w:val="18"/>
                <w:szCs w:val="18"/>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(2,482)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Dividend equivalents paid on restricted stock units</w:t>
            </w:r>
          </w:p>
        </w:tc>
        <w:tc>
          <w:tcPr>
            <w:tcW w:w="100" w:type="dxa"/>
            <w:vAlign w:val="bottom"/>
          </w:tcPr>
          <w:p>
            <w:pPr>
              <w:spacing w:after="0"/>
              <w:rPr>
                <w:sz w:val="18"/>
                <w:szCs w:val="18"/>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Taxes paid on settlement of vested share awards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Repayments of equipment debt</w:t>
            </w:r>
          </w:p>
        </w:tc>
        <w:tc>
          <w:tcPr>
            <w:tcW w:w="100" w:type="dxa"/>
            <w:vAlign w:val="bottom"/>
          </w:tcPr>
          <w:p>
            <w:pPr>
              <w:spacing w:after="0"/>
              <w:rPr>
                <w:sz w:val="18"/>
                <w:szCs w:val="18"/>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rPr>
              <w:t>(426)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Excess income tax benefit from share-based compensation</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flows provided by (used in) financing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(5,121)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64,272</w:t>
            </w:r>
          </w:p>
        </w:tc>
        <w:tc>
          <w:tcPr>
            <w:tcW w:w="0" w:type="dxa"/>
            <w:vAlign w:val="bottom"/>
          </w:tcPr>
          <w:p>
            <w:pPr>
              <w:spacing w:after="0"/>
              <w:rPr>
                <w:sz w:val="1"/>
                <w:szCs w:val="1"/>
                <w:color w:val="auto"/>
              </w:rPr>
            </w:pPr>
          </w:p>
        </w:tc>
      </w:tr>
      <w:tr>
        <w:trPr>
          <w:trHeight w:val="230"/>
        </w:trPr>
        <w:tc>
          <w:tcPr>
            <w:tcW w:w="9480" w:type="dxa"/>
            <w:vAlign w:val="bottom"/>
            <w:gridSpan w:val="2"/>
          </w:tcPr>
          <w:p>
            <w:pPr>
              <w:spacing w:after="0"/>
              <w:rPr>
                <w:sz w:val="20"/>
                <w:szCs w:val="20"/>
                <w:color w:val="auto"/>
              </w:rPr>
            </w:pPr>
            <w:r>
              <w:rPr>
                <w:rFonts w:ascii="Arial" w:cs="Arial" w:eastAsia="Arial" w:hAnsi="Arial"/>
                <w:sz w:val="18"/>
                <w:szCs w:val="18"/>
                <w:color w:val="auto"/>
              </w:rPr>
              <w:t>Effect of foreign currency exchange rates on cash and cash equivalents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9"/>
              </w:rPr>
              <w:t>(42,497)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113,288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95,997</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color w:val="auto"/>
              </w:rPr>
              <w:t>Cash paid (refunded) for income taxes</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80" w:type="dxa"/>
            <w:vAlign w:val="bottom"/>
            <w:gridSpan w:val="2"/>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rPr>
              <w:t>(6,371)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Property and equipment purchased but not yet paid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6,231</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noncontrolling interest in NASDI, LLC</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2011.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June 30, 2012, and its results of operations for the three and six months ended June 30, 2012 and 2011 and cash flows for the six months ended June 30, 2012 and 2011 have been included.</w:t>
      </w:r>
    </w:p>
    <w:p>
      <w:pPr>
        <w:spacing w:after="0" w:line="12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components of costs of contract revenues include labor, equipment (including depreciation, maintenance, insurance and long-term rentals), subcontracts, fuel and project overhead. Hourly labor is generally hired on a project-by-project basis. Costs of contract revenues vary significantly depending on the type and location of work performed and assets utilized. Generally, capital projects have the highest margins due to the complexity of the projects, while beach nourishment projects have the most volatile margins because they are most often exposed to variability in weather conditions.</w:t>
      </w:r>
    </w:p>
    <w:p>
      <w:pPr>
        <w:spacing w:after="0" w:line="113" w:lineRule="exact"/>
        <w:rPr>
          <w:sz w:val="20"/>
          <w:szCs w:val="20"/>
          <w:color w:val="auto"/>
        </w:rPr>
      </w:pPr>
    </w:p>
    <w:p>
      <w:pPr>
        <w:ind w:right="120"/>
        <w:spacing w:after="0" w:line="314" w:lineRule="auto"/>
        <w:rPr>
          <w:sz w:val="20"/>
          <w:szCs w:val="20"/>
          <w:color w:val="auto"/>
        </w:rPr>
      </w:pPr>
      <w:r>
        <w:rPr>
          <w:rFonts w:ascii="Arial" w:cs="Arial" w:eastAsia="Arial" w:hAnsi="Arial"/>
          <w:sz w:val="15"/>
          <w:szCs w:val="15"/>
          <w:color w:val="auto"/>
        </w:rPr>
        <w:t>The Company’s cost structure includes significant annual equipment-related costs, including depreciation, maintenance, insurance and long-term rentals. These costs have averaged approximately 21% to 25% of total costs of contract revenues over the prior three years. During the year, both equipment utilization and the timing of fixed cost expenditures fluctuate significantly. Accordingly, the Company allocates these fixed equipment costs to interim periods in proportion to revenues recognized over the year, to better match revenues and expenses. Specifically, at each interim reporting date the Company compares actual revenues earned to date on its dredging contracts to expected annual revenues and recognizes equipment costs on the same proportionate basis. In the fourth quarter, any over or under allocated equipment costs are recognized such that the expense for the year equals actual equipment costs incurred during the year.</w:t>
      </w:r>
    </w:p>
    <w:p>
      <w:pPr>
        <w:spacing w:after="0" w:line="10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operates in two reportable segments: dredging and demolition. These reportable segments are the Company’s operating segments and the reporting units at which the Company tests goodwill for impairment. The Company performed its most recent annual test of impairment as of July 1, 2011 for the goodwill in both the dredging and demolition segments with no indication of goodwill impairment as of the test date. As of the test date, the fair value of both the dredging segment and the demolition segment were in excess of their carrying values by approximately 35% and 8%, respectively. Given the small margin with which the demolition segment’s fair value is in excess of its carrying value, a more than insignificant decline in the demolition segment’s future operating results or cash flow forecasts versus the segment’s current forecasts could potentially cause a goodwill impairment charge to be recognized in a future period. The Company will perform its next scheduled annual test of goodwill in the third quarter of 2012.</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condensed consolidated results of operations and comprehensive income for the interim periods presented herein are not necessarily indicative of the results to be expected for the full year.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Restatement</w:t>
      </w:r>
    </w:p>
    <w:p>
      <w:pPr>
        <w:spacing w:after="0" w:line="90"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Company has identified instances in its demolition segment where revenue was recognized in a manner not consistent with Great Lakes’ accounting policy. Great Lakes’ policy regarding pending change orders is to immediately recognize the costs but defer the recognition of the related revenue until the recovery is probable and collectability is reasonably assured. Certain pending change orders where client acceptance has not been finalized were included as revenue. As a result of this error, contract revenues were overstated by $3,906 for the three and six months ended June 30, 2012, respectively. Accounts receivable—net and contract revenues in excess of billings were overstated by $3,906.</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addition, the Company is restating certain costs related to the preparation of vessels for new international deployments that were originally recorded as a component of other current assets. These expenses are being recorded as a component of costs of contract revenues in conformity with their presentation at year end. The Company is also correcting for other immaterial adjustments that were initially recorded in the period they were identified. These immaterial adjustments are being recast into the periods in which they originated.</w:t>
      </w:r>
    </w:p>
    <w:p>
      <w:pPr>
        <w:spacing w:after="0" w:line="14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the three and six months ended June 30, 2012, the errors noted above overstated net income by $3,166 and net income per basic and diluted common share by $0.05.</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effects of the restatement on certain line items within the Company’s previously issued financial statements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June 30, 2012</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9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As</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6"/>
          </w:tcPr>
          <w:p>
            <w:pPr>
              <w:ind w:left="20"/>
              <w:spacing w:after="0" w:line="129" w:lineRule="exact"/>
              <w:rPr>
                <w:sz w:val="20"/>
                <w:szCs w:val="20"/>
                <w:color w:val="auto"/>
              </w:rPr>
            </w:pPr>
            <w:r>
              <w:rPr>
                <w:rFonts w:ascii="Arial" w:cs="Arial" w:eastAsia="Arial" w:hAnsi="Arial"/>
                <w:sz w:val="14"/>
                <w:szCs w:val="14"/>
                <w:b w:val="1"/>
                <w:bCs w:val="1"/>
                <w:color w:val="auto"/>
              </w:rPr>
              <w:t>Restatement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rPr>
              <w:t>As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9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7"/>
          </w:tcPr>
          <w:p>
            <w:pPr>
              <w:jc w:val="right"/>
              <w:ind w:right="392"/>
              <w:spacing w:after="0"/>
              <w:rPr>
                <w:sz w:val="20"/>
                <w:szCs w:val="20"/>
                <w:color w:val="auto"/>
              </w:rPr>
            </w:pPr>
            <w:r>
              <w:rPr>
                <w:rFonts w:ascii="Arial" w:cs="Arial" w:eastAsia="Arial" w:hAnsi="Arial"/>
                <w:sz w:val="14"/>
                <w:szCs w:val="14"/>
                <w:b w:val="1"/>
                <w:bCs w:val="1"/>
                <w:color w:val="auto"/>
                <w:w w:val="91"/>
              </w:rPr>
              <w:t>Reported</w:t>
            </w:r>
          </w:p>
        </w:tc>
        <w:tc>
          <w:tcPr>
            <w:tcW w:w="80" w:type="dxa"/>
            <w:vAlign w:val="bottom"/>
          </w:tcPr>
          <w:p>
            <w:pPr>
              <w:spacing w:after="0"/>
              <w:rPr>
                <w:sz w:val="14"/>
                <w:szCs w:val="14"/>
                <w:color w:val="auto"/>
              </w:rPr>
            </w:pPr>
          </w:p>
        </w:tc>
        <w:tc>
          <w:tcPr>
            <w:tcW w:w="1060" w:type="dxa"/>
            <w:vAlign w:val="bottom"/>
            <w:gridSpan w:val="6"/>
          </w:tcPr>
          <w:p>
            <w:pPr>
              <w:ind w:left="20"/>
              <w:spacing w:after="0"/>
              <w:rPr>
                <w:sz w:val="20"/>
                <w:szCs w:val="20"/>
                <w:color w:val="auto"/>
              </w:rPr>
            </w:pPr>
            <w:r>
              <w:rPr>
                <w:rFonts w:ascii="Arial" w:cs="Arial" w:eastAsia="Arial" w:hAnsi="Arial"/>
                <w:sz w:val="14"/>
                <w:szCs w:val="14"/>
                <w:b w:val="1"/>
                <w:bCs w:val="1"/>
                <w:color w:val="auto"/>
              </w:rPr>
              <w:t>Adjustments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Restated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Condensed Consolidated Balance Sheets</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Accounts receivable—net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9"/>
          </w:tcPr>
          <w:p>
            <w:pPr>
              <w:jc w:val="right"/>
              <w:ind w:right="252"/>
              <w:spacing w:after="0"/>
              <w:rPr>
                <w:sz w:val="20"/>
                <w:szCs w:val="20"/>
                <w:color w:val="auto"/>
              </w:rPr>
            </w:pPr>
            <w:r>
              <w:rPr>
                <w:rFonts w:ascii="Arial" w:cs="Arial" w:eastAsia="Arial" w:hAnsi="Arial"/>
                <w:sz w:val="18"/>
                <w:szCs w:val="18"/>
                <w:color w:val="auto"/>
              </w:rPr>
              <w:t>$ 112,897</w:t>
            </w:r>
          </w:p>
        </w:tc>
        <w:tc>
          <w:tcPr>
            <w:tcW w:w="8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8"/>
              </w:rPr>
              <w:t>(1,666)</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w w:val="84"/>
              </w:rPr>
              <w:t>$ 111,231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 in excess of billings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252"/>
              <w:spacing w:after="0"/>
              <w:rPr>
                <w:sz w:val="20"/>
                <w:szCs w:val="20"/>
                <w:color w:val="auto"/>
              </w:rPr>
            </w:pPr>
            <w:r>
              <w:rPr>
                <w:rFonts w:ascii="Arial" w:cs="Arial" w:eastAsia="Arial" w:hAnsi="Arial"/>
                <w:sz w:val="18"/>
                <w:szCs w:val="18"/>
                <w:color w:val="auto"/>
              </w:rPr>
              <w:t>50,889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(2,240)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48,649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5"/>
          </w:tcPr>
          <w:p>
            <w:pPr>
              <w:jc w:val="right"/>
              <w:ind w:right="252"/>
              <w:spacing w:after="0"/>
              <w:rPr>
                <w:sz w:val="20"/>
                <w:szCs w:val="20"/>
                <w:color w:val="auto"/>
              </w:rPr>
            </w:pPr>
            <w:r>
              <w:rPr>
                <w:rFonts w:ascii="Arial" w:cs="Arial" w:eastAsia="Arial" w:hAnsi="Arial"/>
                <w:sz w:val="18"/>
                <w:szCs w:val="18"/>
                <w:color w:val="auto"/>
              </w:rPr>
              <w:t>42,932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(215)</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42,717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252"/>
              <w:spacing w:after="0"/>
              <w:rPr>
                <w:sz w:val="20"/>
                <w:szCs w:val="20"/>
                <w:color w:val="auto"/>
              </w:rPr>
            </w:pPr>
            <w:r>
              <w:rPr>
                <w:rFonts w:ascii="Arial" w:cs="Arial" w:eastAsia="Arial" w:hAnsi="Arial"/>
                <w:sz w:val="18"/>
                <w:szCs w:val="18"/>
                <w:color w:val="auto"/>
                <w:w w:val="86"/>
              </w:rPr>
              <w:t>326,205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(4,121)</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322,084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5"/>
          </w:tcPr>
          <w:p>
            <w:pPr>
              <w:jc w:val="right"/>
              <w:ind w:right="252"/>
              <w:spacing w:after="0"/>
              <w:rPr>
                <w:sz w:val="20"/>
                <w:szCs w:val="20"/>
                <w:color w:val="auto"/>
              </w:rPr>
            </w:pPr>
            <w:r>
              <w:rPr>
                <w:rFonts w:ascii="Arial" w:cs="Arial" w:eastAsia="Arial" w:hAnsi="Arial"/>
                <w:sz w:val="18"/>
                <w:szCs w:val="18"/>
                <w:color w:val="auto"/>
                <w:w w:val="86"/>
              </w:rPr>
              <w:t>316,460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355</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316,815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252"/>
              <w:spacing w:after="0"/>
              <w:rPr>
                <w:sz w:val="20"/>
                <w:szCs w:val="20"/>
                <w:color w:val="auto"/>
              </w:rPr>
            </w:pPr>
            <w:r>
              <w:rPr>
                <w:rFonts w:ascii="Arial" w:cs="Arial" w:eastAsia="Arial" w:hAnsi="Arial"/>
                <w:sz w:val="18"/>
                <w:szCs w:val="18"/>
                <w:color w:val="auto"/>
                <w:w w:val="86"/>
              </w:rPr>
              <w:t>789,960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(3,766)</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786,194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5"/>
          </w:tcPr>
          <w:p>
            <w:pPr>
              <w:jc w:val="right"/>
              <w:ind w:right="252"/>
              <w:spacing w:after="0"/>
              <w:rPr>
                <w:sz w:val="20"/>
                <w:szCs w:val="20"/>
                <w:color w:val="auto"/>
              </w:rPr>
            </w:pPr>
            <w:r>
              <w:rPr>
                <w:rFonts w:ascii="Arial" w:cs="Arial" w:eastAsia="Arial" w:hAnsi="Arial"/>
                <w:sz w:val="18"/>
                <w:szCs w:val="18"/>
                <w:color w:val="auto"/>
              </w:rPr>
              <w:t>27,477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(600)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26,877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252"/>
              <w:spacing w:after="0"/>
              <w:rPr>
                <w:sz w:val="20"/>
                <w:szCs w:val="20"/>
                <w:color w:val="auto"/>
              </w:rPr>
            </w:pPr>
            <w:r>
              <w:rPr>
                <w:rFonts w:ascii="Arial" w:cs="Arial" w:eastAsia="Arial" w:hAnsi="Arial"/>
                <w:sz w:val="18"/>
                <w:szCs w:val="18"/>
                <w:color w:val="auto"/>
                <w:w w:val="86"/>
              </w:rPr>
              <w:t>295,373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(3,166)</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292,207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38"/>
        </w:trPr>
        <w:tc>
          <w:tcPr>
            <w:tcW w:w="9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14"/>
          </w:tcPr>
          <w:p>
            <w:pPr>
              <w:jc w:val="right"/>
              <w:ind w:right="552"/>
              <w:spacing w:after="0"/>
              <w:rPr>
                <w:sz w:val="20"/>
                <w:szCs w:val="20"/>
                <w:color w:val="auto"/>
              </w:rPr>
            </w:pPr>
            <w:r>
              <w:rPr>
                <w:rFonts w:ascii="Arial" w:cs="Arial" w:eastAsia="Arial" w:hAnsi="Arial"/>
                <w:sz w:val="14"/>
                <w:szCs w:val="14"/>
                <w:b w:val="1"/>
                <w:bCs w:val="1"/>
                <w:color w:val="auto"/>
              </w:rPr>
              <w:t>For the three months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10"/>
          </w:tcPr>
          <w:p>
            <w:pPr>
              <w:jc w:val="right"/>
              <w:ind w:right="20"/>
              <w:spacing w:after="0"/>
              <w:rPr>
                <w:sz w:val="20"/>
                <w:szCs w:val="20"/>
                <w:color w:val="auto"/>
              </w:rPr>
            </w:pPr>
            <w:r>
              <w:rPr>
                <w:rFonts w:ascii="Arial" w:cs="Arial" w:eastAsia="Arial" w:hAnsi="Arial"/>
                <w:sz w:val="14"/>
                <w:szCs w:val="14"/>
                <w:b w:val="1"/>
                <w:bCs w:val="1"/>
                <w:color w:val="auto"/>
                <w:w w:val="84"/>
              </w:rPr>
              <w:t>For the six months ended</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1"/>
        </w:trPr>
        <w:tc>
          <w:tcPr>
            <w:tcW w:w="9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6"/>
              </w:rPr>
              <w:t>June 30, 2012</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w w:val="87"/>
              </w:rPr>
              <w:t>June 30, 2012</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9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rPr>
              <w:t>As</w:t>
            </w:r>
          </w:p>
        </w:tc>
        <w:tc>
          <w:tcPr>
            <w:tcW w:w="140" w:type="dxa"/>
            <w:vAlign w:val="bottom"/>
          </w:tcPr>
          <w:p>
            <w:pPr>
              <w:spacing w:after="0"/>
              <w:rPr>
                <w:sz w:val="11"/>
                <w:szCs w:val="11"/>
                <w:color w:val="auto"/>
              </w:rPr>
            </w:pPr>
          </w:p>
        </w:tc>
        <w:tc>
          <w:tcPr>
            <w:tcW w:w="80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w w:val="92"/>
              </w:rPr>
              <w:t>Restatement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jc w:val="right"/>
              <w:ind w:right="192"/>
              <w:spacing w:after="0" w:line="129" w:lineRule="exact"/>
              <w:rPr>
                <w:sz w:val="20"/>
                <w:szCs w:val="20"/>
                <w:color w:val="auto"/>
              </w:rPr>
            </w:pPr>
            <w:r>
              <w:rPr>
                <w:rFonts w:ascii="Arial" w:cs="Arial" w:eastAsia="Arial" w:hAnsi="Arial"/>
                <w:sz w:val="14"/>
                <w:szCs w:val="14"/>
                <w:b w:val="1"/>
                <w:bCs w:val="1"/>
                <w:color w:val="auto"/>
              </w:rPr>
              <w:t>As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4"/>
          </w:tcPr>
          <w:p>
            <w:pPr>
              <w:jc w:val="right"/>
              <w:ind w:right="500"/>
              <w:spacing w:after="0" w:line="129" w:lineRule="exact"/>
              <w:rPr>
                <w:sz w:val="20"/>
                <w:szCs w:val="20"/>
                <w:color w:val="auto"/>
              </w:rPr>
            </w:pPr>
            <w:r>
              <w:rPr>
                <w:rFonts w:ascii="Arial" w:cs="Arial" w:eastAsia="Arial" w:hAnsi="Arial"/>
                <w:sz w:val="14"/>
                <w:szCs w:val="14"/>
                <w:b w:val="1"/>
                <w:bCs w:val="1"/>
                <w:color w:val="auto"/>
              </w:rPr>
              <w:t>As</w:t>
            </w:r>
          </w:p>
        </w:tc>
        <w:tc>
          <w:tcPr>
            <w:tcW w:w="60" w:type="dxa"/>
            <w:vAlign w:val="bottom"/>
          </w:tcPr>
          <w:p>
            <w:pPr>
              <w:spacing w:after="0"/>
              <w:rPr>
                <w:sz w:val="11"/>
                <w:szCs w:val="11"/>
                <w:color w:val="auto"/>
              </w:rPr>
            </w:pPr>
          </w:p>
        </w:tc>
        <w:tc>
          <w:tcPr>
            <w:tcW w:w="90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rPr>
              <w:t>Restatement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96"/>
              <w:spacing w:after="0" w:line="129" w:lineRule="exact"/>
              <w:rPr>
                <w:sz w:val="20"/>
                <w:szCs w:val="20"/>
                <w:color w:val="auto"/>
              </w:rPr>
            </w:pPr>
            <w:r>
              <w:rPr>
                <w:rFonts w:ascii="Arial" w:cs="Arial" w:eastAsia="Arial" w:hAnsi="Arial"/>
                <w:sz w:val="14"/>
                <w:szCs w:val="14"/>
                <w:b w:val="1"/>
                <w:bCs w:val="1"/>
                <w:color w:val="auto"/>
              </w:rPr>
              <w:t>As</w:t>
            </w:r>
          </w:p>
        </w:tc>
        <w:tc>
          <w:tcPr>
            <w:tcW w:w="100" w:type="dxa"/>
            <w:vAlign w:val="bottom"/>
          </w:tcPr>
          <w:p>
            <w:pPr>
              <w:spacing w:after="0"/>
              <w:rPr>
                <w:sz w:val="11"/>
                <w:szCs w:val="11"/>
                <w:color w:val="auto"/>
              </w:rPr>
            </w:pPr>
          </w:p>
        </w:tc>
      </w:tr>
      <w:tr>
        <w:trPr>
          <w:trHeight w:val="161"/>
        </w:trPr>
        <w:tc>
          <w:tcPr>
            <w:tcW w:w="9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Reported</w:t>
            </w:r>
          </w:p>
        </w:tc>
        <w:tc>
          <w:tcPr>
            <w:tcW w:w="140" w:type="dxa"/>
            <w:vAlign w:val="bottom"/>
          </w:tcPr>
          <w:p>
            <w:pPr>
              <w:spacing w:after="0"/>
              <w:rPr>
                <w:sz w:val="14"/>
                <w:szCs w:val="14"/>
                <w:color w:val="auto"/>
              </w:rPr>
            </w:pPr>
          </w:p>
        </w:tc>
        <w:tc>
          <w:tcPr>
            <w:tcW w:w="800" w:type="dxa"/>
            <w:vAlign w:val="bottom"/>
            <w:gridSpan w:val="5"/>
          </w:tcPr>
          <w:p>
            <w:pPr>
              <w:spacing w:after="0"/>
              <w:rPr>
                <w:sz w:val="20"/>
                <w:szCs w:val="20"/>
                <w:color w:val="auto"/>
              </w:rPr>
            </w:pPr>
            <w:r>
              <w:rPr>
                <w:rFonts w:ascii="Arial" w:cs="Arial" w:eastAsia="Arial" w:hAnsi="Arial"/>
                <w:sz w:val="14"/>
                <w:szCs w:val="14"/>
                <w:b w:val="1"/>
                <w:bCs w:val="1"/>
                <w:color w:val="auto"/>
                <w:w w:val="91"/>
              </w:rPr>
              <w:t>Adjustments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w w:val="81"/>
              </w:rPr>
              <w:t>Restated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7"/>
              </w:rPr>
              <w:t>Reported</w:t>
            </w:r>
          </w:p>
        </w:tc>
        <w:tc>
          <w:tcPr>
            <w:tcW w:w="60" w:type="dxa"/>
            <w:vAlign w:val="bottom"/>
          </w:tcPr>
          <w:p>
            <w:pPr>
              <w:spacing w:after="0"/>
              <w:rPr>
                <w:sz w:val="14"/>
                <w:szCs w:val="14"/>
                <w:color w:val="auto"/>
              </w:rPr>
            </w:pPr>
          </w:p>
        </w:tc>
        <w:tc>
          <w:tcPr>
            <w:tcW w:w="900" w:type="dxa"/>
            <w:vAlign w:val="bottom"/>
            <w:gridSpan w:val="5"/>
          </w:tcPr>
          <w:p>
            <w:pPr>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1"/>
              </w:rPr>
              <w:t>Restated</w:t>
            </w:r>
          </w:p>
        </w:tc>
      </w:tr>
      <w:tr>
        <w:trPr>
          <w:trHeight w:val="196"/>
        </w:trPr>
        <w:tc>
          <w:tcPr>
            <w:tcW w:w="52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Condensed Consolidated Statement of Operations</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Contract revenues</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166,532</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(3,425)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163,107</w:t>
            </w:r>
          </w:p>
        </w:tc>
        <w:tc>
          <w:tcPr>
            <w:tcW w:w="80" w:type="dxa"/>
            <w:vAlign w:val="bottom"/>
          </w:tcPr>
          <w:p>
            <w:pPr>
              <w:spacing w:after="0"/>
              <w:rPr>
                <w:sz w:val="18"/>
                <w:szCs w:val="18"/>
                <w:color w:val="auto"/>
              </w:rPr>
            </w:pP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$321,439</w:t>
            </w:r>
          </w:p>
        </w:tc>
        <w:tc>
          <w:tcPr>
            <w:tcW w:w="24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rPr>
              <w:t>(3,425)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318,014</w:t>
            </w: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of contract revenues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142,643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144,401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277,528</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1,758</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279,286</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23,889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(5,183)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18,706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43,911</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rPr>
              <w:t>(5,183)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38,728</w:t>
            </w: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12,526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(5,183)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19,312</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(5,183)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14,129</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(2,768)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2,017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(751)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180"/>
              <w:spacing w:after="0"/>
              <w:rPr>
                <w:sz w:val="20"/>
                <w:szCs w:val="20"/>
                <w:color w:val="auto"/>
              </w:rPr>
            </w:pPr>
            <w:r>
              <w:rPr>
                <w:rFonts w:ascii="Arial" w:cs="Arial" w:eastAsia="Arial" w:hAnsi="Arial"/>
                <w:sz w:val="18"/>
                <w:szCs w:val="18"/>
                <w:color w:val="auto"/>
              </w:rPr>
              <w:t>(3,332)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(1,315)</w:t>
            </w: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(3,166)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(3,166)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2,133</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w w:val="98"/>
              </w:rPr>
              <w:t>Net income attributable to Great Lakes Dredge &amp; Dock Corporation</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4,437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(3,166)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1,271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5,505</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rPr>
              <w:t>(3,166)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2,339</w:t>
            </w:r>
          </w:p>
        </w:tc>
      </w:tr>
      <w:tr>
        <w:trPr>
          <w:trHeight w:val="208"/>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Basic earnings per share attributable to Great Lakes Dredge &amp; Dock</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Corporation</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0.07</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r>
      <w:tr>
        <w:trPr>
          <w:trHeight w:val="208"/>
        </w:trPr>
        <w:tc>
          <w:tcPr>
            <w:tcW w:w="5280" w:type="dxa"/>
            <w:vAlign w:val="bottom"/>
            <w:gridSpan w:val="2"/>
          </w:tcPr>
          <w:p>
            <w:pPr>
              <w:spacing w:after="0"/>
              <w:rPr>
                <w:sz w:val="20"/>
                <w:szCs w:val="20"/>
                <w:color w:val="auto"/>
              </w:rPr>
            </w:pPr>
            <w:r>
              <w:rPr>
                <w:rFonts w:ascii="Arial" w:cs="Arial" w:eastAsia="Arial" w:hAnsi="Arial"/>
                <w:sz w:val="18"/>
                <w:szCs w:val="18"/>
                <w:color w:val="auto"/>
                <w:w w:val="94"/>
              </w:rPr>
              <w:t>Diluted earnings per share attributable to Great Lakes Dredge &amp; Dock</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280" w:type="dxa"/>
            <w:vAlign w:val="bottom"/>
            <w:gridSpan w:val="2"/>
          </w:tcPr>
          <w:p>
            <w:pPr>
              <w:ind w:left="220"/>
              <w:spacing w:after="0"/>
              <w:rPr>
                <w:sz w:val="20"/>
                <w:szCs w:val="20"/>
                <w:color w:val="auto"/>
              </w:rPr>
            </w:pPr>
            <w:r>
              <w:rPr>
                <w:rFonts w:ascii="Arial" w:cs="Arial" w:eastAsia="Arial" w:hAnsi="Arial"/>
                <w:sz w:val="18"/>
                <w:szCs w:val="18"/>
                <w:color w:val="auto"/>
              </w:rPr>
              <w:t>Corporation</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0.07</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(0.05)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0.09</w:t>
            </w:r>
          </w:p>
        </w:tc>
        <w:tc>
          <w:tcPr>
            <w:tcW w:w="240" w:type="dxa"/>
            <w:vAlign w:val="bottom"/>
          </w:tcPr>
          <w:p>
            <w:pPr>
              <w:spacing w:after="0"/>
              <w:rPr>
                <w:sz w:val="19"/>
                <w:szCs w:val="19"/>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rPr>
              <w:t>(0.05)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r>
      <w:tr>
        <w:trPr>
          <w:trHeight w:val="340"/>
        </w:trPr>
        <w:tc>
          <w:tcPr>
            <w:tcW w:w="9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9"/>
          </w:tcPr>
          <w:p>
            <w:pPr>
              <w:jc w:val="center"/>
              <w:spacing w:after="0"/>
              <w:rPr>
                <w:sz w:val="20"/>
                <w:szCs w:val="20"/>
                <w:color w:val="auto"/>
              </w:rPr>
            </w:pPr>
            <w:r>
              <w:rPr>
                <w:rFonts w:ascii="Arial" w:cs="Arial" w:eastAsia="Arial" w:hAnsi="Arial"/>
                <w:sz w:val="14"/>
                <w:szCs w:val="14"/>
                <w:b w:val="1"/>
                <w:bCs w:val="1"/>
                <w:color w:val="auto"/>
                <w:w w:val="85"/>
              </w:rPr>
              <w:t>For the six months ended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1"/>
        </w:trPr>
        <w:tc>
          <w:tcPr>
            <w:tcW w:w="9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w w:val="85"/>
              </w:rPr>
              <w:t>June 30, 2012</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9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89"/>
              </w:rPr>
              <w:t>As</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7"/>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Restatement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rPr>
              <w:t>As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9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Reported</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87"/>
              </w:rPr>
              <w:t>Adjustments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7"/>
              </w:rPr>
              <w:t>Restated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9"/>
              </w:rPr>
              <w:t>Condensed Consolidated Statement of Cash Flows</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9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Net cash flows used in operating activities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8"/>
          </w:tcPr>
          <w:p>
            <w:pPr>
              <w:jc w:val="right"/>
              <w:ind w:right="92"/>
              <w:spacing w:after="0"/>
              <w:rPr>
                <w:sz w:val="20"/>
                <w:szCs w:val="20"/>
                <w:color w:val="auto"/>
              </w:rPr>
            </w:pPr>
            <w:r>
              <w:rPr>
                <w:rFonts w:ascii="Arial" w:cs="Arial" w:eastAsia="Arial" w:hAnsi="Arial"/>
                <w:sz w:val="18"/>
                <w:szCs w:val="18"/>
                <w:color w:val="auto"/>
              </w:rPr>
              <w:t>$ (15,185)</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w w:val="85"/>
              </w:rPr>
              <w:t>$ (14,830)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9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 investing activities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8"/>
            <w:shd w:val="clear" w:color="auto" w:fill="CCEEFF"/>
          </w:tcPr>
          <w:p>
            <w:pPr>
              <w:jc w:val="right"/>
              <w:ind w:right="92"/>
              <w:spacing w:after="0"/>
              <w:rPr>
                <w:sz w:val="20"/>
                <w:szCs w:val="20"/>
                <w:color w:val="auto"/>
              </w:rPr>
            </w:pPr>
            <w:r>
              <w:rPr>
                <w:rFonts w:ascii="Arial" w:cs="Arial" w:eastAsia="Arial" w:hAnsi="Arial"/>
                <w:sz w:val="18"/>
                <w:szCs w:val="18"/>
                <w:color w:val="auto"/>
              </w:rPr>
              <w:t>(22,202)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(22,557)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63"/>
        </w:trPr>
        <w:tc>
          <w:tcPr>
            <w:tcW w:w="9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040" w:type="dxa"/>
            <w:vAlign w:val="bottom"/>
            <w:gridSpan w:val="3"/>
          </w:tcPr>
          <w:p>
            <w:pPr>
              <w:ind w:left="34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 Earnings per share</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Basic earnings per share is computed by dividing net income attributable to common stockholders by the weighted-average number 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 For the three and six months ended June 30, 2012 and 2011, zero options to purchase shares of common stock were excluded from the calculation of diluted earnings per share based on the application of the treasury stock method. The computations for basic and diluted earnings per share from continuing operations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534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96"/>
              </w:rPr>
              <w:t>2011</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96"/>
              </w:rPr>
              <w:t>2012</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2011</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60" w:type="dxa"/>
            <w:vAlign w:val="bottom"/>
          </w:tcPr>
          <w:p>
            <w:pPr>
              <w:spacing w:after="0"/>
              <w:rPr>
                <w:sz w:val="16"/>
                <w:szCs w:val="16"/>
                <w:color w:val="auto"/>
              </w:rPr>
            </w:pPr>
          </w:p>
        </w:tc>
        <w:tc>
          <w:tcPr>
            <w:tcW w:w="626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color w:val="auto"/>
                <w:w w:val="97"/>
              </w:rPr>
              <w:t>Net income attributable to common shareholders of Great Lakes Dredge &amp; Dock</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6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Corporation</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2,339</w:t>
            </w:r>
          </w:p>
        </w:tc>
        <w:tc>
          <w:tcPr>
            <w:tcW w:w="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 — basic</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59,171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58,875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59,105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58,830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stock options and restricted stock units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
        </w:trPr>
        <w:tc>
          <w:tcPr>
            <w:tcW w:w="6720" w:type="dxa"/>
            <w:vAlign w:val="bottom"/>
            <w:gridSpan w:val="3"/>
            <w:vMerge w:val="restart"/>
          </w:tcPr>
          <w:p>
            <w:pPr>
              <w:ind w:left="460"/>
              <w:spacing w:after="0"/>
              <w:rPr>
                <w:sz w:val="20"/>
                <w:szCs w:val="20"/>
                <w:color w:val="auto"/>
              </w:rPr>
            </w:pPr>
            <w:r>
              <w:rPr>
                <w:rFonts w:ascii="Arial" w:cs="Arial" w:eastAsia="Arial" w:hAnsi="Arial"/>
                <w:sz w:val="18"/>
                <w:szCs w:val="18"/>
                <w:color w:val="auto"/>
              </w:rPr>
              <w:t>Weighted-average common shares outstanding — diluted</w:t>
            </w: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20" w:type="dxa"/>
            <w:vAlign w:val="bottom"/>
            <w:gridSpan w:val="3"/>
            <w:vMerge w:val="continue"/>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59,534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59,184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59,493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59,228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Earnings per share — diluted</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0.02</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451"/>
        </w:trPr>
        <w:tc>
          <w:tcPr>
            <w:tcW w:w="6720" w:type="dxa"/>
            <w:vAlign w:val="bottom"/>
            <w:gridSpan w:val="3"/>
          </w:tcPr>
          <w:p>
            <w:pPr>
              <w:ind w:left="460"/>
              <w:spacing w:after="0"/>
              <w:rPr>
                <w:sz w:val="20"/>
                <w:szCs w:val="20"/>
                <w:color w:val="auto"/>
              </w:rPr>
            </w:pPr>
            <w:r>
              <w:rPr>
                <w:rFonts w:ascii="Arial" w:cs="Arial" w:eastAsia="Arial" w:hAnsi="Arial"/>
                <w:sz w:val="18"/>
                <w:szCs w:val="18"/>
                <w:b w:val="1"/>
                <w:bCs w:val="1"/>
                <w:color w:val="auto"/>
              </w:rPr>
              <w:t>3. Accounts receivable and contracts in progress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20" w:type="dxa"/>
            <w:vAlign w:val="bottom"/>
            <w:gridSpan w:val="3"/>
          </w:tcPr>
          <w:p>
            <w:pPr>
              <w:jc w:val="right"/>
              <w:ind w:right="1212"/>
              <w:spacing w:after="0"/>
              <w:rPr>
                <w:sz w:val="20"/>
                <w:szCs w:val="20"/>
                <w:color w:val="auto"/>
              </w:rPr>
            </w:pPr>
            <w:r>
              <w:rPr>
                <w:rFonts w:ascii="Arial" w:cs="Arial" w:eastAsia="Arial" w:hAnsi="Arial"/>
                <w:sz w:val="18"/>
                <w:szCs w:val="18"/>
                <w:color w:val="auto"/>
                <w:w w:val="87"/>
              </w:rPr>
              <w:t>Accounts receivable at June 30, 2012 and December 31, 2011 are as follows: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9"/>
              </w:rPr>
              <w:t>June 30,</w:t>
            </w:r>
          </w:p>
        </w:tc>
        <w:tc>
          <w:tcPr>
            <w:tcW w:w="1200" w:type="dxa"/>
            <w:vAlign w:val="bottom"/>
            <w:gridSpan w:val="7"/>
          </w:tcPr>
          <w:p>
            <w:pPr>
              <w:jc w:val="center"/>
              <w:ind w:left="97"/>
              <w:spacing w:after="0"/>
              <w:rPr>
                <w:sz w:val="20"/>
                <w:szCs w:val="20"/>
                <w:color w:val="auto"/>
              </w:rPr>
            </w:pPr>
            <w:r>
              <w:rPr>
                <w:rFonts w:ascii="Arial" w:cs="Arial" w:eastAsia="Arial" w:hAnsi="Arial"/>
                <w:sz w:val="14"/>
                <w:szCs w:val="14"/>
                <w:b w:val="1"/>
                <w:bCs w:val="1"/>
                <w:color w:val="auto"/>
                <w:w w:val="85"/>
              </w:rPr>
              <w:t>December 31,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18"/>
              <w:spacing w:after="0"/>
              <w:rPr>
                <w:sz w:val="20"/>
                <w:szCs w:val="20"/>
                <w:color w:val="auto"/>
              </w:rPr>
            </w:pPr>
            <w:r>
              <w:rPr>
                <w:rFonts w:ascii="Arial" w:cs="Arial" w:eastAsia="Arial" w:hAnsi="Arial"/>
                <w:sz w:val="14"/>
                <w:szCs w:val="14"/>
                <w:b w:val="1"/>
                <w:bCs w:val="1"/>
                <w:color w:val="auto"/>
                <w:w w:val="83"/>
              </w:rPr>
              <w:t>2011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Completed contracts</w:t>
            </w: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$ 30,713</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38,317</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Contracts in progress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69,840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69,469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Retainage</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21,220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20,692</w:t>
            </w:r>
          </w:p>
        </w:tc>
        <w:tc>
          <w:tcPr>
            <w:tcW w:w="12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121,773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128,478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(1,500)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260" w:type="dxa"/>
            <w:vAlign w:val="bottom"/>
            <w:gridSpan w:val="2"/>
            <w:vMerge w:val="restart"/>
          </w:tcPr>
          <w:p>
            <w:pPr>
              <w:ind w:left="920"/>
              <w:spacing w:after="0"/>
              <w:rPr>
                <w:sz w:val="20"/>
                <w:szCs w:val="20"/>
                <w:color w:val="auto"/>
              </w:rPr>
            </w:pPr>
            <w:r>
              <w:rPr>
                <w:rFonts w:ascii="Arial" w:cs="Arial" w:eastAsia="Arial" w:hAnsi="Arial"/>
                <w:sz w:val="18"/>
                <w:szCs w:val="18"/>
                <w:color w:val="auto"/>
              </w:rPr>
              <w:t>Total accounts receivable—net</w:t>
            </w: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626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120,273</w:t>
            </w:r>
          </w:p>
        </w:tc>
        <w:tc>
          <w:tcPr>
            <w:tcW w:w="3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126,639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accounts receivable—net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4"/>
              </w:rPr>
              <w:t>$ 111,231</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120,268</w:t>
            </w:r>
          </w:p>
        </w:tc>
        <w:tc>
          <w:tcPr>
            <w:tcW w:w="12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Long-term accounts receivable and retainage</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9,042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6,371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accounts receivable—net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120,273</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126,639</w:t>
            </w:r>
          </w:p>
        </w:tc>
        <w:tc>
          <w:tcPr>
            <w:tcW w:w="12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gridSpan w:val="3"/>
            <w:vMerge w:val="restart"/>
          </w:tcPr>
          <w:p>
            <w:pPr>
              <w:jc w:val="right"/>
              <w:ind w:right="832"/>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720" w:type="dxa"/>
            <w:vAlign w:val="bottom"/>
            <w:gridSpan w:val="3"/>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contracts in progress at June 30, 2012 and December 31, 2011 are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5"/>
              </w:rPr>
              <w:t>June 30,</w:t>
            </w:r>
          </w:p>
        </w:tc>
        <w:tc>
          <w:tcPr>
            <w:tcW w:w="1180" w:type="dxa"/>
            <w:vAlign w:val="bottom"/>
            <w:gridSpan w:val="4"/>
          </w:tcPr>
          <w:p>
            <w:pPr>
              <w:ind w:left="2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6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Costs and earnings in excess of billings:</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Costs and earnings for contracts in progress</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363,079</w:t>
            </w:r>
          </w:p>
        </w:tc>
        <w:tc>
          <w:tcPr>
            <w:tcW w:w="320" w:type="dxa"/>
            <w:vAlign w:val="bottom"/>
          </w:tcPr>
          <w:p>
            <w:pPr>
              <w:spacing w:after="0"/>
              <w:rPr>
                <w:sz w:val="18"/>
                <w:szCs w:val="18"/>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173,187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Amounts billed</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(315,811)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(152,045)</w:t>
            </w:r>
          </w:p>
        </w:tc>
        <w:tc>
          <w:tcPr>
            <w:tcW w:w="0" w:type="dxa"/>
            <w:vAlign w:val="bottom"/>
          </w:tcPr>
          <w:p>
            <w:pPr>
              <w:spacing w:after="0"/>
              <w:rPr>
                <w:sz w:val="1"/>
                <w:szCs w:val="1"/>
                <w:color w:val="auto"/>
              </w:rPr>
            </w:pPr>
          </w:p>
        </w:tc>
      </w:tr>
      <w:tr>
        <w:trPr>
          <w:trHeight w:val="221"/>
        </w:trPr>
        <w:tc>
          <w:tcPr>
            <w:tcW w:w="5480" w:type="dxa"/>
            <w:vAlign w:val="bottom"/>
            <w:gridSpan w:val="2"/>
          </w:tcPr>
          <w:p>
            <w:pPr>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47,268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80" w:type="dxa"/>
            <w:vAlign w:val="bottom"/>
            <w:gridSpan w:val="2"/>
          </w:tcPr>
          <w:p>
            <w:pPr>
              <w:spacing w:after="0"/>
              <w:rPr>
                <w:sz w:val="20"/>
                <w:szCs w:val="20"/>
                <w:color w:val="auto"/>
              </w:rPr>
            </w:pPr>
            <w:r>
              <w:rPr>
                <w:rFonts w:ascii="Arial" w:cs="Arial" w:eastAsia="Arial" w:hAnsi="Arial"/>
                <w:sz w:val="18"/>
                <w:szCs w:val="18"/>
                <w:color w:val="auto"/>
              </w:rPr>
              <w:t>Total contract revenues in excess of billings</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48,649</w:t>
            </w:r>
          </w:p>
        </w:tc>
        <w:tc>
          <w:tcPr>
            <w:tcW w:w="320" w:type="dxa"/>
            <w:vAlign w:val="bottom"/>
          </w:tcPr>
          <w:p>
            <w:pPr>
              <w:spacing w:after="0"/>
              <w:rPr>
                <w:sz w:val="19"/>
                <w:szCs w:val="19"/>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28,601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contract revenues in excess of billings</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48,649</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Portion included in other noncurrent assets</w:t>
            </w:r>
          </w:p>
        </w:tc>
        <w:tc>
          <w:tcPr>
            <w:tcW w:w="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contract revenues in excess of billings</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48,649</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Billings in excess of costs and earnings:</w:t>
            </w: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8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Amounts billed</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(383,047)</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(427,797)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Costs and earnings for contracts in progress</w:t>
            </w:r>
          </w:p>
        </w:tc>
        <w:tc>
          <w:tcPr>
            <w:tcW w:w="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363,048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414,170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billings in excess of contract revenues</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(19,999)</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 Fair value measurements</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9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w:t>
      </w:r>
    </w:p>
    <w:p>
      <w:pPr>
        <w:spacing w:after="0" w:line="19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June 30, 2012 and December 31, 2011, the Company held certain derivative contracts that it uses to manage foreign currency risk, commodity price risk and interest rate risk. The Company does not hold or issue derivatives for speculative or trading purposes. The fair values of these financial instruments are summarized as follows:</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20"/>
          </w:cols>
          <w:pgMar w:left="24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gridSpan w:val="7"/>
          </w:tcPr>
          <w:p>
            <w:pPr>
              <w:ind w:left="940"/>
              <w:spacing w:after="0"/>
              <w:rPr>
                <w:sz w:val="20"/>
                <w:szCs w:val="20"/>
                <w:color w:val="auto"/>
              </w:rPr>
            </w:pPr>
            <w:r>
              <w:rPr>
                <w:rFonts w:ascii="Arial" w:cs="Arial" w:eastAsia="Arial" w:hAnsi="Arial"/>
                <w:sz w:val="14"/>
                <w:szCs w:val="14"/>
                <w:b w:val="1"/>
                <w:bCs w:val="1"/>
                <w:color w:val="auto"/>
                <w:w w:val="89"/>
              </w:rPr>
              <w:t>Fair Value Measurements at Reporting Date Using</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Active Markets for</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24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264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 Inputs</w:t>
            </w: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vMerge w:val="continue"/>
          </w:tcPr>
          <w:p>
            <w:pPr>
              <w:spacing w:after="0"/>
              <w:rPr>
                <w:sz w:val="14"/>
                <w:szCs w:val="14"/>
                <w:color w:val="auto"/>
              </w:rPr>
            </w:pPr>
          </w:p>
        </w:tc>
        <w:tc>
          <w:tcPr>
            <w:tcW w:w="26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85"/>
              </w:rPr>
              <w:t>At June 30, 2012</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40"/>
              <w:spacing w:after="0" w:line="148" w:lineRule="exact"/>
              <w:rPr>
                <w:sz w:val="20"/>
                <w:szCs w:val="20"/>
                <w:color w:val="auto"/>
              </w:rPr>
            </w:pPr>
            <w:r>
              <w:rPr>
                <w:rFonts w:ascii="Arial" w:cs="Arial" w:eastAsia="Arial" w:hAnsi="Arial"/>
                <w:sz w:val="14"/>
                <w:szCs w:val="14"/>
                <w:b w:val="1"/>
                <w:bCs w:val="1"/>
                <w:color w:val="auto"/>
                <w:w w:val="87"/>
              </w:rPr>
              <w:t>(Level 1)</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960"/>
              <w:spacing w:after="0" w:line="148" w:lineRule="exact"/>
              <w:rPr>
                <w:sz w:val="20"/>
                <w:szCs w:val="20"/>
                <w:color w:val="auto"/>
              </w:rPr>
            </w:pPr>
            <w:r>
              <w:rPr>
                <w:rFonts w:ascii="Arial" w:cs="Arial" w:eastAsia="Arial" w:hAnsi="Arial"/>
                <w:sz w:val="14"/>
                <w:szCs w:val="14"/>
                <w:b w:val="1"/>
                <w:bCs w:val="1"/>
                <w:color w:val="auto"/>
                <w:w w:val="91"/>
              </w:rPr>
              <w:t>(Level 2)</w:t>
            </w:r>
          </w:p>
        </w:tc>
        <w:tc>
          <w:tcPr>
            <w:tcW w:w="240" w:type="dxa"/>
            <w:vAlign w:val="bottom"/>
          </w:tcPr>
          <w:p>
            <w:pPr>
              <w:spacing w:after="0"/>
              <w:rPr>
                <w:sz w:val="14"/>
                <w:szCs w:val="14"/>
                <w:color w:val="auto"/>
              </w:rPr>
            </w:pPr>
          </w:p>
        </w:tc>
        <w:tc>
          <w:tcPr>
            <w:tcW w:w="106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190"/>
        </w:trPr>
        <w:tc>
          <w:tcPr>
            <w:tcW w:w="33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right w:val="single" w:sz="8" w:color="CCEEFF"/>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right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right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Interest rate swap contracts</w:t>
            </w:r>
          </w:p>
        </w:tc>
        <w:tc>
          <w:tcPr>
            <w:tcW w:w="66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416</w:t>
            </w:r>
          </w:p>
        </w:tc>
        <w:tc>
          <w:tcPr>
            <w:tcW w:w="860" w:type="dxa"/>
            <w:vAlign w:val="bottom"/>
            <w:gridSpan w:val="3"/>
          </w:tcPr>
          <w:p>
            <w:pPr>
              <w:ind w:left="760"/>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c>
          <w:tcPr>
            <w:tcW w:w="98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416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Total assets measured at fair value</w:t>
            </w: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40" w:type="dxa"/>
            <w:vAlign w:val="bottom"/>
            <w:gridSpan w:val="2"/>
            <w:vMerge w:val="continue"/>
          </w:tcPr>
          <w:p>
            <w:pPr>
              <w:spacing w:after="0"/>
              <w:rPr>
                <w:sz w:val="19"/>
                <w:szCs w:val="19"/>
                <w:color w:val="auto"/>
              </w:rPr>
            </w:pPr>
          </w:p>
        </w:tc>
        <w:tc>
          <w:tcPr>
            <w:tcW w:w="340" w:type="dxa"/>
            <w:vAlign w:val="bottom"/>
            <w:gridSpan w:val="2"/>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553</w:t>
            </w:r>
          </w:p>
        </w:tc>
        <w:tc>
          <w:tcPr>
            <w:tcW w:w="760" w:type="dxa"/>
            <w:vAlign w:val="bottom"/>
            <w:gridSpan w:val="2"/>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c>
          <w:tcPr>
            <w:tcW w:w="800" w:type="dxa"/>
            <w:vAlign w:val="bottom"/>
            <w:gridSpan w:val="2"/>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553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Fuel hedge contracts</w:t>
            </w:r>
          </w:p>
        </w:tc>
        <w:tc>
          <w:tcPr>
            <w:tcW w:w="340" w:type="dxa"/>
            <w:vAlign w:val="bottom"/>
            <w:gridSpan w:val="2"/>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1,695</w:t>
            </w:r>
          </w:p>
        </w:tc>
        <w:tc>
          <w:tcPr>
            <w:tcW w:w="760" w:type="dxa"/>
            <w:vAlign w:val="bottom"/>
            <w:gridSpan w:val="2"/>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c>
          <w:tcPr>
            <w:tcW w:w="800" w:type="dxa"/>
            <w:vAlign w:val="bottom"/>
            <w:gridSpan w:val="2"/>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1,695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7"/>
          </w:tcPr>
          <w:p>
            <w:pPr>
              <w:ind w:left="920"/>
              <w:spacing w:after="0"/>
              <w:rPr>
                <w:sz w:val="20"/>
                <w:szCs w:val="20"/>
                <w:color w:val="auto"/>
              </w:rPr>
            </w:pPr>
            <w:r>
              <w:rPr>
                <w:rFonts w:ascii="Arial" w:cs="Arial" w:eastAsia="Arial" w:hAnsi="Arial"/>
                <w:sz w:val="14"/>
                <w:szCs w:val="14"/>
                <w:b w:val="1"/>
                <w:bCs w:val="1"/>
                <w:color w:val="auto"/>
                <w:w w:val="89"/>
              </w:rPr>
              <w:t>Fair Value Measurements at Reporting Date Using</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Active Markets for</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24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264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780" w:type="dxa"/>
            <w:vAlign w:val="bottom"/>
          </w:tcPr>
          <w:p>
            <w:pPr>
              <w:spacing w:after="0"/>
              <w:rPr>
                <w:sz w:val="12"/>
                <w:szCs w:val="12"/>
                <w:color w:val="auto"/>
              </w:rPr>
            </w:pPr>
          </w:p>
        </w:tc>
        <w:tc>
          <w:tcPr>
            <w:tcW w:w="18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Observable Inputs</w:t>
            </w: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vMerge w:val="continue"/>
          </w:tcPr>
          <w:p>
            <w:pPr>
              <w:spacing w:after="0"/>
              <w:rPr>
                <w:sz w:val="14"/>
                <w:szCs w:val="14"/>
                <w:color w:val="auto"/>
              </w:rPr>
            </w:pPr>
          </w:p>
        </w:tc>
        <w:tc>
          <w:tcPr>
            <w:tcW w:w="26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4"/>
          </w:tcPr>
          <w:p>
            <w:pPr>
              <w:spacing w:after="0" w:line="148" w:lineRule="exact"/>
              <w:rPr>
                <w:sz w:val="20"/>
                <w:szCs w:val="20"/>
                <w:color w:val="auto"/>
              </w:rPr>
            </w:pPr>
            <w:r>
              <w:rPr>
                <w:rFonts w:ascii="Arial" w:cs="Arial" w:eastAsia="Arial" w:hAnsi="Arial"/>
                <w:sz w:val="14"/>
                <w:szCs w:val="14"/>
                <w:b w:val="1"/>
                <w:bCs w:val="1"/>
                <w:color w:val="auto"/>
                <w:w w:val="87"/>
              </w:rPr>
              <w:t>At December 31, 2011</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80"/>
              <w:spacing w:after="0" w:line="148" w:lineRule="exact"/>
              <w:rPr>
                <w:sz w:val="20"/>
                <w:szCs w:val="20"/>
                <w:color w:val="auto"/>
              </w:rPr>
            </w:pPr>
            <w:r>
              <w:rPr>
                <w:rFonts w:ascii="Arial" w:cs="Arial" w:eastAsia="Arial" w:hAnsi="Arial"/>
                <w:sz w:val="14"/>
                <w:szCs w:val="14"/>
                <w:b w:val="1"/>
                <w:bCs w:val="1"/>
                <w:color w:val="auto"/>
                <w:w w:val="87"/>
              </w:rPr>
              <w:t>(Level 1)</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980"/>
              <w:spacing w:after="0" w:line="148" w:lineRule="exact"/>
              <w:rPr>
                <w:sz w:val="20"/>
                <w:szCs w:val="20"/>
                <w:color w:val="auto"/>
              </w:rPr>
            </w:pPr>
            <w:r>
              <w:rPr>
                <w:rFonts w:ascii="Arial" w:cs="Arial" w:eastAsia="Arial" w:hAnsi="Arial"/>
                <w:sz w:val="14"/>
                <w:szCs w:val="14"/>
                <w:b w:val="1"/>
                <w:bCs w:val="1"/>
                <w:color w:val="auto"/>
                <w:w w:val="87"/>
              </w:rPr>
              <w:t>(Level 2)</w:t>
            </w:r>
          </w:p>
        </w:tc>
        <w:tc>
          <w:tcPr>
            <w:tcW w:w="240" w:type="dxa"/>
            <w:vAlign w:val="bottom"/>
          </w:tcPr>
          <w:p>
            <w:pPr>
              <w:spacing w:after="0"/>
              <w:rPr>
                <w:sz w:val="14"/>
                <w:szCs w:val="14"/>
                <w:color w:val="auto"/>
              </w:rPr>
            </w:pPr>
          </w:p>
        </w:tc>
        <w:tc>
          <w:tcPr>
            <w:tcW w:w="106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03"/>
        </w:trPr>
        <w:tc>
          <w:tcPr>
            <w:tcW w:w="33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Fuel hedge contracts</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449</w:t>
            </w: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right w:val="single" w:sz="8" w:color="CCEEFF"/>
            </w:tcBorders>
            <w:shd w:val="clear" w:color="auto" w:fill="CCEEFF"/>
          </w:tcPr>
          <w:p>
            <w:pPr>
              <w:ind w:left="720"/>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449</w:t>
            </w:r>
          </w:p>
        </w:tc>
        <w:tc>
          <w:tcPr>
            <w:tcW w:w="7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ind w:left="70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Interest rate swap contracts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755</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ind w:left="7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755</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4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7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Total assets measured at fair value</w:t>
            </w: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1,359</w:t>
            </w:r>
          </w:p>
        </w:tc>
        <w:tc>
          <w:tcPr>
            <w:tcW w:w="860" w:type="dxa"/>
            <w:vAlign w:val="bottom"/>
            <w:gridSpan w:val="3"/>
          </w:tcPr>
          <w:p>
            <w:pPr>
              <w:ind w:left="740"/>
              <w:spacing w:after="0"/>
              <w:rPr>
                <w:sz w:val="20"/>
                <w:szCs w:val="20"/>
                <w:color w:val="auto"/>
              </w:rPr>
            </w:pPr>
            <w:r>
              <w:rPr>
                <w:rFonts w:ascii="Arial" w:cs="Arial" w:eastAsia="Arial" w:hAnsi="Arial"/>
                <w:sz w:val="18"/>
                <w:szCs w:val="18"/>
                <w:color w:val="auto"/>
                <w:w w:val="99"/>
              </w:rPr>
              <w:t>$</w:t>
            </w:r>
          </w:p>
        </w:tc>
        <w:tc>
          <w:tcPr>
            <w:tcW w:w="1020" w:type="dxa"/>
            <w:vAlign w:val="bottom"/>
          </w:tcPr>
          <w:p>
            <w:pPr>
              <w:ind w:left="720"/>
              <w:spacing w:after="0"/>
              <w:rPr>
                <w:sz w:val="20"/>
                <w:szCs w:val="20"/>
                <w:color w:val="auto"/>
              </w:rPr>
            </w:pPr>
            <w:r>
              <w:rPr>
                <w:rFonts w:ascii="Arial" w:cs="Arial" w:eastAsia="Arial" w:hAnsi="Arial"/>
                <w:sz w:val="18"/>
                <w:szCs w:val="18"/>
                <w:color w:val="auto"/>
              </w:rPr>
              <w:t>—</w:t>
            </w:r>
          </w:p>
        </w:tc>
        <w:tc>
          <w:tcPr>
            <w:tcW w:w="9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1,359</w:t>
            </w:r>
          </w:p>
        </w:tc>
        <w:tc>
          <w:tcPr>
            <w:tcW w:w="78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contracts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May 2009, the Company entered into two interest rate swap arrangements, which are effective through December 15, 2012, to swap a notional amount of $50 million from a fixed rate of 7.75% to a floating LIBOR-based rate in order to manage the interest rate paid with respect to the Company’s 7.75% senior subordinated notes. Although the senior subordinated notes were redeemed in January 2011, the swaps remain in place. The swaps are not accounted for as a hedge; therefore, the changes in fair value are recorded as adjustments to interest expense in each reporting period.</w:t>
      </w:r>
    </w:p>
    <w:p>
      <w:pPr>
        <w:spacing w:after="0" w:line="113"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Company previously verified the fair value of the interest rate swap contracts using a quantitative model that contained both observable and unobservable inputs. The unobservable inputs related primarily to the implied LIBOR forward rate and the long-term nature of the contracts. As of December 31, 2011, the unobservable inputs began to be corroborated by observable market data and accordingly the Company transferred the swaps into Level 2 of the fair value hierarchy. The change in Level 3 interest rate swap contracts during the comparable quarter of the prior year was as follows:</w:t>
      </w:r>
    </w:p>
    <w:p>
      <w:pPr>
        <w:spacing w:after="0" w:line="13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4180" w:type="dxa"/>
            <w:vAlign w:val="bottom"/>
            <w:gridSpan w:val="4"/>
          </w:tcPr>
          <w:p>
            <w:pPr>
              <w:ind w:left="1560"/>
              <w:spacing w:after="0"/>
              <w:rPr>
                <w:sz w:val="20"/>
                <w:szCs w:val="20"/>
                <w:color w:val="auto"/>
              </w:rPr>
            </w:pPr>
            <w:r>
              <w:rPr>
                <w:rFonts w:ascii="Arial" w:cs="Arial" w:eastAsia="Arial" w:hAnsi="Arial"/>
                <w:sz w:val="14"/>
                <w:szCs w:val="14"/>
                <w:b w:val="1"/>
                <w:bCs w:val="1"/>
                <w:color w:val="auto"/>
                <w:w w:val="90"/>
              </w:rPr>
              <w:t>Fair Value Measurements Using Significant</w:t>
            </w:r>
          </w:p>
        </w:tc>
        <w:tc>
          <w:tcPr>
            <w:tcW w:w="0" w:type="dxa"/>
            <w:vAlign w:val="bottom"/>
          </w:tcPr>
          <w:p>
            <w:pPr>
              <w:spacing w:after="0"/>
              <w:rPr>
                <w:sz w:val="1"/>
                <w:szCs w:val="1"/>
                <w:color w:val="auto"/>
              </w:rPr>
            </w:pPr>
          </w:p>
        </w:tc>
      </w:tr>
      <w:tr>
        <w:trPr>
          <w:trHeight w:val="161"/>
        </w:trPr>
        <w:tc>
          <w:tcPr>
            <w:tcW w:w="3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Unobservable Inputs (Level 3)</w:t>
            </w:r>
          </w:p>
        </w:tc>
        <w:tc>
          <w:tcPr>
            <w:tcW w:w="0" w:type="dxa"/>
            <w:vAlign w:val="bottom"/>
          </w:tcPr>
          <w:p>
            <w:pPr>
              <w:spacing w:after="0"/>
              <w:rPr>
                <w:sz w:val="1"/>
                <w:szCs w:val="1"/>
                <w:color w:val="auto"/>
              </w:rPr>
            </w:pPr>
          </w:p>
        </w:tc>
      </w:tr>
      <w:tr>
        <w:trPr>
          <w:trHeight w:val="142"/>
        </w:trPr>
        <w:tc>
          <w:tcPr>
            <w:tcW w:w="358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280" w:type="dxa"/>
            <w:vAlign w:val="bottom"/>
            <w:tcBorders>
              <w:top w:val="single" w:sz="8" w:color="auto"/>
              <w:bottom w:val="single" w:sz="8" w:color="auto"/>
            </w:tcBorders>
          </w:tcPr>
          <w:p>
            <w:pPr>
              <w:jc w:val="right"/>
              <w:ind w:right="1036"/>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rate swap contracts</w:t>
            </w: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440"/>
              <w:spacing w:after="0"/>
              <w:rPr>
                <w:sz w:val="20"/>
                <w:szCs w:val="20"/>
                <w:color w:val="auto"/>
              </w:rPr>
            </w:pPr>
            <w:r>
              <w:rPr>
                <w:rFonts w:ascii="Arial" w:cs="Arial" w:eastAsia="Arial" w:hAnsi="Arial"/>
                <w:sz w:val="18"/>
                <w:szCs w:val="18"/>
                <w:color w:val="auto"/>
              </w:rPr>
              <w:t>Balance at January 1,</w:t>
            </w:r>
          </w:p>
        </w:tc>
        <w:tc>
          <w:tcPr>
            <w:tcW w:w="178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1,264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Total unrealized gains (losses) included in</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earnings</w:t>
            </w: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23"/>
        </w:trPr>
        <w:tc>
          <w:tcPr>
            <w:tcW w:w="3580" w:type="dxa"/>
            <w:vAlign w:val="bottom"/>
          </w:tcPr>
          <w:p>
            <w:pPr>
              <w:ind w:left="440"/>
              <w:spacing w:after="0"/>
              <w:rPr>
                <w:sz w:val="20"/>
                <w:szCs w:val="20"/>
                <w:color w:val="auto"/>
              </w:rPr>
            </w:pPr>
            <w:r>
              <w:rPr>
                <w:rFonts w:ascii="Arial" w:cs="Arial" w:eastAsia="Arial" w:hAnsi="Arial"/>
                <w:sz w:val="18"/>
                <w:szCs w:val="18"/>
                <w:color w:val="auto"/>
              </w:rPr>
              <w:t>Settlements</w:t>
            </w:r>
          </w:p>
        </w:tc>
        <w:tc>
          <w:tcPr>
            <w:tcW w:w="1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June 30,</w:t>
            </w:r>
          </w:p>
        </w:tc>
        <w:tc>
          <w:tcPr>
            <w:tcW w:w="178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ind w:left="440"/>
              <w:spacing w:after="0"/>
              <w:rPr>
                <w:sz w:val="20"/>
                <w:szCs w:val="20"/>
                <w:color w:val="auto"/>
              </w:rPr>
            </w:pPr>
            <w:r>
              <w:rPr>
                <w:rFonts w:ascii="Arial" w:cs="Arial" w:eastAsia="Arial" w:hAnsi="Arial"/>
                <w:sz w:val="18"/>
                <w:szCs w:val="18"/>
                <w:color w:val="auto"/>
              </w:rPr>
              <w:t>Balance at April 1,</w:t>
            </w:r>
          </w:p>
        </w:tc>
        <w:tc>
          <w:tcPr>
            <w:tcW w:w="1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80" w:type="dxa"/>
            <w:vAlign w:val="bottom"/>
            <w:vMerge w:val="continue"/>
          </w:tcPr>
          <w:p>
            <w:pPr>
              <w:spacing w:after="0"/>
              <w:rPr>
                <w:sz w:val="18"/>
                <w:szCs w:val="18"/>
                <w:color w:val="auto"/>
              </w:rPr>
            </w:pPr>
          </w:p>
        </w:tc>
        <w:tc>
          <w:tcPr>
            <w:tcW w:w="178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1,299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Total unrealized gains (losses) included in</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earnings</w:t>
            </w: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23"/>
        </w:trPr>
        <w:tc>
          <w:tcPr>
            <w:tcW w:w="3580" w:type="dxa"/>
            <w:vAlign w:val="bottom"/>
          </w:tcPr>
          <w:p>
            <w:pPr>
              <w:ind w:left="440"/>
              <w:spacing w:after="0"/>
              <w:rPr>
                <w:sz w:val="20"/>
                <w:szCs w:val="20"/>
                <w:color w:val="auto"/>
              </w:rPr>
            </w:pPr>
            <w:r>
              <w:rPr>
                <w:rFonts w:ascii="Arial" w:cs="Arial" w:eastAsia="Arial" w:hAnsi="Arial"/>
                <w:sz w:val="18"/>
                <w:szCs w:val="18"/>
                <w:color w:val="auto"/>
              </w:rPr>
              <w:t>Settlements</w:t>
            </w:r>
          </w:p>
        </w:tc>
        <w:tc>
          <w:tcPr>
            <w:tcW w:w="1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June 30,</w:t>
            </w:r>
          </w:p>
        </w:tc>
        <w:tc>
          <w:tcPr>
            <w:tcW w:w="178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560" w:type="dxa"/>
            <w:vAlign w:val="bottom"/>
            <w:vMerge w:val="restart"/>
          </w:tcPr>
          <w:p>
            <w:pPr>
              <w:ind w:left="200"/>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58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contracts</w:t>
      </w:r>
    </w:p>
    <w:p>
      <w:pPr>
        <w:spacing w:after="0" w:line="90"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The Company has exposure to foreign currencies that fluctuate in relation to the U.S. dollar. The Company periodically enters into foreign exchange forward contracts to hedge this risk. At June 30, 2012 and December 31, 2011, the Company had one outstanding contract related to the Brazilian Real. This foreign exchange contract is not accounted for as a hedge.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hedge contracts</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Company is exposed to certain market risks, primarily commodity price risk as it relates to the diesel fuel purchase requirements, which occur in the normal course of business. The Company enters into heating oil commodity swap contracts to hedge the risk that fluctuations in diesel fuel prices will have an adverse impact on cash flows associated with its domestic dredging contracts. The Company’s goal is to hedge approximately 80% of the fuel requirements for work in backlog.</w:t>
      </w:r>
    </w:p>
    <w:p>
      <w:pPr>
        <w:spacing w:after="0" w:line="14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As of June 30, 2012, the Company was party to various swap arrangements to hedge the price of a portion of its diesel fuel purchase requirements for work in its backlog to be performed through February 2013. As of June 30, 2012, there were 5.0 million gallons remaining on these contracts which represent approximately 80% of the Company’s forecasted fuel purchases through February 2013. Under these swap agreements, the Company will pay fixed prices ranging from $2.65 to $3.29 per gallon.</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each balance sheet date, unrealized gains and losses on fuel hedge contracts are recorded as a component of accumulated other comprehensive income (loss) in the condensed consolidated balance sheets. Gains and losses realized upon settlement of fuel hedge contracts are reclassified from accumulated other comprehensive income (loss) as the fuel is utilized, as a reduction of fuel expense, which is a component of costs of contract revenues in the condensed consolidated statements of operations.</w:t>
      </w:r>
    </w:p>
    <w:p>
      <w:pPr>
        <w:spacing w:after="0" w:line="14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At June 30, 2012, the fair value liability of the fuel hedge contracts was estimated to be $1,695 and is recorded in accrued expenses. At December 31, 2011 the fair value asset of the fuel hedge contracts was estimated to be $449 and is recorded in other current assets. The loss reclassified to earnings from changes in fair value of derivatives, net of cash settlements and taxes, for the six months ended June 30, 2012 was $263. The remaining gains and losses included in accumulated other comprehensive income (loss) at June 30, 2012 will be reclassified into earnings over the next eight months, corresponding to the period during which the hedged fuel is expected to be utilized. The fair values of fuel hedges are corroborated using inputs that are readily observable in public markets; therefore, the Company determines fair value of these fuel hedges using Level 2 inputs.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foreign exchange contracts, interest rate and fuel hedge contracts outstanding as of June 30, 2012 and December 31, 2011 is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5640" w:type="dxa"/>
            <w:vAlign w:val="bottom"/>
          </w:tcPr>
          <w:p>
            <w:pPr>
              <w:spacing w:after="0"/>
              <w:rPr>
                <w:sz w:val="15"/>
                <w:szCs w:val="15"/>
                <w:color w:val="auto"/>
              </w:rPr>
            </w:pPr>
          </w:p>
        </w:tc>
        <w:tc>
          <w:tcPr>
            <w:tcW w:w="202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w w:val="88"/>
              </w:rPr>
              <w:t>Fair Value at</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640" w:type="dxa"/>
            <w:vAlign w:val="bottom"/>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2"/>
              </w:rPr>
              <w:t>June 30,</w:t>
            </w:r>
          </w:p>
        </w:tc>
        <w:tc>
          <w:tcPr>
            <w:tcW w:w="5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64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2012</w:t>
            </w:r>
          </w:p>
        </w:tc>
        <w:tc>
          <w:tcPr>
            <w:tcW w:w="5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76"/>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 derivatives:</w:t>
            </w:r>
          </w:p>
        </w:tc>
        <w:tc>
          <w:tcPr>
            <w:tcW w:w="1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440"/>
              <w:spacing w:after="0"/>
              <w:rPr>
                <w:sz w:val="20"/>
                <w:szCs w:val="20"/>
                <w:color w:val="auto"/>
              </w:rPr>
            </w:pPr>
            <w:r>
              <w:rPr>
                <w:rFonts w:ascii="Arial" w:cs="Arial" w:eastAsia="Arial" w:hAnsi="Arial"/>
                <w:sz w:val="18"/>
                <w:szCs w:val="18"/>
                <w:color w:val="auto"/>
              </w:rPr>
              <w:t>Derivatives designated as hedges</w:t>
            </w: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Fuel hedge contracts</w:t>
            </w:r>
          </w:p>
        </w:tc>
        <w:tc>
          <w:tcPr>
            <w:tcW w:w="2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6"/>
              </w:rPr>
              <w:t>Other current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440"/>
              <w:spacing w:after="0"/>
              <w:rPr>
                <w:sz w:val="20"/>
                <w:szCs w:val="20"/>
                <w:color w:val="auto"/>
              </w:rPr>
            </w:pPr>
            <w:r>
              <w:rPr>
                <w:rFonts w:ascii="Arial" w:cs="Arial" w:eastAsia="Arial" w:hAnsi="Arial"/>
                <w:sz w:val="18"/>
                <w:szCs w:val="18"/>
                <w:color w:val="auto"/>
              </w:rPr>
              <w:t>Derivatives not designated as hedges</w:t>
            </w: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rate swaps</w:t>
            </w:r>
          </w:p>
        </w:tc>
        <w:tc>
          <w:tcPr>
            <w:tcW w:w="2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6"/>
              </w:rPr>
              <w:t>Other current assets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40" w:type="dxa"/>
            <w:vAlign w:val="bottom"/>
          </w:tcPr>
          <w:p>
            <w:pPr>
              <w:ind w:left="880"/>
              <w:spacing w:after="0"/>
              <w:rPr>
                <w:sz w:val="20"/>
                <w:szCs w:val="20"/>
                <w:color w:val="auto"/>
              </w:rPr>
            </w:pPr>
            <w:r>
              <w:rPr>
                <w:rFonts w:ascii="Arial" w:cs="Arial" w:eastAsia="Arial" w:hAnsi="Arial"/>
                <w:sz w:val="18"/>
                <w:szCs w:val="18"/>
                <w:color w:val="auto"/>
              </w:rPr>
              <w:t>Foreign exchange contracts</w:t>
            </w:r>
          </w:p>
        </w:tc>
        <w:tc>
          <w:tcPr>
            <w:tcW w:w="2020" w:type="dxa"/>
            <w:vAlign w:val="bottom"/>
            <w:gridSpan w:val="2"/>
          </w:tcPr>
          <w:p>
            <w:pPr>
              <w:jc w:val="right"/>
              <w:ind w:right="420"/>
              <w:spacing w:after="0"/>
              <w:rPr>
                <w:sz w:val="20"/>
                <w:szCs w:val="20"/>
                <w:color w:val="auto"/>
              </w:rPr>
            </w:pPr>
            <w:r>
              <w:rPr>
                <w:rFonts w:ascii="Arial" w:cs="Arial" w:eastAsia="Arial" w:hAnsi="Arial"/>
                <w:sz w:val="18"/>
                <w:szCs w:val="18"/>
                <w:color w:val="auto"/>
                <w:w w:val="96"/>
              </w:rPr>
              <w:t>Other current assets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 asset derivatives</w:t>
            </w:r>
          </w:p>
        </w:tc>
        <w:tc>
          <w:tcPr>
            <w:tcW w:w="1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8"/>
                <w:szCs w:val="18"/>
                <w:color w:val="auto"/>
              </w:rPr>
              <w:t>Liability derivatives:</w:t>
            </w:r>
          </w:p>
        </w:tc>
        <w:tc>
          <w:tcPr>
            <w:tcW w:w="1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4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Derivatives designated as hedges</w:t>
            </w:r>
          </w:p>
        </w:tc>
        <w:tc>
          <w:tcPr>
            <w:tcW w:w="1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880"/>
              <w:spacing w:after="0"/>
              <w:rPr>
                <w:sz w:val="20"/>
                <w:szCs w:val="20"/>
                <w:color w:val="auto"/>
              </w:rPr>
            </w:pPr>
            <w:r>
              <w:rPr>
                <w:rFonts w:ascii="Arial" w:cs="Arial" w:eastAsia="Arial" w:hAnsi="Arial"/>
                <w:sz w:val="18"/>
                <w:szCs w:val="18"/>
                <w:color w:val="auto"/>
              </w:rPr>
              <w:t>Fuel hedge contracts</w:t>
            </w:r>
          </w:p>
        </w:tc>
        <w:tc>
          <w:tcPr>
            <w:tcW w:w="2020" w:type="dxa"/>
            <w:vAlign w:val="bottom"/>
            <w:gridSpan w:val="2"/>
          </w:tcPr>
          <w:p>
            <w:pPr>
              <w:jc w:val="right"/>
              <w:ind w:right="4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1,695</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9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carrying value of financial instruments included in current assets and current liabilities approximates fair value due to the short-term maturities of these instruments. In January 2011, the Company issued $250,000 of 7.375% senior notes due February 1, 2019, which were outstanding at June 30, 2012. The senior notes are senior unsecured obligations of the Company and its subsidiaries that guarantee the senior notes. The fair value of the senior notes was $250,000 at June 30, 2012, which is a Level 1 fair value measurement as the senior notes value was obtained using quoted prices in active markets.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 Accrued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at June 30, 2012 and December 31, 2011 are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0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2012</w:t>
            </w: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Insurance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8,285</w:t>
            </w:r>
          </w:p>
        </w:tc>
        <w:tc>
          <w:tcPr>
            <w:tcW w:w="10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Interest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7,717</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7,759</w:t>
            </w: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Payroll and employee benefits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10,763</w:t>
            </w:r>
          </w:p>
        </w:tc>
        <w:tc>
          <w:tcPr>
            <w:tcW w:w="10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Income and other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1,268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Fuel hedge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Percentage of completion adjustment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00" w:type="dxa"/>
            <w:vAlign w:val="bottom"/>
            <w:shd w:val="clear" w:color="auto" w:fill="CCEEFF"/>
          </w:tcPr>
          <w:p>
            <w:pPr>
              <w:spacing w:after="0"/>
              <w:rPr>
                <w:sz w:val="18"/>
                <w:szCs w:val="18"/>
                <w:color w:val="auto"/>
              </w:rPr>
            </w:pPr>
          </w:p>
        </w:tc>
      </w:tr>
      <w:tr>
        <w:trPr>
          <w:trHeight w:val="222"/>
        </w:trPr>
        <w:tc>
          <w:tcPr>
            <w:tcW w:w="7020" w:type="dxa"/>
            <w:vAlign w:val="bottom"/>
          </w:tcPr>
          <w:p>
            <w:pPr>
              <w:spacing w:after="0"/>
              <w:rPr>
                <w:sz w:val="20"/>
                <w:szCs w:val="20"/>
                <w:color w:val="auto"/>
              </w:rPr>
            </w:pPr>
            <w:r>
              <w:rPr>
                <w:rFonts w:ascii="Arial" w:cs="Arial" w:eastAsia="Arial" w:hAnsi="Arial"/>
                <w:sz w:val="18"/>
                <w:szCs w:val="18"/>
                <w:color w:val="auto"/>
              </w:rPr>
              <w:t>Total accrued expenses</w:t>
            </w: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26,877</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31,121</w:t>
            </w:r>
          </w:p>
        </w:tc>
        <w:tc>
          <w:tcPr>
            <w:tcW w:w="10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 Long-term debt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On June 4, 2012, the Company entered into a senior revolving credit agreement (the “Credit Agreement”) with certain financial institutions from time to time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party thereto as lenders, Wells Fargo Bank, National Association, as Administrative Agent, Swingline Lender and an Issuing Lender, Bank of America, N.A.,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Syndication Agent and PNC Bank, National Association, BMO Harris Bank N.A. and Fifth Third Bank, as Co-Documentation Agents. The Credit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replaced the Company’s former revolving credit agreement, provides for a senior revolving credit facility in an aggregate principal amount of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$175,000, subfacilities for the issuance of standby letters of credit up to a $125,000 sublimit, multicurrency borrowings up to a $50,000 sublimit and swingline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loans up to a $10,000 sublimit. The Credit Agreement also includes an incremental loans feature that will allow the Company to increase the senior revolving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facility by an aggregate principal amount of up to $50,000. This is subject to lenders providing incremental commitments for such increase, provided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 default or event of default exists, the Company will be in pro forma compliance with the existing financial covenants both before and after giving effect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 and other standard conditions. The prior credit agreement with Bank of America N.A., was terminated.</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Depending on the Company’s consolidated leverage ratio (as defined in the Credit Agreement), borrowings under the new revolving credit facility will bear interest at the option of the Company of either a LIBOR rate plus a margin of between 1.50% to 2.50% per annum or a base rate plus a margin of between 0.50% to 1.50% per annum.</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revolving credit facility is an unsecured facility and will remain unsecured provided the Company maintains a total leverage ratio less than or equal to 3.75 to 1.00 as of the end of each fiscal quarter. If the leverage ratio exceeds 3.75 to 1.00, or an event of default occurs and is not cured within the applicable grace period, the revolving credit facility will cease to remain unsecured. In the event of the facility becomes secured, outstanding obligations shall be automatically secured by certain vessels and all domestic accounts receivable, subject to the liens and interests of other parties (including the Company’s bonding provider) holding first priority perfected liens.</w:t>
      </w:r>
    </w:p>
    <w:p>
      <w:pPr>
        <w:spacing w:after="0" w:line="143"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new credit facility contains affirmative, negative and financial covenants customary for financings of this type. The Credit Agreement also contains customary events of default (including non-payment of principal or interest on any material debt and breaches of covenants) as well as events of default relating to certain actions by the Company’s surety bonding provider. At June 30, 2012 the Company was in compliance with its debt covenants.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 Share-based compensation</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Company’s 2007 Long-Term Incentive Plan permits the granting of stock options, stock appreciation rights, restricted stock and restricted stock units to its employees and directors for up to 5.8 million shares of common stock.</w:t>
      </w:r>
    </w:p>
    <w:p>
      <w:pPr>
        <w:spacing w:after="0" w:line="132"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In June 2012, the Company granted 497 thousand options to purchase shares of common stock and 273 thousand restricted stock units to certain employees pursuant to the plan. In addition, all non-employee directors on the Company’s board of directors are paid a portion of their board related compensation in stock grants. Compensation cost charged to expense related to these share-based compensation arrangements was $699 and $1,714, respectively, for the three and six months ended June 30, 2012 and $323 and $843, respectively, for the three and six months ended June 30, 2011.</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 Segment information</w:t>
      </w:r>
    </w:p>
    <w:p>
      <w:pPr>
        <w:spacing w:after="0" w:line="9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Company and its subsidiaries currently operate in two reportable segments: dredging and demolition. The Company’s financial reporting systems present various data for management to run the business, including profit and loss statements prepared according to the segments presented. Management uses operating income to evaluate performance between the two segments. Segment information for the periods presented is provided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8"/>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4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100" w:type="dxa"/>
            <w:vAlign w:val="bottom"/>
            <w:tcBorders>
              <w:bottom w:val="single" w:sz="8" w:color="CCEEFF"/>
            </w:tcBorders>
          </w:tcPr>
          <w:p>
            <w:pPr>
              <w:spacing w:after="0"/>
              <w:rPr>
                <w:sz w:val="12"/>
                <w:szCs w:val="12"/>
                <w:color w:val="auto"/>
              </w:rPr>
            </w:pPr>
          </w:p>
        </w:tc>
        <w:tc>
          <w:tcPr>
            <w:tcW w:w="2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4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Dredging</w:t>
            </w: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100" w:type="dxa"/>
            <w:vAlign w:val="bottom"/>
          </w:tcPr>
          <w:p>
            <w:pPr>
              <w:ind w:left="440"/>
              <w:spacing w:after="0"/>
              <w:rPr>
                <w:sz w:val="20"/>
                <w:szCs w:val="20"/>
                <w:color w:val="auto"/>
              </w:rPr>
            </w:pPr>
            <w:r>
              <w:rPr>
                <w:rFonts w:ascii="Arial" w:cs="Arial" w:eastAsia="Arial" w:hAnsi="Arial"/>
                <w:sz w:val="18"/>
                <w:szCs w:val="18"/>
                <w:color w:val="auto"/>
              </w:rPr>
              <w:t>Contract revenues</w:t>
            </w:r>
          </w:p>
        </w:tc>
        <w:tc>
          <w:tcPr>
            <w:tcW w:w="2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135,253</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125,085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257,614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261,682</w:t>
            </w: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income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31,415</w:t>
            </w:r>
          </w:p>
        </w:tc>
      </w:tr>
      <w:tr>
        <w:trPr>
          <w:trHeight w:val="216"/>
        </w:trPr>
        <w:tc>
          <w:tcPr>
            <w:tcW w:w="4100" w:type="dxa"/>
            <w:vAlign w:val="bottom"/>
          </w:tcPr>
          <w:p>
            <w:pPr>
              <w:spacing w:after="0"/>
              <w:rPr>
                <w:sz w:val="20"/>
                <w:szCs w:val="20"/>
                <w:color w:val="auto"/>
              </w:rPr>
            </w:pPr>
            <w:r>
              <w:rPr>
                <w:rFonts w:ascii="Arial" w:cs="Arial" w:eastAsia="Arial" w:hAnsi="Arial"/>
                <w:sz w:val="18"/>
                <w:szCs w:val="18"/>
                <w:b w:val="1"/>
                <w:bCs w:val="1"/>
                <w:color w:val="auto"/>
              </w:rPr>
              <w:t>Demolition</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Contract revenues</w:t>
            </w:r>
          </w:p>
        </w:tc>
        <w:tc>
          <w:tcPr>
            <w:tcW w:w="2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27,854</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29,874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60,400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48,615</w:t>
            </w:r>
          </w:p>
        </w:tc>
      </w:tr>
      <w:tr>
        <w:trPr>
          <w:trHeight w:val="216"/>
        </w:trPr>
        <w:tc>
          <w:tcPr>
            <w:tcW w:w="4100" w:type="dxa"/>
            <w:vAlign w:val="bottom"/>
          </w:tcPr>
          <w:p>
            <w:pPr>
              <w:ind w:left="440"/>
              <w:spacing w:after="0"/>
              <w:rPr>
                <w:sz w:val="20"/>
                <w:szCs w:val="20"/>
                <w:color w:val="auto"/>
              </w:rPr>
            </w:pPr>
            <w:r>
              <w:rPr>
                <w:rFonts w:ascii="Arial" w:cs="Arial" w:eastAsia="Arial" w:hAnsi="Arial"/>
                <w:sz w:val="18"/>
                <w:szCs w:val="18"/>
                <w:color w:val="auto"/>
              </w:rPr>
              <w:t>Operating loss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(4,354)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(4,937)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(2,467)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(7,147)</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00" w:type="dxa"/>
            <w:vAlign w:val="bottom"/>
          </w:tcPr>
          <w:p>
            <w:pPr>
              <w:ind w:left="440"/>
              <w:spacing w:after="0"/>
              <w:rPr>
                <w:sz w:val="20"/>
                <w:szCs w:val="20"/>
                <w:color w:val="auto"/>
              </w:rPr>
            </w:pPr>
            <w:r>
              <w:rPr>
                <w:rFonts w:ascii="Arial" w:cs="Arial" w:eastAsia="Arial" w:hAnsi="Arial"/>
                <w:sz w:val="18"/>
                <w:szCs w:val="18"/>
                <w:color w:val="auto"/>
              </w:rPr>
              <w:t>Contract revenues</w:t>
            </w:r>
          </w:p>
        </w:tc>
        <w:tc>
          <w:tcPr>
            <w:tcW w:w="2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163,107</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154,959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318,014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310,297</w:t>
            </w: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income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24,268</w:t>
            </w:r>
          </w:p>
        </w:tc>
      </w:tr>
    </w:tbl>
    <w:p>
      <w:pPr>
        <w:spacing w:after="0" w:line="15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Dredging contract revenues for the three and six months ended June 30, 2012 are net of $62 and $1,374 in intersegment revenues. Demolition contract revenues for both the three and six months ended June 30, 2012 are net of $75 in intersegment revenues. In addition, foreign dredging revenue of $20,848 and $38,873 for the three and six months ended June 30, 2012, respectively, and $16,065 and $37,936 for the three and six months ended June 30, 2011, respectively, was primarily attributable to work done in the Middle East.</w:t>
      </w:r>
    </w:p>
    <w:p>
      <w:pPr>
        <w:spacing w:after="0" w:line="14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majority of the Company’s long-lived assets are marine vessels and related equipment. At any point in time, the Company may employ certain assets outside of the U.S., as needed, to perform work on the Company’s foreign projects.</w:t>
      </w:r>
    </w:p>
    <w:p>
      <w:pPr>
        <w:spacing w:after="0" w:line="207" w:lineRule="exact"/>
        <w:rPr>
          <w:sz w:val="20"/>
          <w:szCs w:val="20"/>
          <w:color w:val="auto"/>
        </w:rPr>
      </w:pPr>
    </w:p>
    <w:p>
      <w:pPr>
        <w:ind w:left="240" w:right="8320" w:firstLine="224"/>
        <w:spacing w:after="0" w:line="417" w:lineRule="auto"/>
        <w:tabs>
          <w:tab w:leader="none" w:pos="644"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Commercial commitments</w:t>
      </w:r>
    </w:p>
    <w:p>
      <w:pPr>
        <w:spacing w:after="0" w:line="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obligations of Great Lakes under the Credit Agreement are unconditionally guaranteed, on a joint and several basis, by each existing and subsequently acquired or formed material direct and indirect domestic subsidiary of the Company. As of June 30, 2012, the Company had no borrowings and $33,447 of letters of credit outstanding, resulting in $141,553 of availability under the Credit Agreement. At June 30, 2012, the Company was in compliance with its various covenants under its Credit Agreement.</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Performance and bid bonds are customarily required for dredging and marine construction projects, as well as some demolition projects. In September 2011, the Company entered into a new bonding agreement with Zurich American Insurance Company (“Zurich”) under which the Company can obtain performance, bid and payment bonds. The new bonding agreement contains no restrictive covenants and lesser collateral requirements than the previous bonding agreement. The Company has used Zurich for all bonding requirements beginning in September 2011. Bid bonds are generally obtained for a percentage of bid value and amounts outstanding typically range from $1,000 to $10,000. At June 30, 2012, the Company had outstanding performance bonds valued at approximately $269,419; however, the revenue value remaining in backlog related to these projects totaled approximately $147,080.</w:t>
      </w:r>
    </w:p>
    <w:p>
      <w:pPr>
        <w:spacing w:after="0" w:line="12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has a $24,000 international letter of credit facility that it uses for the performance and advance payment guarantees on the Company’s foreign contracts. As of June 30, 2012, Great Lakes had $11,725 of letters of credit outstanding under this facility. At June 30, 2012, the Company also had $250,000 of 7.375% senior notes outstanding, which mature in February 2019.</w:t>
      </w:r>
    </w:p>
    <w:p>
      <w:pPr>
        <w:spacing w:after="0" w:line="14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43"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2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Company or its former subsidiary, NATCO Limited Partnership, was named as a defendant in approximately 251 asbestos-related personal injury lawsuits, the majority of which were filed between 1989 and 2000. The claims were filed on behalf of seamen or their personal representatives alleging injury or illness from exposure to asbestos while employed as seamen on Company-owned vessels. In these cases, the Company is typically one of many defendants, including manufacturers and suppliers of products containing asbestos, as well as other vessel owners. Following certain administrative proceedings, counsel for plaintiffs agreed to name a group of cases that they intended to pursue and to dismiss the remaining cases without prejudice. Plaintiffs previously named 40 cases against the Company that they intended to pursue, each of which involves one plaintiff. The remaining cases against the Company were dismissed without prejudice. Plaintiffs in the dismissed cases could file a new lawsuit if they develop a new disease allegedly caused by exposure to asbestos on board our vessels. Of the 40 named cases, three were subsequently dismissed, leaving 37 cases remaining. The Company is presently unable to quantify the amounts of damages being sought in the remaining lawsuits because none of the complaints specify a damage amount. Based on preliminary discovery and settlement demands received to date, the Company does not believe that it is probable that losses from these claims could be material, and an estimate of a range of losses relating to these claims cannot reasonably be made. Based on the foregoing, management does not believe that any of the remaining 37 lawsuits, individually or in the aggregate, will have a material impact on our business, financial position, results of operations or cash flows.</w:t>
      </w:r>
    </w:p>
    <w:p>
      <w:pPr>
        <w:spacing w:after="0" w:line="12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August 26, 2009, the Company’s subsidiary, NASDI, LLC (“NASDI”), received a letter stating that the Attorney General for the Commonwealth of Massachusetts is investigating alleged violations of the Massachusetts Solid Waste Act. The Company believes that the Massachusetts Attorney General is investigating illegal dumping activities at a dump site NASDI contracted with to have waste materials disposed of between September 2007 and July 2008. Per the Massachusetts Attorney General’s request, NASDI executed a tolling agreement regarding the matter in 2009 and engaged in further discussions with the Massachusetts Attorney General’s office in the second quarter of 2011 but has had no further contact with the Massachusetts Attorney General’s office since then. The matter remains open, and, to the Company’s knowledge, no proceedings have currently been initiated against NASDI. Should a claim be brought, NASDI intends to defend itself vigorously. Based on consideration of all of the facts and circumstances now known, the Company does not believe this claim will have a material impact on its business, financial position, results of operations or cash flows.</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March 27, 2011, NASDI received a subpoena from a federal grand jury in the District of Massachusetts directing NASDI to furnish certain documents relating to certain projects performed by NASDI since January 2005. The Company conducted an internal investigation into this matter and continues to fully cooperate with the federal grand jury subpoena. Based on the early stage of the U.S. Department of Justice’s investigation and the limited information known to the Company, the Company cannot predict the outcome of the investigation, the U.S. Attorney’s views of the issues being investigated, any action the U.S. Attorney may take, or the impact, if any, that this matter may have on the Company’s business, financial position, results of operations or cash flows.</w:t>
      </w:r>
    </w:p>
    <w:p>
      <w:pPr>
        <w:spacing w:after="0" w:line="1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Company has not accrued any amounts with respect to these two NASDI matters as the Company does not believe, based on information currently known to it, that a loss relating to these matters is probable, and an estimate of a range of potential losses relating to these matters cannot reasonably be made.</w:t>
      </w:r>
    </w:p>
    <w:p>
      <w:pPr>
        <w:spacing w:after="0" w:line="85"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 xml:space="preserve">During the prior quarter ended March 31, 2012, a favorable judgment was rendered in the Company’s loss of use claim related to the dredge </w:t>
      </w:r>
      <w:r>
        <w:rPr>
          <w:rFonts w:ascii="Arial" w:cs="Arial" w:eastAsia="Arial" w:hAnsi="Arial"/>
          <w:sz w:val="15"/>
          <w:szCs w:val="15"/>
          <w:i w:val="1"/>
          <w:iCs w:val="1"/>
          <w:color w:val="auto"/>
        </w:rPr>
        <w:t>New York</w:t>
      </w:r>
      <w:r>
        <w:rPr>
          <w:rFonts w:ascii="Arial" w:cs="Arial" w:eastAsia="Arial" w:hAnsi="Arial"/>
          <w:sz w:val="15"/>
          <w:szCs w:val="15"/>
          <w:color w:val="auto"/>
        </w:rPr>
        <w:t xml:space="preserve"> allision in the approach channel to Port Newark, New Jersey. In January 2008, the Company filed suit against the M/V </w:t>
      </w:r>
      <w:r>
        <w:rPr>
          <w:rFonts w:ascii="Arial" w:cs="Arial" w:eastAsia="Arial" w:hAnsi="Arial"/>
          <w:sz w:val="15"/>
          <w:szCs w:val="15"/>
          <w:i w:val="1"/>
          <w:iCs w:val="1"/>
          <w:color w:val="auto"/>
        </w:rPr>
        <w:t>Orange Sun</w:t>
      </w:r>
      <w:r>
        <w:rPr>
          <w:rFonts w:ascii="Arial" w:cs="Arial" w:eastAsia="Arial" w:hAnsi="Arial"/>
          <w:sz w:val="15"/>
          <w:szCs w:val="15"/>
          <w:color w:val="auto"/>
        </w:rPr>
        <w:t xml:space="preserve"> and her owners for damages incurred by the Company in connection with the allision. Following a bench trial in the United States District Court in the Southern District of New York, the Court issued an opinion and order in the Company’s favor, entitling Great Lakes to $11,736 in damages plus pre-judgment interest. Judgment was rendered in the aggregate amount of $13,272. Defendants timely appealed the judgment to the United States Court of Appeals for the Second Circuit, and briefing on the appeal is expected to be completed before the end of the year. The Company cannot be assured when the appeal will be heard or predict the outcome of the appellate process.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 Acquisition of noncontrolling interest</w:t>
      </w:r>
    </w:p>
    <w:p>
      <w:pPr>
        <w:spacing w:after="0" w:line="96"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The Company previously owned 65% of the profits interests of NASDI. Effective January 1, 2011 the Company reacquired Mr. Christopher Berardi’s 35% membership interest in NASDI for no cost per the terms of NASDI’s limited liability company agreement. This resulted in the elimination of noncontrolling interest of $1,973 during the first quarter ended March 31, 2011. The Company now owns 100% of NASDI.</w:t>
      </w:r>
    </w:p>
    <w:p>
      <w:pPr>
        <w:spacing w:after="0" w:line="10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 March 2011, Mr. Berardi resigned his employment with the Company’s demolition segment effective April 29, 2011. Mr. Berardi’s resignation and the repurchase of his NASDI membership interest also resulted in the reversal of a $1,933 accrual established in conjunction with a prior restructuring of ownership interest in NASDI. This reversal was recorded directly to equity as part of the reacquisition of the noncontrolling interest.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 Subsidiary guarantors</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Company’s long-term debt at June 30, 2012 includes $250,000 of 7.375% senior notes due February 1, 2019. The Company’s obligations under these senior unsecured notes are guaranteed by the Company’s wholly-owned domestic subsidiaries. Such guarantees are full, unconditional and joint and several.</w:t>
      </w:r>
    </w:p>
    <w:p>
      <w:pPr>
        <w:spacing w:after="0" w:line="85"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The following supplemental financial information sets forth for the Company’s subsidiary guarantors (on a combined basis), the Company’s non-guarantor subsidiaries (on a combined basis) and Great Lakes Dredge &amp; Dock Corporation, exclusive of its subsidiaries (“GLDD Corporation”):</w:t>
      </w:r>
    </w:p>
    <w:p>
      <w:pPr>
        <w:spacing w:after="0" w:line="4"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balance sheets as of June 30, 2012 and December 31, 2011;</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statements of operations and comprehensive income for the three and six months ended June 30, 2012 and 2011;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statements of cash flows for the six months ended June 30, 2012 and 2011.</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00"/>
          </w:cols>
          <w:pgMar w:left="240" w:top="459"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540"/>
        <w:spacing w:after="0" w:line="344"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BALANCE SHEET AS OF JUNE 30, 2012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GLDD</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4"/>
              </w:rPr>
              <w:t>Subsidiaries</w:t>
            </w:r>
          </w:p>
        </w:tc>
        <w:tc>
          <w:tcPr>
            <w:tcW w:w="2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CURRENT ASSETS: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1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70,623</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Accounts receivable — net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110,623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111,231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from affiliates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56,184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8,344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7,685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(72,213)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48,692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48,649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48,696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35,717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6,970</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370,535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14,655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(72,447)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322,084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316,763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316,815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ASSETS—Net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98,369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INVENTORIES — Noncurrent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23,206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JOINT VENTURES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6,899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3,397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641,607</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(645,004)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6,919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gridSpan w:val="2"/>
            <w:vMerge w:val="continue"/>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830,708</w:t>
            </w:r>
          </w:p>
        </w:tc>
        <w:tc>
          <w:tcPr>
            <w:tcW w:w="220" w:type="dxa"/>
            <w:vAlign w:val="bottom"/>
          </w:tcPr>
          <w:p>
            <w:pPr>
              <w:spacing w:after="0"/>
              <w:rPr>
                <w:sz w:val="19"/>
                <w:szCs w:val="19"/>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9,756</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663,181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(717,451)</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786,194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1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79,668</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Payables to affiliates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60,546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3,659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8,180</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(72,385)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17,690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8,469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19,939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 term debt</w:t>
            </w:r>
          </w:p>
        </w:tc>
        <w:tc>
          <w:tcPr>
            <w:tcW w:w="1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0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180,501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5,149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16,983</w:t>
            </w: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(72,447)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130,186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LONG TERM NOTE PAYABLE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7 3/8% SENIOR NOTES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250,000</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102,994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102,920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190,311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5,149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370,746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(72,447)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493,759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640,397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4,607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292,207</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(645,004)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292,207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TOTAL EQUITY</w:t>
            </w: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gridSpan w:val="2"/>
            <w:vMerge w:val="continue"/>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640,397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4,607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292,435</w:t>
            </w: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(645,004)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292,435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830,708</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9,756</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663,181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(717,451)</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786,194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0" w:type="dxa"/>
            <w:vAlign w:val="bottom"/>
            <w:vMerge w:val="restart"/>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540"/>
        <w:spacing w:after="0" w:line="344"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BALANCE SHEET AS OF DECEMBER 31, 2011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Subsidiary</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0"/>
              </w:rPr>
              <w:t>Non-Guarantor</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93"/>
              <w:spacing w:after="0"/>
              <w:rPr>
                <w:sz w:val="20"/>
                <w:szCs w:val="20"/>
                <w:color w:val="auto"/>
              </w:rPr>
            </w:pPr>
            <w:r>
              <w:rPr>
                <w:rFonts w:ascii="Arial" w:cs="Arial" w:eastAsia="Arial" w:hAnsi="Arial"/>
                <w:sz w:val="14"/>
                <w:szCs w:val="14"/>
                <w:b w:val="1"/>
                <w:bCs w:val="1"/>
                <w:color w:val="auto"/>
              </w:rPr>
              <w:t>GLDD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60" w:type="dxa"/>
            <w:vAlign w:val="bottom"/>
            <w:gridSpan w:val="4"/>
          </w:tcPr>
          <w:p>
            <w:pPr>
              <w:ind w:left="98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820" w:type="dxa"/>
            <w:vAlign w:val="bottom"/>
          </w:tcPr>
          <w:p>
            <w:pPr>
              <w:jc w:val="right"/>
              <w:ind w:right="33"/>
              <w:spacing w:after="0"/>
              <w:rPr>
                <w:sz w:val="20"/>
                <w:szCs w:val="20"/>
                <w:color w:val="auto"/>
              </w:rPr>
            </w:pPr>
            <w:r>
              <w:rPr>
                <w:rFonts w:ascii="Arial" w:cs="Arial" w:eastAsia="Arial" w:hAnsi="Arial"/>
                <w:sz w:val="14"/>
                <w:szCs w:val="14"/>
                <w:b w:val="1"/>
                <w:bCs w:val="1"/>
                <w:color w:val="auto"/>
                <w:w w:val="81"/>
              </w:rPr>
              <w:t>Subsidiaries</w:t>
            </w:r>
          </w:p>
        </w:tc>
        <w:tc>
          <w:tcPr>
            <w:tcW w:w="38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Corporation</w:t>
            </w:r>
          </w:p>
        </w:tc>
        <w:tc>
          <w:tcPr>
            <w:tcW w:w="38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CURRENT ASSETS: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108,985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Accounts receivable — net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118,530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120,268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from affiliates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(137,136)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26,323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15,929</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16,330</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382,876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(137,200)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325,778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310,459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310,520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ASSETS—Net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INVENTORIES — Noncurrent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30,103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JOINT VENTURES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4,385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627,754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(632,139)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gridSpan w:val="2"/>
            <w:vMerge w:val="continue"/>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843,949</w:t>
            </w:r>
          </w:p>
        </w:tc>
        <w:tc>
          <w:tcPr>
            <w:tcW w:w="4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14,501</w:t>
            </w:r>
          </w:p>
        </w:tc>
        <w:tc>
          <w:tcPr>
            <w:tcW w:w="3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699,355</w:t>
            </w:r>
          </w:p>
        </w:tc>
        <w:tc>
          <w:tcPr>
            <w:tcW w:w="3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(769,345)</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788,460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CURRENT LIABILITIES: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81,971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Payables to affiliates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85,865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7,234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44,053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(137,152)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13,607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13,627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 term debt</w:t>
            </w:r>
          </w:p>
        </w:tc>
        <w:tc>
          <w:tcPr>
            <w:tcW w:w="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0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206,921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8,705</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52,100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(137,200)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130,526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LONG TERM NOTE PAYABLE</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7 3/4% SENIOR SUBORDINATED NOTES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250,000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103,959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104,352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7,786</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217,606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406,818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(137,206)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495,923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626,343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5,796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291,969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(632,139)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291,969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626,343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5,796</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292,537</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(632,139)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292,537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843,949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699,355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(769,345)</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788,460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80" w:type="dxa"/>
            <w:vAlign w:val="bottom"/>
            <w:vMerge w:val="restart"/>
          </w:tcPr>
          <w:p>
            <w:pPr>
              <w:jc w:val="right"/>
              <w:ind w:right="17"/>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right="3340"/>
        <w:spacing w:after="0" w:line="395" w:lineRule="auto"/>
        <w:rPr>
          <w:sz w:val="20"/>
          <w:szCs w:val="20"/>
          <w:color w:val="auto"/>
        </w:rPr>
      </w:pPr>
      <w:r>
        <w:rPr>
          <w:rFonts w:ascii="Arial" w:cs="Arial" w:eastAsia="Arial" w:hAnsi="Arial"/>
          <w:sz w:val="18"/>
          <w:szCs w:val="18"/>
          <w:b w:val="1"/>
          <w:bCs w:val="1"/>
          <w:color w:val="auto"/>
        </w:rPr>
        <w:t>CONDENSED CONSOLIDATING STATEMENT OF OPERATIONS AND COMPREHENSIVE INCOME FOR THE THREE MONTHS ENDED JUNE 30, 2012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GLDD</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2"/>
              </w:rPr>
              <w:t>Guarantors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1"/>
              </w:rPr>
              <w:t>Subsidiaries</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163,042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(2,186)</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163,107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(144,073)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(2,514)</w:t>
            </w:r>
          </w:p>
        </w:tc>
        <w:tc>
          <w:tcPr>
            <w:tcW w:w="1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2,186</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(144,401)</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Gross profit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18,706</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 expenses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11,456</w:t>
            </w: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Gain on sale of assets—net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Operating income (loss)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7,343</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Interest expense—net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(5,103)</w:t>
            </w:r>
          </w:p>
        </w:tc>
        <w:tc>
          <w:tcPr>
            <w:tcW w:w="18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(5,383)</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subsidiaries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(8,464)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currency transactions—net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880"/>
              <w:spacing w:after="0"/>
              <w:rPr>
                <w:sz w:val="20"/>
                <w:szCs w:val="20"/>
                <w:color w:val="auto"/>
              </w:rPr>
            </w:pPr>
            <w:r>
              <w:rPr>
                <w:rFonts w:ascii="Arial" w:cs="Arial" w:eastAsia="Arial" w:hAnsi="Arial"/>
                <w:sz w:val="18"/>
                <w:szCs w:val="18"/>
                <w:color w:val="auto"/>
              </w:rPr>
              <w:t>Income (loss) before income taxes</w:t>
            </w: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2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7,874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2,969</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(8,464)</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18"/>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(1,789)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880"/>
              <w:spacing w:after="0"/>
              <w:rPr>
                <w:sz w:val="20"/>
                <w:szCs w:val="20"/>
                <w:color w:val="auto"/>
              </w:rPr>
            </w:pPr>
            <w:r>
              <w:rPr>
                <w:rFonts w:ascii="Arial" w:cs="Arial" w:eastAsia="Arial" w:hAnsi="Arial"/>
                <w:sz w:val="18"/>
                <w:szCs w:val="18"/>
                <w:color w:val="auto"/>
              </w:rPr>
              <w:t>Net income (loss)</w:t>
            </w: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2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8,912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1,180</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(8,464)</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7"/>
        </w:trPr>
        <w:tc>
          <w:tcPr>
            <w:tcW w:w="5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loss attributable to noncontrolling interests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5"/>
        </w:trPr>
        <w:tc>
          <w:tcPr>
            <w:tcW w:w="5420" w:type="dxa"/>
            <w:vAlign w:val="bottom"/>
          </w:tcPr>
          <w:p>
            <w:pPr>
              <w:ind w:left="880"/>
              <w:spacing w:after="0"/>
              <w:rPr>
                <w:sz w:val="20"/>
                <w:szCs w:val="20"/>
                <w:color w:val="auto"/>
              </w:rPr>
            </w:pPr>
            <w:r>
              <w:rPr>
                <w:rFonts w:ascii="Arial" w:cs="Arial" w:eastAsia="Arial" w:hAnsi="Arial"/>
                <w:sz w:val="18"/>
                <w:szCs w:val="18"/>
                <w:color w:val="auto"/>
                <w:w w:val="93"/>
              </w:rPr>
              <w:t>Net income (loss) attributable to Great Lakes Dredge &amp; Dock</w:t>
            </w:r>
          </w:p>
        </w:tc>
        <w:tc>
          <w:tcPr>
            <w:tcW w:w="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1080"/>
              <w:spacing w:after="0"/>
              <w:rPr>
                <w:sz w:val="20"/>
                <w:szCs w:val="20"/>
                <w:color w:val="auto"/>
              </w:rPr>
            </w:pPr>
            <w:r>
              <w:rPr>
                <w:rFonts w:ascii="Arial" w:cs="Arial" w:eastAsia="Arial" w:hAnsi="Arial"/>
                <w:sz w:val="18"/>
                <w:szCs w:val="18"/>
                <w:color w:val="auto"/>
              </w:rPr>
              <w:t>Corporation</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8,912</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1,271</w:t>
            </w:r>
          </w:p>
        </w:tc>
        <w:tc>
          <w:tcPr>
            <w:tcW w:w="3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(8,464)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2"/>
              </w:rPr>
              <w:t>Comprehensive income (loss) attributable to Great Lakes Dredge &amp; Dock</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Corporation</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7,150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(6,694)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480" w:type="dxa"/>
            <w:vAlign w:val="bottom"/>
            <w:vMerge w:val="restart"/>
          </w:tcPr>
          <w:p>
            <w:pPr>
              <w:jc w:val="right"/>
              <w:ind w:right="12"/>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42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right="3340"/>
        <w:spacing w:after="0" w:line="395" w:lineRule="auto"/>
        <w:rPr>
          <w:sz w:val="20"/>
          <w:szCs w:val="20"/>
          <w:color w:val="auto"/>
        </w:rPr>
      </w:pPr>
      <w:r>
        <w:rPr>
          <w:rFonts w:ascii="Arial" w:cs="Arial" w:eastAsia="Arial" w:hAnsi="Arial"/>
          <w:sz w:val="18"/>
          <w:szCs w:val="18"/>
          <w:b w:val="1"/>
          <w:bCs w:val="1"/>
          <w:color w:val="auto"/>
        </w:rPr>
        <w:t>CONDENSED CONSOLIDATING STATEMENT OF OPERATIONS AND COMPREHENSIVE INCOME FOR THE THREE MONTHS ENDED JUNE 30, 2011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2"/>
              </w:rPr>
              <w:t>Subsidiary</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GLDD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0"/>
              </w:rPr>
              <w:t>Guarantors</w:t>
            </w:r>
          </w:p>
        </w:tc>
        <w:tc>
          <w:tcPr>
            <w:tcW w:w="1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Subsidiaries</w:t>
            </w:r>
          </w:p>
        </w:tc>
        <w:tc>
          <w:tcPr>
            <w:tcW w:w="200" w:type="dxa"/>
            <w:vAlign w:val="bottom"/>
          </w:tcPr>
          <w:p>
            <w:pPr>
              <w:spacing w:after="0"/>
              <w:rPr>
                <w:sz w:val="14"/>
                <w:szCs w:val="14"/>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7"/>
              </w:rPr>
              <w:t>Corporation</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151,223</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6,269</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154,959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(132,879)</w:t>
            </w: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(4,847)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2,533</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(135,193)</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18,344</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12,522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13,622</w:t>
            </w:r>
          </w:p>
        </w:tc>
        <w:tc>
          <w:tcPr>
            <w:tcW w:w="0" w:type="dxa"/>
            <w:vAlign w:val="bottom"/>
          </w:tcPr>
          <w:p>
            <w:pPr>
              <w:spacing w:after="0"/>
              <w:rPr>
                <w:sz w:val="1"/>
                <w:szCs w:val="1"/>
                <w:color w:val="auto"/>
              </w:rPr>
            </w:pP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Gain on sale of assets—net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(2,513)</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8,657</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Interest expense—net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(4,808)</w:t>
            </w:r>
          </w:p>
        </w:tc>
        <w:tc>
          <w:tcPr>
            <w:tcW w:w="1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(4,911)</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subsidiaries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11,567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(12,727)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00" w:type="dxa"/>
            <w:vAlign w:val="bottom"/>
          </w:tcPr>
          <w:p>
            <w:pPr>
              <w:ind w:left="880"/>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9,323</w:t>
            </w:r>
          </w:p>
        </w:tc>
        <w:tc>
          <w:tcPr>
            <w:tcW w:w="10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1,160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5,867</w:t>
            </w:r>
          </w:p>
        </w:tc>
        <w:tc>
          <w:tcPr>
            <w:tcW w:w="14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(12,727)</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18"/>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(3,699)</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88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11,567</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2,168</w:t>
            </w:r>
          </w:p>
        </w:tc>
        <w:tc>
          <w:tcPr>
            <w:tcW w:w="14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(12,727)</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2,168</w:t>
            </w:r>
          </w:p>
        </w:tc>
        <w:tc>
          <w:tcPr>
            <w:tcW w:w="0" w:type="dxa"/>
            <w:vAlign w:val="bottom"/>
          </w:tcPr>
          <w:p>
            <w:pPr>
              <w:spacing w:after="0"/>
              <w:rPr>
                <w:sz w:val="1"/>
                <w:szCs w:val="1"/>
                <w:color w:val="auto"/>
              </w:rPr>
            </w:pPr>
          </w:p>
        </w:tc>
      </w:tr>
      <w:tr>
        <w:trPr>
          <w:trHeight w:val="217"/>
        </w:trPr>
        <w:tc>
          <w:tcPr>
            <w:tcW w:w="5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5"/>
        </w:trPr>
        <w:tc>
          <w:tcPr>
            <w:tcW w:w="5400" w:type="dxa"/>
            <w:vAlign w:val="bottom"/>
          </w:tcPr>
          <w:p>
            <w:pPr>
              <w:ind w:left="880"/>
              <w:spacing w:after="0"/>
              <w:rPr>
                <w:sz w:val="20"/>
                <w:szCs w:val="20"/>
                <w:color w:val="auto"/>
              </w:rPr>
            </w:pPr>
            <w:r>
              <w:rPr>
                <w:rFonts w:ascii="Arial" w:cs="Arial" w:eastAsia="Arial" w:hAnsi="Arial"/>
                <w:sz w:val="18"/>
                <w:szCs w:val="18"/>
                <w:color w:val="auto"/>
                <w:w w:val="92"/>
              </w:rPr>
              <w:t>Net income (loss) attributable to Great Lakes Dredge &amp; Dock</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1080"/>
              <w:spacing w:after="0"/>
              <w:rPr>
                <w:sz w:val="20"/>
                <w:szCs w:val="20"/>
                <w:color w:val="auto"/>
              </w:rPr>
            </w:pPr>
            <w:r>
              <w:rPr>
                <w:rFonts w:ascii="Arial" w:cs="Arial" w:eastAsia="Arial" w:hAnsi="Arial"/>
                <w:sz w:val="18"/>
                <w:szCs w:val="18"/>
                <w:color w:val="auto"/>
              </w:rPr>
              <w:t>Corporation</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11,567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1,160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1,706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(12,727)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2"/>
              </w:rPr>
              <w:t>Comprehensive income (loss) attributable to Great Lakes Dredge &amp; Dock</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Corporation</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10,753</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2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(11,913)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400" w:type="dxa"/>
            <w:vAlign w:val="bottom"/>
          </w:tcPr>
          <w:p>
            <w:pPr>
              <w:spacing w:after="0"/>
              <w:rPr>
                <w:sz w:val="24"/>
                <w:szCs w:val="24"/>
                <w:color w:val="auto"/>
              </w:rPr>
            </w:pPr>
          </w:p>
        </w:tc>
        <w:tc>
          <w:tcPr>
            <w:tcW w:w="920" w:type="dxa"/>
            <w:vAlign w:val="bottom"/>
            <w:gridSpan w:val="3"/>
          </w:tcPr>
          <w:p>
            <w:pPr>
              <w:jc w:val="right"/>
              <w:ind w:right="432"/>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 AND COMPREHENSIVE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2"/>
              </w:rPr>
              <w:t>Subsidiary</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GLDD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0"/>
              </w:rPr>
              <w:t>Guarantors</w:t>
            </w:r>
          </w:p>
        </w:tc>
        <w:tc>
          <w:tcPr>
            <w:tcW w:w="1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Subsidiaries</w:t>
            </w:r>
          </w:p>
        </w:tc>
        <w:tc>
          <w:tcPr>
            <w:tcW w:w="200" w:type="dxa"/>
            <w:vAlign w:val="bottom"/>
          </w:tcPr>
          <w:p>
            <w:pPr>
              <w:spacing w:after="0"/>
              <w:rPr>
                <w:sz w:val="14"/>
                <w:szCs w:val="14"/>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7"/>
              </w:rPr>
              <w:t>Corporation</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318,486</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(4,522)</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318,014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(279,240)</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(4,568)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4,522</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(279,286)</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38,728</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23,248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1,127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24,723</w:t>
            </w:r>
          </w:p>
        </w:tc>
        <w:tc>
          <w:tcPr>
            <w:tcW w:w="0" w:type="dxa"/>
            <w:vAlign w:val="bottom"/>
          </w:tcPr>
          <w:p>
            <w:pPr>
              <w:spacing w:after="0"/>
              <w:rPr>
                <w:sz w:val="1"/>
                <w:szCs w:val="1"/>
                <w:color w:val="auto"/>
              </w:rPr>
            </w:pP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Gain on sale of assets—net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(1,138)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14,129</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Interest expense—net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(10,053)</w:t>
            </w:r>
          </w:p>
        </w:tc>
        <w:tc>
          <w:tcPr>
            <w:tcW w:w="1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(10,642)</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subsidiaries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15,034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(14,432)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currency transactions—net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880"/>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14,954</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(917)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3,843</w:t>
            </w:r>
          </w:p>
        </w:tc>
        <w:tc>
          <w:tcPr>
            <w:tcW w:w="14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(14,432)</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3,448</w:t>
            </w:r>
          </w:p>
        </w:tc>
        <w:tc>
          <w:tcPr>
            <w:tcW w:w="0" w:type="dxa"/>
            <w:vAlign w:val="bottom"/>
          </w:tcPr>
          <w:p>
            <w:pPr>
              <w:spacing w:after="0"/>
              <w:rPr>
                <w:sz w:val="1"/>
                <w:szCs w:val="1"/>
                <w:color w:val="auto"/>
              </w:rPr>
            </w:pPr>
          </w:p>
        </w:tc>
      </w:tr>
      <w:tr>
        <w:trPr>
          <w:trHeight w:val="218"/>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(1,710)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88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15,349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(917)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2,133</w:t>
            </w:r>
          </w:p>
        </w:tc>
        <w:tc>
          <w:tcPr>
            <w:tcW w:w="14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(14,432)</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17"/>
        </w:trPr>
        <w:tc>
          <w:tcPr>
            <w:tcW w:w="5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loss attributable to noncontrolling interests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5"/>
        </w:trPr>
        <w:tc>
          <w:tcPr>
            <w:tcW w:w="5400" w:type="dxa"/>
            <w:vAlign w:val="bottom"/>
          </w:tcPr>
          <w:p>
            <w:pPr>
              <w:ind w:left="880"/>
              <w:spacing w:after="0"/>
              <w:rPr>
                <w:sz w:val="20"/>
                <w:szCs w:val="20"/>
                <w:color w:val="auto"/>
              </w:rPr>
            </w:pPr>
            <w:r>
              <w:rPr>
                <w:rFonts w:ascii="Arial" w:cs="Arial" w:eastAsia="Arial" w:hAnsi="Arial"/>
                <w:sz w:val="18"/>
                <w:szCs w:val="18"/>
                <w:color w:val="auto"/>
                <w:w w:val="92"/>
              </w:rPr>
              <w:t>Net income (loss) attributable to Great Lakes Dredge &amp; Dock</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1080"/>
              <w:spacing w:after="0"/>
              <w:rPr>
                <w:sz w:val="20"/>
                <w:szCs w:val="20"/>
                <w:color w:val="auto"/>
              </w:rPr>
            </w:pPr>
            <w:r>
              <w:rPr>
                <w:rFonts w:ascii="Arial" w:cs="Arial" w:eastAsia="Arial" w:hAnsi="Arial"/>
                <w:sz w:val="18"/>
                <w:szCs w:val="18"/>
                <w:color w:val="auto"/>
              </w:rPr>
              <w:t>Corporation</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15,349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(917)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2,339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(14,432)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2"/>
              </w:rPr>
              <w:t>Comprehensive income (loss) attributable to Great Lakes Dredge &amp; Dock</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Corporation</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14,061</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1,047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(13,140)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400" w:type="dxa"/>
            <w:vAlign w:val="bottom"/>
          </w:tcPr>
          <w:p>
            <w:pPr>
              <w:spacing w:after="0"/>
              <w:rPr>
                <w:sz w:val="24"/>
                <w:szCs w:val="24"/>
                <w:color w:val="auto"/>
              </w:rPr>
            </w:pPr>
          </w:p>
        </w:tc>
        <w:tc>
          <w:tcPr>
            <w:tcW w:w="920" w:type="dxa"/>
            <w:vAlign w:val="bottom"/>
            <w:gridSpan w:val="3"/>
          </w:tcPr>
          <w:p>
            <w:pPr>
              <w:jc w:val="right"/>
              <w:ind w:right="432"/>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 AND COMPREHENSIVE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2"/>
              </w:rPr>
              <w:t>Subsidiary</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GLDD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0"/>
              </w:rPr>
              <w:t>Guarantors</w:t>
            </w:r>
          </w:p>
        </w:tc>
        <w:tc>
          <w:tcPr>
            <w:tcW w:w="1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Subsidiaries</w:t>
            </w:r>
          </w:p>
        </w:tc>
        <w:tc>
          <w:tcPr>
            <w:tcW w:w="200" w:type="dxa"/>
            <w:vAlign w:val="bottom"/>
          </w:tcPr>
          <w:p>
            <w:pPr>
              <w:spacing w:after="0"/>
              <w:rPr>
                <w:sz w:val="14"/>
                <w:szCs w:val="14"/>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7"/>
              </w:rPr>
              <w:t>Corporation</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305,262</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9,586</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(4,551)</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310,297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(259,788)</w:t>
            </w: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(7,852)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4,551</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(263,089)</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45,474</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23,726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1,564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25,711</w:t>
            </w:r>
          </w:p>
        </w:tc>
        <w:tc>
          <w:tcPr>
            <w:tcW w:w="0" w:type="dxa"/>
            <w:vAlign w:val="bottom"/>
          </w:tcPr>
          <w:p>
            <w:pPr>
              <w:spacing w:after="0"/>
              <w:rPr>
                <w:sz w:val="1"/>
                <w:szCs w:val="1"/>
                <w:color w:val="auto"/>
              </w:rPr>
            </w:pP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Gain on sale of assets—net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(2,771)</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(1,564)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24,268</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Interest expense—net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(10,633)</w:t>
            </w:r>
          </w:p>
        </w:tc>
        <w:tc>
          <w:tcPr>
            <w:tcW w:w="1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(10,861)</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subsidiaries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1,214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28,118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(29,332)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(5,145)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(5,145)</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880"/>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24,890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10,776</w:t>
            </w:r>
          </w:p>
        </w:tc>
        <w:tc>
          <w:tcPr>
            <w:tcW w:w="14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(29,332)</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7,548</w:t>
            </w:r>
          </w:p>
        </w:tc>
        <w:tc>
          <w:tcPr>
            <w:tcW w:w="0" w:type="dxa"/>
            <w:vAlign w:val="bottom"/>
          </w:tcPr>
          <w:p>
            <w:pPr>
              <w:spacing w:after="0"/>
              <w:rPr>
                <w:sz w:val="1"/>
                <w:szCs w:val="1"/>
                <w:color w:val="auto"/>
              </w:rPr>
            </w:pPr>
          </w:p>
        </w:tc>
      </w:tr>
      <w:tr>
        <w:trPr>
          <w:trHeight w:val="218"/>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(6,210)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(2,982)</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88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28,118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4,566</w:t>
            </w:r>
          </w:p>
        </w:tc>
        <w:tc>
          <w:tcPr>
            <w:tcW w:w="14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(29,332)</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4,566</w:t>
            </w:r>
          </w:p>
        </w:tc>
        <w:tc>
          <w:tcPr>
            <w:tcW w:w="0" w:type="dxa"/>
            <w:vAlign w:val="bottom"/>
          </w:tcPr>
          <w:p>
            <w:pPr>
              <w:spacing w:after="0"/>
              <w:rPr>
                <w:sz w:val="1"/>
                <w:szCs w:val="1"/>
                <w:color w:val="auto"/>
              </w:rPr>
            </w:pPr>
          </w:p>
        </w:tc>
      </w:tr>
      <w:tr>
        <w:trPr>
          <w:trHeight w:val="217"/>
        </w:trPr>
        <w:tc>
          <w:tcPr>
            <w:tcW w:w="5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5"/>
        </w:trPr>
        <w:tc>
          <w:tcPr>
            <w:tcW w:w="5400" w:type="dxa"/>
            <w:vAlign w:val="bottom"/>
          </w:tcPr>
          <w:p>
            <w:pPr>
              <w:ind w:left="880"/>
              <w:spacing w:after="0"/>
              <w:rPr>
                <w:sz w:val="20"/>
                <w:szCs w:val="20"/>
                <w:color w:val="auto"/>
              </w:rPr>
            </w:pPr>
            <w:r>
              <w:rPr>
                <w:rFonts w:ascii="Arial" w:cs="Arial" w:eastAsia="Arial" w:hAnsi="Arial"/>
                <w:sz w:val="18"/>
                <w:szCs w:val="18"/>
                <w:color w:val="auto"/>
                <w:w w:val="92"/>
              </w:rPr>
              <w:t>Net income (loss) attributable to Great Lakes Dredge &amp; Dock</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1080"/>
              <w:spacing w:after="0"/>
              <w:rPr>
                <w:sz w:val="20"/>
                <w:szCs w:val="20"/>
                <w:color w:val="auto"/>
              </w:rPr>
            </w:pPr>
            <w:r>
              <w:rPr>
                <w:rFonts w:ascii="Arial" w:cs="Arial" w:eastAsia="Arial" w:hAnsi="Arial"/>
                <w:sz w:val="18"/>
                <w:szCs w:val="18"/>
                <w:color w:val="auto"/>
              </w:rPr>
              <w:t>Corporation</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28,118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1,214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4,098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(29,332)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2"/>
              </w:rPr>
              <w:t>Comprehensive income (loss) attributable to Great Lakes Dredge &amp; Dock</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Corporation</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27,870</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2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3,850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(29,084)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400" w:type="dxa"/>
            <w:vAlign w:val="bottom"/>
          </w:tcPr>
          <w:p>
            <w:pPr>
              <w:spacing w:after="0"/>
              <w:rPr>
                <w:sz w:val="24"/>
                <w:szCs w:val="24"/>
                <w:color w:val="auto"/>
              </w:rPr>
            </w:pPr>
          </w:p>
        </w:tc>
        <w:tc>
          <w:tcPr>
            <w:tcW w:w="920" w:type="dxa"/>
            <w:vAlign w:val="bottom"/>
            <w:gridSpan w:val="3"/>
          </w:tcPr>
          <w:p>
            <w:pPr>
              <w:jc w:val="right"/>
              <w:ind w:right="432"/>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540"/>
        <w:spacing w:after="0" w:line="344"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CASH FLOWS FOR THE SIX MONTHS ENDED JUNE 30, 2012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9"/>
              </w:rPr>
              <w:t>Subsidiary</w:t>
            </w:r>
          </w:p>
        </w:tc>
        <w:tc>
          <w:tcPr>
            <w:tcW w:w="22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GLDD</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Totals</w:t>
            </w:r>
          </w:p>
        </w:tc>
      </w:tr>
      <w:tr>
        <w:trPr>
          <w:trHeight w:val="196"/>
        </w:trPr>
        <w:tc>
          <w:tcPr>
            <w:tcW w:w="20" w:type="dxa"/>
            <w:vAlign w:val="bottom"/>
          </w:tcPr>
          <w:p>
            <w:pPr>
              <w:spacing w:after="0"/>
              <w:rPr>
                <w:sz w:val="17"/>
                <w:szCs w:val="17"/>
                <w:color w:val="auto"/>
              </w:rPr>
            </w:pPr>
          </w:p>
        </w:tc>
        <w:tc>
          <w:tcPr>
            <w:tcW w:w="5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860"/>
              <w:spacing w:after="0"/>
              <w:rPr>
                <w:sz w:val="20"/>
                <w:szCs w:val="20"/>
                <w:color w:val="auto"/>
              </w:rPr>
            </w:pPr>
            <w:r>
              <w:rPr>
                <w:rFonts w:ascii="Arial" w:cs="Arial" w:eastAsia="Arial" w:hAnsi="Arial"/>
                <w:sz w:val="18"/>
                <w:szCs w:val="18"/>
                <w:color w:val="auto"/>
              </w:rPr>
              <w:t>Net cash flows provided by (used in) operating activities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9,867</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560"/>
              <w:spacing w:after="0"/>
              <w:rPr>
                <w:sz w:val="20"/>
                <w:szCs w:val="20"/>
                <w:color w:val="auto"/>
              </w:rPr>
            </w:pPr>
            <w:r>
              <w:rPr>
                <w:rFonts w:ascii="Arial" w:cs="Arial" w:eastAsia="Arial" w:hAnsi="Arial"/>
                <w:sz w:val="18"/>
                <w:szCs w:val="18"/>
                <w:color w:val="auto"/>
                <w:w w:val="79"/>
              </w:rPr>
              <w:t>331</w:t>
            </w:r>
          </w:p>
        </w:tc>
        <w:tc>
          <w:tcPr>
            <w:tcW w:w="5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(25,028)</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(14,830)</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(22,783)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(22,783)</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dispositions of property and equipment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5360" w:type="dxa"/>
            <w:vAlign w:val="bottom"/>
          </w:tcPr>
          <w:p>
            <w:pPr>
              <w:ind w:left="860"/>
              <w:spacing w:after="0"/>
              <w:rPr>
                <w:sz w:val="20"/>
                <w:szCs w:val="20"/>
                <w:color w:val="auto"/>
              </w:rPr>
            </w:pPr>
            <w:r>
              <w:rPr>
                <w:rFonts w:ascii="Arial" w:cs="Arial" w:eastAsia="Arial" w:hAnsi="Arial"/>
                <w:sz w:val="18"/>
                <w:szCs w:val="18"/>
                <w:color w:val="auto"/>
              </w:rPr>
              <w:t>Net cash flows used in investing activities</w:t>
            </w: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(22,557)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(22,557)</w:t>
            </w:r>
          </w:p>
        </w:tc>
      </w:tr>
      <w:tr>
        <w:trPr>
          <w:trHeight w:val="218"/>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Deferred financing fees</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(2,039)</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(2,039)</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paid to minority interests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(133)</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(2,482)</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(2,482)</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equivalents paid on restricted stock units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Taxes paid on settlement of vested share awards</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(212)</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accounts with affiliates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(25,246)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(4,477)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29,723</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Repayments of equipment debt</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(426)</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r>
      <w:tr>
        <w:trPr>
          <w:trHeight w:val="223"/>
        </w:trPr>
        <w:tc>
          <w:tcPr>
            <w:tcW w:w="20" w:type="dxa"/>
            <w:vAlign w:val="bottom"/>
          </w:tcPr>
          <w:p>
            <w:pPr>
              <w:spacing w:after="0"/>
              <w:rPr>
                <w:sz w:val="19"/>
                <w:szCs w:val="19"/>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Excess income tax benefit from share-based compensation</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flows provided by (used in) financing activities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(25,672)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(4,477)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25,028</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(5,121)</w:t>
            </w:r>
          </w:p>
        </w:tc>
      </w:tr>
      <w:tr>
        <w:trPr>
          <w:trHeight w:val="215"/>
        </w:trPr>
        <w:tc>
          <w:tcPr>
            <w:tcW w:w="5380" w:type="dxa"/>
            <w:vAlign w:val="bottom"/>
            <w:gridSpan w:val="2"/>
          </w:tcPr>
          <w:p>
            <w:pPr>
              <w:spacing w:after="0"/>
              <w:rPr>
                <w:sz w:val="20"/>
                <w:szCs w:val="20"/>
                <w:color w:val="auto"/>
              </w:rPr>
            </w:pPr>
            <w:r>
              <w:rPr>
                <w:rFonts w:ascii="Arial" w:cs="Arial" w:eastAsia="Arial" w:hAnsi="Arial"/>
                <w:sz w:val="18"/>
                <w:szCs w:val="18"/>
                <w:color w:val="auto"/>
              </w:rPr>
              <w:t>Effect of foreign currency exchange rates on cash and cash</w:t>
            </w: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equivalents</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(38,362)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(4,135)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(42,497)</w:t>
            </w: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108,985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4,303</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113,288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70,623</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79"/>
              </w:rPr>
              <w:t>168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70,791</w:t>
            </w: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540"/>
        <w:spacing w:after="0" w:line="344"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CASH FLOWS FOR THE SIX MONTHS ENDED JUNE 30, 2011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9"/>
              </w:rPr>
              <w:t>Subsidiary</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0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GLDD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40" w:type="dxa"/>
            <w:vAlign w:val="bottom"/>
            <w:gridSpan w:val="4"/>
          </w:tcPr>
          <w:p>
            <w:pPr>
              <w:ind w:left="24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24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w w:val="94"/>
              </w:rPr>
              <w:t>Net cash flows provided by (used in) operating activities</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3,004</w:t>
            </w: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3,230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(16,679)</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(13,583)</w:t>
            </w:r>
          </w:p>
        </w:tc>
        <w:tc>
          <w:tcPr>
            <w:tcW w:w="100" w:type="dxa"/>
            <w:vAlign w:val="bottom"/>
          </w:tcPr>
          <w:p>
            <w:pPr>
              <w:spacing w:after="0"/>
              <w:rPr>
                <w:sz w:val="18"/>
                <w:szCs w:val="18"/>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dispositions of property and equipment</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7,275</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Net cash flows used in investing activities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(6,308)</w:t>
            </w:r>
          </w:p>
        </w:tc>
        <w:tc>
          <w:tcPr>
            <w:tcW w:w="100" w:type="dxa"/>
            <w:vAlign w:val="bottom"/>
          </w:tcPr>
          <w:p>
            <w:pPr>
              <w:spacing w:after="0"/>
              <w:rPr>
                <w:sz w:val="19"/>
                <w:szCs w:val="19"/>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(6,308)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Proceeds from issuance of 7 3/8% senior notes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250,000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Redemption of 7 3/4% senior subordinated notes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(175,000)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Senior subordinated notes redemption premium</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(2,264)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financing fees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(5,829)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(2,236)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equivalents paid on restricted stock units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Taxes paid on vested share awards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accounts with affiliates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50,703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(2,893)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(47,810)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Repayments of equipment debt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w w:val="98"/>
              </w:rPr>
              <w:t>Excess income tax benefit from share-based compensation</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flows provided by financing activities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50,486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(2,893)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64,272</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Net increase in cash and cash equivalents</w:t>
            </w: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47,182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47,519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48,416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48,478</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95,598</w:t>
            </w:r>
          </w:p>
        </w:tc>
        <w:tc>
          <w:tcPr>
            <w:tcW w:w="5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95,997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26</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Certain statements in this Quarterly Report on Form 10-Q/A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(the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associated with Great Lakes’ leverage, fixed price contracts, dependence on government contracts and funding, bonding requirement and obligations, international operations, backlog, uncertainty related to pending litigation, government regulation, restrictive debt covenants and fluctuations in quarterly operations, and those factors, risks and uncertainties that are described in Item 1A “Risk Factors” of the Company’s Annual Report on Form 10-K for the year ended December 31, 2011 and in other securities filings by Great Lakes with the SEC.</w:t>
      </w:r>
    </w:p>
    <w:p>
      <w:pPr>
        <w:spacing w:after="0" w:line="124" w:lineRule="exact"/>
        <w:rPr>
          <w:sz w:val="20"/>
          <w:szCs w:val="20"/>
          <w:color w:val="auto"/>
        </w:rPr>
      </w:pPr>
    </w:p>
    <w:p>
      <w:pPr>
        <w:jc w:val="both"/>
        <w:ind w:right="140"/>
        <w:spacing w:after="0" w:line="294" w:lineRule="auto"/>
        <w:rPr>
          <w:sz w:val="20"/>
          <w:szCs w:val="20"/>
          <w:color w:val="auto"/>
        </w:rPr>
      </w:pPr>
      <w:r>
        <w:rPr>
          <w:rFonts w:ascii="Arial" w:cs="Arial" w:eastAsia="Arial" w:hAnsi="Arial"/>
          <w:sz w:val="16"/>
          <w:szCs w:val="16"/>
          <w:color w:val="auto"/>
        </w:rPr>
        <w:t>Although the Company believes that its plans, intentions and expectations reflected in or suggested by such forward-looking statements are reasonable, actual results could differ materially from a projection or assumption in any forward-looking statements. Great Lakes’ future financial condition, results of operations and cash flows, as well as any forward-looking statements, are subject to change and inherent risks and uncertainties. The forward-looking statements contained in this Quarterly Report on Form 10-Q/A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Company is the largest provider of dredging services in the United States. In addition, the Company is the only U.S. dredging service provider with significant international operations, which represented 15% of its dredging revenues for the first six months of 2012, compared with the Company’s prior three year average of 17%. The mobility of the Company’s fleet enables the Company to move equipment in response to changes in demand for dredging services.</w:t>
      </w:r>
    </w:p>
    <w:p>
      <w:pPr>
        <w:spacing w:after="0" w:line="10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Dredging generally involves the enhancement or preservation of navigability of waterways or the protection of shorelines through the removal or replenishment of soil, sand or rock. The U.S. dredging market consists of three primary types of work: capital, beach nourishment and maintenance. The Company’s “bid market” is defined as the aggregate dollar value of domestic projects on which the Company bid or could have bid if not for capacity constraints. The Company experienced an average combined bid market share in the U.S. of 39% over the prior three years, including 41%, 60% and 32% of the domestic capital, beach nourishment and maintenance sectors, respectively. The foregoing bid market data does not reflect rivers &amp; lakes activities which are separately categorized. The Company’s bid market share of rivers &amp; lakes in the prior year of activity is 39%.</w:t>
      </w:r>
    </w:p>
    <w:p>
      <w:pPr>
        <w:spacing w:after="0" w:line="12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Company’s largest domestic dredging customer is the U.S. Army Corps of Engineers (the “Corps”), which is responsible for federally funded projects related to navigation and flood control of U.S. waterways. In the first six months of 2012, the Company’s dredging revenues earned from contracts with federal government agencies, including the Corps as well as other federal entities such as the U.S. Coast Guard and the U.S. Navy, and third parties operating under contracts with federal agencies were approximately 78% of dredging revenues, above the Company’s prior three year average of 59%.</w:t>
      </w:r>
    </w:p>
    <w:p>
      <w:pPr>
        <w:spacing w:after="0" w:line="11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Company’s demolition subsidiaries are a major U.S. provider of commercial and industrial demolition services. Historically, the majority of the work was performed in the New England area. Through increased collaboration with Great Lakes’ other lines of business, the demolition operations continue to expand into the New York area and marine demolition markets, specifically bridge demolition. In the first six months of 2012, demolition revenues accounted for 19% of total revenues, above the prior three year average of 12%. The demolition segment’s principal services consist of exterior and interior demolition of commercial and industrial buildings, dismantling and disposal of aged or failing bridges, site development, salvage and recycling of related materials and removal of hazardous substances and materials. The Company’s demolition operations are one of a few providers in New England with the required licenses, operating expertise, equipment fleet and access to bonding to execute larger, complex industrial demolition projects.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also owns 50% of Amboy Aggregates (“Amboy”) and 50% of TerraSea Environmental Solutions (“TerraSea”) as joint ventures. Amboy’s primary business is dredging sand from the entrance channel to the New York harbor in order to provide sand and aggregate for use in road and building construction and for clean land fill. Amboy also imports stone from upstate New York and Nova Scotia and distributes it throughout the New York area. TerraSea is engaged in the environmental services business through its ability to remediate contaminated soil and dredged sediment treatment. The Company operates in two reportable segments: dredging and demolition. These reportable segments are the Company’s operating segments and the reporting units at which the Company tests goodwill for impairment.</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following tables set forth the components of net income (loss) attributable to Great Lakes Dredge &amp; Dock Corporation and Adjusted EBITDA, as defined below, as a percentage of contract revenues for the three and six months ended June 30, 2012 and 2011:</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8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w w:val="98"/>
              </w:rPr>
              <w:t>Three Months Ended</w:t>
            </w:r>
          </w:p>
        </w:tc>
        <w:tc>
          <w:tcPr>
            <w:tcW w:w="174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5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540" w:type="dxa"/>
            <w:vAlign w:val="bottom"/>
            <w:shd w:val="clear" w:color="auto" w:fill="CCEEFF"/>
          </w:tcPr>
          <w:p>
            <w:pPr>
              <w:jc w:val="right"/>
              <w:ind w:right="322"/>
              <w:spacing w:after="0"/>
              <w:rPr>
                <w:sz w:val="20"/>
                <w:szCs w:val="20"/>
                <w:color w:val="auto"/>
              </w:rPr>
            </w:pPr>
            <w:r>
              <w:rPr>
                <w:rFonts w:ascii="Arial" w:cs="Arial" w:eastAsia="Arial" w:hAnsi="Arial"/>
                <w:sz w:val="18"/>
                <w:szCs w:val="18"/>
                <w:color w:val="auto"/>
                <w:w w:val="7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5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540" w:type="dxa"/>
            <w:vAlign w:val="bottom"/>
            <w:shd w:val="clear" w:color="auto" w:fill="CCEEFF"/>
          </w:tcPr>
          <w:p>
            <w:pPr>
              <w:jc w:val="right"/>
              <w:ind w:right="322"/>
              <w:spacing w:after="0"/>
              <w:rPr>
                <w:sz w:val="20"/>
                <w:szCs w:val="20"/>
                <w:color w:val="auto"/>
              </w:rPr>
            </w:pPr>
            <w:r>
              <w:rPr>
                <w:rFonts w:ascii="Arial" w:cs="Arial" w:eastAsia="Arial" w:hAnsi="Arial"/>
                <w:sz w:val="18"/>
                <w:szCs w:val="18"/>
                <w:color w:val="auto"/>
                <w:w w:val="7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040" w:type="dxa"/>
            <w:vAlign w:val="bottom"/>
            <w:gridSpan w:val="2"/>
          </w:tcPr>
          <w:p>
            <w:pPr>
              <w:jc w:val="right"/>
              <w:ind w:right="402"/>
              <w:spacing w:after="0"/>
              <w:rPr>
                <w:sz w:val="20"/>
                <w:szCs w:val="20"/>
                <w:color w:val="auto"/>
              </w:rPr>
            </w:pPr>
            <w:r>
              <w:rPr>
                <w:rFonts w:ascii="Arial" w:cs="Arial" w:eastAsia="Arial" w:hAnsi="Arial"/>
                <w:sz w:val="18"/>
                <w:szCs w:val="18"/>
                <w:color w:val="auto"/>
              </w:rPr>
              <w:t>(88.5)</w:t>
            </w:r>
          </w:p>
        </w:tc>
        <w:tc>
          <w:tcPr>
            <w:tcW w:w="1040" w:type="dxa"/>
            <w:vAlign w:val="bottom"/>
            <w:gridSpan w:val="2"/>
          </w:tcPr>
          <w:p>
            <w:pPr>
              <w:jc w:val="right"/>
              <w:ind w:right="392"/>
              <w:spacing w:after="0"/>
              <w:rPr>
                <w:sz w:val="20"/>
                <w:szCs w:val="20"/>
                <w:color w:val="auto"/>
              </w:rPr>
            </w:pPr>
            <w:r>
              <w:rPr>
                <w:rFonts w:ascii="Arial" w:cs="Arial" w:eastAsia="Arial" w:hAnsi="Arial"/>
                <w:sz w:val="18"/>
                <w:szCs w:val="18"/>
                <w:color w:val="auto"/>
              </w:rPr>
              <w:t>(87.2)</w:t>
            </w:r>
          </w:p>
        </w:tc>
        <w:tc>
          <w:tcPr>
            <w:tcW w:w="1040" w:type="dxa"/>
            <w:vAlign w:val="bottom"/>
            <w:gridSpan w:val="2"/>
          </w:tcPr>
          <w:p>
            <w:pPr>
              <w:jc w:val="right"/>
              <w:ind w:right="402"/>
              <w:spacing w:after="0"/>
              <w:rPr>
                <w:sz w:val="20"/>
                <w:szCs w:val="20"/>
                <w:color w:val="auto"/>
              </w:rPr>
            </w:pPr>
            <w:r>
              <w:rPr>
                <w:rFonts w:ascii="Arial" w:cs="Arial" w:eastAsia="Arial" w:hAnsi="Arial"/>
                <w:sz w:val="18"/>
                <w:szCs w:val="18"/>
                <w:color w:val="auto"/>
              </w:rPr>
              <w:t>(87.8)</w:t>
            </w:r>
          </w:p>
        </w:tc>
        <w:tc>
          <w:tcPr>
            <w:tcW w:w="700" w:type="dxa"/>
            <w:vAlign w:val="bottom"/>
            <w:gridSpan w:val="2"/>
          </w:tcPr>
          <w:p>
            <w:pPr>
              <w:jc w:val="right"/>
              <w:ind w:right="52"/>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5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5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5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00" w:type="dxa"/>
            <w:vAlign w:val="bottom"/>
          </w:tcPr>
          <w:p>
            <w:pPr>
              <w:jc w:val="right"/>
              <w:spacing w:after="0"/>
              <w:rPr>
                <w:sz w:val="20"/>
                <w:szCs w:val="20"/>
                <w:color w:val="auto"/>
              </w:rPr>
            </w:pPr>
            <w:r>
              <w:rPr>
                <w:rFonts w:ascii="Arial" w:cs="Arial" w:eastAsia="Arial" w:hAnsi="Arial"/>
                <w:sz w:val="18"/>
                <w:szCs w:val="18"/>
                <w:color w:val="auto"/>
              </w:rPr>
              <w:t>7.0</w:t>
            </w:r>
          </w:p>
        </w:tc>
        <w:tc>
          <w:tcPr>
            <w:tcW w:w="540" w:type="dxa"/>
            <w:vAlign w:val="bottom"/>
          </w:tcPr>
          <w:p>
            <w:pPr>
              <w:spacing w:after="0"/>
              <w:rPr>
                <w:sz w:val="18"/>
                <w:szCs w:val="18"/>
                <w:color w:val="auto"/>
              </w:rPr>
            </w:pPr>
          </w:p>
        </w:tc>
        <w:tc>
          <w:tcPr>
            <w:tcW w:w="1040" w:type="dxa"/>
            <w:vAlign w:val="bottom"/>
            <w:gridSpan w:val="2"/>
          </w:tcPr>
          <w:p>
            <w:pPr>
              <w:jc w:val="right"/>
              <w:ind w:right="452"/>
              <w:spacing w:after="0"/>
              <w:rPr>
                <w:sz w:val="20"/>
                <w:szCs w:val="20"/>
                <w:color w:val="auto"/>
              </w:rPr>
            </w:pPr>
            <w:r>
              <w:rPr>
                <w:rFonts w:ascii="Arial" w:cs="Arial" w:eastAsia="Arial" w:hAnsi="Arial"/>
                <w:sz w:val="18"/>
                <w:szCs w:val="18"/>
                <w:color w:val="auto"/>
              </w:rPr>
              <w:t>8.8</w:t>
            </w:r>
          </w:p>
        </w:tc>
        <w:tc>
          <w:tcPr>
            <w:tcW w:w="500" w:type="dxa"/>
            <w:vAlign w:val="bottom"/>
          </w:tcPr>
          <w:p>
            <w:pPr>
              <w:jc w:val="right"/>
              <w:spacing w:after="0"/>
              <w:rPr>
                <w:sz w:val="20"/>
                <w:szCs w:val="20"/>
                <w:color w:val="auto"/>
              </w:rPr>
            </w:pPr>
            <w:r>
              <w:rPr>
                <w:rFonts w:ascii="Arial" w:cs="Arial" w:eastAsia="Arial" w:hAnsi="Arial"/>
                <w:sz w:val="18"/>
                <w:szCs w:val="18"/>
                <w:color w:val="auto"/>
              </w:rPr>
              <w:t>7.8</w:t>
            </w: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assets—net</w:t>
            </w:r>
          </w:p>
        </w:tc>
        <w:tc>
          <w:tcPr>
            <w:tcW w:w="1040" w:type="dxa"/>
            <w:vAlign w:val="bottom"/>
            <w:gridSpan w:val="2"/>
            <w:shd w:val="clear" w:color="auto" w:fill="CCEEFF"/>
          </w:tcPr>
          <w:p>
            <w:pPr>
              <w:jc w:val="right"/>
              <w:ind w:right="402"/>
              <w:spacing w:after="0"/>
              <w:rPr>
                <w:sz w:val="20"/>
                <w:szCs w:val="20"/>
                <w:color w:val="auto"/>
              </w:rPr>
            </w:pPr>
            <w:r>
              <w:rPr>
                <w:rFonts w:ascii="Arial" w:cs="Arial" w:eastAsia="Arial" w:hAnsi="Arial"/>
                <w:sz w:val="18"/>
                <w:szCs w:val="18"/>
                <w:color w:val="auto"/>
              </w:rPr>
              <w:t>(0.1)</w:t>
            </w:r>
          </w:p>
        </w:tc>
        <w:tc>
          <w:tcPr>
            <w:tcW w:w="10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(1.6)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Operating income</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5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5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5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expense—net</w:t>
            </w:r>
          </w:p>
        </w:tc>
        <w:tc>
          <w:tcPr>
            <w:tcW w:w="1040" w:type="dxa"/>
            <w:vAlign w:val="bottom"/>
            <w:gridSpan w:val="2"/>
            <w:shd w:val="clear" w:color="auto" w:fill="CCEEFF"/>
          </w:tcPr>
          <w:p>
            <w:pPr>
              <w:jc w:val="right"/>
              <w:ind w:right="402"/>
              <w:spacing w:after="0"/>
              <w:rPr>
                <w:sz w:val="20"/>
                <w:szCs w:val="20"/>
                <w:color w:val="auto"/>
              </w:rPr>
            </w:pPr>
            <w:r>
              <w:rPr>
                <w:rFonts w:ascii="Arial" w:cs="Arial" w:eastAsia="Arial" w:hAnsi="Arial"/>
                <w:sz w:val="18"/>
                <w:szCs w:val="18"/>
                <w:color w:val="auto"/>
              </w:rPr>
              <w:t>(3.3)</w:t>
            </w:r>
          </w:p>
        </w:tc>
        <w:tc>
          <w:tcPr>
            <w:tcW w:w="10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(3.2)</w:t>
            </w:r>
          </w:p>
        </w:tc>
        <w:tc>
          <w:tcPr>
            <w:tcW w:w="1040" w:type="dxa"/>
            <w:vAlign w:val="bottom"/>
            <w:gridSpan w:val="2"/>
            <w:shd w:val="clear" w:color="auto" w:fill="CCEEFF"/>
          </w:tcPr>
          <w:p>
            <w:pPr>
              <w:jc w:val="right"/>
              <w:ind w:right="402"/>
              <w:spacing w:after="0"/>
              <w:rPr>
                <w:sz w:val="20"/>
                <w:szCs w:val="20"/>
                <w:color w:val="auto"/>
              </w:rPr>
            </w:pPr>
            <w:r>
              <w:rPr>
                <w:rFonts w:ascii="Arial" w:cs="Arial" w:eastAsia="Arial" w:hAnsi="Arial"/>
                <w:sz w:val="18"/>
                <w:szCs w:val="18"/>
                <w:color w:val="auto"/>
              </w:rPr>
              <w:t>(3.3)</w:t>
            </w:r>
          </w:p>
        </w:tc>
        <w:tc>
          <w:tcPr>
            <w:tcW w:w="7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500" w:type="dxa"/>
            <w:vAlign w:val="bottom"/>
          </w:tcPr>
          <w:p>
            <w:pPr>
              <w:jc w:val="right"/>
              <w:spacing w:after="0"/>
              <w:rPr>
                <w:sz w:val="20"/>
                <w:szCs w:val="20"/>
                <w:color w:val="auto"/>
              </w:rPr>
            </w:pPr>
            <w:r>
              <w:rPr>
                <w:rFonts w:ascii="Arial" w:cs="Arial" w:eastAsia="Arial" w:hAnsi="Arial"/>
                <w:sz w:val="18"/>
                <w:szCs w:val="18"/>
                <w:color w:val="auto"/>
              </w:rPr>
              <w:t>0.0</w:t>
            </w:r>
          </w:p>
        </w:tc>
        <w:tc>
          <w:tcPr>
            <w:tcW w:w="540" w:type="dxa"/>
            <w:vAlign w:val="bottom"/>
          </w:tcPr>
          <w:p>
            <w:pPr>
              <w:spacing w:after="0"/>
              <w:rPr>
                <w:sz w:val="18"/>
                <w:szCs w:val="18"/>
                <w:color w:val="auto"/>
              </w:rPr>
            </w:pPr>
          </w:p>
        </w:tc>
        <w:tc>
          <w:tcPr>
            <w:tcW w:w="1040" w:type="dxa"/>
            <w:vAlign w:val="bottom"/>
            <w:gridSpan w:val="2"/>
          </w:tcPr>
          <w:p>
            <w:pPr>
              <w:jc w:val="right"/>
              <w:ind w:right="392"/>
              <w:spacing w:after="0"/>
              <w:rPr>
                <w:sz w:val="20"/>
                <w:szCs w:val="20"/>
                <w:color w:val="auto"/>
              </w:rPr>
            </w:pPr>
            <w:r>
              <w:rPr>
                <w:rFonts w:ascii="Arial" w:cs="Arial" w:eastAsia="Arial" w:hAnsi="Arial"/>
                <w:sz w:val="18"/>
                <w:szCs w:val="18"/>
                <w:color w:val="auto"/>
              </w:rPr>
              <w:t>(0.1)</w:t>
            </w:r>
          </w:p>
        </w:tc>
        <w:tc>
          <w:tcPr>
            <w:tcW w:w="500" w:type="dxa"/>
            <w:vAlign w:val="bottom"/>
          </w:tcPr>
          <w:p>
            <w:pPr>
              <w:jc w:val="right"/>
              <w:spacing w:after="0"/>
              <w:rPr>
                <w:sz w:val="20"/>
                <w:szCs w:val="20"/>
                <w:color w:val="auto"/>
              </w:rPr>
            </w:pPr>
            <w:r>
              <w:rPr>
                <w:rFonts w:ascii="Arial" w:cs="Arial" w:eastAsia="Arial" w:hAnsi="Arial"/>
                <w:sz w:val="18"/>
                <w:szCs w:val="18"/>
                <w:color w:val="auto"/>
              </w:rPr>
              <w:t>0.0</w:t>
            </w:r>
          </w:p>
        </w:tc>
        <w:tc>
          <w:tcPr>
            <w:tcW w:w="540" w:type="dxa"/>
            <w:vAlign w:val="bottom"/>
          </w:tcPr>
          <w:p>
            <w:pPr>
              <w:spacing w:after="0"/>
              <w:rPr>
                <w:sz w:val="18"/>
                <w:szCs w:val="18"/>
                <w:color w:val="auto"/>
              </w:rPr>
            </w:pPr>
          </w:p>
        </w:tc>
        <w:tc>
          <w:tcPr>
            <w:tcW w:w="700" w:type="dxa"/>
            <w:vAlign w:val="bottom"/>
            <w:gridSpan w:val="2"/>
          </w:tcPr>
          <w:p>
            <w:pPr>
              <w:jc w:val="right"/>
              <w:ind w:right="5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currency transactions—net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500" w:type="dxa"/>
            <w:vAlign w:val="bottom"/>
          </w:tcPr>
          <w:p>
            <w:pPr>
              <w:jc w:val="right"/>
              <w:spacing w:after="0"/>
              <w:rPr>
                <w:sz w:val="20"/>
                <w:szCs w:val="20"/>
                <w:color w:val="auto"/>
              </w:rPr>
            </w:pPr>
            <w:r>
              <w:rPr>
                <w:rFonts w:ascii="Arial" w:cs="Arial" w:eastAsia="Arial" w:hAnsi="Arial"/>
                <w:sz w:val="18"/>
                <w:szCs w:val="18"/>
                <w:color w:val="auto"/>
              </w:rPr>
              <w:t>0.0</w:t>
            </w:r>
          </w:p>
        </w:tc>
        <w:tc>
          <w:tcPr>
            <w:tcW w:w="5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w:t>
            </w:r>
          </w:p>
        </w:tc>
        <w:tc>
          <w:tcPr>
            <w:tcW w:w="5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w:t>
            </w:r>
          </w:p>
        </w:tc>
        <w:tc>
          <w:tcPr>
            <w:tcW w:w="540" w:type="dxa"/>
            <w:vAlign w:val="bottom"/>
          </w:tcPr>
          <w:p>
            <w:pPr>
              <w:spacing w:after="0"/>
              <w:rPr>
                <w:sz w:val="19"/>
                <w:szCs w:val="19"/>
                <w:color w:val="auto"/>
              </w:rPr>
            </w:pPr>
          </w:p>
        </w:tc>
        <w:tc>
          <w:tcPr>
            <w:tcW w:w="700" w:type="dxa"/>
            <w:vAlign w:val="bottom"/>
            <w:gridSpan w:val="2"/>
          </w:tcPr>
          <w:p>
            <w:pPr>
              <w:jc w:val="right"/>
              <w:ind w:right="5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before income taxes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Income tax provision</w:t>
            </w:r>
          </w:p>
        </w:tc>
        <w:tc>
          <w:tcPr>
            <w:tcW w:w="1040" w:type="dxa"/>
            <w:vAlign w:val="bottom"/>
            <w:gridSpan w:val="2"/>
          </w:tcPr>
          <w:p>
            <w:pPr>
              <w:jc w:val="right"/>
              <w:ind w:right="402"/>
              <w:spacing w:after="0"/>
              <w:rPr>
                <w:sz w:val="20"/>
                <w:szCs w:val="20"/>
                <w:color w:val="auto"/>
              </w:rPr>
            </w:pPr>
            <w:r>
              <w:rPr>
                <w:rFonts w:ascii="Arial" w:cs="Arial" w:eastAsia="Arial" w:hAnsi="Arial"/>
                <w:sz w:val="18"/>
                <w:szCs w:val="18"/>
                <w:color w:val="auto"/>
              </w:rPr>
              <w:t>(0.5)</w:t>
            </w:r>
          </w:p>
        </w:tc>
        <w:tc>
          <w:tcPr>
            <w:tcW w:w="1040" w:type="dxa"/>
            <w:vAlign w:val="bottom"/>
            <w:gridSpan w:val="2"/>
          </w:tcPr>
          <w:p>
            <w:pPr>
              <w:jc w:val="right"/>
              <w:ind w:right="392"/>
              <w:spacing w:after="0"/>
              <w:rPr>
                <w:sz w:val="20"/>
                <w:szCs w:val="20"/>
                <w:color w:val="auto"/>
              </w:rPr>
            </w:pPr>
            <w:r>
              <w:rPr>
                <w:rFonts w:ascii="Arial" w:cs="Arial" w:eastAsia="Arial" w:hAnsi="Arial"/>
                <w:sz w:val="18"/>
                <w:szCs w:val="18"/>
                <w:color w:val="auto"/>
              </w:rPr>
              <w:t>(0.9)</w:t>
            </w:r>
          </w:p>
        </w:tc>
        <w:tc>
          <w:tcPr>
            <w:tcW w:w="1040" w:type="dxa"/>
            <w:vAlign w:val="bottom"/>
            <w:gridSpan w:val="2"/>
          </w:tcPr>
          <w:p>
            <w:pPr>
              <w:jc w:val="right"/>
              <w:ind w:right="402"/>
              <w:spacing w:after="0"/>
              <w:rPr>
                <w:sz w:val="20"/>
                <w:szCs w:val="20"/>
                <w:color w:val="auto"/>
              </w:rPr>
            </w:pPr>
            <w:r>
              <w:rPr>
                <w:rFonts w:ascii="Arial" w:cs="Arial" w:eastAsia="Arial" w:hAnsi="Arial"/>
                <w:sz w:val="18"/>
                <w:szCs w:val="18"/>
                <w:color w:val="auto"/>
              </w:rPr>
              <w:t>(0.5)</w:t>
            </w:r>
          </w:p>
        </w:tc>
        <w:tc>
          <w:tcPr>
            <w:tcW w:w="700" w:type="dxa"/>
            <w:vAlign w:val="bottom"/>
            <w:gridSpan w:val="2"/>
          </w:tcPr>
          <w:p>
            <w:pPr>
              <w:jc w:val="right"/>
              <w:ind w:right="5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5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5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860"/>
              <w:spacing w:after="0"/>
              <w:rPr>
                <w:sz w:val="20"/>
                <w:szCs w:val="20"/>
                <w:color w:val="auto"/>
              </w:rPr>
            </w:pPr>
            <w:r>
              <w:rPr>
                <w:rFonts w:ascii="Arial" w:cs="Arial" w:eastAsia="Arial" w:hAnsi="Arial"/>
                <w:sz w:val="18"/>
                <w:szCs w:val="18"/>
                <w:color w:val="auto"/>
              </w:rPr>
              <w:t>Net (income) loss attributable to noncontrolling interests</w:t>
            </w: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540" w:type="dxa"/>
            <w:vAlign w:val="bottom"/>
          </w:tcPr>
          <w:p>
            <w:pPr>
              <w:spacing w:after="0"/>
              <w:rPr>
                <w:sz w:val="18"/>
                <w:szCs w:val="18"/>
                <w:color w:val="auto"/>
              </w:rPr>
            </w:pPr>
          </w:p>
        </w:tc>
        <w:tc>
          <w:tcPr>
            <w:tcW w:w="1040" w:type="dxa"/>
            <w:vAlign w:val="bottom"/>
            <w:gridSpan w:val="2"/>
          </w:tcPr>
          <w:p>
            <w:pPr>
              <w:jc w:val="right"/>
              <w:ind w:right="392"/>
              <w:spacing w:after="0"/>
              <w:rPr>
                <w:sz w:val="20"/>
                <w:szCs w:val="20"/>
                <w:color w:val="auto"/>
              </w:rPr>
            </w:pPr>
            <w:r>
              <w:rPr>
                <w:rFonts w:ascii="Arial" w:cs="Arial" w:eastAsia="Arial" w:hAnsi="Arial"/>
                <w:sz w:val="18"/>
                <w:szCs w:val="18"/>
                <w:color w:val="auto"/>
              </w:rPr>
              <w:t>(0.3)</w:t>
            </w: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540" w:type="dxa"/>
            <w:vAlign w:val="bottom"/>
          </w:tcPr>
          <w:p>
            <w:pPr>
              <w:spacing w:after="0"/>
              <w:rPr>
                <w:sz w:val="18"/>
                <w:szCs w:val="18"/>
                <w:color w:val="auto"/>
              </w:rPr>
            </w:pPr>
          </w:p>
        </w:tc>
        <w:tc>
          <w:tcPr>
            <w:tcW w:w="700" w:type="dxa"/>
            <w:vAlign w:val="bottom"/>
            <w:gridSpan w:val="2"/>
          </w:tcPr>
          <w:p>
            <w:pPr>
              <w:jc w:val="right"/>
              <w:ind w:right="5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Great Lakes Dredge &amp; Dock Corporation</w:t>
            </w:r>
          </w:p>
        </w:tc>
        <w:tc>
          <w:tcPr>
            <w:tcW w:w="1040" w:type="dxa"/>
            <w:vAlign w:val="bottom"/>
            <w:gridSpan w:val="2"/>
            <w:shd w:val="clear" w:color="auto" w:fill="CCEEFF"/>
          </w:tcPr>
          <w:p>
            <w:pPr>
              <w:jc w:val="right"/>
              <w:ind w:right="322"/>
              <w:spacing w:after="0"/>
              <w:rPr>
                <w:sz w:val="20"/>
                <w:szCs w:val="20"/>
                <w:color w:val="auto"/>
              </w:rPr>
            </w:pPr>
            <w:r>
              <w:rPr>
                <w:rFonts w:ascii="Arial" w:cs="Arial" w:eastAsia="Arial" w:hAnsi="Arial"/>
                <w:sz w:val="18"/>
                <w:szCs w:val="18"/>
                <w:color w:val="auto"/>
              </w:rPr>
              <w:t>0.9 %</w:t>
            </w:r>
          </w:p>
        </w:tc>
        <w:tc>
          <w:tcPr>
            <w:tcW w:w="10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1.1 %</w:t>
            </w:r>
          </w:p>
        </w:tc>
        <w:tc>
          <w:tcPr>
            <w:tcW w:w="1040" w:type="dxa"/>
            <w:vAlign w:val="bottom"/>
            <w:gridSpan w:val="2"/>
            <w:shd w:val="clear" w:color="auto" w:fill="CCEEFF"/>
          </w:tcPr>
          <w:p>
            <w:pPr>
              <w:jc w:val="right"/>
              <w:ind w:right="322"/>
              <w:spacing w:after="0"/>
              <w:rPr>
                <w:sz w:val="20"/>
                <w:szCs w:val="20"/>
                <w:color w:val="auto"/>
              </w:rPr>
            </w:pPr>
            <w:r>
              <w:rPr>
                <w:rFonts w:ascii="Arial" w:cs="Arial" w:eastAsia="Arial" w:hAnsi="Arial"/>
                <w:sz w:val="18"/>
                <w:szCs w:val="18"/>
                <w:color w:val="auto"/>
              </w:rPr>
              <w:t>0.7 %</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Adjusted EBITDA</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80" w:type="dxa"/>
            <w:vAlign w:val="bottom"/>
            <w:gridSpan w:val="2"/>
            <w:vMerge w:val="continue"/>
          </w:tcPr>
          <w:p>
            <w:pPr>
              <w:spacing w:after="0"/>
              <w:rPr>
                <w:sz w:val="18"/>
                <w:szCs w:val="18"/>
                <w:color w:val="auto"/>
              </w:rPr>
            </w:pPr>
          </w:p>
        </w:tc>
        <w:tc>
          <w:tcPr>
            <w:tcW w:w="1040" w:type="dxa"/>
            <w:vAlign w:val="bottom"/>
            <w:gridSpan w:val="2"/>
          </w:tcPr>
          <w:p>
            <w:pPr>
              <w:jc w:val="right"/>
              <w:ind w:right="322"/>
              <w:spacing w:after="0"/>
              <w:rPr>
                <w:sz w:val="20"/>
                <w:szCs w:val="20"/>
                <w:color w:val="auto"/>
              </w:rPr>
            </w:pPr>
            <w:r>
              <w:rPr>
                <w:rFonts w:ascii="Arial" w:cs="Arial" w:eastAsia="Arial" w:hAnsi="Arial"/>
                <w:sz w:val="18"/>
                <w:szCs w:val="18"/>
                <w:color w:val="auto"/>
              </w:rPr>
              <w:t>10.4 %</w:t>
            </w:r>
          </w:p>
        </w:tc>
        <w:tc>
          <w:tcPr>
            <w:tcW w:w="1040" w:type="dxa"/>
            <w:vAlign w:val="bottom"/>
            <w:gridSpan w:val="2"/>
          </w:tcPr>
          <w:p>
            <w:pPr>
              <w:jc w:val="right"/>
              <w:ind w:right="312"/>
              <w:spacing w:after="0"/>
              <w:rPr>
                <w:sz w:val="20"/>
                <w:szCs w:val="20"/>
                <w:color w:val="auto"/>
              </w:rPr>
            </w:pPr>
            <w:r>
              <w:rPr>
                <w:rFonts w:ascii="Arial" w:cs="Arial" w:eastAsia="Arial" w:hAnsi="Arial"/>
                <w:sz w:val="18"/>
                <w:szCs w:val="18"/>
                <w:color w:val="auto"/>
              </w:rPr>
              <w:t>11.2 %</w:t>
            </w:r>
          </w:p>
        </w:tc>
        <w:tc>
          <w:tcPr>
            <w:tcW w:w="1040" w:type="dxa"/>
            <w:vAlign w:val="bottom"/>
            <w:gridSpan w:val="2"/>
          </w:tcPr>
          <w:p>
            <w:pPr>
              <w:jc w:val="right"/>
              <w:ind w:right="322"/>
              <w:spacing w:after="0"/>
              <w:rPr>
                <w:sz w:val="20"/>
                <w:szCs w:val="20"/>
                <w:color w:val="auto"/>
              </w:rPr>
            </w:pPr>
            <w:r>
              <w:rPr>
                <w:rFonts w:ascii="Arial" w:cs="Arial" w:eastAsia="Arial" w:hAnsi="Arial"/>
                <w:sz w:val="18"/>
                <w:szCs w:val="18"/>
                <w:color w:val="auto"/>
              </w:rPr>
              <w:t>10.0 %</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Adjusted EBITDA, as provided herein, represents net income (loss) attributable to Great Lakes Dredge &amp; Dock Corporation, adjusted for net interest expense, income taxes, depreciation and amortization expense, debt extinguishment and accelerated maintenance expense for new international deployments. In the fourth quarter of 2012 and as recast in the second quarter of 2012, the Company has modified the Adjusted EBITDA calculation for accelerated maintenance expense for new international deployments that are not directly recoverable under the related dredging contract and are therefore expensed as incurred. The Company does not frequently incur significant accelerated maintenance as a part of its international deployments. As such, the exclusion of these accelerated maintenance expenses from the calculation of Adjusted EBITDA allows users of our financial statements to more easily compare our year-to-year results. Adjusted EBITDA is not a measure derived in accordance with accounting principles generally accepted in the United States of America (“GAAP”) The Company presents Adjusted EBITDA as an additional measure by which to evaluate the Company’s operating trends. The Company believes that Adjusted EBITDA is a measure frequently used to evaluate performance of companies with substantial leverage and that the Company’s primary stakeholders (i.e., its stockholders, bondholders and banks) use Adjusted EBITDA to evaluate the Company’s period to period performance. Additionally, management believes that Adjusted EBITDA provides a transparent measure of the Company’s recurring operating performance and allows management to readily view operating trends, perform analytical comparisons and identify strategies to improve operating performance. For this reason, the Company uses a measure based upon Adjusted EBITDA to assess performance for purposes of determining compensation under the Company’s incentive plan. Adjusted EBITDA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instead of a GAAP measure, has limitations as an analytical tool, including the inability to determine profitability or liquidity due to the exclusion of accelerated maintenance expense for new international deployments,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only as a supplement. The following is a reconciliation of Adjusted EBITDA to net income attributable to Great Lakes Dredge &amp; Dock Corporation: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2"/>
              </w:rPr>
              <w:t>Three Months Ended</w:t>
            </w:r>
          </w:p>
        </w:tc>
        <w:tc>
          <w:tcPr>
            <w:tcW w:w="80" w:type="dxa"/>
            <w:vAlign w:val="bottom"/>
          </w:tcPr>
          <w:p>
            <w:pPr>
              <w:spacing w:after="0"/>
              <w:rPr>
                <w:sz w:val="14"/>
                <w:szCs w:val="14"/>
                <w:color w:val="auto"/>
              </w:rPr>
            </w:pPr>
          </w:p>
        </w:tc>
        <w:tc>
          <w:tcPr>
            <w:tcW w:w="156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6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0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2011</w:t>
            </w:r>
          </w:p>
        </w:tc>
        <w:tc>
          <w:tcPr>
            <w:tcW w:w="4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Great Lakes Dredge &amp; Dock Corporation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Adjusted for:</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Accelerated maintenance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tcPr>
          <w:p>
            <w:pPr>
              <w:ind w:left="440"/>
              <w:spacing w:after="0"/>
              <w:rPr>
                <w:sz w:val="20"/>
                <w:szCs w:val="20"/>
                <w:color w:val="auto"/>
              </w:rPr>
            </w:pPr>
            <w:r>
              <w:rPr>
                <w:rFonts w:ascii="Arial" w:cs="Arial" w:eastAsia="Arial" w:hAnsi="Arial"/>
                <w:sz w:val="18"/>
                <w:szCs w:val="18"/>
                <w:color w:val="auto"/>
              </w:rPr>
              <w:t>Loss on extinguishment of debt</w:t>
            </w:r>
          </w:p>
        </w:tc>
        <w:tc>
          <w:tcPr>
            <w:tcW w:w="100" w:type="dxa"/>
            <w:vAlign w:val="bottom"/>
          </w:tcPr>
          <w:p>
            <w:pPr>
              <w:spacing w:after="0"/>
              <w:rPr>
                <w:sz w:val="18"/>
                <w:szCs w:val="18"/>
                <w:color w:val="auto"/>
              </w:rPr>
            </w:pP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4,911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10,642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10,861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440"/>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1,455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1,315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8,359</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9,238</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16,123</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18,804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0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17,040</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17,310</w:t>
            </w:r>
          </w:p>
        </w:tc>
        <w:tc>
          <w:tcPr>
            <w:tcW w:w="4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31,695</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41,890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segment and type of work, the Company’s contract revenues for each of the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ind w:left="440"/>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Six Months Ended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Revenues (in thousands)</w:t>
            </w:r>
          </w:p>
        </w:tc>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40" w:type="dxa"/>
            <w:vAlign w:val="bottom"/>
            <w:gridSpan w:val="2"/>
            <w:vMerge w:val="continue"/>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1"/>
              </w:rPr>
              <w:t>Change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1"/>
              </w:rPr>
              <w:t>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Dredging:</w:t>
            </w:r>
          </w:p>
        </w:tc>
        <w:tc>
          <w:tcPr>
            <w:tcW w:w="2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420"/>
              <w:spacing w:after="0"/>
              <w:rPr>
                <w:sz w:val="20"/>
                <w:szCs w:val="20"/>
                <w:color w:val="auto"/>
              </w:rPr>
            </w:pPr>
            <w:r>
              <w:rPr>
                <w:rFonts w:ascii="Arial" w:cs="Arial" w:eastAsia="Arial" w:hAnsi="Arial"/>
                <w:sz w:val="18"/>
                <w:szCs w:val="18"/>
                <w:color w:val="auto"/>
              </w:rPr>
              <w:t>Capital—U.S.</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45,184</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44,480</w:t>
            </w:r>
          </w:p>
        </w:tc>
        <w:tc>
          <w:tcPr>
            <w:tcW w:w="2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1.6 %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72,091</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90,509</w:t>
            </w:r>
          </w:p>
        </w:tc>
        <w:tc>
          <w:tcPr>
            <w:tcW w:w="2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Capital—foreign</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16,065</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29.8 %</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38,873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37,936</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420"/>
              <w:spacing w:after="0"/>
              <w:rPr>
                <w:sz w:val="20"/>
                <w:szCs w:val="20"/>
                <w:color w:val="auto"/>
              </w:rPr>
            </w:pPr>
            <w:r>
              <w:rPr>
                <w:rFonts w:ascii="Arial" w:cs="Arial" w:eastAsia="Arial" w:hAnsi="Arial"/>
                <w:sz w:val="18"/>
                <w:szCs w:val="18"/>
                <w:color w:val="auto"/>
              </w:rPr>
              <w:t>Beach nourishment</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40,458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28,376</w:t>
            </w:r>
          </w:p>
        </w:tc>
        <w:tc>
          <w:tcPr>
            <w:tcW w:w="2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42.6 %</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71,641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46,233</w:t>
            </w:r>
          </w:p>
        </w:tc>
        <w:tc>
          <w:tcPr>
            <w:tcW w:w="2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55.0 %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Maintenance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28,703</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59,239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75,942</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420"/>
              <w:spacing w:after="0"/>
              <w:rPr>
                <w:sz w:val="20"/>
                <w:szCs w:val="20"/>
                <w:color w:val="auto"/>
              </w:rPr>
            </w:pPr>
            <w:r>
              <w:rPr>
                <w:rFonts w:ascii="Arial" w:cs="Arial" w:eastAsia="Arial" w:hAnsi="Arial"/>
                <w:sz w:val="18"/>
                <w:szCs w:val="18"/>
                <w:color w:val="auto"/>
              </w:rPr>
              <w:t>Rivers &amp; lakes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7,461</w:t>
            </w:r>
          </w:p>
        </w:tc>
        <w:tc>
          <w:tcPr>
            <w:tcW w:w="2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17.4 %</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15,770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11,062</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42.6 %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dredging revenues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135,253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125,085</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8.1 %</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257,614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261,682</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420"/>
              <w:spacing w:after="0"/>
              <w:rPr>
                <w:sz w:val="20"/>
                <w:szCs w:val="20"/>
                <w:color w:val="auto"/>
              </w:rPr>
            </w:pPr>
            <w:r>
              <w:rPr>
                <w:rFonts w:ascii="Arial" w:cs="Arial" w:eastAsia="Arial" w:hAnsi="Arial"/>
                <w:sz w:val="18"/>
                <w:szCs w:val="18"/>
                <w:color w:val="auto"/>
              </w:rPr>
              <w:t>Demolition</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27,854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29,874</w:t>
            </w: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60,400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48,615</w:t>
            </w:r>
          </w:p>
        </w:tc>
        <w:tc>
          <w:tcPr>
            <w:tcW w:w="2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24.2 %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163,107</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154,959</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5.3 %</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318,014</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310,297</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Total revenue for the 2012 second quarter was $163.1 million, up $8.1 million or 5% from $155.0 million during the 2011 second quarter. Dredging contract revenues for the three and six months ended June 30, 2012 are net of $0.1 million and $1.4 million in intersegment revenues. Demolition contract revenues for both the three and six months ended June 30, 2012 are net of $0.1 million in intersegment revenues. The increases in beach nourishment, foreign capital and rivers &amp; lakes revenue were offset by a decline in maintenance revenue. Demolition revenue for the quarter was $27.9 million, a 7% decrease from $29.9 million a year ago. Revenue for the six months ended June 30, 2012 was up $7.7 million compared to the prior year, primarily due to an increase in demolition revenue in the current year.</w:t>
      </w:r>
    </w:p>
    <w:p>
      <w:pPr>
        <w:spacing w:after="0" w:line="14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Capital dredging consists primarily of port expansion projects, which involve the deepening of channels to allow access by larger, deeper draft ships and the provision of land fill used to expand port facilities. In addition to port work, capital projects also include land reclamations, trench digging for pipelines, tunnels and cables, and other dredging related to the construction of breakwaters, jetties, canals and other marine structures. Domestic capital dredging revenue increased slightly to $45.2 million, an increase of 2%, in the 2012 second quarter compared to the 2011 second quarter. Domestic capital dredging revenue decreased $18.4 million, or 20%, in the first six months of 2012 compared to the same period in 2011. Domestic capital dredging revenues in the quarter and six months ended June 30, 2012 were primarily generated by work in the Ports of New York, as well as projects in Florida and Louisiana. Capital dredging for the first six months of 2011 included the completion of our work on the construction of sand berms off the coast of Louisiana, which accounted for approximately $19.7 million of revenue, that did not reoccur in 2012.</w:t>
      </w:r>
    </w:p>
    <w:p>
      <w:pPr>
        <w:spacing w:after="0" w:line="11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Foreign dredging revenue increased $4.8 million, or 30%, for the second quarter of 2012 to $20.8 million, and increased $0.9 million to $38.9 million for the six months ended June 30, 2012. Over 75% of second quarter 2012 foreign revenue was driven by two projects in Bahrain that are new in 2012. The second quarter of 2011 included two projects in South America that did not reoccur in 2012.</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Beach nourishment projects involve moving sand from the ocean floor to shoreline locations where erosion threatens shoreline assets. Beach nourishment revenue in the 2012 second quarter increased $12.1 million, or 43%, from the 2011 second quarter. Year to date 2012 beach nourishment revenue increased $25.4 million, or 55%, compared to the first half of 2011. The significant increase in beach nourishment awards in the prior year created a larger supply of projects in backlog, of which the Company continued to convert into revenue. In the 2012 second quarter, the Company worked on several beach projects, including projects in Florida, New Jersey and Virginia.</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navigability is to be maintained. In addition, severe weather such as hurricanes, flooding and droughts can also cause the accumulation of sediments and drive the need for maintenance dredging. Maintenance revenue in the 2012 second quarter decreased by $8.7 million, or 30%, compared to the 2011 second quarter. Maintenance revenue in the first six months of 2012 decreased by $16.7 million, or 22%, compared to the first six months of 2011. Maintenance revenue in the first six months of 2011 was atypically high as the Company was able to work on maintenance projects that had been delayed from 2010 in order to work on construction of sand berms off the coast of Louisiana. During the second quarter of 2012, the Company performed maintenance dredging in Louisiana, North Carolina and New York.</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Domestic rivers &amp; lakes dredging and related operations typically consist of lake and river dredging, inland levee and construction dredging, environmental restoration and habitat improvement and other marine construction projects. Rivers &amp; lakes revenue in the second quarter of 2012 was $8.8 million, an increase of $1.3 million or 17% compared to the second quarter of 2011. Rivers &amp; lakes revenue in the first six months of 2012 was $15.8 million, an increase of $4.7 million or 43% compared to the first six months of 2011. The majority of the change relates to better weather conditions in the first quarter of 2012 allowing additional work to progress than otherwise would be possible. Rivers &amp; lakes continued work on its large municipal lake project in Texas as well as other projects along the Mississippi River during the second quarter of 2012.</w:t>
      </w:r>
    </w:p>
    <w:p>
      <w:pPr>
        <w:spacing w:after="0" w:line="12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Consolidated gross profit for the 2012 second quarter decreased by 5% to $18.7 million, from $19.8 million in the second quarter of 2011. Gross profit margin (gross profit divided by revenue) for the 2012 second quarter decreased to 11.5% from 12.8% in the 2011 second quarter. Gross profit for the six months ended June 30, 2012 decreased by 18% to $38.7 million from $47.2 million in the same 2011 period, resulting in a decline in gross profit margin to 12.2% from 15.2%. The three and six month 2012 gross profit margin was lower due to costs incurred in excess of revenue recognized related to pending change orders in the demolition segment, weather impacts and lower dredge fixed cost coverage from the 2012 first quarter.</w:t>
      </w:r>
    </w:p>
    <w:p>
      <w:pPr>
        <w:spacing w:after="0" w:line="1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Company’s general and administrative expenses totaled $11.5 million and $24.7 for the three and six months ended June 30, 2012. General and administrative expenses totaled $13.6 million and $25.7 million for the three and six months ended June 30, 2011. The decrease in 2012 is due largely to legal costs of $1.3 million of investigation-related expenses resulting from two subpoenas received by the demolition segment in April 2011. These expenses did not reoccur in 2012. In addition, amortization costs related to intangible assets from the Matteson acquisition have become fully amortized representing a decrease in general and administrative expenses of $0.5 million and $1.1 million for the quarter and six months ended 2012 over the same periods in the prior year.</w:t>
      </w:r>
    </w:p>
    <w:p>
      <w:pPr>
        <w:spacing w:after="0" w:line="1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Operating income for the three months ended June 30, 2012 decreased 15% to $7.3 million, while operating income for the six months ended June 30, 2012 decreased 42% to $14.1 million, respectively, compared to the same periods of 2011.</w:t>
      </w:r>
    </w:p>
    <w:p>
      <w:pPr>
        <w:spacing w:after="0" w:line="132"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The Company’s net interest expense totaled $5.4 million and $10.6 million, for the three and six months ended June 30, 2012, respectively, compared to $4.9 million and $10.9 million from the same period of 2011. Higher interest expense in the second quarter of 2012 over the same period in 2011 primarily relates to adjustments recorded from changes in fair value on the Company’s interest rate swaps and interest expense from the foreign exchange forward contracts. In the first quarter of 2011, the Company had two debt issuances outstanding at the same time that added duplicative interest expense of $1.1 million.</w:t>
      </w:r>
    </w:p>
    <w:p>
      <w:pPr>
        <w:spacing w:after="0" w:line="113"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Income tax expense for the three and six months ended June 30, 2012 was $0.8 million and $1.3 million, respectively, compared to $1.5 million and $3.0 million for the same 2011 periods. This decrease was primarily attributable to lower earnings generated in 2012. The effective tax rate for the six months ended June 30, 2012 was 38.1%, which is substantially consistent with the effective tax rate of 39.5% for the same period of 2011. The Company expects the tax rate for the full year to remain near 39%.</w:t>
      </w:r>
    </w:p>
    <w:p>
      <w:pPr>
        <w:spacing w:after="0" w:line="143"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Net income attributable to Great Lakes Dredge &amp; Dock Corporation was $1.3 million and earnings per diluted share were $0.02 for the 2012 second quarter as compared to $1.7 million and $0.03 for the same 2011 period. Net income attributable to Great Lakes Dredge &amp; Dock Corporation and earnings per diluted share for the six months ended June 30, 2012 was $2.3 million and $0.04, respectively, compared to $4.1 million and $0.07 for the same 2011 period. The decrease in the second quarter of 2012 is due to the lower operating income for the period. Net income in 2011 was reduced by a $5.1 million loss on extinguishment of debt.</w:t>
      </w:r>
    </w:p>
    <w:p>
      <w:pPr>
        <w:spacing w:after="0" w:line="9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Adjusted EBITDA (as defined on page 28) was $17.0 million and $31.7 million for the three and six months ended June 30, 2012, respectively, compared with $17.3 million and $41.9 million in the same 2011 periods, for the reasons discussed above.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by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Dredging</w:t>
      </w:r>
    </w:p>
    <w:p>
      <w:pPr>
        <w:spacing w:after="0" w:line="90"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color w:val="auto"/>
        </w:rPr>
        <w:t>Dredging revenues for the three and six months ended June 30, 2012 were $135.3 million and $257.6 million, respectively, compared to $125.1 million and $261.7 million for the same periods of 2011. Dredging revenues for the six months ended June 30, 2012 were driven by domestic capital work and beach nourishment generating $72.1 million and $71.6 million, respectively, for the period. The increase in dredging revenue for the three months was due to an increase in beach nourishment, which was partially offset by a decrease in maintenance revenue. Dredging revenue for the six months represents decreases in domestic capital revenue during the first quarter of 2012 and lower maintenance revenue year to date in 2012.</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Gross profit margin in the dredging segment was 16.1% and 14.7% for the three and six months ended June 30, 2012 compared to gross profit margin in the dredging segment of 17.3% and 18.9% for the three and six months ended June 30, 2011, respectively. The decrease in gross profit margin for the three and six months ended June 30, 2012 was due largely to a slow first quarter of 2012 as the mix of project types and offshore weather conditions lowered dredge utilization that resulted in lower fixed cost coverage. Recognizing accelerated maintenance expenses related to the preparation of vessels for the Wheatstone project in Australia also decreased gross profit margin by $1.3 million.</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Dredging segment operating income was $11.7 million and $16.6 million for the three and six months ended June 30, 2012, compared to operating income of $13.6 million and $31.4 million for the three and six months ended June 30, 2011, respectively. The decrease in operating income for the six months ended June 30, 2012 is a result of the decrease in gross profit, as mentioned above, along with additional payroll and benefits of $1.9 million in the six months ended June 30, 2012, and the $2.1 million gain on the sale of the dredge </w:t>
      </w:r>
      <w:r>
        <w:rPr>
          <w:rFonts w:ascii="Arial" w:cs="Arial" w:eastAsia="Arial" w:hAnsi="Arial"/>
          <w:sz w:val="18"/>
          <w:szCs w:val="18"/>
          <w:i w:val="1"/>
          <w:iCs w:val="1"/>
          <w:color w:val="auto"/>
        </w:rPr>
        <w:t>Victoria Island</w:t>
      </w:r>
      <w:r>
        <w:rPr>
          <w:rFonts w:ascii="Arial" w:cs="Arial" w:eastAsia="Arial" w:hAnsi="Arial"/>
          <w:sz w:val="18"/>
          <w:szCs w:val="18"/>
          <w:color w:val="auto"/>
        </w:rPr>
        <w:t xml:space="preserve"> in 2011. These items were partially offset as the six months ended June 30, 2011 included $1.1 million of amortization costs related to intangible assets from the Matteson acquisition, which have become fully amortized and are not included in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Demolition</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Demolition revenues for the three and six months ended June 30, 2012 totaled $27.9 million and $60.4 million, respectively, compared to $29.9 million and $48.6 million, respectively, for the same 2011 periods. The demolition segment experienced higher revenue levels in 2012 driven by bridge demolition work and a large site development project in New York.</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demolition segment had a negative gross profit margin of 11.2% and a gross profit margin of 1.6% for the three and six months ended June 30, 2012 compared to a negative gross profit margin of 6.2% and 4.5% for the three and six months ended June 30, 2011, respectively. In the six months ended June 30, 2011, the Company experienced greater cost overruns on demolition projects in the New York market that were commenced in 2010 than the comparable six months ended June 30, 2012. The demolition segment generated an operating loss of $4.4 million and $2.5 million for the three and six months ended June 30, 2012, respectively, compared to an operating loss of $4.9 million and $7.1 million for the same periods of 2011. The decrease in operating loss during the first six months of 2012 is due to the increase in gross profit, and the $1.3 million of investigation-related expenses resulting from two subpoenas received in April 2011, which did not occur in the current year.</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Bidding Activity and Backlog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reporting segment and type of dredging work, the Company’s backlog as of the dates indicated:</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June 30,</w:t>
            </w:r>
          </w:p>
        </w:tc>
      </w:tr>
      <w:tr>
        <w:trPr>
          <w:trHeight w:val="161"/>
        </w:trPr>
        <w:tc>
          <w:tcPr>
            <w:tcW w:w="4080" w:type="dxa"/>
            <w:vAlign w:val="bottom"/>
          </w:tcPr>
          <w:p>
            <w:pPr>
              <w:spacing w:after="0"/>
              <w:rPr>
                <w:sz w:val="20"/>
                <w:szCs w:val="20"/>
                <w:color w:val="auto"/>
              </w:rPr>
            </w:pPr>
            <w:r>
              <w:rPr>
                <w:rFonts w:ascii="Arial" w:cs="Arial" w:eastAsia="Arial" w:hAnsi="Arial"/>
                <w:sz w:val="14"/>
                <w:szCs w:val="14"/>
                <w:b w:val="1"/>
                <w:bCs w:val="1"/>
                <w:color w:val="auto"/>
              </w:rPr>
              <w:t>Backlog (in thousands)</w:t>
            </w:r>
          </w:p>
        </w:tc>
        <w:tc>
          <w:tcPr>
            <w:tcW w:w="298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4"/>
                <w:szCs w:val="14"/>
                <w:color w:val="auto"/>
              </w:rPr>
            </w:pPr>
          </w:p>
        </w:tc>
      </w:tr>
      <w:tr>
        <w:trPr>
          <w:trHeight w:val="196"/>
        </w:trPr>
        <w:tc>
          <w:tcPr>
            <w:tcW w:w="4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Dredging:</w:t>
            </w:r>
          </w:p>
        </w:tc>
        <w:tc>
          <w:tcPr>
            <w:tcW w:w="2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Capital—U.S.</w:t>
            </w:r>
          </w:p>
        </w:tc>
        <w:tc>
          <w:tcPr>
            <w:tcW w:w="3220" w:type="dxa"/>
            <w:vAlign w:val="bottom"/>
            <w:gridSpan w:val="3"/>
          </w:tcPr>
          <w:p>
            <w:pPr>
              <w:jc w:val="right"/>
              <w:ind w:right="240"/>
              <w:spacing w:after="0"/>
              <w:rPr>
                <w:sz w:val="20"/>
                <w:szCs w:val="20"/>
                <w:color w:val="auto"/>
              </w:rPr>
            </w:pPr>
            <w:r>
              <w:rPr>
                <w:rFonts w:ascii="Arial" w:cs="Arial" w:eastAsia="Arial" w:hAnsi="Arial"/>
                <w:sz w:val="18"/>
                <w:szCs w:val="18"/>
                <w:color w:val="auto"/>
              </w:rPr>
              <w:t>$104,283</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109,897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49,086</w:t>
            </w: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Capital—foreign</w:t>
            </w:r>
          </w:p>
        </w:tc>
        <w:tc>
          <w:tcPr>
            <w:tcW w:w="3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225,999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53,941</w:t>
            </w: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Beach nourishment</w:t>
            </w:r>
          </w:p>
        </w:tc>
        <w:tc>
          <w:tcPr>
            <w:tcW w:w="3220" w:type="dxa"/>
            <w:vAlign w:val="bottom"/>
            <w:gridSpan w:val="3"/>
          </w:tcPr>
          <w:p>
            <w:pPr>
              <w:jc w:val="right"/>
              <w:ind w:right="240"/>
              <w:spacing w:after="0"/>
              <w:rPr>
                <w:sz w:val="20"/>
                <w:szCs w:val="20"/>
                <w:color w:val="auto"/>
              </w:rPr>
            </w:pPr>
            <w:r>
              <w:rPr>
                <w:rFonts w:ascii="Arial" w:cs="Arial" w:eastAsia="Arial" w:hAnsi="Arial"/>
                <w:sz w:val="18"/>
                <w:szCs w:val="18"/>
                <w:color w:val="auto"/>
              </w:rPr>
              <w:t>34,111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84,607</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62,228</w:t>
            </w: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3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10,907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12,935</w:t>
            </w: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Rivers &amp; lakes</w:t>
            </w:r>
          </w:p>
        </w:tc>
        <w:tc>
          <w:tcPr>
            <w:tcW w:w="2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23,167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15,256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18,355</w:t>
            </w:r>
          </w:p>
        </w:tc>
      </w:tr>
      <w:tr>
        <w:trPr>
          <w:trHeight w:val="27"/>
        </w:trPr>
        <w:tc>
          <w:tcPr>
            <w:tcW w:w="4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Dredging Backlog</w:t>
            </w:r>
          </w:p>
        </w:tc>
        <w:tc>
          <w:tcPr>
            <w:tcW w:w="2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398,467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319,432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196,545</w:t>
            </w: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Demolition</w:t>
            </w:r>
          </w:p>
        </w:tc>
        <w:tc>
          <w:tcPr>
            <w:tcW w:w="2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56,786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50,672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74,087</w:t>
            </w:r>
          </w:p>
        </w:tc>
      </w:tr>
      <w:tr>
        <w:trPr>
          <w:trHeight w:val="27"/>
        </w:trPr>
        <w:tc>
          <w:tcPr>
            <w:tcW w:w="4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Backlog</w:t>
            </w:r>
          </w:p>
        </w:tc>
        <w:tc>
          <w:tcPr>
            <w:tcW w:w="2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455,253</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370,104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270,632</w:t>
            </w:r>
          </w:p>
        </w:tc>
      </w:tr>
      <w:tr>
        <w:trPr>
          <w:trHeight w:val="20"/>
        </w:trPr>
        <w:tc>
          <w:tcPr>
            <w:tcW w:w="4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Company’s contract backlog represents its estimate of the revenues that will be realized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demolition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Because of these factors, as well as factors affecting the time required to complete each job, backlog is not always indicative of future revenues or profitability. In addition, 24%</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of the Company’s dredging backlog relates to federal government contracts, which can be canceled at any time without penalty to the government, subject to the Company’s contractual right to recover the Company’s actual committed costs and profit on work performed up to the date of cancellation. In addition,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w:t>
      </w:r>
    </w:p>
    <w:p>
      <w:pPr>
        <w:spacing w:after="0" w:line="1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domestic dredging bid market for the 2012 second quarter totaled $123.6 million, resulting in $353.2 million of work awarded during the first six months of 2012. This represents an increase of $19.8 million from the first half in the prior year. The second quarter of each year typically has fewer projects placed let to bid. The Company won 76%, or $20.0 million, of the beach nourishment projects awarded through June 30, 2012, as well as 16%, or $34.2 million, of the maintenance projects along with 96%, or $53.4 million, of capital projects and 42% or $24.1 million, of the rivers &amp; lakes projects awarded year to date through June 30, 2012. The Company won 37% of the overall domestic bid market through June 30, 2012, which is in line with the Company’s prior three year average of 39%. Variability in contract wins from quarter to quarter is not unusual and one quarter’s win rate is generally not indicative of the win rate the Company is likely to achieve for a full year.</w:t>
      </w:r>
    </w:p>
    <w:p>
      <w:pPr>
        <w:spacing w:after="0" w:line="14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Several important developments occurred in the second quarter of 2012 that the Company expects to increase the domestic dredging bid market throughout the remainder of the current year and into future years. At the end of June, leaders in Congress agreed in principal to a $105 billion bill that provides highway funding for two years. Within this bill were provisions related to maritime issues, in particular spending provisions related to the Harbor Maintenance Trust Fund (“HMTF”) and the RESTORE Act. Each of these sections of the bill has significant impacts to dredging appropriations. The bill represented strong bicameral and bipartisan support for the infrastructure needs of our nation and easily passed Congress and was signed by the President.</w:t>
      </w:r>
    </w:p>
    <w:p>
      <w:pPr>
        <w:spacing w:after="0" w:line="116"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Included in the bill are provisions calling for appropriation of HMTF monies to the Corps so that total budget resources on harbor maintenance for a fiscal year will be equal to the level of receipts. The recognition of the need for additional investment in U.S. ports and waterways is expected to support an increase of appropriations to future Corps’ budgets for maintenance dredging. Also included in the bill was a complete version of the RESTORE Act which requires 80 percent of all administrative, civil, and criminal penalties paid by a responsible party in connection with the Deepwater Horizon oil spill, to be deposited into a fund, together with any additional appropriations provided by law. This allocation will be directed to the Gulf States affected by the incident, most of which is intended for coastal protection works that generally include significant dredging.</w:t>
      </w:r>
    </w:p>
    <w:p>
      <w:pPr>
        <w:spacing w:after="0" w:line="120"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In July the Administration followed with an announcement that the Corps will accelerate the approval process by at least nine months for deepening projects in five key East Coast ports. The President has announced that there are 43 priority infrastructure projects in total that are expected to be expedited. The public investment in port infrastructure is necessary as the ongoing expansion of the Panama Canal and initiatives to increase exports heightens the need for the U.S. to deepen its East and Gulf Coast ports to facilitate larger draft vessels from international trade. The announced acceleration will likely streamline feasibility studies and permitting to allow the Corps to complete many of the projects on a schedule in anticipation of the increased traffic expected through the Panama Canal.</w:t>
      </w:r>
    </w:p>
    <w:p>
      <w:pPr>
        <w:spacing w:after="0" w:line="100"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The Company’s contracted dredging backlog was $398.5 million at June 30, 2012 compared to $319.4 million as of December 31, 2011. These amounts do not reflect approximately $28.5 million of domestic low bids pending formal award and additional phases (“options”) pending on projects currently in backlog at June 30, 2012. At December 31, 2011 the amount of domestic low bids and options pending award was $36.1 million.</w:t>
      </w:r>
    </w:p>
    <w:p>
      <w:pPr>
        <w:spacing w:after="0" w:line="10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Domestic capital dredging backlog at June 30, 2012 was $5.6 million less than at December 31, 2011 as the Company continued to execute on its backlog previously awarded for capital projects in New York, Florida and Louisiana. Although few capital projects were let to bid in the second quarter, the Company still anticipates a strong capital dredging bid market in 2012 including the deepening project in Miami which is expected to be released in this year.</w:t>
      </w:r>
    </w:p>
    <w:p>
      <w:pPr>
        <w:spacing w:after="0" w:line="1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Beach nourishment dredging backlog at June 30, 2012 was $50.5 million lower than at December 31, 2011 as the Company worked off its prior backlog related to several beach projects on the East Coast and in Florida. There were no new beach nourishment projects let to bid in the quarter, but the Corps has announced the intention to bring several new beach nourishment projects in the next year. The Company’s backlog includes the large beach project in San Diego won in the first quarter of 2012.</w:t>
      </w:r>
    </w:p>
    <w:p>
      <w:pPr>
        <w:spacing w:after="0" w:line="143"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Maintenance dredging backlog was $20.4 million lower at June 30, 2012 than at December 31, 2011. A significant contract for $10.8 million with pending options worth $6.0 million was added in the second quarter for channel maintenance in Louisiana. The additional contract was offset by continued work on existing projects in Louisiana, Georgia and Baltimore Harbor.</w:t>
      </w:r>
    </w:p>
    <w:p>
      <w:pPr>
        <w:spacing w:after="0" w:line="14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Rivers &amp; lakes backlog is $7.9 million higher at June 30, 2012 than at December 31, 2011. Rivers &amp; lakes continued to earn on projects in its backlog, including work on the large municipal lake project of $12.5 million and levee repair projects won in the first quarter of 2012. Rivers &amp; lakes also has $7.3 million of pending options for rental work on the Mississippi River that are not included in backlog. The Corps is expected to let to bid several projects in the second half of 2012 related to flood repair on the Mississippi River and its tributaries that rivers &amp; lakes expects to pursue.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Foreign capital dredging backlog increased $147.6 million at June 30, 2012 from December 31, 2011, due primarily to the award of the dredging contract for the Wheatstone LNG Project in Western Australia. The Company expects to realize at least $180 million in revenue on this project with the potential for greater income as the project details are finalized. The Company will deploy the dredge </w:t>
      </w:r>
      <w:r>
        <w:rPr>
          <w:rFonts w:ascii="Arial" w:cs="Arial" w:eastAsia="Arial" w:hAnsi="Arial"/>
          <w:sz w:val="18"/>
          <w:szCs w:val="18"/>
          <w:i w:val="1"/>
          <w:iCs w:val="1"/>
          <w:color w:val="auto"/>
        </w:rPr>
        <w:t>New York</w:t>
      </w:r>
      <w:r>
        <w:rPr>
          <w:rFonts w:ascii="Arial" w:cs="Arial" w:eastAsia="Arial" w:hAnsi="Arial"/>
          <w:sz w:val="18"/>
          <w:szCs w:val="18"/>
          <w:color w:val="auto"/>
        </w:rPr>
        <w:t xml:space="preserve"> on the Company’s portion of the project for about 27 months to complete this significant international dredging opportunity. The Company also sees additional opportunities in the Middle East, Southeast Asia and South America that it continues to pursue.</w:t>
      </w:r>
    </w:p>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Demolition services backlog was $6.1 million higher at June 30, 2012 from December 31, 2011. New projects awarded in the six months ended June 30, 2012 include the $22.2 million brownfield remediation project in New Jersey that was pending award at year end and three large civil site development projects that are expected each to generate over $3 million of revenue. A large portion of the backlog earned in the first six months of 2012 relates to the new management’s focus on large complex projects such as municipal developments in New York and specialty work such as bridge demolition in Louisiana, New Hampshire and New York.</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Dredge New York litigation development</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During the prior quarter ended March 31, 2012, a judgment in the aggregate amount of $13.3 million was rendered in the Company’s favor in its litigation regarding the dredge </w:t>
      </w:r>
      <w:r>
        <w:rPr>
          <w:rFonts w:ascii="Arial" w:cs="Arial" w:eastAsia="Arial" w:hAnsi="Arial"/>
          <w:sz w:val="18"/>
          <w:szCs w:val="18"/>
          <w:i w:val="1"/>
          <w:iCs w:val="1"/>
          <w:color w:val="auto"/>
        </w:rPr>
        <w:t>New York</w:t>
      </w:r>
      <w:r>
        <w:rPr>
          <w:rFonts w:ascii="Arial" w:cs="Arial" w:eastAsia="Arial" w:hAnsi="Arial"/>
          <w:sz w:val="18"/>
          <w:szCs w:val="18"/>
          <w:color w:val="auto"/>
        </w:rPr>
        <w:t xml:space="preserve"> loss of use claim. The defendants are appealing the judgment and the Company cannot be assured when the appeal will be heard or predict the outcome of the appellate process. For additional information regarding this matter, see Note 9 to the Company’s condensed consolidated financial statements.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Company’s principal sources of liquidity are net cash flows provided by operating activities and proceeds from previous issuances of long term debt. The Company’s principal uses of cash are to meet debt service requirements, finance capital expenditures, provide working capital and other general corporate purposes.</w:t>
      </w:r>
    </w:p>
    <w:p>
      <w:pPr>
        <w:spacing w:after="0" w:line="14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Company’s net cash used in operating activities for the six months ended June 30, 2012 and 2011 totaled $14.8 million, and $10.4 million, respectively. Normal increases or decreases in the level of working capital relative to the level of operational activity impact cash flow from operating activities. In the first six months of 2012, the increase in net cash used in operating activities was primarily the result of lower adjusted EBITDA and an increased investment in working capital as compared to the same period in the prior year.</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Company’s net cash flows used in investing activities for the first six months of 2012 and 2011 totaled $22.6 million and $6.3 million, respectively. Investing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activities in both periods primarily relate to normal course upgrades and capital maintenance of the Company’s dredging fleet. During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June 30, 2012, the Company overhauled the engines on the dredge </w:t>
      </w:r>
      <w:r>
        <w:rPr>
          <w:rFonts w:ascii="Arial" w:cs="Arial" w:eastAsia="Arial" w:hAnsi="Arial"/>
          <w:sz w:val="15"/>
          <w:szCs w:val="15"/>
          <w:i w:val="1"/>
          <w:iCs w:val="1"/>
          <w:color w:val="auto"/>
        </w:rPr>
        <w:t>Alaska</w:t>
      </w:r>
      <w:r>
        <w:rPr>
          <w:rFonts w:ascii="Arial" w:cs="Arial" w:eastAsia="Arial" w:hAnsi="Arial"/>
          <w:sz w:val="15"/>
          <w:szCs w:val="15"/>
          <w:color w:val="auto"/>
        </w:rPr>
        <w:t xml:space="preserve"> to provide increased useful life and efficiency. This engine overhaul added $5.3 million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investing capital expenditures during the six months ended June 30, 2012. Additionally, the Company purchased a $6.4 million storage yard during the six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months ended June 30, 2012. During the six months ended June 30, 2011, the Company sold the dredge </w:t>
      </w:r>
      <w:r>
        <w:rPr>
          <w:rFonts w:ascii="Arial" w:cs="Arial" w:eastAsia="Arial" w:hAnsi="Arial"/>
          <w:sz w:val="16"/>
          <w:szCs w:val="16"/>
          <w:i w:val="1"/>
          <w:iCs w:val="1"/>
          <w:color w:val="auto"/>
        </w:rPr>
        <w:t>Victoria Island</w:t>
      </w:r>
      <w:r>
        <w:rPr>
          <w:rFonts w:ascii="Arial" w:cs="Arial" w:eastAsia="Arial" w:hAnsi="Arial"/>
          <w:sz w:val="16"/>
          <w:szCs w:val="16"/>
          <w:color w:val="auto"/>
        </w:rPr>
        <w:t xml:space="preserve"> for $6.6 million of cash proceeds.</w:t>
      </w:r>
    </w:p>
    <w:p>
      <w:pPr>
        <w:spacing w:after="0" w:line="18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Company’s net cash flows provided by (used in) financing activities for the six months ended June 30, 2012 and 2011 totaled ($5.1) million and $64.3 million, respectively. The Company issued $250 million of 7.375% senior notes in the first six months of 2011, resulting in $244.2 million of net proceeds. The Company used a portion of these net proceeds to redeem its $175 million of 7.75% senior subordinated notes in the first three months of 2011 for $180.0 million, which included a redemption premium and unpaid interest.</w:t>
      </w:r>
    </w:p>
    <w:p>
      <w:pPr>
        <w:spacing w:after="0" w:line="14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Company paid $2.5 million in dividends in the first six months of 2012. The future declaration and payment of dividends will be at the discretion of the Company’s board of directors and will depend on many factors, including general economic and business conditions, the Company’s strategic plans, financial results and condition and legal requirements, including restrictions and limitations contained in the revolving credit facility and the indenture relating to its senior notes. Accordingly, the Company cannot make any assurances as to the size of any such dividend or that it will pay any such dividend in future quarters.</w:t>
      </w:r>
    </w:p>
    <w:p>
      <w:pPr>
        <w:spacing w:after="0" w:line="113"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On June 4, 2012, the Company entered into a senior revolving credit agreement (the “Credit Agreement”) with certain financial institutions from time to time party thereto as lenders, Wells Fargo Bank, National Association, as Administrative Agent, Swingline Lender and an Issuing Lender, Bank of America, N.A., as Syndication Agent and PNC Bank, National Association, BMO Harris Bank N.A. and Fifth Third Bank, as Co-Documentation Agents. The Credit Agreement, which replaced the Company’s former revolving credit agreement, provides for a senior revolving credit facility in an aggregate principal amount of up to $175 million, subfacilities for the issuance of standby letters of credit up to a $125 million sublimit, multicurrency borrowings up to a $50 million sublimit and swingline loans up to a $10 million sublimit. The Credit Agreement also includes an incremental loans feature that will allow the Company to increase the senior revolving credit facility by an aggregate principal amount of up to $50 million. This is subject to lenders providing incremental commitments for such increase, provided that no default or event of default exists, the Company will be in pro forma compliance with the existing financial covenants both before and after giving effect to the increase and other standard conditions. The prior credit agreement with Bank of America N.A. was terminated.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Depending on the Company’s consolidated leverage ratio (as defined in the Credit Agreement), borrowings under the new revolving credit facility will bear interest at the option of the Company of either a LIBOR rate plus a margin of between 1.50% to 2.50% per annum or a base rate plus a margin of between 0.50% to 1.50% per annum.</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revolving credit facility is an unsecured facility and will remain unsecured provided the Company maintains a total leverage ratio less than or equal to 3.75 to 1.00 as of the end of each fiscal quarter. If the leverage ratio exceeds 3.75 to 1.00, or an event of default occurs and is not cured within the applicable grace period, the revolving credit facility will cease to remain unsecured. In the event of the facility becomes secured, outstanding obligations shall be automatically secured by certain vessels and all domestic accounts receivable, subject to the liens and interests of other parties (including the Company’s bonding provider) holding first priority perfected liens.</w:t>
      </w:r>
    </w:p>
    <w:p>
      <w:pPr>
        <w:spacing w:after="0" w:line="1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new credit facility contains affirmative, negative and financial covenants customary for financings of this type. The Credit Agreement also contains customary events of default (including non-payment of principal or interest on any material debt and breaches of covenants) as well as events of default relating to certain actions by the Company’s surety bonding provider.</w:t>
      </w:r>
    </w:p>
    <w:p>
      <w:pPr>
        <w:spacing w:after="0" w:line="14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Company’s obligations under its international letter of credit facility are secured by the Company’s foreign accounts receivable. The Company’s obligations under its senior notes are unsecured. The Company’s material agreements related to long term debt contain various restrictive covenants, including limitations on dividends, redemption and repurchases of capital stock, and the incurrence of indebtedness and requirements to maintain certain financial covenants. The Company is in compliance with its various covenants under the respective agreements as of June 30, 2012.</w:t>
      </w:r>
    </w:p>
    <w:p>
      <w:pPr>
        <w:spacing w:after="0" w:line="11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impact of changes in functional currency exchange rates against the U.S. dollar on non-U.S. dollar cash balances, primarily the Brazilian Real, is reflected in the cumulative translation adjustment, net within accumulated other comprehensive income (loss). Cash held in non-U.S. dollar currencies primarily is used for project-related and other operating costs in those currencies reducing the Company’s exposure to future realized exchange gains and losses.</w:t>
      </w:r>
    </w:p>
    <w:p>
      <w:pPr>
        <w:spacing w:after="0" w:line="10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believes its cash and cash equivalents, its anticipated cash flows from operations and availability under its revolving credit facility will be sufficient to fund the Company’s operations, capital expenditures and the scheduled debt service requirements and pay any declared dividends for the next twelve months. Beyond the next twelve months, the Company’s ability to fund its working capital needs, planned capital expenditures, scheduled debt payments and dividends, if any, and to comply with all the financial covenants under the revolving credit facility and bonding agreement, depends on its future operating performance and cash flows, which in turn, are subject to prevailing economic conditions and to financial, business and other factors, some of which are beyond the Company’s control.</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preparing its consolidated financial statements, the Company follows accounting principles generally accepted in the United States of America.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 There have been no material changes in the Company’s critical accounting policies or estimates since December 31, 2011.</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market risk of the Company’s financial instruments as of June 30, 2012 has not materially changed since December 31, 2011. The market risk profile of the Company on December 31, 2011 is disclosed in Item 7A. “Quantitative and Qualitative Disclosures about Market Risk” of the Company’s Annual Report on Form 10-K for the year ended December 31, 2011.</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240" w:top="459"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9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the Company’s disclosure controls and procedures, as required by Rule 13a-15(b) under the Securities Exchange Act of 1934 (the “Exchange Act”) as of June 30, 2012. Based upon that evaluation, our Chief Executive Officer and Chief Financial Officer concluded that, as of such date, our disclosure controls and procedures were effective in providing reasonable assurance that information required to be disclosed in the reports that we file or submit under the Exchange Act is a) accumulated and communicated to our management, including our Chief Executive Officer and Chief Financial Officer, as appropriate to allow timely decisions regarding disclosure and b) recorded, processed, summarized and reported within the time periods specified in the Securities and Exchange Commission’s rules and forms. This conclusion was included in our Quarterly Report on Form 10-Q for the quarter ended June 30, 2012. Subsequent to the filing of such Form 10-Q, however, we became aware of a material weakness in our internal control over financial reporting; namely, a weakness in our processes and controls to timely and consistently capture and analyze contract change orders in our demolition segment as a result of inadequate training of segment personnel and insufficient monitoring by corporate office personnel, such that we did not maintain effective internal control over revenue recognition with respect to accounting for pending change orders at our demolition segment.</w:t>
      </w:r>
    </w:p>
    <w:p>
      <w:pPr>
        <w:spacing w:after="0" w:line="127"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As a result of this material weakness, our management, including our Chief Executive Officer and Chief Financial Officer, has re-evaluated the effectiveness of our disclosure controls and procedures as of June 30, 2012 and our Chief Executive Officer and our Chief Financial Officer have now concluded that our disclosure controls and procedures were not effective as of June 30, 2012 due to the existence of the material weakness in internal control over financial reporting.</w:t>
      </w:r>
    </w:p>
    <w:p>
      <w:pPr>
        <w:spacing w:after="0" w:line="8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Notwithstanding the material weakness that existed as of June 30, 2012, management has concluded that the condensed consolidated financial statements included in this Quarterly Report on Form 10-Q present fairly, in all material respects, the Company’s financial position, results of operations and cash flows in conformity with generally accepted accounting principles.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90"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during the fiscal quarter ended June 30, 2012 that have materially affected, or are reasonably likely to materially affect, our internal control over financial reporting.</w:t>
      </w:r>
    </w:p>
    <w:p>
      <w:pPr>
        <w:spacing w:after="0" w:line="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Management has discussed the material weakness described above with our Audit Committee and external auditors. We have developed a remediation plan to address our material weakness described above. Our plan is designed to ensure that each area affected by a material control weakness is remediated properly. The remediation plan includes the following actions:</w:t>
      </w:r>
    </w:p>
    <w:p>
      <w:pPr>
        <w:spacing w:after="0" w:line="59" w:lineRule="exact"/>
        <w:rPr>
          <w:sz w:val="20"/>
          <w:szCs w:val="20"/>
          <w:color w:val="auto"/>
        </w:rPr>
      </w:pPr>
    </w:p>
    <w:p>
      <w:pPr>
        <w:ind w:left="1480" w:right="400" w:hanging="446"/>
        <w:spacing w:after="0" w:line="332" w:lineRule="auto"/>
        <w:tabs>
          <w:tab w:leader="none" w:pos="1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comprehensive review of the organizational resources at our demolition segment, focused on the project management and accounting functions, to determine the appropriate level of staffing and skills and to ensure those resources are put in place.</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finance team at the demolition segment will report directly to the corporate finance function, instead of divisional leadership.</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the level of resources in the accounting, internal audit and compliance functions at the corporate office.</w:t>
      </w:r>
    </w:p>
    <w:p>
      <w:pPr>
        <w:spacing w:after="0" w:line="90" w:lineRule="exact"/>
        <w:rPr>
          <w:rFonts w:ascii="Arial" w:cs="Arial" w:eastAsia="Arial" w:hAnsi="Arial"/>
          <w:sz w:val="18"/>
          <w:szCs w:val="18"/>
          <w:color w:val="auto"/>
        </w:rPr>
      </w:pPr>
    </w:p>
    <w:p>
      <w:pPr>
        <w:ind w:left="1480" w:right="120" w:hanging="446"/>
        <w:spacing w:after="0" w:line="332" w:lineRule="auto"/>
        <w:tabs>
          <w:tab w:leader="none" w:pos="1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Evaluating information technology systems in our demolition segment to ensure timely and accurate information is available for period-end reporting and analysis. The Company is currently installing new estimating and project management software at its demolition segment.</w:t>
      </w:r>
    </w:p>
    <w:p>
      <w:pPr>
        <w:spacing w:after="0" w:line="4" w:lineRule="exact"/>
        <w:rPr>
          <w:rFonts w:ascii="Arial" w:cs="Arial" w:eastAsia="Arial" w:hAnsi="Arial"/>
          <w:sz w:val="16"/>
          <w:szCs w:val="16"/>
          <w:color w:val="auto"/>
        </w:rPr>
      </w:pPr>
    </w:p>
    <w:p>
      <w:pPr>
        <w:ind w:left="1480" w:right="400" w:hanging="446"/>
        <w:spacing w:after="0" w:line="268"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Training all appropriate demolition segment and corporate accounting personnel regarding the application of the Company’s accounting policy regarding revenue recognition.</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remediation plan will be administered by the Chief Financial Officer and will involve key leaders from across the organization, including the Chief Executive Officer and Chief Legal Officer.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Note 9 “Commitments and Contingencies” in the Notes to Condensed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have been no material changes during the three months ended June 30, 2012 to the risk factors previously disclosed in Item 1A. Risk Factors in the Company’s Annual Report on Form 10-K for the year ended December 31,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left="700" w:hanging="23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w:t>
      </w:r>
    </w:p>
    <w:p>
      <w:pPr>
        <w:spacing w:after="0" w:line="90" w:lineRule="exact"/>
        <w:rPr>
          <w:rFonts w:ascii="Arial" w:cs="Arial" w:eastAsia="Arial" w:hAnsi="Arial"/>
          <w:sz w:val="18"/>
          <w:szCs w:val="18"/>
          <w:color w:val="auto"/>
        </w:rPr>
      </w:pPr>
    </w:p>
    <w:p>
      <w:pPr>
        <w:ind w:left="700" w:hanging="23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ind w:left="700" w:hanging="23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ind w:left="700" w:hanging="23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None.</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780"/>
          </w:cols>
          <w:pgMar w:left="240" w:top="459" w:right="8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880" w:type="dxa"/>
            <w:vAlign w:val="bottom"/>
          </w:tcPr>
          <w:p>
            <w:pPr>
              <w:jc w:val="center"/>
              <w:ind w:right="152"/>
              <w:spacing w:after="0"/>
              <w:rPr>
                <w:sz w:val="20"/>
                <w:szCs w:val="20"/>
                <w:color w:val="auto"/>
              </w:rPr>
            </w:pPr>
            <w:r>
              <w:rPr>
                <w:rFonts w:ascii="Arial" w:cs="Arial" w:eastAsia="Arial" w:hAnsi="Arial"/>
                <w:sz w:val="18"/>
                <w:szCs w:val="18"/>
                <w:color w:val="auto"/>
                <w:w w:val="91"/>
              </w:rPr>
              <w:t>10.1</w:t>
            </w:r>
          </w:p>
        </w:tc>
        <w:tc>
          <w:tcPr>
            <w:tcW w:w="10440" w:type="dxa"/>
            <w:vAlign w:val="bottom"/>
          </w:tcPr>
          <w:p>
            <w:pPr>
              <w:ind w:left="240"/>
              <w:spacing w:after="0"/>
              <w:rPr>
                <w:sz w:val="20"/>
                <w:szCs w:val="20"/>
                <w:color w:val="auto"/>
              </w:rPr>
            </w:pPr>
            <w:r>
              <w:rPr>
                <w:rFonts w:ascii="Arial" w:cs="Arial" w:eastAsia="Arial" w:hAnsi="Arial"/>
                <w:sz w:val="18"/>
                <w:szCs w:val="18"/>
                <w:color w:val="auto"/>
                <w:w w:val="97"/>
              </w:rPr>
              <w:t>Employment Agreement dated as of April 9, 2012 between Great Lakes Dredge &amp; Dock Company, LLC and David E. Simonelli. (1)</w:t>
            </w:r>
          </w:p>
        </w:tc>
      </w:tr>
      <w:tr>
        <w:trPr>
          <w:trHeight w:val="324"/>
        </w:trPr>
        <w:tc>
          <w:tcPr>
            <w:tcW w:w="880" w:type="dxa"/>
            <w:vAlign w:val="bottom"/>
          </w:tcPr>
          <w:p>
            <w:pPr>
              <w:jc w:val="center"/>
              <w:ind w:right="152"/>
              <w:spacing w:after="0"/>
              <w:rPr>
                <w:sz w:val="20"/>
                <w:szCs w:val="20"/>
                <w:color w:val="auto"/>
              </w:rPr>
            </w:pPr>
            <w:r>
              <w:rPr>
                <w:rFonts w:ascii="Arial" w:cs="Arial" w:eastAsia="Arial" w:hAnsi="Arial"/>
                <w:sz w:val="18"/>
                <w:szCs w:val="18"/>
                <w:color w:val="auto"/>
                <w:w w:val="91"/>
              </w:rPr>
              <w:t>10.2</w:t>
            </w:r>
          </w:p>
        </w:tc>
        <w:tc>
          <w:tcPr>
            <w:tcW w:w="10440" w:type="dxa"/>
            <w:vAlign w:val="bottom"/>
          </w:tcPr>
          <w:p>
            <w:pPr>
              <w:ind w:left="240"/>
              <w:spacing w:after="0"/>
              <w:rPr>
                <w:sz w:val="20"/>
                <w:szCs w:val="20"/>
                <w:color w:val="auto"/>
              </w:rPr>
            </w:pPr>
            <w:r>
              <w:rPr>
                <w:rFonts w:ascii="Arial" w:cs="Arial" w:eastAsia="Arial" w:hAnsi="Arial"/>
                <w:sz w:val="18"/>
                <w:szCs w:val="18"/>
                <w:color w:val="auto"/>
                <w:w w:val="98"/>
              </w:rPr>
              <w:t>Employment Agreement dated as of April 26, 2012 between Great Lakes Dredge &amp; Dock Company, LLC and Kyle D. Johnson. (2)</w:t>
            </w:r>
          </w:p>
        </w:tc>
      </w:tr>
      <w:tr>
        <w:trPr>
          <w:trHeight w:val="324"/>
        </w:trPr>
        <w:tc>
          <w:tcPr>
            <w:tcW w:w="880" w:type="dxa"/>
            <w:vAlign w:val="bottom"/>
          </w:tcPr>
          <w:p>
            <w:pPr>
              <w:jc w:val="center"/>
              <w:ind w:right="152"/>
              <w:spacing w:after="0"/>
              <w:rPr>
                <w:sz w:val="20"/>
                <w:szCs w:val="20"/>
                <w:color w:val="auto"/>
              </w:rPr>
            </w:pPr>
            <w:r>
              <w:rPr>
                <w:rFonts w:ascii="Arial" w:cs="Arial" w:eastAsia="Arial" w:hAnsi="Arial"/>
                <w:sz w:val="18"/>
                <w:szCs w:val="18"/>
                <w:color w:val="auto"/>
                <w:w w:val="91"/>
              </w:rPr>
              <w:t>10.3</w:t>
            </w:r>
          </w:p>
        </w:tc>
        <w:tc>
          <w:tcPr>
            <w:tcW w:w="10440" w:type="dxa"/>
            <w:vAlign w:val="bottom"/>
          </w:tcPr>
          <w:p>
            <w:pPr>
              <w:ind w:left="240"/>
              <w:spacing w:after="0"/>
              <w:rPr>
                <w:sz w:val="20"/>
                <w:szCs w:val="20"/>
                <w:color w:val="auto"/>
              </w:rPr>
            </w:pPr>
            <w:r>
              <w:rPr>
                <w:rFonts w:ascii="Arial" w:cs="Arial" w:eastAsia="Arial" w:hAnsi="Arial"/>
                <w:sz w:val="18"/>
                <w:szCs w:val="18"/>
                <w:color w:val="auto"/>
              </w:rPr>
              <w:t>Employment Agreement dated as of April 26, 2012 between Great Lakes Dredge &amp; Dock Company, LLC and John F. Karas. (3)</w:t>
            </w:r>
          </w:p>
        </w:tc>
      </w:tr>
      <w:tr>
        <w:trPr>
          <w:trHeight w:val="318"/>
        </w:trPr>
        <w:tc>
          <w:tcPr>
            <w:tcW w:w="880" w:type="dxa"/>
            <w:vAlign w:val="bottom"/>
          </w:tcPr>
          <w:p>
            <w:pPr>
              <w:jc w:val="center"/>
              <w:ind w:right="152"/>
              <w:spacing w:after="0"/>
              <w:rPr>
                <w:sz w:val="20"/>
                <w:szCs w:val="20"/>
                <w:color w:val="auto"/>
              </w:rPr>
            </w:pPr>
            <w:r>
              <w:rPr>
                <w:rFonts w:ascii="Arial" w:cs="Arial" w:eastAsia="Arial" w:hAnsi="Arial"/>
                <w:sz w:val="18"/>
                <w:szCs w:val="18"/>
                <w:color w:val="auto"/>
                <w:w w:val="91"/>
              </w:rPr>
              <w:t>10.4</w:t>
            </w:r>
          </w:p>
        </w:tc>
        <w:tc>
          <w:tcPr>
            <w:tcW w:w="10440" w:type="dxa"/>
            <w:vAlign w:val="bottom"/>
          </w:tcPr>
          <w:p>
            <w:pPr>
              <w:ind w:left="240"/>
              <w:spacing w:after="0"/>
              <w:rPr>
                <w:sz w:val="20"/>
                <w:szCs w:val="20"/>
                <w:color w:val="auto"/>
              </w:rPr>
            </w:pPr>
            <w:r>
              <w:rPr>
                <w:rFonts w:ascii="Arial" w:cs="Arial" w:eastAsia="Arial" w:hAnsi="Arial"/>
                <w:sz w:val="18"/>
                <w:szCs w:val="18"/>
                <w:color w:val="auto"/>
                <w:w w:val="89"/>
              </w:rPr>
              <w:t>Credit Agreement dated as of June 4, 2012 by and among Great Lakes Dredge &amp; Dock Corporation, as Borrower, the other Credit Parties party</w:t>
            </w:r>
          </w:p>
        </w:tc>
      </w:tr>
      <w:tr>
        <w:trPr>
          <w:trHeight w:val="216"/>
        </w:trPr>
        <w:tc>
          <w:tcPr>
            <w:tcW w:w="880" w:type="dxa"/>
            <w:vAlign w:val="bottom"/>
          </w:tcPr>
          <w:p>
            <w:pPr>
              <w:spacing w:after="0"/>
              <w:rPr>
                <w:sz w:val="18"/>
                <w:szCs w:val="18"/>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w w:val="91"/>
              </w:rPr>
              <w:t>thereto, the financial institutions from time to time party thereto as lenders, Wells Fargo Bank, National Association, as Administrative Agent,</w:t>
            </w:r>
          </w:p>
        </w:tc>
      </w:tr>
      <w:tr>
        <w:trPr>
          <w:trHeight w:val="216"/>
        </w:trPr>
        <w:tc>
          <w:tcPr>
            <w:tcW w:w="880" w:type="dxa"/>
            <w:vAlign w:val="bottom"/>
          </w:tcPr>
          <w:p>
            <w:pPr>
              <w:spacing w:after="0"/>
              <w:rPr>
                <w:sz w:val="18"/>
                <w:szCs w:val="18"/>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w w:val="89"/>
              </w:rPr>
              <w:t>Swingline Lender and an Issuing Lender, Bank of America, N.A., as Syndication Agent and PNC Bank, National Association, BMO Harris Bank</w:t>
            </w:r>
          </w:p>
        </w:tc>
      </w:tr>
      <w:tr>
        <w:trPr>
          <w:trHeight w:val="222"/>
        </w:trPr>
        <w:tc>
          <w:tcPr>
            <w:tcW w:w="880" w:type="dxa"/>
            <w:vAlign w:val="bottom"/>
          </w:tcPr>
          <w:p>
            <w:pPr>
              <w:spacing w:after="0"/>
              <w:rPr>
                <w:sz w:val="19"/>
                <w:szCs w:val="19"/>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N.A. and Fifth Third Bank, as Co-Documentation Agents. (4)</w:t>
            </w:r>
          </w:p>
        </w:tc>
      </w:tr>
      <w:tr>
        <w:trPr>
          <w:trHeight w:val="318"/>
        </w:trPr>
        <w:tc>
          <w:tcPr>
            <w:tcW w:w="880" w:type="dxa"/>
            <w:vAlign w:val="bottom"/>
          </w:tcPr>
          <w:p>
            <w:pPr>
              <w:jc w:val="center"/>
              <w:ind w:right="152"/>
              <w:spacing w:after="0"/>
              <w:rPr>
                <w:sz w:val="20"/>
                <w:szCs w:val="20"/>
                <w:color w:val="auto"/>
              </w:rPr>
            </w:pPr>
            <w:r>
              <w:rPr>
                <w:rFonts w:ascii="Arial" w:cs="Arial" w:eastAsia="Arial" w:hAnsi="Arial"/>
                <w:sz w:val="18"/>
                <w:szCs w:val="18"/>
                <w:color w:val="auto"/>
                <w:w w:val="91"/>
              </w:rPr>
              <w:t>31.1</w:t>
            </w:r>
          </w:p>
        </w:tc>
        <w:tc>
          <w:tcPr>
            <w:tcW w:w="10440" w:type="dxa"/>
            <w:vAlign w:val="bottom"/>
          </w:tcPr>
          <w:p>
            <w:pPr>
              <w:ind w:left="240"/>
              <w:spacing w:after="0"/>
              <w:rPr>
                <w:sz w:val="20"/>
                <w:szCs w:val="20"/>
                <w:color w:val="auto"/>
              </w:rPr>
            </w:pPr>
            <w:r>
              <w:rPr>
                <w:rFonts w:ascii="Arial" w:cs="Arial" w:eastAsia="Arial" w:hAnsi="Arial"/>
                <w:sz w:val="18"/>
                <w:szCs w:val="18"/>
                <w:color w:val="auto"/>
                <w:w w:val="89"/>
              </w:rPr>
              <w:t>Certification Pursuant to Rules 13a-14(a) and 15d-14(a) under the Securities Exchange Act of 1934, as Adopted Pursuant to Section 302 of the</w:t>
            </w:r>
          </w:p>
        </w:tc>
      </w:tr>
      <w:tr>
        <w:trPr>
          <w:trHeight w:val="222"/>
        </w:trPr>
        <w:tc>
          <w:tcPr>
            <w:tcW w:w="880" w:type="dxa"/>
            <w:vAlign w:val="bottom"/>
          </w:tcPr>
          <w:p>
            <w:pPr>
              <w:spacing w:after="0"/>
              <w:rPr>
                <w:sz w:val="19"/>
                <w:szCs w:val="19"/>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Sarbanes-Oxley Act of 2002. *</w:t>
            </w:r>
          </w:p>
        </w:tc>
      </w:tr>
      <w:tr>
        <w:trPr>
          <w:trHeight w:val="318"/>
        </w:trPr>
        <w:tc>
          <w:tcPr>
            <w:tcW w:w="880" w:type="dxa"/>
            <w:vAlign w:val="bottom"/>
          </w:tcPr>
          <w:p>
            <w:pPr>
              <w:jc w:val="center"/>
              <w:ind w:right="152"/>
              <w:spacing w:after="0"/>
              <w:rPr>
                <w:sz w:val="20"/>
                <w:szCs w:val="20"/>
                <w:color w:val="auto"/>
              </w:rPr>
            </w:pPr>
            <w:r>
              <w:rPr>
                <w:rFonts w:ascii="Arial" w:cs="Arial" w:eastAsia="Arial" w:hAnsi="Arial"/>
                <w:sz w:val="18"/>
                <w:szCs w:val="18"/>
                <w:color w:val="auto"/>
                <w:w w:val="91"/>
              </w:rPr>
              <w:t>31.2</w:t>
            </w:r>
          </w:p>
        </w:tc>
        <w:tc>
          <w:tcPr>
            <w:tcW w:w="10440" w:type="dxa"/>
            <w:vAlign w:val="bottom"/>
          </w:tcPr>
          <w:p>
            <w:pPr>
              <w:ind w:left="240"/>
              <w:spacing w:after="0"/>
              <w:rPr>
                <w:sz w:val="20"/>
                <w:szCs w:val="20"/>
                <w:color w:val="auto"/>
              </w:rPr>
            </w:pPr>
            <w:r>
              <w:rPr>
                <w:rFonts w:ascii="Arial" w:cs="Arial" w:eastAsia="Arial" w:hAnsi="Arial"/>
                <w:sz w:val="18"/>
                <w:szCs w:val="18"/>
                <w:color w:val="auto"/>
                <w:w w:val="89"/>
              </w:rPr>
              <w:t>Certification Pursuant to Rules 13a-14(a) and 15d-14(a) under the Securities Exchange Act of 1934, as Adopted Pursuant to Section 302 of the</w:t>
            </w:r>
          </w:p>
        </w:tc>
      </w:tr>
      <w:tr>
        <w:trPr>
          <w:trHeight w:val="222"/>
        </w:trPr>
        <w:tc>
          <w:tcPr>
            <w:tcW w:w="880" w:type="dxa"/>
            <w:vAlign w:val="bottom"/>
          </w:tcPr>
          <w:p>
            <w:pPr>
              <w:spacing w:after="0"/>
              <w:rPr>
                <w:sz w:val="19"/>
                <w:szCs w:val="19"/>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Sarbanes-Oxley Act of 2002. *</w:t>
            </w:r>
          </w:p>
        </w:tc>
      </w:tr>
      <w:tr>
        <w:trPr>
          <w:trHeight w:val="324"/>
        </w:trPr>
        <w:tc>
          <w:tcPr>
            <w:tcW w:w="880" w:type="dxa"/>
            <w:vAlign w:val="bottom"/>
          </w:tcPr>
          <w:p>
            <w:pPr>
              <w:jc w:val="center"/>
              <w:ind w:right="152"/>
              <w:spacing w:after="0"/>
              <w:rPr>
                <w:sz w:val="20"/>
                <w:szCs w:val="20"/>
                <w:color w:val="auto"/>
              </w:rPr>
            </w:pPr>
            <w:r>
              <w:rPr>
                <w:rFonts w:ascii="Arial" w:cs="Arial" w:eastAsia="Arial" w:hAnsi="Arial"/>
                <w:sz w:val="18"/>
                <w:szCs w:val="18"/>
                <w:color w:val="auto"/>
                <w:w w:val="91"/>
              </w:rPr>
              <w:t>32.1</w:t>
            </w:r>
          </w:p>
        </w:tc>
        <w:tc>
          <w:tcPr>
            <w:tcW w:w="10440" w:type="dxa"/>
            <w:vAlign w:val="bottom"/>
          </w:tcPr>
          <w:p>
            <w:pPr>
              <w:ind w:left="2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880" w:type="dxa"/>
            <w:vAlign w:val="bottom"/>
          </w:tcPr>
          <w:p>
            <w:pPr>
              <w:jc w:val="center"/>
              <w:ind w:right="152"/>
              <w:spacing w:after="0"/>
              <w:rPr>
                <w:sz w:val="20"/>
                <w:szCs w:val="20"/>
                <w:color w:val="auto"/>
              </w:rPr>
            </w:pPr>
            <w:r>
              <w:rPr>
                <w:rFonts w:ascii="Arial" w:cs="Arial" w:eastAsia="Arial" w:hAnsi="Arial"/>
                <w:sz w:val="18"/>
                <w:szCs w:val="18"/>
                <w:color w:val="auto"/>
                <w:w w:val="91"/>
              </w:rPr>
              <w:t>32.2</w:t>
            </w:r>
          </w:p>
        </w:tc>
        <w:tc>
          <w:tcPr>
            <w:tcW w:w="10440" w:type="dxa"/>
            <w:vAlign w:val="bottom"/>
          </w:tcPr>
          <w:p>
            <w:pPr>
              <w:ind w:left="2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880" w:type="dxa"/>
            <w:vAlign w:val="bottom"/>
          </w:tcPr>
          <w:p>
            <w:pPr>
              <w:jc w:val="center"/>
              <w:ind w:right="152"/>
              <w:spacing w:after="0"/>
              <w:rPr>
                <w:sz w:val="20"/>
                <w:szCs w:val="20"/>
                <w:color w:val="auto"/>
              </w:rPr>
            </w:pPr>
            <w:r>
              <w:rPr>
                <w:rFonts w:ascii="Arial" w:cs="Arial" w:eastAsia="Arial" w:hAnsi="Arial"/>
                <w:sz w:val="18"/>
                <w:szCs w:val="18"/>
                <w:color w:val="auto"/>
                <w:w w:val="92"/>
              </w:rPr>
              <w:t>101.INS</w:t>
            </w:r>
          </w:p>
        </w:tc>
        <w:tc>
          <w:tcPr>
            <w:tcW w:w="10440" w:type="dxa"/>
            <w:vAlign w:val="bottom"/>
          </w:tcPr>
          <w:p>
            <w:pPr>
              <w:ind w:left="240"/>
              <w:spacing w:after="0"/>
              <w:rPr>
                <w:sz w:val="20"/>
                <w:szCs w:val="20"/>
                <w:color w:val="auto"/>
              </w:rPr>
            </w:pPr>
            <w:r>
              <w:rPr>
                <w:rFonts w:ascii="Arial" w:cs="Arial" w:eastAsia="Arial" w:hAnsi="Arial"/>
                <w:sz w:val="18"/>
                <w:szCs w:val="18"/>
                <w:color w:val="auto"/>
              </w:rPr>
              <w:t>XBRL Instance Document. *</w:t>
            </w:r>
          </w:p>
        </w:tc>
      </w:tr>
      <w:tr>
        <w:trPr>
          <w:trHeight w:val="324"/>
        </w:trPr>
        <w:tc>
          <w:tcPr>
            <w:tcW w:w="880" w:type="dxa"/>
            <w:vAlign w:val="bottom"/>
          </w:tcPr>
          <w:p>
            <w:pPr>
              <w:jc w:val="center"/>
              <w:ind w:right="152"/>
              <w:spacing w:after="0"/>
              <w:rPr>
                <w:sz w:val="20"/>
                <w:szCs w:val="20"/>
                <w:color w:val="auto"/>
              </w:rPr>
            </w:pPr>
            <w:r>
              <w:rPr>
                <w:rFonts w:ascii="Arial" w:cs="Arial" w:eastAsia="Arial" w:hAnsi="Arial"/>
                <w:sz w:val="18"/>
                <w:szCs w:val="18"/>
                <w:color w:val="auto"/>
                <w:w w:val="87"/>
              </w:rPr>
              <w:t>101.SCH</w:t>
            </w:r>
          </w:p>
        </w:tc>
        <w:tc>
          <w:tcPr>
            <w:tcW w:w="10440" w:type="dxa"/>
            <w:vAlign w:val="bottom"/>
          </w:tcPr>
          <w:p>
            <w:pPr>
              <w:ind w:left="240"/>
              <w:spacing w:after="0"/>
              <w:rPr>
                <w:sz w:val="20"/>
                <w:szCs w:val="20"/>
                <w:color w:val="auto"/>
              </w:rPr>
            </w:pPr>
            <w:r>
              <w:rPr>
                <w:rFonts w:ascii="Arial" w:cs="Arial" w:eastAsia="Arial" w:hAnsi="Arial"/>
                <w:sz w:val="18"/>
                <w:szCs w:val="18"/>
                <w:color w:val="auto"/>
              </w:rPr>
              <w:t>XBRL Taxonomy Extension Schema. *</w:t>
            </w:r>
          </w:p>
        </w:tc>
      </w:tr>
      <w:tr>
        <w:trPr>
          <w:trHeight w:val="324"/>
        </w:trPr>
        <w:tc>
          <w:tcPr>
            <w:tcW w:w="880" w:type="dxa"/>
            <w:vAlign w:val="bottom"/>
          </w:tcPr>
          <w:p>
            <w:pPr>
              <w:jc w:val="center"/>
              <w:ind w:right="152"/>
              <w:spacing w:after="0"/>
              <w:rPr>
                <w:sz w:val="20"/>
                <w:szCs w:val="20"/>
                <w:color w:val="auto"/>
              </w:rPr>
            </w:pPr>
            <w:r>
              <w:rPr>
                <w:rFonts w:ascii="Arial" w:cs="Arial" w:eastAsia="Arial" w:hAnsi="Arial"/>
                <w:sz w:val="18"/>
                <w:szCs w:val="18"/>
                <w:color w:val="auto"/>
                <w:w w:val="91"/>
              </w:rPr>
              <w:t>101.CAL</w:t>
            </w:r>
          </w:p>
        </w:tc>
        <w:tc>
          <w:tcPr>
            <w:tcW w:w="1044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w:t>
            </w:r>
          </w:p>
        </w:tc>
      </w:tr>
      <w:tr>
        <w:trPr>
          <w:trHeight w:val="324"/>
        </w:trPr>
        <w:tc>
          <w:tcPr>
            <w:tcW w:w="880" w:type="dxa"/>
            <w:vAlign w:val="bottom"/>
          </w:tcPr>
          <w:p>
            <w:pPr>
              <w:jc w:val="center"/>
              <w:ind w:right="152"/>
              <w:spacing w:after="0"/>
              <w:rPr>
                <w:sz w:val="20"/>
                <w:szCs w:val="20"/>
                <w:color w:val="auto"/>
              </w:rPr>
            </w:pPr>
            <w:r>
              <w:rPr>
                <w:rFonts w:ascii="Arial" w:cs="Arial" w:eastAsia="Arial" w:hAnsi="Arial"/>
                <w:sz w:val="18"/>
                <w:szCs w:val="18"/>
                <w:color w:val="auto"/>
                <w:w w:val="90"/>
              </w:rPr>
              <w:t>101.DEF</w:t>
            </w:r>
          </w:p>
        </w:tc>
        <w:tc>
          <w:tcPr>
            <w:tcW w:w="1044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w:t>
            </w:r>
          </w:p>
        </w:tc>
      </w:tr>
      <w:tr>
        <w:trPr>
          <w:trHeight w:val="324"/>
        </w:trPr>
        <w:tc>
          <w:tcPr>
            <w:tcW w:w="880" w:type="dxa"/>
            <w:vAlign w:val="bottom"/>
          </w:tcPr>
          <w:p>
            <w:pPr>
              <w:jc w:val="center"/>
              <w:ind w:right="152"/>
              <w:spacing w:after="0"/>
              <w:rPr>
                <w:sz w:val="20"/>
                <w:szCs w:val="20"/>
                <w:color w:val="auto"/>
              </w:rPr>
            </w:pPr>
            <w:r>
              <w:rPr>
                <w:rFonts w:ascii="Arial" w:cs="Arial" w:eastAsia="Arial" w:hAnsi="Arial"/>
                <w:sz w:val="18"/>
                <w:szCs w:val="18"/>
                <w:color w:val="auto"/>
                <w:w w:val="92"/>
              </w:rPr>
              <w:t>101.LAB</w:t>
            </w:r>
          </w:p>
        </w:tc>
        <w:tc>
          <w:tcPr>
            <w:tcW w:w="1044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w:t>
            </w:r>
          </w:p>
        </w:tc>
      </w:tr>
      <w:tr>
        <w:trPr>
          <w:trHeight w:val="324"/>
        </w:trPr>
        <w:tc>
          <w:tcPr>
            <w:tcW w:w="880" w:type="dxa"/>
            <w:vAlign w:val="bottom"/>
          </w:tcPr>
          <w:p>
            <w:pPr>
              <w:jc w:val="center"/>
              <w:ind w:right="152"/>
              <w:spacing w:after="0"/>
              <w:rPr>
                <w:sz w:val="20"/>
                <w:szCs w:val="20"/>
                <w:color w:val="auto"/>
              </w:rPr>
            </w:pPr>
            <w:r>
              <w:rPr>
                <w:rFonts w:ascii="Arial" w:cs="Arial" w:eastAsia="Arial" w:hAnsi="Arial"/>
                <w:sz w:val="18"/>
                <w:szCs w:val="18"/>
                <w:color w:val="auto"/>
                <w:w w:val="88"/>
              </w:rPr>
              <w:t>101.PRE</w:t>
            </w:r>
          </w:p>
        </w:tc>
        <w:tc>
          <w:tcPr>
            <w:tcW w:w="1044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196" w:lineRule="exact"/>
        <w:rPr>
          <w:sz w:val="20"/>
          <w:szCs w:val="20"/>
          <w:color w:val="auto"/>
        </w:rPr>
      </w:pPr>
    </w:p>
    <w:p>
      <w:pPr>
        <w:ind w:left="460" w:right="120" w:hanging="452"/>
        <w:spacing w:after="0" w:line="25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filed with the SEC on April 13, 2012 (Commission file no. 001-33225).</w:t>
      </w:r>
    </w:p>
    <w:p>
      <w:pPr>
        <w:ind w:left="460" w:right="2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filed with the SEC on May 2, 2012 (Commission file no. 001-33225).</w:t>
      </w:r>
    </w:p>
    <w:p>
      <w:pPr>
        <w:ind w:left="460" w:right="2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Exhibit 10.2 to the Company’s Current Report on Form 8-K filed with the SEC on May 2, 2012 (Commission file no. 001-33225).</w:t>
      </w:r>
    </w:p>
    <w:p>
      <w:pPr>
        <w:ind w:left="460" w:right="2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filed with the SEC on June 7, 2012 (Commission file no. 001-33225).</w:t>
      </w:r>
    </w:p>
    <w:p>
      <w:pPr>
        <w:spacing w:after="0" w:line="1"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Great Lakes Dredge &amp; Dock Corporation</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(registrant)</w:t>
      </w:r>
    </w:p>
    <w:p>
      <w:pPr>
        <w:spacing w:after="0" w:line="9" w:lineRule="exact"/>
        <w:rPr>
          <w:sz w:val="20"/>
          <w:szCs w:val="20"/>
          <w:color w:val="auto"/>
        </w:rPr>
      </w:pPr>
    </w:p>
    <w:p>
      <w:pPr>
        <w:ind w:left="5580"/>
        <w:spacing w:after="0"/>
        <w:tabs>
          <w:tab w:leader="none" w:pos="7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w:t>
      </w:r>
      <w:r>
        <w:rPr>
          <w:rFonts w:ascii="Arial" w:cs="Arial" w:eastAsia="Arial" w:hAnsi="Arial"/>
          <w:sz w:val="14"/>
          <w:szCs w:val="14"/>
          <w:color w:val="auto"/>
        </w:rPr>
        <w:t>ILLIAM</w:t>
      </w:r>
      <w:r>
        <w:rPr>
          <w:rFonts w:ascii="Arial" w:cs="Arial" w:eastAsia="Arial" w:hAnsi="Arial"/>
          <w:sz w:val="18"/>
          <w:szCs w:val="18"/>
          <w:color w:val="auto"/>
        </w:rPr>
        <w:t xml:space="preserve"> S. S</w:t>
      </w:r>
      <w:r>
        <w:rPr>
          <w:rFonts w:ascii="Arial" w:cs="Arial" w:eastAsia="Arial" w:hAnsi="Arial"/>
          <w:sz w:val="14"/>
          <w:szCs w:val="14"/>
          <w:color w:val="auto"/>
        </w:rPr>
        <w:t>TECKEL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6985</wp:posOffset>
            </wp:positionV>
            <wp:extent cx="35248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4" w:lineRule="exact"/>
        <w:rPr>
          <w:sz w:val="20"/>
          <w:szCs w:val="20"/>
          <w:color w:val="auto"/>
        </w:rPr>
      </w:pPr>
    </w:p>
    <w:p>
      <w:pPr>
        <w:jc w:val="center"/>
        <w:ind w:left="5880"/>
        <w:spacing w:after="0"/>
        <w:rPr>
          <w:sz w:val="20"/>
          <w:szCs w:val="20"/>
          <w:color w:val="auto"/>
        </w:rPr>
      </w:pPr>
      <w:r>
        <w:rPr>
          <w:rFonts w:ascii="Arial" w:cs="Arial" w:eastAsia="Arial" w:hAnsi="Arial"/>
          <w:sz w:val="18"/>
          <w:szCs w:val="18"/>
          <w:b w:val="1"/>
          <w:bCs w:val="1"/>
          <w:color w:val="auto"/>
        </w:rPr>
        <w:t>William S. Steckel</w:t>
      </w:r>
    </w:p>
    <w:p>
      <w:pPr>
        <w:spacing w:after="0" w:line="21" w:lineRule="exact"/>
        <w:rPr>
          <w:sz w:val="20"/>
          <w:szCs w:val="20"/>
          <w:color w:val="auto"/>
        </w:rPr>
      </w:pPr>
    </w:p>
    <w:p>
      <w:pPr>
        <w:jc w:val="center"/>
        <w:ind w:left="588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9" w:lineRule="exact"/>
        <w:rPr>
          <w:sz w:val="20"/>
          <w:szCs w:val="20"/>
          <w:color w:val="auto"/>
        </w:rPr>
      </w:pPr>
    </w:p>
    <w:p>
      <w:pPr>
        <w:jc w:val="center"/>
        <w:ind w:left="5880"/>
        <w:spacing w:after="0"/>
        <w:rPr>
          <w:sz w:val="20"/>
          <w:szCs w:val="20"/>
          <w:color w:val="auto"/>
        </w:rPr>
      </w:pPr>
      <w:r>
        <w:rPr>
          <w:rFonts w:ascii="Arial" w:cs="Arial" w:eastAsia="Arial" w:hAnsi="Arial"/>
          <w:sz w:val="16"/>
          <w:szCs w:val="16"/>
          <w:b w:val="1"/>
          <w:bCs w:val="1"/>
          <w:color w:val="auto"/>
        </w:rPr>
        <w:t>(Principal Financial and Accounting Officer and Duly Authorized Officer)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ind w:left="3880"/>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10260" w:type="dxa"/>
            <w:vAlign w:val="bottom"/>
            <w:tcBorders>
              <w:bottom w:val="single" w:sz="8" w:color="auto"/>
            </w:tcBorders>
          </w:tcPr>
          <w:p>
            <w:pPr>
              <w:ind w:left="4480"/>
              <w:spacing w:after="0"/>
              <w:rPr>
                <w:sz w:val="20"/>
                <w:szCs w:val="20"/>
                <w:color w:val="auto"/>
              </w:rPr>
            </w:pPr>
            <w:r>
              <w:rPr>
                <w:rFonts w:ascii="Arial" w:cs="Arial" w:eastAsia="Arial" w:hAnsi="Arial"/>
                <w:sz w:val="14"/>
                <w:szCs w:val="14"/>
                <w:b w:val="1"/>
                <w:bCs w:val="1"/>
                <w:color w:val="auto"/>
              </w:rPr>
              <w:t>Document Description</w:t>
            </w:r>
          </w:p>
        </w:tc>
      </w:tr>
      <w:tr>
        <w:trPr>
          <w:trHeight w:val="309"/>
        </w:trPr>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10.1</w:t>
            </w:r>
          </w:p>
        </w:tc>
        <w:tc>
          <w:tcPr>
            <w:tcW w:w="10260" w:type="dxa"/>
            <w:vAlign w:val="bottom"/>
          </w:tcPr>
          <w:p>
            <w:pPr>
              <w:spacing w:after="0"/>
              <w:rPr>
                <w:sz w:val="20"/>
                <w:szCs w:val="20"/>
                <w:color w:val="auto"/>
              </w:rPr>
            </w:pPr>
            <w:r>
              <w:rPr>
                <w:rFonts w:ascii="Arial" w:cs="Arial" w:eastAsia="Arial" w:hAnsi="Arial"/>
                <w:sz w:val="18"/>
                <w:szCs w:val="18"/>
                <w:color w:val="auto"/>
                <w:w w:val="98"/>
              </w:rPr>
              <w:t>Employment Agreement dated as of April 9, 2012 between Great Lakes Dredge &amp; Dock Company, LLC and David E. Simonelli. (1)</w:t>
            </w:r>
          </w:p>
        </w:tc>
      </w:tr>
      <w:tr>
        <w:trPr>
          <w:trHeight w:val="324"/>
        </w:trPr>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10.2</w:t>
            </w:r>
          </w:p>
        </w:tc>
        <w:tc>
          <w:tcPr>
            <w:tcW w:w="10260" w:type="dxa"/>
            <w:vAlign w:val="bottom"/>
          </w:tcPr>
          <w:p>
            <w:pPr>
              <w:spacing w:after="0"/>
              <w:rPr>
                <w:sz w:val="20"/>
                <w:szCs w:val="20"/>
                <w:color w:val="auto"/>
              </w:rPr>
            </w:pPr>
            <w:r>
              <w:rPr>
                <w:rFonts w:ascii="Arial" w:cs="Arial" w:eastAsia="Arial" w:hAnsi="Arial"/>
                <w:sz w:val="18"/>
                <w:szCs w:val="18"/>
                <w:color w:val="auto"/>
                <w:w w:val="98"/>
              </w:rPr>
              <w:t>Employment Agreement dated as of April 26, 2012 between Great Lakes Dredge &amp; Dock Company, LLC and Kyle D. Johnson. (2)</w:t>
            </w:r>
          </w:p>
        </w:tc>
      </w:tr>
      <w:tr>
        <w:trPr>
          <w:trHeight w:val="324"/>
        </w:trPr>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10.3</w:t>
            </w:r>
          </w:p>
        </w:tc>
        <w:tc>
          <w:tcPr>
            <w:tcW w:w="10260" w:type="dxa"/>
            <w:vAlign w:val="bottom"/>
          </w:tcPr>
          <w:p>
            <w:pPr>
              <w:spacing w:after="0"/>
              <w:rPr>
                <w:sz w:val="20"/>
                <w:szCs w:val="20"/>
                <w:color w:val="auto"/>
              </w:rPr>
            </w:pPr>
            <w:r>
              <w:rPr>
                <w:rFonts w:ascii="Arial" w:cs="Arial" w:eastAsia="Arial" w:hAnsi="Arial"/>
                <w:sz w:val="18"/>
                <w:szCs w:val="18"/>
                <w:color w:val="auto"/>
              </w:rPr>
              <w:t>Employment Agreement dated as of April 26, 2012 between Great Lakes Dredge &amp; Dock Company, LLC and John F. Karas. (3)</w:t>
            </w:r>
          </w:p>
        </w:tc>
      </w:tr>
      <w:tr>
        <w:trPr>
          <w:trHeight w:val="318"/>
        </w:trPr>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10.4</w:t>
            </w:r>
          </w:p>
        </w:tc>
        <w:tc>
          <w:tcPr>
            <w:tcW w:w="10260" w:type="dxa"/>
            <w:vAlign w:val="bottom"/>
          </w:tcPr>
          <w:p>
            <w:pPr>
              <w:spacing w:after="0"/>
              <w:rPr>
                <w:sz w:val="20"/>
                <w:szCs w:val="20"/>
                <w:color w:val="auto"/>
              </w:rPr>
            </w:pPr>
            <w:r>
              <w:rPr>
                <w:rFonts w:ascii="Arial" w:cs="Arial" w:eastAsia="Arial" w:hAnsi="Arial"/>
                <w:sz w:val="18"/>
                <w:szCs w:val="18"/>
                <w:color w:val="auto"/>
                <w:w w:val="89"/>
              </w:rPr>
              <w:t>Credit Agreement dated as of June 4, 2012 by and among Great Lakes Dredge &amp; Dock Corporation, as Borrower, the other Credit Parties party</w:t>
            </w: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thereto, the financial institutions from time to time party thereto as lenders, Wells Fargo Bank, National Association, as Administrative Agent,</w:t>
            </w: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Swingline Lender and an Issuing Lender, Bank of America, N.A., as Syndication Agent and PNC Bank, National Association, BMO Harris Bank</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N.A. and Fifth Third Bank, as Co-Documentation Agents. (4)</w:t>
            </w:r>
          </w:p>
        </w:tc>
      </w:tr>
      <w:tr>
        <w:trPr>
          <w:trHeight w:val="318"/>
        </w:trPr>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31.1</w:t>
            </w:r>
          </w:p>
        </w:tc>
        <w:tc>
          <w:tcPr>
            <w:tcW w:w="10260" w:type="dxa"/>
            <w:vAlign w:val="bottom"/>
          </w:tcPr>
          <w:p>
            <w:pPr>
              <w:spacing w:after="0"/>
              <w:rPr>
                <w:sz w:val="20"/>
                <w:szCs w:val="20"/>
                <w:color w:val="auto"/>
              </w:rPr>
            </w:pPr>
            <w:r>
              <w:rPr>
                <w:rFonts w:ascii="Arial" w:cs="Arial" w:eastAsia="Arial" w:hAnsi="Arial"/>
                <w:sz w:val="18"/>
                <w:szCs w:val="18"/>
                <w:color w:val="auto"/>
                <w:w w:val="89"/>
              </w:rPr>
              <w:t>Certification Pursuant to Rules 13a-14(a) and 15d-14(a) under the Securities Exchange Act of 1934, as Adopted Pursuant to Section 302 of the</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Sarbanes-Oxley Act of 2002. *</w:t>
            </w:r>
          </w:p>
        </w:tc>
      </w:tr>
      <w:tr>
        <w:trPr>
          <w:trHeight w:val="318"/>
        </w:trPr>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31.2</w:t>
            </w:r>
          </w:p>
        </w:tc>
        <w:tc>
          <w:tcPr>
            <w:tcW w:w="10260" w:type="dxa"/>
            <w:vAlign w:val="bottom"/>
          </w:tcPr>
          <w:p>
            <w:pPr>
              <w:spacing w:after="0"/>
              <w:rPr>
                <w:sz w:val="20"/>
                <w:szCs w:val="20"/>
                <w:color w:val="auto"/>
              </w:rPr>
            </w:pPr>
            <w:r>
              <w:rPr>
                <w:rFonts w:ascii="Arial" w:cs="Arial" w:eastAsia="Arial" w:hAnsi="Arial"/>
                <w:sz w:val="18"/>
                <w:szCs w:val="18"/>
                <w:color w:val="auto"/>
                <w:w w:val="89"/>
              </w:rPr>
              <w:t>Certification Pursuant to Rules 13a-14(a) and 15d-14(a) under the Securities Exchange Act of 1934, as Adopted Pursuant to Section 302 of the</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Sarbanes-Oxley Act of 2002. *</w:t>
            </w:r>
          </w:p>
        </w:tc>
      </w:tr>
      <w:tr>
        <w:trPr>
          <w:trHeight w:val="324"/>
        </w:trPr>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32.1</w:t>
            </w:r>
          </w:p>
        </w:tc>
        <w:tc>
          <w:tcPr>
            <w:tcW w:w="1026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32.2</w:t>
            </w:r>
          </w:p>
        </w:tc>
        <w:tc>
          <w:tcPr>
            <w:tcW w:w="1026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101.INS</w:t>
            </w:r>
          </w:p>
        </w:tc>
        <w:tc>
          <w:tcPr>
            <w:tcW w:w="10260" w:type="dxa"/>
            <w:vAlign w:val="bottom"/>
          </w:tcPr>
          <w:p>
            <w:pPr>
              <w:spacing w:after="0"/>
              <w:rPr>
                <w:sz w:val="20"/>
                <w:szCs w:val="20"/>
                <w:color w:val="auto"/>
              </w:rPr>
            </w:pPr>
            <w:r>
              <w:rPr>
                <w:rFonts w:ascii="Arial" w:cs="Arial" w:eastAsia="Arial" w:hAnsi="Arial"/>
                <w:sz w:val="18"/>
                <w:szCs w:val="18"/>
                <w:color w:val="auto"/>
              </w:rPr>
              <w:t>XBRL Instance Document. *</w:t>
            </w:r>
          </w:p>
        </w:tc>
      </w:tr>
      <w:tr>
        <w:trPr>
          <w:trHeight w:val="324"/>
        </w:trPr>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87"/>
              </w:rPr>
              <w:t>101.SCH</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Schema. *</w:t>
            </w:r>
          </w:p>
        </w:tc>
      </w:tr>
      <w:tr>
        <w:trPr>
          <w:trHeight w:val="324"/>
        </w:trPr>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101.CAL</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Calculation Linkbase. *</w:t>
            </w:r>
          </w:p>
        </w:tc>
      </w:tr>
      <w:tr>
        <w:trPr>
          <w:trHeight w:val="324"/>
        </w:trPr>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101.DEF</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Definition Linkbase. *</w:t>
            </w:r>
          </w:p>
        </w:tc>
      </w:tr>
      <w:tr>
        <w:trPr>
          <w:trHeight w:val="324"/>
        </w:trPr>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101.LAB</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Label Linkbase. *</w:t>
            </w:r>
          </w:p>
        </w:tc>
      </w:tr>
      <w:tr>
        <w:trPr>
          <w:trHeight w:val="324"/>
        </w:trPr>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101.PRE</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196" w:lineRule="exact"/>
        <w:rPr>
          <w:sz w:val="20"/>
          <w:szCs w:val="20"/>
          <w:color w:val="auto"/>
        </w:rPr>
      </w:pPr>
    </w:p>
    <w:p>
      <w:pPr>
        <w:ind w:left="460" w:right="180" w:hanging="452"/>
        <w:spacing w:after="0" w:line="25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filed with the SEC on April 13, 2012 (Commission file no. 001-33225).</w:t>
      </w:r>
    </w:p>
    <w:p>
      <w:pPr>
        <w:ind w:left="460" w:right="32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filed with the SEC on May 2, 2012 (Commission file no. 001-33225).</w:t>
      </w:r>
    </w:p>
    <w:p>
      <w:pPr>
        <w:ind w:left="460" w:right="32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Exhibit 10.2 to the Company’s Current Report on Form 8-K filed with the SEC on May 2, 2012 (Commission file no. 001-33225).</w:t>
      </w:r>
    </w:p>
    <w:p>
      <w:pPr>
        <w:ind w:left="460" w:right="32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filed with the SEC on June 7, 2012 (Commission file no. 001-33225).</w:t>
      </w:r>
    </w:p>
    <w:p>
      <w:pPr>
        <w:spacing w:after="0" w:line="1"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Jonathan W. Berger, certify that:</w:t>
      </w:r>
    </w:p>
    <w:p>
      <w:pPr>
        <w:spacing w:after="0" w:line="9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Great Lakes Dredge &amp; Dock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an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William S. Steckel, certify that:</w:t>
      </w:r>
    </w:p>
    <w:p>
      <w:pPr>
        <w:spacing w:after="0" w:line="9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Great Lakes Dredge &amp; Dock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an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William S. Steckel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William S. Steckel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10-Q/A for the period ended June 30, 2012, as filed with the Securities and Exchange Commission on the date hereof (the “Report”), I, Jonathan W. Berger, Chief Executive Officer of the Registrant, certify pursuant to 18 U.S.C. Section 1350, as adopted pursuant to Section 906 of the Sarbanes-Oxley Act of 2002, that:</w:t>
      </w:r>
    </w:p>
    <w:p>
      <w:pPr>
        <w:spacing w:after="0" w:line="26"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2013</w:t>
      </w:r>
    </w:p>
    <w:p>
      <w:pPr>
        <w:spacing w:after="0" w:line="17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10-Q/A for the period ended June 30, 2012, as filed with the Securities and Exchange Commission on the date hereof (the “Report”), I, William S. Steckel, Senior Vice President and Chief Financial Officer, certify pursuant to 18 U.S.C. Section 1350, as adopted pursuant to Section 906 of the Sarbanes-Oxley Act of 2002, that:</w:t>
      </w:r>
    </w:p>
    <w:p>
      <w:pPr>
        <w:spacing w:after="0" w:line="26"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William S. Steckel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William S. Steckel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2013</w:t>
      </w:r>
    </w:p>
    <w:p>
      <w:pPr>
        <w:spacing w:after="0" w:line="17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9"/>
    </w:lvl>
  </w:abstractNum>
  <w:abstractNum w:abstractNumId="4">
    <w:nsid w:val="1F16E9E8"/>
    <w:multiLevelType w:val="hybridMultilevel"/>
    <w:lvl w:ilvl="0">
      <w:lvlJc w:val="left"/>
      <w:lvlText w:val="(%1)"/>
      <w:numFmt w:val="lowerRoman"/>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2019-12-07T13:30:08Z</dcterms:created>
  <dcterms:modified xsi:type="dcterms:W3CDTF">2019-12-07T13:30:08Z</dcterms:modified>
</cp:coreProperties>
</file>