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10-K/A</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(Amendment No. 2)</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40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4076700</wp:posOffset>
            </wp:positionH>
            <wp:positionV relativeFrom="paragraph">
              <wp:posOffset>-7620</wp:posOffset>
            </wp:positionV>
            <wp:extent cx="6096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96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460" w:type="dxa"/>
        <w:tblCellMar>
          <w:top w:w="0" w:type="dxa"/>
          <w:left w:w="0" w:type="dxa"/>
          <w:bottom w:w="0" w:type="dxa"/>
          <w:right w:w="0" w:type="dxa"/>
        </w:tblCellMar>
      </w:tblPr>
      <w:tr>
        <w:trPr>
          <w:trHeight w:val="212"/>
        </w:trPr>
        <w:tc>
          <w:tcPr>
            <w:tcW w:w="2020" w:type="dxa"/>
            <w:vAlign w:val="bottom"/>
          </w:tcPr>
          <w:p>
            <w:pPr>
              <w:spacing w:after="0"/>
              <w:rPr>
                <w:sz w:val="18"/>
                <w:szCs w:val="18"/>
                <w:color w:val="auto"/>
              </w:rPr>
            </w:pPr>
          </w:p>
        </w:tc>
        <w:tc>
          <w:tcPr>
            <w:tcW w:w="2040" w:type="dxa"/>
            <w:vAlign w:val="bottom"/>
            <w:gridSpan w:val="2"/>
          </w:tcPr>
          <w:p>
            <w:pPr>
              <w:jc w:val="center"/>
              <w:ind w:right="1136"/>
              <w:spacing w:after="0"/>
              <w:rPr>
                <w:sz w:val="20"/>
                <w:szCs w:val="20"/>
                <w:color w:val="auto"/>
              </w:rPr>
            </w:pPr>
            <w:r>
              <w:rPr>
                <w:rFonts w:ascii="Arial" w:cs="Arial" w:eastAsia="Arial" w:hAnsi="Arial"/>
                <w:sz w:val="18"/>
                <w:szCs w:val="18"/>
                <w:b w:val="1"/>
                <w:bCs w:val="1"/>
                <w:color w:val="auto"/>
                <w:w w:val="93"/>
              </w:rPr>
              <w:t>Delaware</w:t>
            </w:r>
          </w:p>
        </w:tc>
        <w:tc>
          <w:tcPr>
            <w:tcW w:w="52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20-5336063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060" w:type="dxa"/>
            <w:vAlign w:val="bottom"/>
            <w:gridSpan w:val="3"/>
          </w:tcPr>
          <w:p>
            <w:pPr>
              <w:jc w:val="center"/>
              <w:ind w:left="73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40" w:type="dxa"/>
            <w:vAlign w:val="bottom"/>
            <w:gridSpan w:val="2"/>
          </w:tcPr>
          <w:p>
            <w:pPr>
              <w:jc w:val="center"/>
              <w:ind w:left="16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60" w:type="dxa"/>
            <w:vAlign w:val="bottom"/>
            <w:gridSpan w:val="3"/>
          </w:tcPr>
          <w:p>
            <w:pPr>
              <w:jc w:val="center"/>
              <w:ind w:left="738"/>
              <w:spacing w:after="0"/>
              <w:rPr>
                <w:sz w:val="20"/>
                <w:szCs w:val="20"/>
                <w:color w:val="auto"/>
              </w:rPr>
            </w:pPr>
            <w:r>
              <w:rPr>
                <w:rFonts w:ascii="Arial" w:cs="Arial" w:eastAsia="Arial" w:hAnsi="Arial"/>
                <w:sz w:val="14"/>
                <w:szCs w:val="14"/>
                <w:b w:val="1"/>
                <w:bCs w:val="1"/>
                <w:color w:val="auto"/>
                <w:w w:val="94"/>
              </w:rPr>
              <w:t>incorporation or organization)</w:t>
            </w:r>
          </w:p>
        </w:tc>
        <w:tc>
          <w:tcPr>
            <w:tcW w:w="2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40" w:type="dxa"/>
            <w:vAlign w:val="bottom"/>
            <w:gridSpan w:val="2"/>
          </w:tcPr>
          <w:p>
            <w:pPr>
              <w:jc w:val="center"/>
              <w:ind w:left="144"/>
              <w:spacing w:after="0"/>
              <w:rPr>
                <w:sz w:val="20"/>
                <w:szCs w:val="20"/>
                <w:color w:val="auto"/>
              </w:rPr>
            </w:pPr>
            <w:r>
              <w:rPr>
                <w:rFonts w:ascii="Arial" w:cs="Arial" w:eastAsia="Arial" w:hAnsi="Arial"/>
                <w:sz w:val="14"/>
                <w:szCs w:val="14"/>
                <w:b w:val="1"/>
                <w:bCs w:val="1"/>
                <w:color w:val="auto"/>
                <w:w w:val="96"/>
              </w:rPr>
              <w:t>Identification No.)</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4060" w:type="dxa"/>
            <w:vAlign w:val="bottom"/>
            <w:gridSpan w:val="3"/>
          </w:tcPr>
          <w:p>
            <w:pPr>
              <w:jc w:val="center"/>
              <w:ind w:left="718"/>
              <w:spacing w:after="0"/>
              <w:rPr>
                <w:sz w:val="20"/>
                <w:szCs w:val="20"/>
                <w:color w:val="auto"/>
              </w:rPr>
            </w:pPr>
            <w:r>
              <w:rPr>
                <w:rFonts w:ascii="Arial" w:cs="Arial" w:eastAsia="Arial" w:hAnsi="Arial"/>
                <w:sz w:val="18"/>
                <w:szCs w:val="18"/>
                <w:b w:val="1"/>
                <w:bCs w:val="1"/>
                <w:color w:val="auto"/>
                <w:w w:val="93"/>
              </w:rPr>
              <w:t>2122 York Road, Oak Brook, IL</w:t>
            </w:r>
          </w:p>
        </w:tc>
        <w:tc>
          <w:tcPr>
            <w:tcW w:w="4560" w:type="dxa"/>
            <w:vAlign w:val="bottom"/>
            <w:gridSpan w:val="3"/>
          </w:tcPr>
          <w:p>
            <w:pPr>
              <w:jc w:val="right"/>
              <w:ind w:right="124"/>
              <w:spacing w:after="0"/>
              <w:rPr>
                <w:sz w:val="20"/>
                <w:szCs w:val="20"/>
                <w:color w:val="auto"/>
              </w:rPr>
            </w:pPr>
            <w:r>
              <w:rPr>
                <w:rFonts w:ascii="Arial" w:cs="Arial" w:eastAsia="Arial" w:hAnsi="Arial"/>
                <w:sz w:val="18"/>
                <w:szCs w:val="18"/>
                <w:b w:val="1"/>
                <w:bCs w:val="1"/>
                <w:color w:val="auto"/>
              </w:rPr>
              <w:t>60523</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60" w:type="dxa"/>
            <w:vAlign w:val="bottom"/>
            <w:gridSpan w:val="3"/>
          </w:tcPr>
          <w:p>
            <w:pPr>
              <w:jc w:val="center"/>
              <w:ind w:left="7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tcPr>
          <w:p>
            <w:pPr>
              <w:jc w:val="center"/>
              <w:ind w:left="824"/>
              <w:spacing w:after="0"/>
              <w:rPr>
                <w:sz w:val="20"/>
                <w:szCs w:val="20"/>
                <w:color w:val="auto"/>
              </w:rPr>
            </w:pPr>
            <w:r>
              <w:rPr>
                <w:rFonts w:ascii="Arial" w:cs="Arial" w:eastAsia="Arial" w:hAnsi="Arial"/>
                <w:sz w:val="14"/>
                <w:szCs w:val="14"/>
                <w:b w:val="1"/>
                <w:bCs w:val="1"/>
                <w:color w:val="auto"/>
                <w:w w:val="95"/>
              </w:rPr>
              <w:t>(Zip Code)</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2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(630) 574-3000</w:t>
            </w: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780" w:type="dxa"/>
            <w:vAlign w:val="bottom"/>
            <w:gridSpan w:val="4"/>
          </w:tcPr>
          <w:p>
            <w:pPr>
              <w:jc w:val="center"/>
              <w:ind w:right="88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2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780" w:type="dxa"/>
            <w:vAlign w:val="bottom"/>
            <w:gridSpan w:val="4"/>
          </w:tcPr>
          <w:p>
            <w:pPr>
              <w:jc w:val="center"/>
              <w:ind w:right="864"/>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Title of Class</w:t>
            </w:r>
          </w:p>
        </w:tc>
        <w:tc>
          <w:tcPr>
            <w:tcW w:w="1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60" w:type="dxa"/>
            <w:vAlign w:val="bottom"/>
            <w:gridSpan w:val="3"/>
          </w:tcPr>
          <w:p>
            <w:pPr>
              <w:jc w:val="center"/>
              <w:ind w:left="718"/>
              <w:spacing w:after="0"/>
              <w:rPr>
                <w:sz w:val="20"/>
                <w:szCs w:val="20"/>
                <w:color w:val="auto"/>
              </w:rPr>
            </w:pPr>
            <w:r>
              <w:rPr>
                <w:rFonts w:ascii="Arial" w:cs="Arial" w:eastAsia="Arial" w:hAnsi="Arial"/>
                <w:sz w:val="18"/>
                <w:szCs w:val="18"/>
                <w:b w:val="1"/>
                <w:bCs w:val="1"/>
                <w:color w:val="auto"/>
                <w:w w:val="90"/>
              </w:rPr>
              <w:t>Common Stock, (Par Value $0.0001)</w:t>
            </w:r>
          </w:p>
        </w:tc>
        <w:tc>
          <w:tcPr>
            <w:tcW w:w="2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40" w:type="dxa"/>
            <w:vAlign w:val="bottom"/>
            <w:gridSpan w:val="2"/>
          </w:tcPr>
          <w:p>
            <w:pPr>
              <w:jc w:val="center"/>
              <w:ind w:left="144"/>
              <w:spacing w:after="0"/>
              <w:rPr>
                <w:sz w:val="20"/>
                <w:szCs w:val="20"/>
                <w:color w:val="auto"/>
              </w:rPr>
            </w:pPr>
            <w:r>
              <w:rPr>
                <w:rFonts w:ascii="Arial" w:cs="Arial" w:eastAsia="Arial" w:hAnsi="Arial"/>
                <w:sz w:val="18"/>
                <w:szCs w:val="18"/>
                <w:b w:val="1"/>
                <w:bCs w:val="1"/>
                <w:color w:val="auto"/>
                <w:w w:val="94"/>
              </w:rPr>
              <w:t>Nasdaq Stock Market, LLC</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780" w:type="dxa"/>
            <w:vAlign w:val="bottom"/>
            <w:gridSpan w:val="4"/>
          </w:tcPr>
          <w:p>
            <w:pPr>
              <w:jc w:val="center"/>
              <w:ind w:right="864"/>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60" w:type="dxa"/>
            <w:vAlign w:val="bottom"/>
            <w:gridSpan w:val="3"/>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180" w:type="dxa"/>
            <w:vAlign w:val="bottom"/>
            <w:gridSpan w:val="2"/>
          </w:tcPr>
          <w:p>
            <w:pPr>
              <w:spacing w:after="0"/>
              <w:rPr>
                <w:sz w:val="24"/>
                <w:szCs w:val="24"/>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6"/>
        </w:trPr>
        <w:tc>
          <w:tcPr>
            <w:tcW w:w="862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jc w:val="both"/>
        <w:ind w:right="28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456"/>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 (Check one):</w:t>
      </w:r>
    </w:p>
    <w:p>
      <w:pPr>
        <w:sectPr>
          <w:pgSz w:w="11900" w:h="16838" w:orient="portrait"/>
          <w:cols w:equalWidth="0" w:num="1">
            <w:col w:w="11420"/>
          </w:cols>
          <w:pgMar w:left="240" w:top="368" w:right="239" w:bottom="200" w:gutter="0" w:footer="0" w:header="0"/>
        </w:sectPr>
      </w:pPr>
    </w:p>
    <w:p>
      <w:pPr>
        <w:spacing w:after="0" w:line="116" w:lineRule="exact"/>
        <w:rPr>
          <w:sz w:val="24"/>
          <w:szCs w:val="24"/>
          <w:color w:val="auto"/>
        </w:rPr>
      </w:pPr>
    </w:p>
    <w:p>
      <w:pPr>
        <w:ind w:left="9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2540" w:space="320"/>
            <w:col w:w="4340" w:space="720"/>
            <w:col w:w="1680" w:space="720"/>
            <w:col w:w="1100"/>
          </w:cols>
          <w:pgMar w:left="240" w:top="368" w:right="239" w:bottom="200" w:gutter="0" w:footer="0" w:header="0"/>
          <w:type w:val="continuous"/>
        </w:sectPr>
      </w:pPr>
    </w:p>
    <w:p>
      <w:pPr>
        <w:spacing w:after="0" w:line="33" w:lineRule="exact"/>
        <w:rPr>
          <w:sz w:val="24"/>
          <w:szCs w:val="24"/>
          <w:color w:val="auto"/>
        </w:rPr>
      </w:pPr>
    </w:p>
    <w:p>
      <w:pPr>
        <w:ind w:left="9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2460" w:space="400"/>
            <w:col w:w="160" w:space="80"/>
            <w:col w:w="4100" w:space="720"/>
            <w:col w:w="1980" w:space="420"/>
            <w:col w:w="1100"/>
          </w:cols>
          <w:pgMar w:left="240" w:top="368" w:right="239" w:bottom="200" w:gutter="0" w:footer="0" w:header="0"/>
          <w:type w:val="continuous"/>
        </w:sectPr>
      </w:pPr>
    </w:p>
    <w:p>
      <w:pPr>
        <w:spacing w:after="0" w:line="16" w:lineRule="exact"/>
        <w:rPr>
          <w:sz w:val="24"/>
          <w:szCs w:val="24"/>
          <w:color w:val="auto"/>
        </w:rPr>
      </w:pPr>
    </w:p>
    <w:p>
      <w:pPr>
        <w:ind w:left="46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420"/>
          </w:cols>
          <w:pgMar w:left="240" w:top="368" w:right="239" w:bottom="200" w:gutter="0" w:footer="0" w:header="0"/>
          <w:type w:val="continuous"/>
        </w:sectPr>
      </w:pPr>
    </w:p>
    <w:bookmarkStart w:id="1" w:name="page2"/>
    <w:bookmarkEnd w:id="1"/>
    <w:p>
      <w:pPr>
        <w:jc w:val="both"/>
        <w:ind w:right="260" w:firstLine="456"/>
        <w:spacing w:after="0" w:line="264" w:lineRule="auto"/>
        <w:rPr>
          <w:sz w:val="20"/>
          <w:szCs w:val="20"/>
          <w:color w:val="auto"/>
        </w:rPr>
      </w:pPr>
      <w:r>
        <w:rPr>
          <w:rFonts w:ascii="Arial" w:cs="Arial" w:eastAsia="Arial" w:hAnsi="Arial"/>
          <w:sz w:val="18"/>
          <w:szCs w:val="18"/>
          <w:color w:val="auto"/>
        </w:rPr>
        <w:t>The aggregate market value of voting stock held by non-affiliates of the Registrant was $425,660,035 at June 30, 2014. The aggregate market value was computed using the closing price of the common stock as of that date on the Nasdaq Stock Market. (For purposes of a calculating this amount only, all directors and executive officers of the registrant have been treated as affiliates.)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27, 2015, 60,236,620 shares of Registrant’s Common Stock, par value $.0001 per share, were outstanding.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960" w:type="dxa"/>
            <w:vAlign w:val="bottom"/>
            <w:gridSpan w:val="3"/>
          </w:tcPr>
          <w:p>
            <w:pPr>
              <w:ind w:left="180"/>
              <w:spacing w:after="0"/>
              <w:rPr>
                <w:sz w:val="20"/>
                <w:szCs w:val="20"/>
                <w:color w:val="auto"/>
              </w:rPr>
            </w:pPr>
            <w:r>
              <w:rPr>
                <w:rFonts w:ascii="Arial" w:cs="Arial" w:eastAsia="Arial" w:hAnsi="Arial"/>
                <w:sz w:val="18"/>
                <w:szCs w:val="18"/>
                <w:b w:val="1"/>
                <w:bCs w:val="1"/>
                <w:color w:val="auto"/>
              </w:rPr>
              <w:t>DOCUMENTS INCORPORATED BY REFERENCE</w:t>
            </w:r>
          </w:p>
        </w:tc>
      </w:tr>
      <w:tr>
        <w:trPr>
          <w:trHeight w:val="405"/>
        </w:trPr>
        <w:tc>
          <w:tcPr>
            <w:tcW w:w="3460" w:type="dxa"/>
            <w:vAlign w:val="bottom"/>
            <w:tcBorders>
              <w:bottom w:val="single" w:sz="8" w:color="auto"/>
            </w:tcBorders>
          </w:tcPr>
          <w:p>
            <w:pPr>
              <w:jc w:val="center"/>
              <w:ind w:left="2239"/>
              <w:spacing w:after="0"/>
              <w:rPr>
                <w:sz w:val="20"/>
                <w:szCs w:val="20"/>
                <w:color w:val="auto"/>
              </w:rPr>
            </w:pPr>
            <w:r>
              <w:rPr>
                <w:rFonts w:ascii="Arial" w:cs="Arial" w:eastAsia="Arial" w:hAnsi="Arial"/>
                <w:sz w:val="14"/>
                <w:szCs w:val="14"/>
                <w:b w:val="1"/>
                <w:bCs w:val="1"/>
                <w:color w:val="auto"/>
                <w:w w:val="99"/>
              </w:rPr>
              <w:t>Part of 10-K</w:t>
            </w:r>
          </w:p>
        </w:tc>
        <w:tc>
          <w:tcPr>
            <w:tcW w:w="2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Documents Incorporated by Reference</w:t>
            </w:r>
          </w:p>
        </w:tc>
      </w:tr>
      <w:tr>
        <w:trPr>
          <w:trHeight w:val="195"/>
        </w:trPr>
        <w:tc>
          <w:tcPr>
            <w:tcW w:w="3460" w:type="dxa"/>
            <w:vAlign w:val="bottom"/>
          </w:tcPr>
          <w:p>
            <w:pPr>
              <w:jc w:val="center"/>
              <w:ind w:left="2239"/>
              <w:spacing w:after="0" w:line="195" w:lineRule="exact"/>
              <w:rPr>
                <w:sz w:val="20"/>
                <w:szCs w:val="20"/>
                <w:color w:val="auto"/>
              </w:rPr>
            </w:pPr>
            <w:r>
              <w:rPr>
                <w:rFonts w:ascii="Arial" w:cs="Arial" w:eastAsia="Arial" w:hAnsi="Arial"/>
                <w:sz w:val="18"/>
                <w:szCs w:val="18"/>
                <w:color w:val="auto"/>
                <w:w w:val="94"/>
              </w:rPr>
              <w:t>Part III</w:t>
            </w: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40" w:type="dxa"/>
            <w:vAlign w:val="bottom"/>
          </w:tcPr>
          <w:p>
            <w:pPr>
              <w:jc w:val="center"/>
              <w:spacing w:after="0" w:line="195" w:lineRule="exact"/>
              <w:rPr>
                <w:sz w:val="20"/>
                <w:szCs w:val="20"/>
                <w:color w:val="auto"/>
              </w:rPr>
            </w:pPr>
            <w:r>
              <w:rPr>
                <w:rFonts w:ascii="Arial" w:cs="Arial" w:eastAsia="Arial" w:hAnsi="Arial"/>
                <w:sz w:val="18"/>
                <w:szCs w:val="18"/>
                <w:color w:val="auto"/>
                <w:w w:val="92"/>
              </w:rPr>
              <w:t>Portions of the Proxy Statement filed with</w:t>
            </w:r>
          </w:p>
        </w:tc>
      </w:tr>
      <w:tr>
        <w:trPr>
          <w:trHeight w:val="216"/>
        </w:trPr>
        <w:tc>
          <w:tcPr>
            <w:tcW w:w="3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0"/>
              </w:rPr>
              <w:t>the Securities and Exchange Commission in connection</w:t>
            </w:r>
          </w:p>
        </w:tc>
      </w:tr>
      <w:tr>
        <w:trPr>
          <w:trHeight w:val="230"/>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2"/>
              </w:rPr>
              <w:t>with the 2015 Annual Meeting of Stockholders.</w:t>
            </w:r>
          </w:p>
        </w:tc>
      </w:tr>
      <w:tr>
        <w:trPr>
          <w:trHeight w:val="270"/>
        </w:trPr>
        <w:tc>
          <w:tcPr>
            <w:tcW w:w="346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540" w:type="dxa"/>
            <w:vAlign w:val="bottom"/>
            <w:tcBorders>
              <w:bottom w:val="single" w:sz="8" w:color="auto"/>
            </w:tcBorders>
          </w:tcPr>
          <w:p>
            <w:pPr>
              <w:spacing w:after="0"/>
              <w:rPr>
                <w:sz w:val="23"/>
                <w:szCs w:val="23"/>
                <w:color w:val="auto"/>
              </w:rPr>
            </w:pPr>
          </w:p>
        </w:tc>
      </w:tr>
      <w:tr>
        <w:trPr>
          <w:trHeight w:val="48"/>
        </w:trPr>
        <w:tc>
          <w:tcPr>
            <w:tcW w:w="346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FORM 10-K/A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Great Lakes Dredge &amp; Dock Corporation (“Great Lakes”) is filing this Amendment No. 2 (this “Amendment No. 2”) on Form 10-K/A to its Annual Report on Form 10-K for the fiscal year ended December 31, 2014, which was originally filed on March 6, 2015 (the “Original 10-K Filing”) and amended by Amendment No. 1 to the Original 10-K Filing, which was filed on March 27, 2015, for the sole purpose of filing a revised redacted version of Exhibit 10.30 and resubmitting Exhibits 10.31 and 10.45 (in the form originally filed), reflecting a change to Great Lakes’ confidential treatment request with respect to a portion of Exhibit 10.30. Accordingly, Exhibit 10.30 to this Amendment No. 2 supersedes and replaces in its entirety Exhibit 10.30 to the Original 10-K Filing.</w:t>
      </w:r>
    </w:p>
    <w:p>
      <w:pPr>
        <w:spacing w:after="0" w:line="193"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Additionally, as required by Rule 12b-15 under the Securities and Exchange Act of 1934, as amended, new certifications by Great Lakes’ principal executive officer and principal financial officer required in accordance with Rule 13a-14(a) are being filed as exhibits to this Amendment No. 2.</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Except as described in this Explanatory Note, no other portions of the Original 10-K Filing, as amended, are being supplemented or amended by this Amendment No. 2. In addition, this Amendment No. 2 has not been updated for events or information subsequent to the date of filing of the Original 10-K Filing, as amended, except in connection with the foregoing. Accordingly, this Amendment No. 2 should be read in conjunction with our other filings with the SEC subsequent to the filing of the Original 10-K Filing, as amended.</w:t>
      </w:r>
    </w:p>
    <w:p>
      <w:pPr>
        <w:sectPr>
          <w:pgSz w:w="11900" w:h="16838" w:orient="portrait"/>
          <w:cols w:equalWidth="0" w:num="1">
            <w:col w:w="11420"/>
          </w:cols>
          <w:pgMar w:left="240" w:top="270" w:right="239"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13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exhibits required to be filed by Item 601 of Regulation S-K are listed in the “Exhibit Index” which is attached hereto and incorporated by reference herein.</w:t>
      </w:r>
    </w:p>
    <w:p>
      <w:pPr>
        <w:sectPr>
          <w:pgSz w:w="11900" w:h="16838" w:orient="portrait"/>
          <w:cols w:equalWidth="0" w:num="1">
            <w:col w:w="11380"/>
          </w:cols>
          <w:pgMar w:left="240" w:top="513" w:right="279" w:bottom="1440" w:gutter="0" w:footer="0" w:header="0"/>
        </w:sectPr>
      </w:pPr>
    </w:p>
    <w:bookmarkStart w:id="4" w:name="page5"/>
    <w:bookmarkEnd w:id="4"/>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Jonathan W. Berger</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September 24, 2015</w:t>
      </w:r>
    </w:p>
    <w:p>
      <w:pPr>
        <w:sectPr>
          <w:pgSz w:w="11900" w:h="16838" w:orient="portrait"/>
          <w:cols w:equalWidth="0" w:num="1">
            <w:col w:w="10740"/>
          </w:cols>
          <w:pgMar w:left="240" w:top="270" w:right="9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60" w:type="dxa"/>
            <w:vAlign w:val="bottom"/>
          </w:tcPr>
          <w:p>
            <w:pPr>
              <w:ind w:left="3980"/>
              <w:spacing w:after="0"/>
              <w:rPr>
                <w:sz w:val="20"/>
                <w:szCs w:val="20"/>
                <w:color w:val="auto"/>
              </w:rPr>
            </w:pPr>
            <w:r>
              <w:rPr>
                <w:rFonts w:ascii="Arial" w:cs="Arial" w:eastAsia="Arial" w:hAnsi="Arial"/>
                <w:sz w:val="18"/>
                <w:szCs w:val="18"/>
                <w:b w:val="1"/>
                <w:bCs w:val="1"/>
                <w:color w:val="auto"/>
              </w:rPr>
              <w:t>I. EXHIBIT INDEX</w:t>
            </w:r>
          </w:p>
        </w:tc>
      </w:tr>
      <w:tr>
        <w:trPr>
          <w:trHeight w:val="399"/>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24"/>
                <w:szCs w:val="24"/>
                <w:color w:val="auto"/>
              </w:rPr>
            </w:pPr>
          </w:p>
        </w:tc>
        <w:tc>
          <w:tcPr>
            <w:tcW w:w="10460" w:type="dxa"/>
            <w:vAlign w:val="bottom"/>
            <w:tcBorders>
              <w:bottom w:val="single" w:sz="8" w:color="auto"/>
            </w:tcBorders>
          </w:tcPr>
          <w:p>
            <w:pPr>
              <w:ind w:left="4540"/>
              <w:spacing w:after="0"/>
              <w:rPr>
                <w:sz w:val="20"/>
                <w:szCs w:val="20"/>
                <w:color w:val="auto"/>
              </w:rPr>
            </w:pPr>
            <w:r>
              <w:rPr>
                <w:rFonts w:ascii="Arial" w:cs="Arial" w:eastAsia="Arial" w:hAnsi="Arial"/>
                <w:sz w:val="14"/>
                <w:szCs w:val="14"/>
                <w:b w:val="1"/>
                <w:bCs w:val="1"/>
                <w:color w:val="auto"/>
              </w:rPr>
              <w:t>Document Description</w:t>
            </w: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10.30</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0"/>
              </w:rPr>
              <w:t>Share Purchase Agreement, dated November 4, 2014, among Great Lakes Environmental and Infrastructure Solutions, LLC and Magnus Pacific</w:t>
            </w:r>
          </w:p>
        </w:tc>
      </w:tr>
      <w:tr>
        <w:trPr>
          <w:trHeight w:val="230"/>
        </w:trPr>
        <w:tc>
          <w:tcPr>
            <w:tcW w:w="520" w:type="dxa"/>
            <w:vAlign w:val="bottom"/>
          </w:tcPr>
          <w:p>
            <w:pPr>
              <w:spacing w:after="0"/>
              <w:rPr>
                <w:sz w:val="20"/>
                <w:szCs w:val="20"/>
                <w:color w:val="auto"/>
              </w:rPr>
            </w:pP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rPr>
              <w:t>Corporation.#*</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10.31</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2"/>
              </w:rPr>
              <w:t>Promissory Note, dated November 4, 2014, made and delivered by Great Lakes Dredge &amp; Dock Company in favor of prior Holders of Magnus</w:t>
            </w:r>
          </w:p>
        </w:tc>
      </w:tr>
      <w:tr>
        <w:trPr>
          <w:trHeight w:val="230"/>
        </w:trPr>
        <w:tc>
          <w:tcPr>
            <w:tcW w:w="520" w:type="dxa"/>
            <w:vAlign w:val="bottom"/>
          </w:tcPr>
          <w:p>
            <w:pPr>
              <w:spacing w:after="0"/>
              <w:rPr>
                <w:sz w:val="20"/>
                <w:szCs w:val="20"/>
                <w:color w:val="auto"/>
              </w:rPr>
            </w:pP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rPr>
              <w:t>Pacific Corporation shares.#*</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10.45</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0"/>
              </w:rPr>
              <w:t>Loan Agreement, dated as of November 4, 2014, by and among Great Lakes Dredge &amp; Dock Corporation, as Borrower, the Lenders from time to</w:t>
            </w:r>
          </w:p>
        </w:tc>
      </w:tr>
      <w:tr>
        <w:trPr>
          <w:trHeight w:val="230"/>
        </w:trPr>
        <w:tc>
          <w:tcPr>
            <w:tcW w:w="520" w:type="dxa"/>
            <w:vAlign w:val="bottom"/>
          </w:tcPr>
          <w:p>
            <w:pPr>
              <w:spacing w:after="0"/>
              <w:rPr>
                <w:sz w:val="20"/>
                <w:szCs w:val="20"/>
                <w:color w:val="auto"/>
              </w:rPr>
            </w:pP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rPr>
              <w:t>time party thereto and Bank of America, N.A. as Administrative Agent.#*</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31.5</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5"/>
              </w:rPr>
              <w:t>Certification Pursuant to Rules 13a-14 and 15d-14 under the Securities Exchange Act of 1934, as Adopted Pursuant to Section 302 of the</w:t>
            </w:r>
          </w:p>
        </w:tc>
      </w:tr>
      <w:tr>
        <w:trPr>
          <w:trHeight w:val="230"/>
        </w:trPr>
        <w:tc>
          <w:tcPr>
            <w:tcW w:w="520" w:type="dxa"/>
            <w:vAlign w:val="bottom"/>
          </w:tcPr>
          <w:p>
            <w:pPr>
              <w:spacing w:after="0"/>
              <w:rPr>
                <w:sz w:val="20"/>
                <w:szCs w:val="20"/>
                <w:color w:val="auto"/>
              </w:rPr>
            </w:pP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rPr>
              <w:t>Sarbanes-Oxley Act of 2002.*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31.6</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5"/>
              </w:rPr>
              <w:t>Certification Pursuant to Rules 13a-14 and 15d-14 under the Securities Exchange Act of 1934, as Adopted Pursuant to Section 302 of the</w:t>
            </w:r>
          </w:p>
        </w:tc>
      </w:tr>
      <w:tr>
        <w:trPr>
          <w:trHeight w:val="230"/>
        </w:trPr>
        <w:tc>
          <w:tcPr>
            <w:tcW w:w="520" w:type="dxa"/>
            <w:vAlign w:val="bottom"/>
          </w:tcPr>
          <w:p>
            <w:pPr>
              <w:spacing w:after="0"/>
              <w:rPr>
                <w:sz w:val="20"/>
                <w:szCs w:val="20"/>
                <w:color w:val="auto"/>
              </w:rPr>
            </w:pP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rPr>
              <w:t>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220" w:right="440" w:hanging="212"/>
        <w:spacing w:after="0" w:line="261"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Pursuant to a request for confidential treatment, portions of this exhibit have been redacted from the publicly filed document and have been furnished separately to the SEC.</w:t>
      </w:r>
    </w:p>
    <w:p>
      <w:pPr>
        <w:sectPr>
          <w:pgSz w:w="11900" w:h="16838" w:orient="portrait"/>
          <w:cols w:equalWidth="0" w:num="1">
            <w:col w:w="11420"/>
          </w:cols>
          <w:pgMar w:left="240" w:top="270" w:right="239" w:bottom="1440" w:gutter="0" w:footer="0" w:header="0"/>
        </w:sectPr>
      </w:pPr>
    </w:p>
    <w:bookmarkStart w:id="6" w:name="page7"/>
    <w:bookmarkEnd w:id="6"/>
    <w:p>
      <w:pPr>
        <w:jc w:val="center"/>
        <w:ind w:right="80"/>
        <w:spacing w:after="0"/>
        <w:rPr>
          <w:sz w:val="20"/>
          <w:szCs w:val="20"/>
          <w:color w:val="auto"/>
        </w:rPr>
      </w:pPr>
      <w:r>
        <w:rPr>
          <w:rFonts w:ascii="Arial" w:cs="Arial" w:eastAsia="Arial" w:hAnsi="Arial"/>
          <w:sz w:val="17"/>
          <w:szCs w:val="17"/>
          <w:color w:val="auto"/>
        </w:rPr>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10.30</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1764665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SHARE PURCHASE AGREEMENT</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DATED AS OF THE 4TH DAY OF NOVEMBER, 2014</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GREAT LAKES ENVIRONMENTAL</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AND INFRASTRUCTURE SOLUTIONS, LLC, AS PURCHASER</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GREAT LAKES DREDGE &amp; DOCK CORPORATION</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MAGNUS PACIFIC CORPORATION, AS THE COMPANY</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THE SELLERS IDENTIFIED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583565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80"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476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ARTICLE I. PURCHASE AND SALE OF THE SHARES</w:t>
      </w:r>
    </w:p>
    <w:p>
      <w:pPr>
        <w:spacing w:after="0" w:line="23"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5"/>
          <w:szCs w:val="15"/>
          <w:color w:val="auto"/>
        </w:rPr>
        <w:t>Purchase.</w:t>
      </w:r>
    </w:p>
    <w:p>
      <w:pPr>
        <w:spacing w:after="0" w:line="23"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5"/>
          <w:szCs w:val="15"/>
          <w:color w:val="auto"/>
        </w:rPr>
        <w:t>Purchase Price.</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color w:val="auto"/>
        </w:rPr>
        <w:t>Adjustments to Purchase Price.</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5"/>
          <w:szCs w:val="15"/>
          <w:color w:val="auto"/>
        </w:rPr>
        <w:t>Note.</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color w:val="auto"/>
        </w:rPr>
        <w:t>Earn-Out Consideration.</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color w:val="auto"/>
        </w:rPr>
        <w:t>Allocation of Purchase Price.</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color w:val="auto"/>
        </w:rPr>
        <w:t>Section 338(h)(10) Election.</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color w:val="auto"/>
        </w:rPr>
        <w:t>Fair Consideration.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ARTICLE II. CLOSING</w:t>
      </w:r>
    </w:p>
    <w:p>
      <w:pPr>
        <w:spacing w:after="0" w:line="23"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color w:val="auto"/>
        </w:rPr>
        <w:t>Closing Date.</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color w:val="auto"/>
        </w:rPr>
        <w:t>Deliveries by Seller.</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color w:val="auto"/>
        </w:rPr>
        <w:t>Deliveries by Purchaser.</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color w:val="auto"/>
        </w:rPr>
        <w:t>Post-Closing Matters.</w:t>
      </w:r>
    </w:p>
    <w:p>
      <w:pPr>
        <w:spacing w:after="0" w:line="211" w:lineRule="exact"/>
        <w:rPr>
          <w:sz w:val="20"/>
          <w:szCs w:val="20"/>
          <w:color w:val="auto"/>
        </w:rPr>
      </w:pPr>
    </w:p>
    <w:p>
      <w:pPr>
        <w:ind w:left="220" w:right="2300" w:hanging="202"/>
        <w:spacing w:after="0" w:line="258" w:lineRule="auto"/>
        <w:rPr>
          <w:sz w:val="20"/>
          <w:szCs w:val="20"/>
          <w:color w:val="auto"/>
        </w:rPr>
      </w:pPr>
      <w:r>
        <w:rPr>
          <w:rFonts w:ascii="Arial" w:cs="Arial" w:eastAsia="Arial" w:hAnsi="Arial"/>
          <w:sz w:val="18"/>
          <w:szCs w:val="18"/>
          <w:color w:val="auto"/>
        </w:rPr>
        <w:t>ARTICLE III. INDIVIDUAL REPRESENTATIONS AND WARRANTIES OF SELLERS Section 3.01. Authorization and Validity of Agreement.</w:t>
      </w:r>
    </w:p>
    <w:p>
      <w:pPr>
        <w:spacing w:after="0" w:line="1"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7"/>
          <w:szCs w:val="17"/>
          <w:color w:val="auto"/>
        </w:rPr>
        <w:t>No Conflict or Violation.</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color w:val="auto"/>
        </w:rPr>
        <w:t>Consents and Approvals.</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color w:val="auto"/>
        </w:rPr>
        <w:t>Title to the Shares and Related Matters.</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color w:val="auto"/>
        </w:rPr>
        <w:t>Broker’s and Finder’s Fees.</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color w:val="auto"/>
        </w:rPr>
        <w:t>Legal Proceedings.</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color w:val="auto"/>
        </w:rPr>
        <w:t>GLDD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ARTICLE IV. REPRESENTATIONS AND WARRANTIES OF THE COMPANY</w:t>
      </w:r>
    </w:p>
    <w:p>
      <w:pPr>
        <w:spacing w:after="0" w:line="23"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color w:val="auto"/>
        </w:rPr>
        <w:t>Organization; Power.</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color w:val="auto"/>
        </w:rPr>
        <w:t>Authorization and Validity of Agreement.</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color w:val="auto"/>
        </w:rPr>
        <w:t>Capital Structure of the Company and Related Matters; Owners of Shares; Subsidiaries.</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7"/>
          <w:szCs w:val="17"/>
          <w:color w:val="auto"/>
        </w:rPr>
        <w:t>No Conflict or Violation.</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color w:val="auto"/>
        </w:rPr>
        <w:t>Consents and Approvals.</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color w:val="auto"/>
        </w:rPr>
        <w:t>Financial Statements; Books and Records.</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6"/>
          <w:szCs w:val="16"/>
          <w:color w:val="auto"/>
        </w:rPr>
        <w:t>Absence of Certain Changes or Events.</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color w:val="auto"/>
        </w:rPr>
        <w:t>Tax Matters.</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6"/>
          <w:szCs w:val="16"/>
          <w:color w:val="auto"/>
        </w:rPr>
        <w:t>Absence of Undisclosed Liabilities.</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5"/>
          <w:szCs w:val="15"/>
          <w:color w:val="auto"/>
        </w:rPr>
        <w:t>Real Property.</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5"/>
          <w:szCs w:val="15"/>
          <w:color w:val="auto"/>
        </w:rPr>
        <w:t>Leased Real Property.</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6"/>
          <w:szCs w:val="16"/>
          <w:color w:val="auto"/>
        </w:rPr>
        <w:t>Conformity of the Real Property and the Leased Real Property.</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color w:val="auto"/>
        </w:rPr>
        <w:t>Equipment and Machinery.</w:t>
      </w:r>
    </w:p>
    <w:p>
      <w:pPr>
        <w:spacing w:after="0" w:line="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6"/>
          <w:szCs w:val="16"/>
          <w:color w:val="auto"/>
        </w:rPr>
        <w:t>Accounts Receivable and Inventories.</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u w:val="single" w:color="auto"/>
          <w:color w:val="auto"/>
        </w:rPr>
        <w:t>Page</w:t>
      </w:r>
    </w:p>
    <w:p>
      <w:pPr>
        <w:spacing w:after="0" w:line="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w:t>
      </w:r>
    </w:p>
    <w:p>
      <w:pPr>
        <w:spacing w:after="0" w:line="8"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3</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6</w:t>
      </w:r>
    </w:p>
    <w:p>
      <w:pPr>
        <w:spacing w:after="0" w:line="21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8</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9</w:t>
      </w:r>
    </w:p>
    <w:p>
      <w:pPr>
        <w:spacing w:after="0" w:line="21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w:t>
      </w:r>
    </w:p>
    <w:p>
      <w:pPr>
        <w:spacing w:after="0" w:line="21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13</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13</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13</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15</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17</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19</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20</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20</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20</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21</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21</w:t>
      </w:r>
    </w:p>
    <w:p>
      <w:pPr>
        <w:sectPr>
          <w:pgSz w:w="11900" w:h="16838" w:orient="portrait"/>
          <w:cols w:equalWidth="0" w:num="2">
            <w:col w:w="8840" w:space="720"/>
            <w:col w:w="1860"/>
          </w:cols>
          <w:pgMar w:left="240" w:top="274"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EXECUTION VERSION</w:t>
            </w:r>
          </w:p>
        </w:tc>
      </w:tr>
      <w:tr>
        <w:trPr>
          <w:trHeight w:val="445"/>
        </w:trPr>
        <w:tc>
          <w:tcPr>
            <w:tcW w:w="1300" w:type="dxa"/>
            <w:vAlign w:val="bottom"/>
          </w:tcPr>
          <w:p>
            <w:pPr>
              <w:ind w:left="220"/>
              <w:spacing w:after="0"/>
              <w:rPr>
                <w:sz w:val="20"/>
                <w:szCs w:val="20"/>
                <w:color w:val="auto"/>
              </w:rPr>
            </w:pPr>
            <w:r>
              <w:rPr>
                <w:rFonts w:ascii="Arial" w:cs="Arial" w:eastAsia="Arial" w:hAnsi="Arial"/>
                <w:sz w:val="18"/>
                <w:szCs w:val="18"/>
                <w:color w:val="auto"/>
              </w:rPr>
              <w:t>Section 4.15.</w:t>
            </w:r>
          </w:p>
        </w:tc>
        <w:tc>
          <w:tcPr>
            <w:tcW w:w="662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Section 4.16.</w:t>
            </w:r>
          </w:p>
        </w:tc>
        <w:tc>
          <w:tcPr>
            <w:tcW w:w="6620" w:type="dxa"/>
            <w:vAlign w:val="bottom"/>
          </w:tcPr>
          <w:p>
            <w:pPr>
              <w:ind w:left="140"/>
              <w:spacing w:after="0"/>
              <w:rPr>
                <w:sz w:val="20"/>
                <w:szCs w:val="20"/>
                <w:color w:val="auto"/>
              </w:rPr>
            </w:pPr>
            <w:r>
              <w:rPr>
                <w:rFonts w:ascii="Arial" w:cs="Arial" w:eastAsia="Arial" w:hAnsi="Arial"/>
                <w:sz w:val="18"/>
                <w:szCs w:val="18"/>
                <w:color w:val="auto"/>
              </w:rPr>
              <w:t>Intellectual Property.</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4.17.   Employee Benefit Plans.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4.18.   Personnel; Labor Relations.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Section 4.19.</w:t>
            </w:r>
          </w:p>
        </w:tc>
        <w:tc>
          <w:tcPr>
            <w:tcW w:w="6620" w:type="dxa"/>
            <w:vAlign w:val="bottom"/>
          </w:tcPr>
          <w:p>
            <w:pPr>
              <w:ind w:left="140"/>
              <w:spacing w:after="0"/>
              <w:rPr>
                <w:sz w:val="20"/>
                <w:szCs w:val="20"/>
                <w:color w:val="auto"/>
              </w:rPr>
            </w:pPr>
            <w:r>
              <w:rPr>
                <w:rFonts w:ascii="Arial" w:cs="Arial" w:eastAsia="Arial" w:hAnsi="Arial"/>
                <w:sz w:val="18"/>
                <w:szCs w:val="18"/>
                <w:color w:val="auto"/>
              </w:rPr>
              <w:t>Environmental Compliance.</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4.20.   Licenses and Permits.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Section 4.21.</w:t>
            </w:r>
          </w:p>
        </w:tc>
        <w:tc>
          <w:tcPr>
            <w:tcW w:w="6620" w:type="dxa"/>
            <w:vAlign w:val="bottom"/>
          </w:tcPr>
          <w:p>
            <w:pPr>
              <w:ind w:left="140"/>
              <w:spacing w:after="0"/>
              <w:rPr>
                <w:sz w:val="20"/>
                <w:szCs w:val="20"/>
                <w:color w:val="auto"/>
              </w:rPr>
            </w:pPr>
            <w:r>
              <w:rPr>
                <w:rFonts w:ascii="Arial" w:cs="Arial" w:eastAsia="Arial" w:hAnsi="Arial"/>
                <w:sz w:val="18"/>
                <w:szCs w:val="18"/>
                <w:color w:val="auto"/>
              </w:rPr>
              <w:t>Insurance; Bonds.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4.22.   Contracts and Commitments.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4.23.   Customers and Suppliers.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4.24.   Compliance with Law.</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Section 4.25.</w:t>
            </w:r>
          </w:p>
        </w:tc>
        <w:tc>
          <w:tcPr>
            <w:tcW w:w="6620" w:type="dxa"/>
            <w:vAlign w:val="bottom"/>
          </w:tcPr>
          <w:p>
            <w:pPr>
              <w:ind w:left="140"/>
              <w:spacing w:after="0"/>
              <w:rPr>
                <w:sz w:val="20"/>
                <w:szCs w:val="20"/>
                <w:color w:val="auto"/>
              </w:rPr>
            </w:pPr>
            <w:r>
              <w:rPr>
                <w:rFonts w:ascii="Arial" w:cs="Arial" w:eastAsia="Arial" w:hAnsi="Arial"/>
                <w:sz w:val="18"/>
                <w:szCs w:val="18"/>
                <w:color w:val="auto"/>
              </w:rPr>
              <w:t>Litigation.</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4.26.   Absence of Certain Business Practices.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4.27.   No Other Agreement to Sell Shares.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4.28.   Relationships With Related Persons.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4.29.   Broker’s and Finder’s Fees.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4.30.   All Material Information.</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Section 4.31.</w:t>
            </w:r>
          </w:p>
        </w:tc>
        <w:tc>
          <w:tcPr>
            <w:tcW w:w="6620" w:type="dxa"/>
            <w:vAlign w:val="bottom"/>
          </w:tcPr>
          <w:p>
            <w:pPr>
              <w:ind w:left="140"/>
              <w:spacing w:after="0"/>
              <w:rPr>
                <w:sz w:val="20"/>
                <w:szCs w:val="20"/>
                <w:color w:val="auto"/>
              </w:rPr>
            </w:pPr>
            <w:r>
              <w:rPr>
                <w:rFonts w:ascii="Arial" w:cs="Arial" w:eastAsia="Arial" w:hAnsi="Arial"/>
                <w:sz w:val="18"/>
                <w:szCs w:val="18"/>
                <w:color w:val="auto"/>
              </w:rPr>
              <w:t>Government Contracts.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30"/>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4.32.   Lower Presidio Claims.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418"/>
        </w:trPr>
        <w:tc>
          <w:tcPr>
            <w:tcW w:w="792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 OF PURCHASER</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Section 5.01.</w:t>
            </w:r>
          </w:p>
        </w:tc>
        <w:tc>
          <w:tcPr>
            <w:tcW w:w="6620" w:type="dxa"/>
            <w:vAlign w:val="bottom"/>
          </w:tcPr>
          <w:p>
            <w:pPr>
              <w:ind w:left="140"/>
              <w:spacing w:after="0"/>
              <w:rPr>
                <w:sz w:val="20"/>
                <w:szCs w:val="20"/>
                <w:color w:val="auto"/>
              </w:rPr>
            </w:pPr>
            <w:r>
              <w:rPr>
                <w:rFonts w:ascii="Arial" w:cs="Arial" w:eastAsia="Arial" w:hAnsi="Arial"/>
                <w:sz w:val="18"/>
                <w:szCs w:val="18"/>
                <w:color w:val="auto"/>
              </w:rPr>
              <w:t>Organization; Power.</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5.02.   Authorization and Validity of Agreement and Related Agreements.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5.03.   No Conflict or Violation.</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5.04.   Approvals and Consents.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30"/>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5.05.   Broker’s and Finder’s Fees.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418"/>
        </w:trPr>
        <w:tc>
          <w:tcPr>
            <w:tcW w:w="7920" w:type="dxa"/>
            <w:vAlign w:val="bottom"/>
            <w:gridSpan w:val="2"/>
          </w:tcPr>
          <w:p>
            <w:pPr>
              <w:spacing w:after="0"/>
              <w:rPr>
                <w:sz w:val="20"/>
                <w:szCs w:val="20"/>
                <w:color w:val="auto"/>
              </w:rPr>
            </w:pPr>
            <w:r>
              <w:rPr>
                <w:rFonts w:ascii="Arial" w:cs="Arial" w:eastAsia="Arial" w:hAnsi="Arial"/>
                <w:sz w:val="18"/>
                <w:szCs w:val="18"/>
                <w:color w:val="auto"/>
              </w:rPr>
              <w:t>ARTICLE VI. INDEMNIFICATION; SET-OFF RIGHTS; SURVIVAL</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6.01.   Indemnification By Sellers.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6.02.   Indemnification by Purchaser, GLDD and the Company.</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6.03.   Indemnification Notice; Litigation Notice.</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6.04.   Defense of Claims.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Section 6.05.</w:t>
            </w:r>
          </w:p>
        </w:tc>
        <w:tc>
          <w:tcPr>
            <w:tcW w:w="6620" w:type="dxa"/>
            <w:vAlign w:val="bottom"/>
          </w:tcPr>
          <w:p>
            <w:pPr>
              <w:ind w:left="140"/>
              <w:spacing w:after="0"/>
              <w:rPr>
                <w:sz w:val="20"/>
                <w:szCs w:val="20"/>
                <w:color w:val="auto"/>
              </w:rPr>
            </w:pPr>
            <w:r>
              <w:rPr>
                <w:rFonts w:ascii="Arial" w:cs="Arial" w:eastAsia="Arial" w:hAnsi="Arial"/>
                <w:sz w:val="18"/>
                <w:szCs w:val="18"/>
                <w:color w:val="auto"/>
              </w:rPr>
              <w:t>Disagreement Notice.</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6.06.   Payment of Losses; Set-off Rights.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Section 6.07.</w:t>
            </w:r>
          </w:p>
        </w:tc>
        <w:tc>
          <w:tcPr>
            <w:tcW w:w="6620" w:type="dxa"/>
            <w:vAlign w:val="bottom"/>
          </w:tcPr>
          <w:p>
            <w:pPr>
              <w:ind w:left="140"/>
              <w:spacing w:after="0"/>
              <w:rPr>
                <w:sz w:val="20"/>
                <w:szCs w:val="20"/>
                <w:color w:val="auto"/>
              </w:rPr>
            </w:pPr>
            <w:r>
              <w:rPr>
                <w:rFonts w:ascii="Arial" w:cs="Arial" w:eastAsia="Arial" w:hAnsi="Arial"/>
                <w:sz w:val="18"/>
                <w:szCs w:val="18"/>
                <w:color w:val="auto"/>
              </w:rPr>
              <w:t>Survival.</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6.08.   Minimum Loss; Maximum Amount of Indemnified Costs.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Section 6.09.   Matters Disclosed on Section 4.25 of the Disclosure Schedules.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30"/>
        </w:trPr>
        <w:tc>
          <w:tcPr>
            <w:tcW w:w="1300" w:type="dxa"/>
            <w:vAlign w:val="bottom"/>
          </w:tcPr>
          <w:p>
            <w:pPr>
              <w:ind w:left="220"/>
              <w:spacing w:after="0"/>
              <w:rPr>
                <w:sz w:val="20"/>
                <w:szCs w:val="20"/>
                <w:color w:val="auto"/>
              </w:rPr>
            </w:pPr>
            <w:r>
              <w:rPr>
                <w:rFonts w:ascii="Arial" w:cs="Arial" w:eastAsia="Arial" w:hAnsi="Arial"/>
                <w:sz w:val="18"/>
                <w:szCs w:val="18"/>
                <w:color w:val="auto"/>
              </w:rPr>
              <w:t>Section 6.10.</w:t>
            </w:r>
          </w:p>
        </w:tc>
        <w:tc>
          <w:tcPr>
            <w:tcW w:w="6620" w:type="dxa"/>
            <w:vAlign w:val="bottom"/>
          </w:tcPr>
          <w:p>
            <w:pPr>
              <w:ind w:left="140"/>
              <w:spacing w:after="0"/>
              <w:rPr>
                <w:sz w:val="20"/>
                <w:szCs w:val="20"/>
                <w:color w:val="auto"/>
              </w:rPr>
            </w:pPr>
            <w:r>
              <w:rPr>
                <w:rFonts w:ascii="Arial" w:cs="Arial" w:eastAsia="Arial" w:hAnsi="Arial"/>
                <w:sz w:val="18"/>
                <w:szCs w:val="18"/>
                <w:color w:val="auto"/>
              </w:rPr>
              <w:t>Exclusive Remedy.</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418"/>
        </w:trPr>
        <w:tc>
          <w:tcPr>
            <w:tcW w:w="7920" w:type="dxa"/>
            <w:vAlign w:val="bottom"/>
            <w:gridSpan w:val="2"/>
          </w:tcPr>
          <w:p>
            <w:pPr>
              <w:spacing w:after="0"/>
              <w:rPr>
                <w:sz w:val="20"/>
                <w:szCs w:val="20"/>
                <w:color w:val="auto"/>
              </w:rPr>
            </w:pPr>
            <w:r>
              <w:rPr>
                <w:rFonts w:ascii="Arial" w:cs="Arial" w:eastAsia="Arial" w:hAnsi="Arial"/>
                <w:sz w:val="18"/>
                <w:szCs w:val="18"/>
                <w:color w:val="auto"/>
              </w:rPr>
              <w:t>ARTICLE VII. RESTRICTIVE COVENANTS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Section 7.01.</w:t>
            </w:r>
          </w:p>
        </w:tc>
        <w:tc>
          <w:tcPr>
            <w:tcW w:w="6620" w:type="dxa"/>
            <w:vAlign w:val="bottom"/>
          </w:tcPr>
          <w:p>
            <w:pPr>
              <w:ind w:left="140"/>
              <w:spacing w:after="0"/>
              <w:rPr>
                <w:sz w:val="20"/>
                <w:szCs w:val="20"/>
                <w:color w:val="auto"/>
              </w:rPr>
            </w:pPr>
            <w:r>
              <w:rPr>
                <w:rFonts w:ascii="Arial" w:cs="Arial" w:eastAsia="Arial" w:hAnsi="Arial"/>
                <w:sz w:val="18"/>
                <w:szCs w:val="18"/>
                <w:color w:val="auto"/>
              </w:rPr>
              <w:t>Confidential Information.</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Section 7.02.</w:t>
            </w:r>
          </w:p>
        </w:tc>
        <w:tc>
          <w:tcPr>
            <w:tcW w:w="6620" w:type="dxa"/>
            <w:vAlign w:val="bottom"/>
          </w:tcPr>
          <w:p>
            <w:pPr>
              <w:ind w:left="140"/>
              <w:spacing w:after="0"/>
              <w:rPr>
                <w:sz w:val="20"/>
                <w:szCs w:val="20"/>
                <w:color w:val="auto"/>
              </w:rPr>
            </w:pPr>
            <w:r>
              <w:rPr>
                <w:rFonts w:ascii="Arial" w:cs="Arial" w:eastAsia="Arial" w:hAnsi="Arial"/>
                <w:sz w:val="18"/>
                <w:szCs w:val="18"/>
                <w:color w:val="auto"/>
              </w:rPr>
              <w:t>Non-Competition.</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Section 7.03.</w:t>
            </w:r>
          </w:p>
        </w:tc>
        <w:tc>
          <w:tcPr>
            <w:tcW w:w="6620" w:type="dxa"/>
            <w:vAlign w:val="bottom"/>
          </w:tcPr>
          <w:p>
            <w:pPr>
              <w:ind w:left="140"/>
              <w:spacing w:after="0"/>
              <w:rPr>
                <w:sz w:val="20"/>
                <w:szCs w:val="20"/>
                <w:color w:val="auto"/>
              </w:rPr>
            </w:pPr>
            <w:r>
              <w:rPr>
                <w:rFonts w:ascii="Arial" w:cs="Arial" w:eastAsia="Arial" w:hAnsi="Arial"/>
                <w:sz w:val="18"/>
                <w:szCs w:val="18"/>
                <w:color w:val="auto"/>
              </w:rPr>
              <w:t>Non-Solicitation.</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Section 7.04.</w:t>
            </w:r>
          </w:p>
        </w:tc>
        <w:tc>
          <w:tcPr>
            <w:tcW w:w="6620" w:type="dxa"/>
            <w:vAlign w:val="bottom"/>
          </w:tcPr>
          <w:p>
            <w:pPr>
              <w:ind w:left="140"/>
              <w:spacing w:after="0"/>
              <w:rPr>
                <w:sz w:val="20"/>
                <w:szCs w:val="20"/>
                <w:color w:val="auto"/>
              </w:rPr>
            </w:pPr>
            <w:r>
              <w:rPr>
                <w:rFonts w:ascii="Arial" w:cs="Arial" w:eastAsia="Arial" w:hAnsi="Arial"/>
                <w:sz w:val="18"/>
                <w:szCs w:val="18"/>
                <w:color w:val="auto"/>
              </w:rPr>
              <w:t>Non-Disparagement.</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30"/>
        </w:trPr>
        <w:tc>
          <w:tcPr>
            <w:tcW w:w="1300" w:type="dxa"/>
            <w:vAlign w:val="bottom"/>
          </w:tcPr>
          <w:p>
            <w:pPr>
              <w:ind w:left="220"/>
              <w:spacing w:after="0"/>
              <w:rPr>
                <w:sz w:val="20"/>
                <w:szCs w:val="20"/>
                <w:color w:val="auto"/>
              </w:rPr>
            </w:pPr>
            <w:r>
              <w:rPr>
                <w:rFonts w:ascii="Arial" w:cs="Arial" w:eastAsia="Arial" w:hAnsi="Arial"/>
                <w:sz w:val="18"/>
                <w:szCs w:val="18"/>
                <w:color w:val="auto"/>
              </w:rPr>
              <w:t>Section 7.05.</w:t>
            </w:r>
          </w:p>
        </w:tc>
        <w:tc>
          <w:tcPr>
            <w:tcW w:w="6620" w:type="dxa"/>
            <w:vAlign w:val="bottom"/>
          </w:tcPr>
          <w:p>
            <w:pPr>
              <w:ind w:left="140"/>
              <w:spacing w:after="0"/>
              <w:rPr>
                <w:sz w:val="20"/>
                <w:szCs w:val="20"/>
                <w:color w:val="auto"/>
              </w:rPr>
            </w:pPr>
            <w:r>
              <w:rPr>
                <w:rFonts w:ascii="Arial" w:cs="Arial" w:eastAsia="Arial" w:hAnsi="Arial"/>
                <w:sz w:val="18"/>
                <w:szCs w:val="18"/>
                <w:color w:val="auto"/>
              </w:rPr>
              <w:t>Remedies.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44</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3660" w:type="dxa"/>
            <w:vAlign w:val="bottom"/>
          </w:tcPr>
          <w:p>
            <w:pPr>
              <w:jc w:val="right"/>
              <w:spacing w:after="0"/>
              <w:rPr>
                <w:sz w:val="20"/>
                <w:szCs w:val="20"/>
                <w:color w:val="auto"/>
              </w:rPr>
            </w:pPr>
            <w:r>
              <w:rPr>
                <w:rFonts w:ascii="Arial" w:cs="Arial" w:eastAsia="Arial" w:hAnsi="Arial"/>
                <w:sz w:val="18"/>
                <w:szCs w:val="18"/>
                <w:color w:val="auto"/>
              </w:rPr>
              <w:t>EXECUTION VERSION</w:t>
            </w:r>
          </w:p>
        </w:tc>
      </w:tr>
      <w:tr>
        <w:trPr>
          <w:trHeight w:val="445"/>
        </w:trPr>
        <w:tc>
          <w:tcPr>
            <w:tcW w:w="7760" w:type="dxa"/>
            <w:vAlign w:val="bottom"/>
            <w:gridSpan w:val="2"/>
          </w:tcPr>
          <w:p>
            <w:pPr>
              <w:spacing w:after="0"/>
              <w:rPr>
                <w:sz w:val="20"/>
                <w:szCs w:val="20"/>
                <w:color w:val="auto"/>
              </w:rPr>
            </w:pPr>
            <w:r>
              <w:rPr>
                <w:rFonts w:ascii="Arial" w:cs="Arial" w:eastAsia="Arial" w:hAnsi="Arial"/>
                <w:sz w:val="18"/>
                <w:szCs w:val="18"/>
                <w:color w:val="auto"/>
              </w:rPr>
              <w:t>ARTICLE VIII. OTHER AGREEMENTS</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Section 8.01.</w:t>
            </w:r>
          </w:p>
        </w:tc>
        <w:tc>
          <w:tcPr>
            <w:tcW w:w="6420" w:type="dxa"/>
            <w:vAlign w:val="bottom"/>
          </w:tcPr>
          <w:p>
            <w:pPr>
              <w:ind w:left="120"/>
              <w:spacing w:after="0"/>
              <w:rPr>
                <w:sz w:val="20"/>
                <w:szCs w:val="20"/>
                <w:color w:val="auto"/>
              </w:rPr>
            </w:pPr>
            <w:r>
              <w:rPr>
                <w:rFonts w:ascii="Arial" w:cs="Arial" w:eastAsia="Arial" w:hAnsi="Arial"/>
                <w:sz w:val="18"/>
                <w:szCs w:val="18"/>
                <w:color w:val="auto"/>
              </w:rPr>
              <w:t>Taxes.</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Section 8.02.</w:t>
            </w:r>
          </w:p>
        </w:tc>
        <w:tc>
          <w:tcPr>
            <w:tcW w:w="6420" w:type="dxa"/>
            <w:vAlign w:val="bottom"/>
          </w:tcPr>
          <w:p>
            <w:pPr>
              <w:ind w:left="120"/>
              <w:spacing w:after="0"/>
              <w:rPr>
                <w:sz w:val="20"/>
                <w:szCs w:val="20"/>
                <w:color w:val="auto"/>
              </w:rPr>
            </w:pPr>
            <w:r>
              <w:rPr>
                <w:rFonts w:ascii="Arial" w:cs="Arial" w:eastAsia="Arial" w:hAnsi="Arial"/>
                <w:sz w:val="18"/>
                <w:szCs w:val="18"/>
                <w:color w:val="auto"/>
              </w:rPr>
              <w:t>Cooperation on Tax Matters.</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Section 8.03.</w:t>
            </w:r>
          </w:p>
        </w:tc>
        <w:tc>
          <w:tcPr>
            <w:tcW w:w="6420" w:type="dxa"/>
            <w:vAlign w:val="bottom"/>
          </w:tcPr>
          <w:p>
            <w:pPr>
              <w:ind w:left="120"/>
              <w:spacing w:after="0"/>
              <w:rPr>
                <w:sz w:val="20"/>
                <w:szCs w:val="20"/>
                <w:color w:val="auto"/>
              </w:rPr>
            </w:pPr>
            <w:r>
              <w:rPr>
                <w:rFonts w:ascii="Arial" w:cs="Arial" w:eastAsia="Arial" w:hAnsi="Arial"/>
                <w:sz w:val="18"/>
                <w:szCs w:val="18"/>
                <w:color w:val="auto"/>
              </w:rPr>
              <w:t>Preparation of Tax Returns.</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30"/>
        </w:trPr>
        <w:tc>
          <w:tcPr>
            <w:tcW w:w="1340" w:type="dxa"/>
            <w:vAlign w:val="bottom"/>
          </w:tcPr>
          <w:p>
            <w:pPr>
              <w:ind w:left="220"/>
              <w:spacing w:after="0"/>
              <w:rPr>
                <w:sz w:val="20"/>
                <w:szCs w:val="20"/>
                <w:color w:val="auto"/>
              </w:rPr>
            </w:pPr>
            <w:r>
              <w:rPr>
                <w:rFonts w:ascii="Arial" w:cs="Arial" w:eastAsia="Arial" w:hAnsi="Arial"/>
                <w:sz w:val="18"/>
                <w:szCs w:val="18"/>
                <w:color w:val="auto"/>
              </w:rPr>
              <w:t>Section 8.04.</w:t>
            </w:r>
          </w:p>
        </w:tc>
        <w:tc>
          <w:tcPr>
            <w:tcW w:w="6420" w:type="dxa"/>
            <w:vAlign w:val="bottom"/>
          </w:tcPr>
          <w:p>
            <w:pPr>
              <w:ind w:left="120"/>
              <w:spacing w:after="0"/>
              <w:rPr>
                <w:sz w:val="20"/>
                <w:szCs w:val="20"/>
                <w:color w:val="auto"/>
              </w:rPr>
            </w:pPr>
            <w:r>
              <w:rPr>
                <w:rFonts w:ascii="Arial" w:cs="Arial" w:eastAsia="Arial" w:hAnsi="Arial"/>
                <w:sz w:val="18"/>
                <w:szCs w:val="18"/>
                <w:color w:val="auto"/>
              </w:rPr>
              <w:t>Tax Contests.</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432"/>
        </w:trPr>
        <w:tc>
          <w:tcPr>
            <w:tcW w:w="7760" w:type="dxa"/>
            <w:vAlign w:val="bottom"/>
            <w:gridSpan w:val="2"/>
          </w:tcPr>
          <w:p>
            <w:pPr>
              <w:spacing w:after="0"/>
              <w:rPr>
                <w:sz w:val="20"/>
                <w:szCs w:val="20"/>
                <w:color w:val="auto"/>
              </w:rPr>
            </w:pPr>
            <w:r>
              <w:rPr>
                <w:rFonts w:ascii="Arial" w:cs="Arial" w:eastAsia="Arial" w:hAnsi="Arial"/>
                <w:sz w:val="18"/>
                <w:szCs w:val="18"/>
                <w:color w:val="auto"/>
              </w:rPr>
              <w:t>ARTICLE IX. DEFINITIONS</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418"/>
        </w:trPr>
        <w:tc>
          <w:tcPr>
            <w:tcW w:w="776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Section 10.01.</w:t>
            </w:r>
          </w:p>
        </w:tc>
        <w:tc>
          <w:tcPr>
            <w:tcW w:w="6420" w:type="dxa"/>
            <w:vAlign w:val="bottom"/>
          </w:tcPr>
          <w:p>
            <w:pPr>
              <w:ind w:left="120"/>
              <w:spacing w:after="0"/>
              <w:rPr>
                <w:sz w:val="20"/>
                <w:szCs w:val="20"/>
                <w:color w:val="auto"/>
              </w:rPr>
            </w:pPr>
            <w:r>
              <w:rPr>
                <w:rFonts w:ascii="Arial" w:cs="Arial" w:eastAsia="Arial" w:hAnsi="Arial"/>
                <w:sz w:val="18"/>
                <w:szCs w:val="18"/>
                <w:color w:val="auto"/>
              </w:rPr>
              <w:t>Public Announcements.</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Section 10.02.</w:t>
            </w:r>
          </w:p>
        </w:tc>
        <w:tc>
          <w:tcPr>
            <w:tcW w:w="6420" w:type="dxa"/>
            <w:vAlign w:val="bottom"/>
          </w:tcPr>
          <w:p>
            <w:pPr>
              <w:ind w:left="120"/>
              <w:spacing w:after="0"/>
              <w:rPr>
                <w:sz w:val="20"/>
                <w:szCs w:val="20"/>
                <w:color w:val="auto"/>
              </w:rPr>
            </w:pPr>
            <w:r>
              <w:rPr>
                <w:rFonts w:ascii="Arial" w:cs="Arial" w:eastAsia="Arial" w:hAnsi="Arial"/>
                <w:sz w:val="18"/>
                <w:szCs w:val="18"/>
                <w:color w:val="auto"/>
              </w:rPr>
              <w:t>Costs and Expenses.</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Section 10.03.</w:t>
            </w:r>
          </w:p>
        </w:tc>
        <w:tc>
          <w:tcPr>
            <w:tcW w:w="6420" w:type="dxa"/>
            <w:vAlign w:val="bottom"/>
          </w:tcPr>
          <w:p>
            <w:pPr>
              <w:ind w:left="120"/>
              <w:spacing w:after="0"/>
              <w:rPr>
                <w:sz w:val="20"/>
                <w:szCs w:val="20"/>
                <w:color w:val="auto"/>
              </w:rPr>
            </w:pPr>
            <w:r>
              <w:rPr>
                <w:rFonts w:ascii="Arial" w:cs="Arial" w:eastAsia="Arial" w:hAnsi="Arial"/>
                <w:sz w:val="18"/>
                <w:szCs w:val="18"/>
                <w:color w:val="auto"/>
              </w:rPr>
              <w:t>Further Assurances.</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Section 10.04.</w:t>
            </w:r>
          </w:p>
        </w:tc>
        <w:tc>
          <w:tcPr>
            <w:tcW w:w="6420" w:type="dxa"/>
            <w:vAlign w:val="bottom"/>
          </w:tcPr>
          <w:p>
            <w:pPr>
              <w:ind w:left="120"/>
              <w:spacing w:after="0"/>
              <w:rPr>
                <w:sz w:val="20"/>
                <w:szCs w:val="20"/>
                <w:color w:val="auto"/>
              </w:rPr>
            </w:pPr>
            <w:r>
              <w:rPr>
                <w:rFonts w:ascii="Arial" w:cs="Arial" w:eastAsia="Arial" w:hAnsi="Arial"/>
                <w:sz w:val="18"/>
                <w:szCs w:val="18"/>
                <w:color w:val="auto"/>
              </w:rPr>
              <w:t>Addresses for Notices, Etc.</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Section 10.05.</w:t>
            </w:r>
          </w:p>
        </w:tc>
        <w:tc>
          <w:tcPr>
            <w:tcW w:w="6420" w:type="dxa"/>
            <w:vAlign w:val="bottom"/>
          </w:tcPr>
          <w:p>
            <w:pPr>
              <w:ind w:left="120"/>
              <w:spacing w:after="0"/>
              <w:rPr>
                <w:sz w:val="20"/>
                <w:szCs w:val="20"/>
                <w:color w:val="auto"/>
              </w:rPr>
            </w:pPr>
            <w:r>
              <w:rPr>
                <w:rFonts w:ascii="Arial" w:cs="Arial" w:eastAsia="Arial" w:hAnsi="Arial"/>
                <w:sz w:val="18"/>
                <w:szCs w:val="18"/>
                <w:color w:val="auto"/>
              </w:rPr>
              <w:t>Headings.</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Section 10.06.</w:t>
            </w:r>
          </w:p>
        </w:tc>
        <w:tc>
          <w:tcPr>
            <w:tcW w:w="6420" w:type="dxa"/>
            <w:vAlign w:val="bottom"/>
          </w:tcPr>
          <w:p>
            <w:pPr>
              <w:ind w:left="120"/>
              <w:spacing w:after="0"/>
              <w:rPr>
                <w:sz w:val="20"/>
                <w:szCs w:val="20"/>
                <w:color w:val="auto"/>
              </w:rPr>
            </w:pPr>
            <w:r>
              <w:rPr>
                <w:rFonts w:ascii="Arial" w:cs="Arial" w:eastAsia="Arial" w:hAnsi="Arial"/>
                <w:sz w:val="18"/>
                <w:szCs w:val="18"/>
                <w:color w:val="auto"/>
              </w:rPr>
              <w:t>Construction.</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Section 10.07.</w:t>
            </w:r>
          </w:p>
        </w:tc>
        <w:tc>
          <w:tcPr>
            <w:tcW w:w="642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Section 10.08.</w:t>
            </w:r>
          </w:p>
        </w:tc>
        <w:tc>
          <w:tcPr>
            <w:tcW w:w="6420" w:type="dxa"/>
            <w:vAlign w:val="bottom"/>
          </w:tcPr>
          <w:p>
            <w:pPr>
              <w:ind w:left="120"/>
              <w:spacing w:after="0"/>
              <w:rPr>
                <w:sz w:val="20"/>
                <w:szCs w:val="20"/>
                <w:color w:val="auto"/>
              </w:rPr>
            </w:pPr>
            <w:r>
              <w:rPr>
                <w:rFonts w:ascii="Arial" w:cs="Arial" w:eastAsia="Arial" w:hAnsi="Arial"/>
                <w:sz w:val="18"/>
                <w:szCs w:val="18"/>
                <w:color w:val="auto"/>
              </w:rPr>
              <w:t>Entire Agreement and Amendment.</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Section 10.09.</w:t>
            </w:r>
          </w:p>
        </w:tc>
        <w:tc>
          <w:tcPr>
            <w:tcW w:w="6420" w:type="dxa"/>
            <w:vAlign w:val="bottom"/>
          </w:tcPr>
          <w:p>
            <w:pPr>
              <w:ind w:left="120"/>
              <w:spacing w:after="0"/>
              <w:rPr>
                <w:sz w:val="20"/>
                <w:szCs w:val="20"/>
                <w:color w:val="auto"/>
              </w:rPr>
            </w:pPr>
            <w:r>
              <w:rPr>
                <w:rFonts w:ascii="Arial" w:cs="Arial" w:eastAsia="Arial" w:hAnsi="Arial"/>
                <w:sz w:val="18"/>
                <w:szCs w:val="18"/>
                <w:color w:val="auto"/>
              </w:rPr>
              <w:t>No Waiver; Cumulative Remedies.</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Section 10.10.</w:t>
            </w:r>
          </w:p>
        </w:tc>
        <w:tc>
          <w:tcPr>
            <w:tcW w:w="6420" w:type="dxa"/>
            <w:vAlign w:val="bottom"/>
          </w:tcPr>
          <w:p>
            <w:pPr>
              <w:ind w:left="120"/>
              <w:spacing w:after="0"/>
              <w:rPr>
                <w:sz w:val="20"/>
                <w:szCs w:val="20"/>
                <w:color w:val="auto"/>
              </w:rPr>
            </w:pPr>
            <w:r>
              <w:rPr>
                <w:rFonts w:ascii="Arial" w:cs="Arial" w:eastAsia="Arial" w:hAnsi="Arial"/>
                <w:sz w:val="18"/>
                <w:szCs w:val="18"/>
                <w:color w:val="auto"/>
              </w:rPr>
              <w:t>Parties in Interest.</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Section 10.11.</w:t>
            </w:r>
          </w:p>
        </w:tc>
        <w:tc>
          <w:tcPr>
            <w:tcW w:w="6420" w:type="dxa"/>
            <w:vAlign w:val="bottom"/>
          </w:tcPr>
          <w:p>
            <w:pPr>
              <w:ind w:left="120"/>
              <w:spacing w:after="0"/>
              <w:rPr>
                <w:sz w:val="20"/>
                <w:szCs w:val="20"/>
                <w:color w:val="auto"/>
              </w:rPr>
            </w:pPr>
            <w:r>
              <w:rPr>
                <w:rFonts w:ascii="Arial" w:cs="Arial" w:eastAsia="Arial" w:hAnsi="Arial"/>
                <w:sz w:val="18"/>
                <w:szCs w:val="18"/>
                <w:color w:val="auto"/>
              </w:rPr>
              <w:t>Successors and Assigns; Assignment.</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Section 10.12.</w:t>
            </w:r>
          </w:p>
        </w:tc>
        <w:tc>
          <w:tcPr>
            <w:tcW w:w="6420" w:type="dxa"/>
            <w:vAlign w:val="bottom"/>
          </w:tcPr>
          <w:p>
            <w:pPr>
              <w:ind w:left="120"/>
              <w:spacing w:after="0"/>
              <w:rPr>
                <w:sz w:val="20"/>
                <w:szCs w:val="20"/>
                <w:color w:val="auto"/>
              </w:rPr>
            </w:pPr>
            <w:r>
              <w:rPr>
                <w:rFonts w:ascii="Arial" w:cs="Arial" w:eastAsia="Arial" w:hAnsi="Arial"/>
                <w:sz w:val="18"/>
                <w:szCs w:val="18"/>
                <w:color w:val="auto"/>
              </w:rPr>
              <w:t>Governing Law; Dispute Resolution; Jurisdiction and Venue.</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Section 10.13.</w:t>
            </w:r>
          </w:p>
        </w:tc>
        <w:tc>
          <w:tcPr>
            <w:tcW w:w="6420" w:type="dxa"/>
            <w:vAlign w:val="bottom"/>
          </w:tcPr>
          <w:p>
            <w:pPr>
              <w:ind w:left="120"/>
              <w:spacing w:after="0"/>
              <w:rPr>
                <w:sz w:val="20"/>
                <w:szCs w:val="20"/>
                <w:color w:val="auto"/>
              </w:rPr>
            </w:pPr>
            <w:r>
              <w:rPr>
                <w:rFonts w:ascii="Arial" w:cs="Arial" w:eastAsia="Arial" w:hAnsi="Arial"/>
                <w:sz w:val="18"/>
                <w:szCs w:val="18"/>
                <w:color w:val="auto"/>
              </w:rPr>
              <w:t>Waiver of Jury Trial.</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Section 10.14.</w:t>
            </w:r>
          </w:p>
        </w:tc>
        <w:tc>
          <w:tcPr>
            <w:tcW w:w="642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Section 10.15.</w:t>
            </w:r>
          </w:p>
        </w:tc>
        <w:tc>
          <w:tcPr>
            <w:tcW w:w="6420" w:type="dxa"/>
            <w:vAlign w:val="bottom"/>
          </w:tcPr>
          <w:p>
            <w:pPr>
              <w:ind w:left="120"/>
              <w:spacing w:after="0"/>
              <w:rPr>
                <w:sz w:val="20"/>
                <w:szCs w:val="20"/>
                <w:color w:val="auto"/>
              </w:rPr>
            </w:pPr>
            <w:r>
              <w:rPr>
                <w:rFonts w:ascii="Arial" w:cs="Arial" w:eastAsia="Arial" w:hAnsi="Arial"/>
                <w:sz w:val="18"/>
                <w:szCs w:val="18"/>
                <w:color w:val="auto"/>
              </w:rPr>
              <w:t>Survival of Representations and Warranties.</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Section 10.16.</w:t>
            </w:r>
          </w:p>
        </w:tc>
        <w:tc>
          <w:tcPr>
            <w:tcW w:w="6420" w:type="dxa"/>
            <w:vAlign w:val="bottom"/>
          </w:tcPr>
          <w:p>
            <w:pPr>
              <w:ind w:left="120"/>
              <w:spacing w:after="0"/>
              <w:rPr>
                <w:sz w:val="20"/>
                <w:szCs w:val="20"/>
                <w:color w:val="auto"/>
              </w:rPr>
            </w:pPr>
            <w:r>
              <w:rPr>
                <w:rFonts w:ascii="Arial" w:cs="Arial" w:eastAsia="Arial" w:hAnsi="Arial"/>
                <w:sz w:val="18"/>
                <w:szCs w:val="18"/>
                <w:color w:val="auto"/>
              </w:rPr>
              <w:t>Seller Representative.</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Section 10.17.</w:t>
            </w:r>
          </w:p>
        </w:tc>
        <w:tc>
          <w:tcPr>
            <w:tcW w:w="6420" w:type="dxa"/>
            <w:vAlign w:val="bottom"/>
          </w:tcPr>
          <w:p>
            <w:pPr>
              <w:ind w:left="120"/>
              <w:spacing w:after="0"/>
              <w:rPr>
                <w:sz w:val="20"/>
                <w:szCs w:val="20"/>
                <w:color w:val="auto"/>
              </w:rPr>
            </w:pPr>
            <w:r>
              <w:rPr>
                <w:rFonts w:ascii="Arial" w:cs="Arial" w:eastAsia="Arial" w:hAnsi="Arial"/>
                <w:sz w:val="18"/>
                <w:szCs w:val="18"/>
                <w:color w:val="auto"/>
              </w:rPr>
              <w:t>Table of Contents and Captions.</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30"/>
        </w:trPr>
        <w:tc>
          <w:tcPr>
            <w:tcW w:w="1340" w:type="dxa"/>
            <w:vAlign w:val="bottom"/>
          </w:tcPr>
          <w:p>
            <w:pPr>
              <w:ind w:left="220"/>
              <w:spacing w:after="0"/>
              <w:rPr>
                <w:sz w:val="20"/>
                <w:szCs w:val="20"/>
                <w:color w:val="auto"/>
              </w:rPr>
            </w:pPr>
            <w:r>
              <w:rPr>
                <w:rFonts w:ascii="Arial" w:cs="Arial" w:eastAsia="Arial" w:hAnsi="Arial"/>
                <w:sz w:val="18"/>
                <w:szCs w:val="18"/>
                <w:color w:val="auto"/>
                <w:w w:val="95"/>
              </w:rPr>
              <w:t>Section 10.18.</w:t>
            </w:r>
          </w:p>
        </w:tc>
        <w:tc>
          <w:tcPr>
            <w:tcW w:w="6420" w:type="dxa"/>
            <w:vAlign w:val="bottom"/>
          </w:tcPr>
          <w:p>
            <w:pPr>
              <w:ind w:left="120"/>
              <w:spacing w:after="0"/>
              <w:rPr>
                <w:sz w:val="20"/>
                <w:szCs w:val="20"/>
                <w:color w:val="auto"/>
              </w:rPr>
            </w:pPr>
            <w:r>
              <w:rPr>
                <w:rFonts w:ascii="Arial" w:cs="Arial" w:eastAsia="Arial" w:hAnsi="Arial"/>
                <w:sz w:val="18"/>
                <w:szCs w:val="18"/>
                <w:color w:val="auto"/>
              </w:rPr>
              <w:t>Schedules, Exhibits and Certificates; Knowledge of Purchaser.</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65</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420"/>
          </w:cols>
          <w:pgMar w:left="240" w:top="27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PURCHASE AGREEMENT</w:t>
      </w:r>
    </w:p>
    <w:p>
      <w:pPr>
        <w:spacing w:after="0" w:line="22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color w:val="auto"/>
        </w:rPr>
        <w:t xml:space="preserve">THIS SHARE PURCHASE AGREEMENT </w:t>
      </w: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the 4</w:t>
      </w:r>
      <w:r>
        <w:rPr>
          <w:rFonts w:ascii="Arial" w:cs="Arial" w:eastAsia="Arial" w:hAnsi="Arial"/>
          <w:sz w:val="13"/>
          <w:szCs w:val="13"/>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November, 2014 is by and among GREAT LAKES</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ENVIRONMENTAL AND INFRASTRUCTURE SOLUTIONS, LLC, a Delaware limited liability company (“</w:t>
      </w:r>
      <w:r>
        <w:rPr>
          <w:rFonts w:ascii="Arial" w:cs="Arial" w:eastAsia="Arial" w:hAnsi="Arial"/>
          <w:sz w:val="16"/>
          <w:szCs w:val="16"/>
          <w:u w:val="single" w:color="auto"/>
          <w:color w:val="auto"/>
        </w:rPr>
        <w:t>Purchaser</w:t>
      </w:r>
      <w:r>
        <w:rPr>
          <w:rFonts w:ascii="Arial" w:cs="Arial" w:eastAsia="Arial" w:hAnsi="Arial"/>
          <w:sz w:val="16"/>
          <w:szCs w:val="16"/>
          <w:color w:val="auto"/>
        </w:rPr>
        <w:t>”), and MAGNUS PACIFIC CORPORATION, a California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the sellers identified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(collectively, the “</w:t>
      </w:r>
      <w:r>
        <w:rPr>
          <w:rFonts w:ascii="Arial" w:cs="Arial" w:eastAsia="Arial" w:hAnsi="Arial"/>
          <w:sz w:val="16"/>
          <w:szCs w:val="16"/>
          <w:u w:val="single" w:color="auto"/>
          <w:color w:val="auto"/>
        </w:rPr>
        <w:t>Sellers</w:t>
      </w:r>
      <w:r>
        <w:rPr>
          <w:rFonts w:ascii="Arial" w:cs="Arial" w:eastAsia="Arial" w:hAnsi="Arial"/>
          <w:sz w:val="16"/>
          <w:szCs w:val="16"/>
          <w:color w:val="auto"/>
        </w:rPr>
        <w:t>”), (collectively, the “</w:t>
      </w:r>
      <w:r>
        <w:rPr>
          <w:rFonts w:ascii="Arial" w:cs="Arial" w:eastAsia="Arial" w:hAnsi="Arial"/>
          <w:sz w:val="16"/>
          <w:szCs w:val="16"/>
          <w:u w:val="single" w:color="auto"/>
          <w:color w:val="auto"/>
        </w:rPr>
        <w:t>Sellers</w:t>
      </w:r>
      <w:r>
        <w:rPr>
          <w:rFonts w:ascii="Arial" w:cs="Arial" w:eastAsia="Arial" w:hAnsi="Arial"/>
          <w:sz w:val="16"/>
          <w:szCs w:val="16"/>
          <w:color w:val="auto"/>
        </w:rPr>
        <w:t>” and individually, a “</w:t>
      </w:r>
      <w:r>
        <w:rPr>
          <w:rFonts w:ascii="Arial" w:cs="Arial" w:eastAsia="Arial" w:hAnsi="Arial"/>
          <w:sz w:val="16"/>
          <w:szCs w:val="16"/>
          <w:u w:val="single" w:color="auto"/>
          <w:color w:val="auto"/>
        </w:rPr>
        <w:t>Seller</w:t>
      </w:r>
      <w:r>
        <w:rPr>
          <w:rFonts w:ascii="Arial" w:cs="Arial" w:eastAsia="Arial" w:hAnsi="Arial"/>
          <w:sz w:val="16"/>
          <w:szCs w:val="16"/>
          <w:color w:val="auto"/>
        </w:rPr>
        <w:t>”), and, solely for purposes of Section 1.04 and Section 6.02(c), Great Lakes Dredge &amp; Dock Corporation, a Delaware corporation (“</w:t>
      </w:r>
      <w:r>
        <w:rPr>
          <w:rFonts w:ascii="Arial" w:cs="Arial" w:eastAsia="Arial" w:hAnsi="Arial"/>
          <w:sz w:val="16"/>
          <w:szCs w:val="16"/>
          <w:u w:val="single" w:color="auto"/>
          <w:color w:val="auto"/>
        </w:rPr>
        <w:t>GLDD</w:t>
      </w:r>
      <w:r>
        <w:rPr>
          <w:rFonts w:ascii="Arial" w:cs="Arial" w:eastAsia="Arial" w:hAnsi="Arial"/>
          <w:sz w:val="16"/>
          <w:szCs w:val="16"/>
          <w:color w:val="auto"/>
        </w:rPr>
        <w:t>”). Purchaser and Sellers are herein after referred to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117" w:lineRule="exact"/>
        <w:rPr>
          <w:sz w:val="20"/>
          <w:szCs w:val="20"/>
          <w:color w:val="auto"/>
        </w:rPr>
      </w:pPr>
    </w:p>
    <w:p>
      <w:pPr>
        <w:ind w:right="66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is engaged in the business of environmental remediation, geotechnical construction, demolition, and sediments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wetlands construction (the “</w:t>
      </w:r>
      <w:r>
        <w:rPr>
          <w:rFonts w:ascii="Arial" w:cs="Arial" w:eastAsia="Arial" w:hAnsi="Arial"/>
          <w:sz w:val="18"/>
          <w:szCs w:val="18"/>
          <w:u w:val="single" w:color="auto"/>
          <w:color w:val="auto"/>
        </w:rPr>
        <w:t>Business</w:t>
      </w:r>
      <w:r>
        <w:rPr>
          <w:rFonts w:ascii="Arial" w:cs="Arial" w:eastAsia="Arial" w:hAnsi="Arial"/>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Sellers own the respective number and type of shares of the Company set forth on Exhibit A (collectively,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Purchaser desires to purchase from Sellers, and Sellers desire to sell to Purchaser, the Shares upon the terms and subject to the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this Agreement;</w:t>
      </w:r>
    </w:p>
    <w:p>
      <w:pPr>
        <w:spacing w:after="0" w:line="162"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simultaneously with the closing of the transactions contemplated by this Agreement, GLDD and each Seller will enter into a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 Award Agreement (as defined herein); and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capitalized terms used but not otherwise defined shall have the meanings ascribed to them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IX</w:t>
      </w:r>
      <w:r>
        <w:rPr>
          <w:rFonts w:ascii="Arial" w:cs="Arial" w:eastAsia="Arial" w:hAnsi="Arial"/>
          <w:sz w:val="18"/>
          <w:szCs w:val="18"/>
          <w:b w:val="1"/>
          <w:bCs w:val="1"/>
          <w:color w:val="auto"/>
        </w:rPr>
        <w:t xml:space="preserve"> </w:t>
      </w:r>
      <w:r>
        <w:rPr>
          <w:rFonts w:ascii="Arial" w:cs="Arial" w:eastAsia="Arial" w:hAnsi="Arial"/>
          <w:sz w:val="18"/>
          <w:szCs w:val="18"/>
          <w:color w:val="auto"/>
        </w:rPr>
        <w:t>hereto.</w:t>
      </w:r>
    </w:p>
    <w:p>
      <w:pPr>
        <w:spacing w:after="0" w:line="225" w:lineRule="exact"/>
        <w:rPr>
          <w:sz w:val="20"/>
          <w:szCs w:val="20"/>
          <w:color w:val="auto"/>
        </w:rPr>
      </w:pPr>
    </w:p>
    <w:p>
      <w:pPr>
        <w:jc w:val="both"/>
        <w:ind w:right="440" w:firstLine="456"/>
        <w:spacing w:after="0" w:line="266"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foregoing and the mutual covenants and promises contained in this Agreement and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the Parties hereto, intending to be legally bound, hereby agree as follows: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PURCHASE AND SALE OF THE SHARES</w:t>
      </w:r>
    </w:p>
    <w:p>
      <w:pPr>
        <w:spacing w:after="0" w:line="207" w:lineRule="exact"/>
        <w:rPr>
          <w:sz w:val="20"/>
          <w:szCs w:val="20"/>
          <w:color w:val="auto"/>
        </w:rPr>
      </w:pPr>
    </w:p>
    <w:p>
      <w:pPr>
        <w:ind w:right="560" w:firstLine="913"/>
        <w:spacing w:after="0" w:line="314" w:lineRule="auto"/>
        <w:rPr>
          <w:sz w:val="20"/>
          <w:szCs w:val="20"/>
          <w:color w:val="auto"/>
        </w:rPr>
      </w:pPr>
      <w:r>
        <w:rPr>
          <w:rFonts w:ascii="Arial" w:cs="Arial" w:eastAsia="Arial" w:hAnsi="Arial"/>
          <w:sz w:val="16"/>
          <w:szCs w:val="16"/>
          <w:b w:val="1"/>
          <w:bCs w:val="1"/>
          <w:u w:val="single" w:color="auto"/>
          <w:color w:val="auto"/>
        </w:rPr>
        <w:t>Section 1.01.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terms and subject to the conditions set forth in this Agreement and on the basis of the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warranties, covenants and agreements herein contained, at the Closing Purchaser shall purchase, acquire and accept from Sellers, and Sellers shall sell, transfer, assign, convey and deliver to Purchaser, all of the right, title and interests in and to the Shares, free and clear of all Encumbrances.</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0" w:lineRule="exact"/>
        <w:rPr>
          <w:sz w:val="20"/>
          <w:szCs w:val="20"/>
          <w:color w:val="auto"/>
        </w:rPr>
      </w:pPr>
    </w:p>
    <w:p>
      <w:pPr>
        <w:ind w:right="280" w:firstLine="913"/>
        <w:spacing w:after="0" w:line="266" w:lineRule="auto"/>
        <w:rPr>
          <w:sz w:val="20"/>
          <w:szCs w:val="20"/>
          <w:color w:val="auto"/>
        </w:rPr>
      </w:pPr>
      <w:r>
        <w:rPr>
          <w:rFonts w:ascii="Arial" w:cs="Arial" w:eastAsia="Arial" w:hAnsi="Arial"/>
          <w:sz w:val="18"/>
          <w:szCs w:val="18"/>
          <w:b w:val="1"/>
          <w:bCs w:val="1"/>
          <w:u w:val="single" w:color="auto"/>
          <w:color w:val="auto"/>
        </w:rPr>
        <w:t>Section 1.02. 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aggregate consideration (the “</w:t>
      </w:r>
      <w:r>
        <w:rPr>
          <w:rFonts w:ascii="Arial" w:cs="Arial" w:eastAsia="Arial" w:hAnsi="Arial"/>
          <w:sz w:val="18"/>
          <w:szCs w:val="18"/>
          <w:u w:val="single" w:color="auto"/>
          <w:color w:val="auto"/>
        </w:rPr>
        <w:t>Purchase Price</w:t>
      </w:r>
      <w:r>
        <w:rPr>
          <w:rFonts w:ascii="Arial" w:cs="Arial" w:eastAsia="Arial" w:hAnsi="Arial"/>
          <w:sz w:val="18"/>
          <w:szCs w:val="18"/>
          <w:color w:val="auto"/>
        </w:rPr>
        <w:t>”) to be paid by Purchaser to Sellers for the Shares,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adjustment as provided in </w:t>
      </w:r>
      <w:r>
        <w:rPr>
          <w:rFonts w:ascii="Arial" w:cs="Arial" w:eastAsia="Arial" w:hAnsi="Arial"/>
          <w:sz w:val="18"/>
          <w:szCs w:val="18"/>
          <w:u w:val="single" w:color="auto"/>
          <w:color w:val="auto"/>
        </w:rPr>
        <w:t>Sections 1.03 and 1.04</w:t>
      </w:r>
      <w:r>
        <w:rPr>
          <w:rFonts w:ascii="Arial" w:cs="Arial" w:eastAsia="Arial" w:hAnsi="Arial"/>
          <w:sz w:val="18"/>
          <w:szCs w:val="18"/>
          <w:color w:val="auto"/>
        </w:rPr>
        <w:t xml:space="preserve"> below, and additional payments as provided in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below, shall be payable as follows (and as provided in </w:t>
      </w:r>
      <w:r>
        <w:rPr>
          <w:rFonts w:ascii="Arial" w:cs="Arial" w:eastAsia="Arial" w:hAnsi="Arial"/>
          <w:sz w:val="18"/>
          <w:szCs w:val="18"/>
          <w:u w:val="single" w:color="auto"/>
          <w:color w:val="auto"/>
        </w:rPr>
        <w:t>Sections 1.03, 1.04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w:t>
      </w:r>
      <w:r>
        <w:rPr>
          <w:rFonts w:ascii="Arial" w:cs="Arial" w:eastAsia="Arial" w:hAnsi="Arial"/>
          <w:sz w:val="18"/>
          <w:szCs w:val="18"/>
          <w:color w:val="auto"/>
        </w:rPr>
        <w:t>):</w:t>
      </w:r>
    </w:p>
    <w:p>
      <w:pPr>
        <w:spacing w:after="0" w:line="72" w:lineRule="exact"/>
        <w:rPr>
          <w:sz w:val="20"/>
          <w:szCs w:val="20"/>
          <w:color w:val="auto"/>
        </w:rPr>
      </w:pPr>
    </w:p>
    <w:p>
      <w:pPr>
        <w:ind w:left="920" w:right="640" w:firstLine="421"/>
        <w:spacing w:after="0" w:line="342" w:lineRule="auto"/>
        <w:tabs>
          <w:tab w:leader="none" w:pos="1585" w:val="left"/>
        </w:tabs>
        <w:numPr>
          <w:ilvl w:val="0"/>
          <w:numId w:val="6"/>
        </w:numPr>
        <w:rPr>
          <w:rFonts w:ascii="Arial" w:cs="Arial" w:eastAsia="Arial" w:hAnsi="Arial"/>
          <w:sz w:val="16"/>
          <w:szCs w:val="16"/>
          <w:color w:val="auto"/>
        </w:rPr>
      </w:pPr>
      <w:r>
        <w:rPr>
          <w:rFonts w:ascii="Arial" w:cs="Arial" w:eastAsia="Arial" w:hAnsi="Arial"/>
          <w:sz w:val="16"/>
          <w:szCs w:val="16"/>
          <w:color w:val="auto"/>
        </w:rPr>
        <w:t>TWENTY FIVE MILLION and NO/100s DOLLARS ($25,000,000.00), payable at the Closing by wire transfer of immediately available funds to an account designated in writing by Sellers prior to or at the time of Closing (the “</w:t>
      </w:r>
      <w:r>
        <w:rPr>
          <w:rFonts w:ascii="Arial" w:cs="Arial" w:eastAsia="Arial" w:hAnsi="Arial"/>
          <w:sz w:val="16"/>
          <w:szCs w:val="16"/>
          <w:u w:val="single" w:color="auto"/>
          <w:color w:val="auto"/>
        </w:rPr>
        <w:t>Closing Cash Payment</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1600" w:hanging="259"/>
        <w:spacing w:after="0"/>
        <w:tabs>
          <w:tab w:leader="none" w:pos="1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or minus, as the case may be, the amount by which the Final Working Capital is less than or greater than the Target Working</w:t>
      </w:r>
    </w:p>
    <w:p>
      <w:pPr>
        <w:spacing w:after="0" w:line="34"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8"/>
          <w:szCs w:val="18"/>
          <w:color w:val="auto"/>
        </w:rPr>
        <w:t>Capital;</w:t>
      </w:r>
    </w:p>
    <w:p>
      <w:pPr>
        <w:spacing w:after="0" w:line="102" w:lineRule="exact"/>
        <w:rPr>
          <w:rFonts w:ascii="Arial" w:cs="Arial" w:eastAsia="Arial" w:hAnsi="Arial"/>
          <w:sz w:val="17"/>
          <w:szCs w:val="17"/>
          <w:color w:val="auto"/>
        </w:rPr>
      </w:pPr>
    </w:p>
    <w:p>
      <w:pPr>
        <w:ind w:left="1580" w:hanging="239"/>
        <w:spacing w:after="0"/>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additional payments payable pursuant to </w:t>
      </w:r>
      <w:r>
        <w:rPr>
          <w:rFonts w:ascii="Arial" w:cs="Arial" w:eastAsia="Arial" w:hAnsi="Arial"/>
          <w:sz w:val="18"/>
          <w:szCs w:val="18"/>
          <w:u w:val="single" w:color="auto"/>
          <w:color w:val="auto"/>
        </w:rPr>
        <w:t>Sections 1.04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w:t>
      </w:r>
      <w:r>
        <w:rPr>
          <w:rFonts w:ascii="Arial" w:cs="Arial" w:eastAsia="Arial" w:hAnsi="Arial"/>
          <w:sz w:val="18"/>
          <w:szCs w:val="18"/>
          <w:color w:val="auto"/>
        </w:rPr>
        <w:t xml:space="preserve"> below.</w:t>
      </w:r>
    </w:p>
    <w:p>
      <w:pPr>
        <w:spacing w:after="0" w:line="221" w:lineRule="exact"/>
        <w:rPr>
          <w:sz w:val="20"/>
          <w:szCs w:val="20"/>
          <w:color w:val="auto"/>
        </w:rPr>
      </w:pPr>
    </w:p>
    <w:p>
      <w:pPr>
        <w:ind w:right="380" w:firstLine="913"/>
        <w:spacing w:after="0" w:line="282" w:lineRule="auto"/>
        <w:rPr>
          <w:sz w:val="20"/>
          <w:szCs w:val="20"/>
          <w:color w:val="auto"/>
        </w:rPr>
      </w:pPr>
      <w:r>
        <w:rPr>
          <w:rFonts w:ascii="Arial" w:cs="Arial" w:eastAsia="Arial" w:hAnsi="Arial"/>
          <w:sz w:val="18"/>
          <w:szCs w:val="18"/>
          <w:b w:val="1"/>
          <w:bCs w:val="1"/>
          <w:u w:val="single" w:color="auto"/>
          <w:color w:val="auto"/>
        </w:rPr>
        <w:t>Section 1.03.</w:t>
      </w:r>
      <w:r>
        <w:rPr>
          <w:rFonts w:ascii="Arial" w:cs="Arial" w:eastAsia="Arial" w:hAnsi="Arial"/>
          <w:sz w:val="18"/>
          <w:szCs w:val="18"/>
          <w:b w:val="1"/>
          <w:bCs w:val="1"/>
          <w:color w:val="auto"/>
        </w:rPr>
        <w:t xml:space="preserve"> A</w:t>
      </w:r>
      <w:r>
        <w:rPr>
          <w:rFonts w:ascii="Arial" w:cs="Arial" w:eastAsia="Arial" w:hAnsi="Arial"/>
          <w:sz w:val="18"/>
          <w:szCs w:val="18"/>
          <w:b w:val="1"/>
          <w:bCs w:val="1"/>
          <w:u w:val="single" w:color="auto"/>
          <w:color w:val="auto"/>
        </w:rPr>
        <w:t>djustments to 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1.03</w:t>
      </w:r>
      <w:r>
        <w:rPr>
          <w:rFonts w:ascii="Arial" w:cs="Arial" w:eastAsia="Arial" w:hAnsi="Arial"/>
          <w:sz w:val="18"/>
          <w:szCs w:val="18"/>
          <w:color w:val="auto"/>
        </w:rPr>
        <w:t>, all calculations of the Company’s working capital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made in accordance with the calculations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w:t>
      </w:r>
    </w:p>
    <w:p>
      <w:pPr>
        <w:spacing w:after="0" w:line="58" w:lineRule="exact"/>
        <w:rPr>
          <w:sz w:val="20"/>
          <w:szCs w:val="20"/>
          <w:color w:val="auto"/>
        </w:rPr>
      </w:pPr>
    </w:p>
    <w:p>
      <w:pPr>
        <w:ind w:left="920" w:right="20" w:firstLine="421"/>
        <w:spacing w:after="0" w:line="291" w:lineRule="auto"/>
        <w:tabs>
          <w:tab w:leader="none" w:pos="1585"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promptly as practicable following the Closing Date, but in no event later than forty-five (45) calendar days thereafter, Purchaser shall prepare and deliver to the Sellers (i) a balance sheet of the Company setting forth the assets and liabilities of the Company as of the close of business on October 31, 2014, which balance sheet shall be prepared in accordance with GAAP (the “</w:t>
      </w:r>
      <w:r>
        <w:rPr>
          <w:rFonts w:ascii="Arial" w:cs="Arial" w:eastAsia="Arial" w:hAnsi="Arial"/>
          <w:sz w:val="16"/>
          <w:szCs w:val="16"/>
          <w:u w:val="single" w:color="auto"/>
          <w:color w:val="auto"/>
        </w:rPr>
        <w:t>Closing Balance Sheet</w:t>
      </w:r>
      <w:r>
        <w:rPr>
          <w:rFonts w:ascii="Arial" w:cs="Arial" w:eastAsia="Arial" w:hAnsi="Arial"/>
          <w:sz w:val="16"/>
          <w:szCs w:val="16"/>
          <w:color w:val="auto"/>
        </w:rPr>
        <w:t>”). Using the data set forth in such Closing Balance Sheet, promptly following the Closing, Purchaser shall prepare a Closing Date Working Capital Statement of the Company (together with supporting calculations in reasonable detail, the “</w:t>
      </w:r>
      <w:r>
        <w:rPr>
          <w:rFonts w:ascii="Arial" w:cs="Arial" w:eastAsia="Arial" w:hAnsi="Arial"/>
          <w:sz w:val="16"/>
          <w:szCs w:val="16"/>
          <w:u w:val="single" w:color="auto"/>
          <w:color w:val="auto"/>
        </w:rPr>
        <w:t>Closing Date Working Capital Statement</w:t>
      </w:r>
      <w:r>
        <w:rPr>
          <w:rFonts w:ascii="Arial" w:cs="Arial" w:eastAsia="Arial" w:hAnsi="Arial"/>
          <w:sz w:val="16"/>
          <w:szCs w:val="16"/>
          <w:color w:val="auto"/>
        </w:rPr>
        <w:t>”) showing as of October 31, 2014, the working capital of the Company (the “</w:t>
      </w:r>
      <w:r>
        <w:rPr>
          <w:rFonts w:ascii="Arial" w:cs="Arial" w:eastAsia="Arial" w:hAnsi="Arial"/>
          <w:sz w:val="16"/>
          <w:szCs w:val="16"/>
          <w:u w:val="single" w:color="auto"/>
          <w:color w:val="auto"/>
        </w:rPr>
        <w:t>Purchaser’s Final Working Capital Determination</w:t>
      </w:r>
      <w:r>
        <w:rPr>
          <w:rFonts w:ascii="Arial" w:cs="Arial" w:eastAsia="Arial" w:hAnsi="Arial"/>
          <w:sz w:val="16"/>
          <w:szCs w:val="16"/>
          <w:color w:val="auto"/>
        </w:rPr>
        <w:t>”). Purchaser shall complete such Closing Date Working Capital Statement within sixty (60) days after the Closing Date and, upon completion, shall delver a copy to the Seller.</w:t>
      </w:r>
    </w:p>
    <w:p>
      <w:pPr>
        <w:spacing w:after="0" w:line="59" w:lineRule="exact"/>
        <w:rPr>
          <w:rFonts w:ascii="Arial" w:cs="Arial" w:eastAsia="Arial" w:hAnsi="Arial"/>
          <w:sz w:val="16"/>
          <w:szCs w:val="16"/>
          <w:color w:val="auto"/>
        </w:rPr>
      </w:pPr>
    </w:p>
    <w:p>
      <w:pPr>
        <w:ind w:left="920" w:right="460" w:firstLine="421"/>
        <w:spacing w:after="0" w:line="285" w:lineRule="auto"/>
        <w:tabs>
          <w:tab w:leader="none" w:pos="159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As promptly as practicable, but in no event later than thirty (30) calendar days after receipt of the Closing Date Working Capital Statement, Sellers shall notify Purchaser in writing whether it accepts or disputes the accuracy of the Purchaser’s Final Working Capital Determination determined pursuant to </w:t>
      </w:r>
      <w:r>
        <w:rPr>
          <w:rFonts w:ascii="Arial" w:cs="Arial" w:eastAsia="Arial" w:hAnsi="Arial"/>
          <w:sz w:val="16"/>
          <w:szCs w:val="16"/>
          <w:u w:val="single" w:color="auto"/>
          <w:color w:val="auto"/>
        </w:rPr>
        <w:t>Section 1.03(a)</w:t>
      </w:r>
      <w:r>
        <w:rPr>
          <w:rFonts w:ascii="Arial" w:cs="Arial" w:eastAsia="Arial" w:hAnsi="Arial"/>
          <w:sz w:val="16"/>
          <w:szCs w:val="16"/>
          <w:color w:val="auto"/>
        </w:rPr>
        <w:t xml:space="preserve"> above. During such thirty (30) day period, Sellers and their representatives shall be provided with such access to all Files and Records of the Company as they may reasonably request to respond to the Closing Date Working Capital Statement. If Sellers accept the calculation of the Purchaser’s Final Working Capital Determination, determined pursuant to</w:t>
      </w:r>
    </w:p>
    <w:p>
      <w:pPr>
        <w:spacing w:after="0" w:line="2" w:lineRule="exact"/>
        <w:rPr>
          <w:rFonts w:ascii="Arial" w:cs="Arial" w:eastAsia="Arial" w:hAnsi="Arial"/>
          <w:sz w:val="16"/>
          <w:szCs w:val="16"/>
          <w:color w:val="auto"/>
        </w:rPr>
      </w:pPr>
    </w:p>
    <w:p>
      <w:pPr>
        <w:jc w:val="both"/>
        <w:ind w:left="920" w:right="10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1.03(a)</w:t>
      </w:r>
      <w:r>
        <w:rPr>
          <w:rFonts w:ascii="Arial" w:cs="Arial" w:eastAsia="Arial" w:hAnsi="Arial"/>
          <w:sz w:val="18"/>
          <w:szCs w:val="18"/>
          <w:color w:val="auto"/>
        </w:rPr>
        <w:t xml:space="preserve"> above, or if Sellers fail within such thirty (30) day period to notify Purchaser of any dispute with respect thereto, the calculation of the Purchaser’s Final Working Capital Determination determined pursuant to </w:t>
      </w:r>
      <w:r>
        <w:rPr>
          <w:rFonts w:ascii="Arial" w:cs="Arial" w:eastAsia="Arial" w:hAnsi="Arial"/>
          <w:sz w:val="18"/>
          <w:szCs w:val="18"/>
          <w:u w:val="single" w:color="auto"/>
          <w:color w:val="auto"/>
        </w:rPr>
        <w:t>Section 1.03(a)</w:t>
      </w:r>
      <w:r>
        <w:rPr>
          <w:rFonts w:ascii="Arial" w:cs="Arial" w:eastAsia="Arial" w:hAnsi="Arial"/>
          <w:sz w:val="18"/>
          <w:szCs w:val="18"/>
          <w:color w:val="auto"/>
        </w:rPr>
        <w:t xml:space="preserve"> above, shall be deemed final and conclusive and binding upon all Parties.</w:t>
      </w:r>
    </w:p>
    <w:p>
      <w:pPr>
        <w:spacing w:after="0" w:line="82" w:lineRule="exact"/>
        <w:rPr>
          <w:rFonts w:ascii="Arial" w:cs="Arial" w:eastAsia="Arial" w:hAnsi="Arial"/>
          <w:sz w:val="16"/>
          <w:szCs w:val="16"/>
          <w:color w:val="auto"/>
        </w:rPr>
      </w:pPr>
    </w:p>
    <w:p>
      <w:pPr>
        <w:ind w:left="920" w:right="320" w:firstLine="421"/>
        <w:spacing w:after="0" w:line="312" w:lineRule="auto"/>
        <w:tabs>
          <w:tab w:leader="none" w:pos="1585"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Sellers dispute the calculation of the Purchaser’s Final Working Capital Determination, Sellers shall give timely written notice to Purchaser no later than thirty (30) calendar days following the receipt of the Closing Date Working Capital Statement (the “</w:t>
      </w:r>
      <w:r>
        <w:rPr>
          <w:rFonts w:ascii="Arial" w:cs="Arial" w:eastAsia="Arial" w:hAnsi="Arial"/>
          <w:sz w:val="16"/>
          <w:szCs w:val="16"/>
          <w:u w:val="single" w:color="auto"/>
          <w:color w:val="auto"/>
        </w:rPr>
        <w:t>Dispute Notice</w:t>
      </w:r>
      <w:r>
        <w:rPr>
          <w:rFonts w:ascii="Arial" w:cs="Arial" w:eastAsia="Arial" w:hAnsi="Arial"/>
          <w:sz w:val="16"/>
          <w:szCs w:val="16"/>
          <w:color w:val="auto"/>
        </w:rPr>
        <w:t>”), which Dispute Notice shall specify the reasons for such disagreement, the amounts of any adjustments that are necessary in Sellers’</w:t>
      </w:r>
    </w:p>
    <w:p>
      <w:pPr>
        <w:spacing w:after="0" w:line="79" w:lineRule="exact"/>
        <w:rPr>
          <w:rFonts w:ascii="Arial" w:cs="Arial" w:eastAsia="Arial" w:hAnsi="Arial"/>
          <w:sz w:val="16"/>
          <w:szCs w:val="16"/>
          <w:color w:val="auto"/>
        </w:rPr>
      </w:pPr>
    </w:p>
    <w:p>
      <w:pPr>
        <w:ind w:left="5660" w:hanging="96"/>
        <w:spacing w:after="0"/>
        <w:tabs>
          <w:tab w:leader="none" w:pos="5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left="920" w:right="20"/>
        <w:spacing w:after="0" w:line="285" w:lineRule="auto"/>
        <w:rPr>
          <w:sz w:val="20"/>
          <w:szCs w:val="20"/>
          <w:color w:val="auto"/>
        </w:rPr>
      </w:pPr>
      <w:r>
        <w:rPr>
          <w:rFonts w:ascii="Arial" w:cs="Arial" w:eastAsia="Arial" w:hAnsi="Arial"/>
          <w:sz w:val="16"/>
          <w:szCs w:val="16"/>
          <w:color w:val="auto"/>
        </w:rPr>
        <w:t xml:space="preserve">judgment for the computation of the Purchaser’s Final Working Capital Determination to conform to GAAP and the basis for Sellers’ suggested adjustment. If the Parties resolve their differences over the disputed items in accordance with the foregoing procedures, the final determination of the Working Capital Adjustment (as so determined or as determined pursuant to </w:t>
      </w:r>
      <w:r>
        <w:rPr>
          <w:rFonts w:ascii="Arial" w:cs="Arial" w:eastAsia="Arial" w:hAnsi="Arial"/>
          <w:sz w:val="16"/>
          <w:szCs w:val="16"/>
          <w:u w:val="single" w:color="auto"/>
          <w:color w:val="auto"/>
        </w:rPr>
        <w:t>Section 1.03(b)</w:t>
      </w:r>
      <w:r>
        <w:rPr>
          <w:rFonts w:ascii="Arial" w:cs="Arial" w:eastAsia="Arial" w:hAnsi="Arial"/>
          <w:sz w:val="16"/>
          <w:szCs w:val="16"/>
          <w:color w:val="auto"/>
        </w:rPr>
        <w:t>, as the case may be, “</w:t>
      </w:r>
      <w:r>
        <w:rPr>
          <w:rFonts w:ascii="Arial" w:cs="Arial" w:eastAsia="Arial" w:hAnsi="Arial"/>
          <w:sz w:val="16"/>
          <w:szCs w:val="16"/>
          <w:u w:val="single" w:color="auto"/>
          <w:color w:val="auto"/>
        </w:rPr>
        <w:t>Final Working Capital</w:t>
      </w:r>
      <w:r>
        <w:rPr>
          <w:rFonts w:ascii="Arial" w:cs="Arial" w:eastAsia="Arial" w:hAnsi="Arial"/>
          <w:sz w:val="16"/>
          <w:szCs w:val="16"/>
          <w:color w:val="auto"/>
        </w:rPr>
        <w:t>”), shall be the amount agreed upon. If the Sellers and Purchaser are unable to resolve the disputed matters outstanding within such thirty (30) day period, all disputed matters raised by Sellers not so resolved shall be submitted to an independent accounting firm mutually agreeable to Sellers and Purchaser (the “</w:t>
      </w:r>
      <w:r>
        <w:rPr>
          <w:rFonts w:ascii="Arial" w:cs="Arial" w:eastAsia="Arial" w:hAnsi="Arial"/>
          <w:sz w:val="16"/>
          <w:szCs w:val="16"/>
          <w:u w:val="single" w:color="auto"/>
          <w:color w:val="auto"/>
        </w:rPr>
        <w:t>Independent Auditor</w:t>
      </w:r>
      <w:r>
        <w:rPr>
          <w:rFonts w:ascii="Arial" w:cs="Arial" w:eastAsia="Arial" w:hAnsi="Arial"/>
          <w:sz w:val="16"/>
          <w:szCs w:val="16"/>
          <w:color w:val="auto"/>
        </w:rPr>
        <w:t xml:space="preserve">”), for final resolution in accordance with the terms and provisions of this Agreement. The Sellers and Purchaser shall use their respective Best Efforts to cause the Independent Auditor to make its determination as soon as possible, but in no event later than fifteen (15) days after receipt of the disputed matters. Such determination shall be final, binding and conclusive upon the Parties hereto. The Independent Auditor’s determination shall be limited to matters of dispute which are raised by the Sellers. In no event shall the Independent Auditor’s determination of the Final Working Capital be greater than Sellers’ determination pursuant to </w:t>
      </w:r>
      <w:r>
        <w:rPr>
          <w:rFonts w:ascii="Arial" w:cs="Arial" w:eastAsia="Arial" w:hAnsi="Arial"/>
          <w:sz w:val="16"/>
          <w:szCs w:val="16"/>
          <w:u w:val="single" w:color="auto"/>
          <w:color w:val="auto"/>
        </w:rPr>
        <w:t>Section 1.03(a)</w:t>
      </w:r>
      <w:r>
        <w:rPr>
          <w:rFonts w:ascii="Arial" w:cs="Arial" w:eastAsia="Arial" w:hAnsi="Arial"/>
          <w:sz w:val="16"/>
          <w:szCs w:val="16"/>
          <w:color w:val="auto"/>
        </w:rPr>
        <w:t xml:space="preserve"> or less than Purchaser’s’ determination pursuant to </w:t>
      </w:r>
      <w:r>
        <w:rPr>
          <w:rFonts w:ascii="Arial" w:cs="Arial" w:eastAsia="Arial" w:hAnsi="Arial"/>
          <w:sz w:val="16"/>
          <w:szCs w:val="16"/>
          <w:u w:val="single" w:color="auto"/>
          <w:color w:val="auto"/>
        </w:rPr>
        <w:t>Section 1.03(b)</w:t>
      </w:r>
      <w:r>
        <w:rPr>
          <w:rFonts w:ascii="Arial" w:cs="Arial" w:eastAsia="Arial" w:hAnsi="Arial"/>
          <w:sz w:val="16"/>
          <w:szCs w:val="16"/>
          <w:color w:val="auto"/>
        </w:rPr>
        <w:t xml:space="preserve">. The Independent Auditor’s resolution of any such disagreement shall be reflected in a written report, which shall be delivered promptly to the Sellers and Purchaser. All fees, costs, expenses and disbursements of the Independent Auditor shall be paid by the party with whose determination the Independent Auditor does not agree;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Independent Auditor’s determination represents a compromise between the determination of Sellers and Purchaser, then each party shall pay an allocable share of such fees and disbursements with such allocation to be calculated by reference to the difference between the numbers suggested by each of the Parties as compared with the Final Working Capital amount determined by the Independent Auditor. Any payment to be made as a consequence of the Independent Auditor’s decision shall be made, free and clear of any deductions, not later than three (3) Business Days after receipt of such report by the Sellers and Purchaser.</w:t>
      </w:r>
    </w:p>
    <w:p>
      <w:pPr>
        <w:spacing w:after="0" w:line="65" w:lineRule="exact"/>
        <w:rPr>
          <w:sz w:val="20"/>
          <w:szCs w:val="20"/>
          <w:color w:val="auto"/>
        </w:rPr>
      </w:pPr>
    </w:p>
    <w:p>
      <w:pPr>
        <w:ind w:left="920" w:right="140" w:firstLine="421"/>
        <w:spacing w:after="0" w:line="264" w:lineRule="auto"/>
        <w:tabs>
          <w:tab w:leader="none" w:pos="159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Payment by Purchaser</w:t>
      </w:r>
      <w:r>
        <w:rPr>
          <w:rFonts w:ascii="Arial" w:cs="Arial" w:eastAsia="Arial" w:hAnsi="Arial"/>
          <w:sz w:val="18"/>
          <w:szCs w:val="18"/>
          <w:color w:val="auto"/>
        </w:rPr>
        <w:t>. In the event that the amount of the Final Working Capital is greater than the Target Working Capital, then Purchaser shall, within five (5) calendar days after the determination thereof, pay to Sellers an amount equal to such difference, by wire transfer of immediately available funds to an account designated in writing by Sellers.</w:t>
      </w:r>
    </w:p>
    <w:p>
      <w:pPr>
        <w:spacing w:after="0" w:line="73" w:lineRule="exact"/>
        <w:rPr>
          <w:rFonts w:ascii="Arial" w:cs="Arial" w:eastAsia="Arial" w:hAnsi="Arial"/>
          <w:sz w:val="18"/>
          <w:szCs w:val="18"/>
          <w:color w:val="auto"/>
        </w:rPr>
      </w:pPr>
    </w:p>
    <w:p>
      <w:pPr>
        <w:ind w:left="920" w:right="420" w:firstLine="421"/>
        <w:spacing w:after="0" w:line="277" w:lineRule="auto"/>
        <w:tabs>
          <w:tab w:leader="none" w:pos="158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Payment by Sellers</w:t>
      </w:r>
      <w:r>
        <w:rPr>
          <w:rFonts w:ascii="Arial" w:cs="Arial" w:eastAsia="Arial" w:hAnsi="Arial"/>
          <w:sz w:val="18"/>
          <w:szCs w:val="18"/>
          <w:color w:val="auto"/>
        </w:rPr>
        <w:t xml:space="preserve">. In the event that the Final Working Capital is less than the Target Working Capital, then the Purchaser shall be entitled to a set off against the Note described in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for the amount of such difference.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Section 1.04. Note</w:t>
      </w:r>
      <w:r>
        <w:rPr>
          <w:rFonts w:ascii="Arial" w:cs="Arial" w:eastAsia="Arial" w:hAnsi="Arial"/>
          <w:sz w:val="18"/>
          <w:szCs w:val="18"/>
          <w:color w:val="auto"/>
        </w:rPr>
        <w:t>.</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all EBITDA calculations shall be determined within sixty (60) days after the applicable year end, and shall include only the Business, and shall be calculated in accordance with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attached hereto.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920" w:right="240" w:firstLine="421"/>
        <w:spacing w:after="0" w:line="302" w:lineRule="auto"/>
        <w:tabs>
          <w:tab w:leader="none" w:pos="1585"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 addition to the payments set forth in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above, GLDD will issue to the Sellers a promissory note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Note</w:t>
      </w:r>
      <w:r>
        <w:rPr>
          <w:rFonts w:ascii="Arial" w:cs="Arial" w:eastAsia="Arial" w:hAnsi="Arial"/>
          <w:sz w:val="16"/>
          <w:szCs w:val="16"/>
          <w:color w:val="auto"/>
        </w:rPr>
        <w:t xml:space="preserve">”) in a value to be determined by utilizing the following formula: the Company’s 2014 EBITDA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Twelve Million and NO/100s Dollars ($12,000,000.00) </w:t>
      </w:r>
      <w:r>
        <w:rPr>
          <w:rFonts w:ascii="Arial" w:cs="Arial" w:eastAsia="Arial" w:hAnsi="Arial"/>
          <w:sz w:val="16"/>
          <w:szCs w:val="16"/>
          <w:u w:val="single" w:color="auto"/>
          <w:color w:val="auto"/>
        </w:rPr>
        <w:t>multiplied</w:t>
      </w:r>
      <w:r>
        <w:rPr>
          <w:rFonts w:ascii="Arial" w:cs="Arial" w:eastAsia="Arial" w:hAnsi="Arial"/>
          <w:sz w:val="16"/>
          <w:szCs w:val="16"/>
          <w:color w:val="auto"/>
        </w:rPr>
        <w:t xml:space="preserve"> by two (2). The Note shall bear interest at five percent (5%) per annum, which shall begin to accrue on January 1, 2015, and shall continue to accrue until payment of the second installment as set forth in </w:t>
      </w:r>
      <w:r>
        <w:rPr>
          <w:rFonts w:ascii="Arial" w:cs="Arial" w:eastAsia="Arial" w:hAnsi="Arial"/>
          <w:sz w:val="16"/>
          <w:szCs w:val="16"/>
          <w:u w:val="single" w:color="auto"/>
          <w:color w:val="auto"/>
        </w:rPr>
        <w:t>Section 1.04(c)</w:t>
      </w:r>
      <w:r>
        <w:rPr>
          <w:rFonts w:ascii="Arial" w:cs="Arial" w:eastAsia="Arial" w:hAnsi="Arial"/>
          <w:sz w:val="16"/>
          <w:szCs w:val="16"/>
          <w:color w:val="auto"/>
        </w:rPr>
        <w:t xml:space="preserve"> below.</w:t>
      </w:r>
    </w:p>
    <w:p>
      <w:pPr>
        <w:spacing w:after="0" w:line="46" w:lineRule="exact"/>
        <w:rPr>
          <w:rFonts w:ascii="Arial" w:cs="Arial" w:eastAsia="Arial" w:hAnsi="Arial"/>
          <w:sz w:val="16"/>
          <w:szCs w:val="16"/>
          <w:color w:val="auto"/>
        </w:rPr>
      </w:pPr>
    </w:p>
    <w:p>
      <w:pPr>
        <w:ind w:left="920" w:right="80" w:firstLine="421"/>
        <w:spacing w:after="0" w:line="264" w:lineRule="auto"/>
        <w:tabs>
          <w:tab w:leader="none" w:pos="159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event the Company does not in calendar year 2015 obtain a minimum EBITDA of $14,720,000.00 (“</w:t>
      </w:r>
      <w:r>
        <w:rPr>
          <w:rFonts w:ascii="Arial" w:cs="Arial" w:eastAsia="Arial" w:hAnsi="Arial"/>
          <w:sz w:val="18"/>
          <w:szCs w:val="18"/>
          <w:u w:val="single" w:color="auto"/>
          <w:color w:val="auto"/>
        </w:rPr>
        <w:t>Minimum 2015 EBITDA</w:t>
      </w:r>
      <w:r>
        <w:rPr>
          <w:rFonts w:ascii="Arial" w:cs="Arial" w:eastAsia="Arial" w:hAnsi="Arial"/>
          <w:sz w:val="18"/>
          <w:szCs w:val="18"/>
          <w:color w:val="auto"/>
        </w:rPr>
        <w:t>”), [*], the value of the Note will be reduced by the sum the following amounts: (i) $750,000.00 and (ii) an amount equal to number of dollars by which the actual 2015 EBITDA was below the Minimum 2015 EBITDA, calculated on a dollar for dollar basis.</w:t>
      </w:r>
    </w:p>
    <w:p>
      <w:pPr>
        <w:spacing w:after="0" w:line="73" w:lineRule="exact"/>
        <w:rPr>
          <w:rFonts w:ascii="Arial" w:cs="Arial" w:eastAsia="Arial" w:hAnsi="Arial"/>
          <w:sz w:val="18"/>
          <w:szCs w:val="18"/>
          <w:color w:val="auto"/>
        </w:rPr>
      </w:pPr>
    </w:p>
    <w:p>
      <w:pPr>
        <w:ind w:left="1580" w:hanging="239"/>
        <w:spacing w:after="0"/>
        <w:tabs>
          <w:tab w:leader="none" w:pos="1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Payments on the Note will be made in two (2) equal installments on January 1, 2017 and January 1, 2018.</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Section 1.05. Earn-Out Consideration</w:t>
      </w:r>
      <w:r>
        <w:rPr>
          <w:rFonts w:ascii="Arial" w:cs="Arial" w:eastAsia="Arial" w:hAnsi="Arial"/>
          <w:sz w:val="18"/>
          <w:szCs w:val="18"/>
          <w:color w:val="auto"/>
        </w:rPr>
        <w:t>.</w:t>
      </w:r>
    </w:p>
    <w:p>
      <w:pPr>
        <w:spacing w:after="0" w:line="22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1.05</w:t>
      </w:r>
      <w:r>
        <w:rPr>
          <w:rFonts w:ascii="Arial" w:cs="Arial" w:eastAsia="Arial" w:hAnsi="Arial"/>
          <w:sz w:val="18"/>
          <w:szCs w:val="18"/>
          <w:color w:val="auto"/>
        </w:rPr>
        <w:t>, all EBITDA calculations shall include both the Business and the business of Terra Contracting Services, LLC (“</w:t>
      </w:r>
      <w:r>
        <w:rPr>
          <w:rFonts w:ascii="Arial" w:cs="Arial" w:eastAsia="Arial" w:hAnsi="Arial"/>
          <w:sz w:val="18"/>
          <w:szCs w:val="18"/>
          <w:u w:val="single" w:color="auto"/>
          <w:color w:val="auto"/>
        </w:rPr>
        <w:t>Terra</w:t>
      </w:r>
      <w:r>
        <w:rPr>
          <w:rFonts w:ascii="Arial" w:cs="Arial" w:eastAsia="Arial" w:hAnsi="Arial"/>
          <w:sz w:val="18"/>
          <w:szCs w:val="18"/>
          <w:color w:val="auto"/>
        </w:rPr>
        <w:t xml:space="preserve">”), and shall be calculated in accordance with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attached hereto.</w:t>
      </w:r>
    </w:p>
    <w:p>
      <w:pPr>
        <w:spacing w:after="0" w:line="62" w:lineRule="exact"/>
        <w:rPr>
          <w:sz w:val="20"/>
          <w:szCs w:val="20"/>
          <w:color w:val="auto"/>
        </w:rPr>
      </w:pPr>
    </w:p>
    <w:p>
      <w:pPr>
        <w:jc w:val="both"/>
        <w:ind w:left="920" w:right="60" w:firstLine="421"/>
        <w:spacing w:after="0" w:line="259" w:lineRule="auto"/>
        <w:tabs>
          <w:tab w:leader="none" w:pos="15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 addition to the payments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1.04</w:t>
      </w:r>
      <w:r>
        <w:rPr>
          <w:rFonts w:ascii="Arial" w:cs="Arial" w:eastAsia="Arial" w:hAnsi="Arial"/>
          <w:sz w:val="18"/>
          <w:szCs w:val="18"/>
          <w:color w:val="auto"/>
        </w:rPr>
        <w:t xml:space="preserve"> above, Purchaser will pay to Sellers, assuming certain conditions set forth in (b) below are satisfied, an additional payment in an amount up to [*] (the “</w:t>
      </w:r>
      <w:r>
        <w:rPr>
          <w:rFonts w:ascii="Arial" w:cs="Arial" w:eastAsia="Arial" w:hAnsi="Arial"/>
          <w:sz w:val="18"/>
          <w:szCs w:val="18"/>
          <w:u w:val="single" w:color="auto"/>
          <w:color w:val="auto"/>
        </w:rPr>
        <w:t>Earnout Payment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amount shall not exceed Eleven Million Four Hundred Thousand and NO/100s Dollars ($11,400,000.00). References to “EBITDA of Purchaser” shall mean the combined EBITDA from both the Business and Terra.</w:t>
      </w:r>
    </w:p>
    <w:p>
      <w:pPr>
        <w:spacing w:after="0" w:line="78" w:lineRule="exact"/>
        <w:rPr>
          <w:rFonts w:ascii="Arial" w:cs="Arial" w:eastAsia="Arial" w:hAnsi="Arial"/>
          <w:sz w:val="18"/>
          <w:szCs w:val="18"/>
          <w:color w:val="auto"/>
        </w:rPr>
      </w:pPr>
    </w:p>
    <w:p>
      <w:pPr>
        <w:ind w:left="920" w:right="220" w:firstLine="421"/>
        <w:spacing w:after="0" w:line="257" w:lineRule="auto"/>
        <w:tabs>
          <w:tab w:leader="none" w:pos="15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amounts received by Sellers pursuant to (a) above will be adjusted based on the value of the EBITDA of Purchaser as of December 31, 2019 (the “</w:t>
      </w:r>
      <w:r>
        <w:rPr>
          <w:rFonts w:ascii="Arial" w:cs="Arial" w:eastAsia="Arial" w:hAnsi="Arial"/>
          <w:sz w:val="18"/>
          <w:szCs w:val="18"/>
          <w:u w:val="single" w:color="auto"/>
          <w:color w:val="auto"/>
        </w:rPr>
        <w:t>2019 EBITDA of Purchaser</w:t>
      </w:r>
      <w:r>
        <w:rPr>
          <w:rFonts w:ascii="Arial" w:cs="Arial" w:eastAsia="Arial" w:hAnsi="Arial"/>
          <w:sz w:val="18"/>
          <w:szCs w:val="18"/>
          <w:color w:val="auto"/>
        </w:rPr>
        <w:t xml:space="preserve">”). Sellers shall receive the full value of the Earnout Payment provided that the 2019 EBITDA of Purchaser meets or exceeds [*] (the “2019 </w:t>
      </w:r>
      <w:r>
        <w:rPr>
          <w:rFonts w:ascii="Arial" w:cs="Arial" w:eastAsia="Arial" w:hAnsi="Arial"/>
          <w:sz w:val="18"/>
          <w:szCs w:val="18"/>
          <w:u w:val="single" w:color="auto"/>
          <w:color w:val="auto"/>
        </w:rPr>
        <w:t>EBITDA Target</w:t>
      </w:r>
      <w:r>
        <w:rPr>
          <w:rFonts w:ascii="Arial" w:cs="Arial" w:eastAsia="Arial" w:hAnsi="Arial"/>
          <w:sz w:val="18"/>
          <w:szCs w:val="18"/>
          <w:color w:val="auto"/>
        </w:rPr>
        <w:t>”). In the event the 2019 EBITDA of Purchaser does not meet the 2019 EBITDA Target, the Earnout Payment shall be reduced in an amount proportional to the amount by which the 2019 EBITDA of Purchaser was below the 2019 EBITDA Target.</w:t>
      </w:r>
    </w:p>
    <w:p>
      <w:pPr>
        <w:spacing w:after="0" w:line="120" w:lineRule="exact"/>
        <w:rPr>
          <w:rFonts w:ascii="Arial" w:cs="Arial" w:eastAsia="Arial" w:hAnsi="Arial"/>
          <w:sz w:val="18"/>
          <w:szCs w:val="18"/>
          <w:color w:val="auto"/>
        </w:rPr>
      </w:pPr>
    </w:p>
    <w:p>
      <w:pPr>
        <w:ind w:left="5660" w:hanging="96"/>
        <w:spacing w:after="0"/>
        <w:tabs>
          <w:tab w:leader="none" w:pos="5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jc w:val="both"/>
        <w:ind w:left="920" w:right="100" w:firstLine="421"/>
        <w:spacing w:after="0" w:line="259" w:lineRule="auto"/>
        <w:tabs>
          <w:tab w:leader="none" w:pos="15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Any Earnout Payments made pursuant to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shall be paid in either cash, by wire transfer of immediately available funds to an account designated in writing by the Seller Representative, or common shares of stock of GLDD (“</w:t>
      </w:r>
      <w:r>
        <w:rPr>
          <w:rFonts w:ascii="Arial" w:cs="Arial" w:eastAsia="Arial" w:hAnsi="Arial"/>
          <w:sz w:val="18"/>
          <w:szCs w:val="18"/>
          <w:u w:val="single" w:color="auto"/>
          <w:color w:val="auto"/>
        </w:rPr>
        <w:t>GLDD Stock</w:t>
      </w:r>
      <w:r>
        <w:rPr>
          <w:rFonts w:ascii="Arial" w:cs="Arial" w:eastAsia="Arial" w:hAnsi="Arial"/>
          <w:sz w:val="18"/>
          <w:szCs w:val="18"/>
          <w:color w:val="auto"/>
        </w:rPr>
        <w:t xml:space="preserve">”), in the sole election and in the sole discretion of Purchaser, and shall be paid on March 31, 2020. Any GLDD Stock paid to the Sellers pursuant to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shall be valued at the GLDD Stock per share value as of March 31, 2020.</w:t>
      </w:r>
    </w:p>
    <w:p>
      <w:pPr>
        <w:spacing w:after="0" w:line="183"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b w:val="1"/>
          <w:bCs w:val="1"/>
          <w:u w:val="single" w:color="auto"/>
          <w:color w:val="auto"/>
        </w:rPr>
        <w:t>Section 1.06. Allocation of Purchase Price</w:t>
      </w:r>
      <w:r>
        <w:rPr>
          <w:rFonts w:ascii="Arial" w:cs="Arial" w:eastAsia="Arial" w:hAnsi="Arial"/>
          <w:sz w:val="17"/>
          <w:szCs w:val="17"/>
          <w:color w:val="auto"/>
        </w:rPr>
        <w:t>. The Allocation of Purchase Price Schedule attached hereto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C</w:t>
      </w:r>
      <w:r>
        <w:rPr>
          <w:rFonts w:ascii="Arial" w:cs="Arial" w:eastAsia="Arial" w:hAnsi="Arial"/>
          <w:sz w:val="17"/>
          <w:szCs w:val="17"/>
          <w:b w:val="1"/>
          <w:bCs w:val="1"/>
          <w:color w:val="auto"/>
        </w:rPr>
        <w:t xml:space="preserve"> </w:t>
      </w:r>
      <w:r>
        <w:rPr>
          <w:rFonts w:ascii="Arial" w:cs="Arial" w:eastAsia="Arial" w:hAnsi="Arial"/>
          <w:sz w:val="17"/>
          <w:szCs w:val="17"/>
          <w:color w:val="auto"/>
        </w:rPr>
        <w:t>sets forth the preliminary</w:t>
      </w:r>
      <w:r>
        <w:rPr>
          <w:rFonts w:ascii="Arial" w:cs="Arial" w:eastAsia="Arial" w:hAnsi="Arial"/>
          <w:sz w:val="17"/>
          <w:szCs w:val="17"/>
          <w:b w:val="1"/>
          <w:bCs w:val="1"/>
          <w:color w:val="auto"/>
        </w:rPr>
        <w:t xml:space="preserve"> </w:t>
      </w:r>
      <w:r>
        <w:rPr>
          <w:rFonts w:ascii="Arial" w:cs="Arial" w:eastAsia="Arial" w:hAnsi="Arial"/>
          <w:sz w:val="17"/>
          <w:szCs w:val="17"/>
          <w:color w:val="auto"/>
        </w:rPr>
        <w:t>allocation of the Purchase Price among the Company’s assets (the “</w:t>
      </w:r>
      <w:r>
        <w:rPr>
          <w:rFonts w:ascii="Arial" w:cs="Arial" w:eastAsia="Arial" w:hAnsi="Arial"/>
          <w:sz w:val="17"/>
          <w:szCs w:val="17"/>
          <w:u w:val="single" w:color="auto"/>
          <w:color w:val="auto"/>
        </w:rPr>
        <w:t>Preliminary Allocation</w:t>
      </w:r>
      <w:r>
        <w:rPr>
          <w:rFonts w:ascii="Arial" w:cs="Arial" w:eastAsia="Arial" w:hAnsi="Arial"/>
          <w:sz w:val="17"/>
          <w:szCs w:val="17"/>
          <w:color w:val="auto"/>
        </w:rPr>
        <w:t xml:space="preserve">”). Purchaser and Sellers shall file, in accordance with Section 1060 of the Code, an Asset Allocation Statement on Form 8594 (which reflects such allocation) with their federal income Tax Return for the Tax year in which the Closing Date occurs and shall contemporaneously provide the other Parties hereto with a copy of the Form 8594 being filed. The Parties hereto agree that the Preliminary Allocation shall be modified to reflect any adjustments made pursuant to this Agreement or the payment of any indemnification claims by Sellers pursuant to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as mutually agreed upon by Purchaser and Sellers in good faith (and, if applicable, consistent with the prior allocation of similar items). The Parties shall file an amendment to Form 8594 to reflect any adjustments made to the Preliminary Allocation as provided in this </w:t>
      </w:r>
      <w:r>
        <w:rPr>
          <w:rFonts w:ascii="Arial" w:cs="Arial" w:eastAsia="Arial" w:hAnsi="Arial"/>
          <w:sz w:val="17"/>
          <w:szCs w:val="17"/>
          <w:u w:val="single" w:color="auto"/>
          <w:color w:val="auto"/>
        </w:rPr>
        <w:t>Section 1.06</w:t>
      </w:r>
      <w:r>
        <w:rPr>
          <w:rFonts w:ascii="Arial" w:cs="Arial" w:eastAsia="Arial" w:hAnsi="Arial"/>
          <w:sz w:val="17"/>
          <w:szCs w:val="17"/>
          <w:color w:val="auto"/>
        </w:rPr>
        <w:t>. Purchaser and Sellers agree not to assert, in connection with any Tax Return, audit or similar proceeding, any allocation of the Purchase Price that differs from the allocation set forth on the Allocation of Purchase Price Schedule herein.</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Section 1.07. Section 338(h)(10) Election</w:t>
      </w:r>
      <w:r>
        <w:rPr>
          <w:rFonts w:ascii="Arial" w:cs="Arial" w:eastAsia="Arial" w:hAnsi="Arial"/>
          <w:sz w:val="18"/>
          <w:szCs w:val="18"/>
          <w:color w:val="auto"/>
        </w:rPr>
        <w:t>.</w:t>
      </w:r>
    </w:p>
    <w:p>
      <w:pPr>
        <w:spacing w:after="0" w:line="121" w:lineRule="exact"/>
        <w:rPr>
          <w:sz w:val="20"/>
          <w:szCs w:val="20"/>
          <w:color w:val="auto"/>
        </w:rPr>
      </w:pPr>
    </w:p>
    <w:p>
      <w:pPr>
        <w:ind w:left="920" w:right="40" w:firstLine="421"/>
        <w:spacing w:after="0" w:line="287" w:lineRule="auto"/>
        <w:tabs>
          <w:tab w:leader="none" w:pos="1585"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Sellers and Purchaser shall jointly make a timely election pursuant to Section 338(h)(10) of the Code and Section 1.338(h)(10)-1 of the United States Treasury Regulations, any comparable election under applicable state or local Law (collectively, the “</w:t>
      </w:r>
      <w:r>
        <w:rPr>
          <w:rFonts w:ascii="Arial" w:cs="Arial" w:eastAsia="Arial" w:hAnsi="Arial"/>
          <w:sz w:val="16"/>
          <w:szCs w:val="16"/>
          <w:u w:val="single" w:color="auto"/>
          <w:color w:val="auto"/>
        </w:rPr>
        <w:t>Tax Treatment Election</w:t>
      </w:r>
      <w:r>
        <w:rPr>
          <w:rFonts w:ascii="Arial" w:cs="Arial" w:eastAsia="Arial" w:hAnsi="Arial"/>
          <w:sz w:val="16"/>
          <w:szCs w:val="16"/>
          <w:color w:val="auto"/>
        </w:rPr>
        <w:t>”) with respect to the purchase by Purchaser of the Shares. In addition, Sellers and Purchaser shall, as promptly as practicable following the Closing Date, cooperate with each other to take all actions necessary and appropriate (including such additional forms, returns, elections, schedules and other documents as may be required by applicable state or local Law) to effect and preserve a timely Tax Treatment Election in accordance with any comparable provisions of applicable Law, and the Parties responsible for filing any such Tax Treatment Election under applicable Law shall promptly file or cause to be filed such Tax Treatment Election with the appropriate Taxing authority and provide written evidence of such filing to the other Parties. Sellers and Purchaser shall report the purchase by Purchaser of the Shares consistent with the Tax Treatment Election and the allocation as set forth on Allocation of Purchase Price Schedule and no party shall take (and prior to the Closing Sellers shall not permit the Company to take, and after the Closing the Company shall not take) any position contrary thereto in any Tax Return, any proceeding before any Tax authority or otherwise. In the event that any Tax Treatment Election is disputed by any Tax authority, the party receiving notice of such dispute shall promptly notify and consult with the other party concerning such dispute.</w:t>
      </w:r>
    </w:p>
    <w:p>
      <w:pPr>
        <w:spacing w:after="0" w:line="101" w:lineRule="exact"/>
        <w:rPr>
          <w:rFonts w:ascii="Arial" w:cs="Arial" w:eastAsia="Arial" w:hAnsi="Arial"/>
          <w:sz w:val="16"/>
          <w:szCs w:val="16"/>
          <w:color w:val="auto"/>
        </w:rPr>
      </w:pPr>
    </w:p>
    <w:p>
      <w:pPr>
        <w:ind w:left="5660" w:hanging="96"/>
        <w:spacing w:after="0"/>
        <w:tabs>
          <w:tab w:leader="none" w:pos="5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920" w:firstLine="421"/>
        <w:spacing w:after="0" w:line="285" w:lineRule="auto"/>
        <w:tabs>
          <w:tab w:leader="none" w:pos="15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If it is determined by a finding or order in connection with any governmental or judicial audit or proceeding, including any settlement of such a proceeding to which any of the Parties hereto are parties (but only if the requirements of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have been satisfied, unless the failure to satisfy such requirements is not materially prejudicial to Sellers), that the Company’s S election was not validly in effect for any period after such election was purportedly made (including the period ending on the Closing Date, but excluding any periods commencing with the Closing), then Sellers shall be obligated, jointly and severally, to indemnify and hold harmless Purchaser and the Company with respect to (i) any and all Taxes imposed on the Company due to such invalid election or pre-Closing termination of the Company’s S Corporation status and (ii)(a) any and all Taxes imposed on the Company due to an invalid Tax Treatment Election caused by the invalid election or the pre-Closing termination of the Company’s S status resulting in the disallowance of any and all Tax benefits, including, but not limited to, the disallowance of deductions and losses that otherwise could have been available pursuant to a valid Tax Treatment Election and (b) the net present value of any and all future Tax benefits, including, but not limited to, deductions and losses that were disallowed that the Company could reasonably have expected to realize in subsequent periods as the result of a valid Tax Treatment Election (with such expectation to be measured based on circumstances as of the Closing Date), using a discount rate of fifteen percent (15%) per annum from the date upon which such Tax benefits were disallowed through the date the Company could reasonably have expected to realize such Tax benefits (with such expectation to be measured based on circumstances as of the Closing Date). Such payment shall be made in accordance with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Notwithstanding anything to the contrary contained in this Agreement, the provisions of this Section shall remain in effect as personal obligations of Sellers on a joint and several basis until the applicable statutes of limitations shall have expired and shall not be subject to the limitations set forth in </w:t>
      </w:r>
      <w:r>
        <w:rPr>
          <w:rFonts w:ascii="Arial" w:cs="Arial" w:eastAsia="Arial" w:hAnsi="Arial"/>
          <w:sz w:val="16"/>
          <w:szCs w:val="16"/>
          <w:u w:val="single" w:color="auto"/>
          <w:color w:val="auto"/>
        </w:rPr>
        <w:t>Section 6.07</w:t>
      </w:r>
      <w:r>
        <w:rPr>
          <w:rFonts w:ascii="Arial" w:cs="Arial" w:eastAsia="Arial" w:hAnsi="Arial"/>
          <w:sz w:val="16"/>
          <w:szCs w:val="16"/>
          <w:color w:val="auto"/>
        </w:rPr>
        <w:t>.</w:t>
      </w:r>
    </w:p>
    <w:p>
      <w:pPr>
        <w:spacing w:after="0" w:line="174"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b w:val="1"/>
          <w:bCs w:val="1"/>
          <w:u w:val="single" w:color="auto"/>
          <w:color w:val="auto"/>
        </w:rPr>
        <w:t>Section 1.08. Fair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Parties acknowledges and agrees that the consideration provided for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fair consideration and reasonable equivalent value for the sale and transfer of the Shares and the transactions, covenants and agreements set forth in this Agreement and the Related Agreements, which consideration was agreed upon as the result of arms-length good faith negotiations among the Parties and their respective representatives.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CLOSING</w:t>
      </w:r>
    </w:p>
    <w:p>
      <w:pPr>
        <w:spacing w:after="0" w:line="225"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b w:val="1"/>
          <w:bCs w:val="1"/>
          <w:u w:val="single" w:color="auto"/>
          <w:color w:val="auto"/>
        </w:rPr>
        <w:t>Section 2.01. Closing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 of the transactions contemplated by this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concurrently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execution of this Agreement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Parties hereto acknowledge and agree that all proceedings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at the Closing shall be deemed to be taken and all documents to be executed and delivered by all Parties at the Closing shall be deemed to have been taken and executed simultaneously, and no proceedings shall be deemed taken nor any document executed or delivered until all have been taken, executed and delivered.</w:t>
      </w:r>
    </w:p>
    <w:p>
      <w:pPr>
        <w:spacing w:after="0" w:line="177"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b w:val="1"/>
          <w:bCs w:val="1"/>
          <w:u w:val="single" w:color="auto"/>
          <w:color w:val="auto"/>
        </w:rPr>
        <w:t>Section 2.02. Deliveries by Seller.</w:t>
      </w:r>
      <w:r>
        <w:rPr>
          <w:rFonts w:ascii="Arial" w:cs="Arial" w:eastAsia="Arial" w:hAnsi="Arial"/>
          <w:sz w:val="18"/>
          <w:szCs w:val="18"/>
          <w:b w:val="1"/>
          <w:bCs w:val="1"/>
          <w:color w:val="auto"/>
        </w:rPr>
        <w:t xml:space="preserve"> </w:t>
      </w:r>
      <w:r>
        <w:rPr>
          <w:rFonts w:ascii="Arial" w:cs="Arial" w:eastAsia="Arial" w:hAnsi="Arial"/>
          <w:sz w:val="18"/>
          <w:szCs w:val="18"/>
          <w:color w:val="auto"/>
        </w:rPr>
        <w:t>At the Closing, Sellers shall deliver possession of all of the Shares to Purchaser, and Sellers shall deliver (or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to be delivered) to Purchaser originals or copies, if specified, of the following:</w:t>
      </w:r>
    </w:p>
    <w:p>
      <w:pPr>
        <w:spacing w:after="0" w:line="58" w:lineRule="exact"/>
        <w:rPr>
          <w:sz w:val="20"/>
          <w:szCs w:val="20"/>
          <w:color w:val="auto"/>
        </w:rPr>
      </w:pPr>
    </w:p>
    <w:p>
      <w:pPr>
        <w:ind w:left="920" w:right="20" w:firstLine="421"/>
        <w:spacing w:after="0" w:line="277" w:lineRule="auto"/>
        <w:tabs>
          <w:tab w:leader="none" w:pos="1585"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counterparts of all agreements, documents and instruments required to be delivered by the Company or any of Sellers pursuant to any of the Related Agreements duly executed by the Company or Sellers, as applicable;</w:t>
      </w:r>
    </w:p>
    <w:p>
      <w:pPr>
        <w:spacing w:after="0" w:line="62" w:lineRule="exact"/>
        <w:rPr>
          <w:rFonts w:ascii="Arial" w:cs="Arial" w:eastAsia="Arial" w:hAnsi="Arial"/>
          <w:sz w:val="18"/>
          <w:szCs w:val="18"/>
          <w:color w:val="auto"/>
        </w:rPr>
      </w:pPr>
    </w:p>
    <w:p>
      <w:pPr>
        <w:ind w:left="920" w:right="180" w:firstLine="421"/>
        <w:spacing w:after="0" w:line="277" w:lineRule="auto"/>
        <w:tabs>
          <w:tab w:leader="none" w:pos="1595"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copies of each consent, waiver, authorization and approval required pursuant to </w:t>
      </w:r>
      <w:r>
        <w:rPr>
          <w:rFonts w:ascii="Arial" w:cs="Arial" w:eastAsia="Arial" w:hAnsi="Arial"/>
          <w:sz w:val="18"/>
          <w:szCs w:val="18"/>
          <w:u w:val="single" w:color="auto"/>
          <w:color w:val="auto"/>
        </w:rPr>
        <w:t>Section 4.05</w:t>
      </w:r>
      <w:r>
        <w:rPr>
          <w:rFonts w:ascii="Arial" w:cs="Arial" w:eastAsia="Arial" w:hAnsi="Arial"/>
          <w:sz w:val="18"/>
          <w:szCs w:val="18"/>
          <w:color w:val="auto"/>
        </w:rPr>
        <w:t xml:space="preserve"> of this Agreement, except for those to be delivered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below;</w:t>
      </w:r>
    </w:p>
    <w:p>
      <w:pPr>
        <w:spacing w:after="0" w:line="62" w:lineRule="exact"/>
        <w:rPr>
          <w:rFonts w:ascii="Arial" w:cs="Arial" w:eastAsia="Arial" w:hAnsi="Arial"/>
          <w:sz w:val="18"/>
          <w:szCs w:val="18"/>
          <w:color w:val="auto"/>
        </w:rPr>
      </w:pPr>
    </w:p>
    <w:p>
      <w:pPr>
        <w:ind w:left="920" w:right="80" w:firstLine="421"/>
        <w:spacing w:after="0" w:line="288" w:lineRule="auto"/>
        <w:tabs>
          <w:tab w:leader="none" w:pos="1585" w:val="left"/>
        </w:tabs>
        <w:numPr>
          <w:ilvl w:val="1"/>
          <w:numId w:val="14"/>
        </w:numPr>
        <w:rPr>
          <w:rFonts w:ascii="Arial" w:cs="Arial" w:eastAsia="Arial" w:hAnsi="Arial"/>
          <w:sz w:val="16"/>
          <w:szCs w:val="16"/>
          <w:color w:val="auto"/>
        </w:rPr>
      </w:pPr>
      <w:r>
        <w:rPr>
          <w:rFonts w:ascii="Arial" w:cs="Arial" w:eastAsia="Arial" w:hAnsi="Arial"/>
          <w:sz w:val="16"/>
          <w:szCs w:val="16"/>
          <w:color w:val="auto"/>
        </w:rPr>
        <w:t>a Certificate of Good Standing of the Company issued by the Secretary of State of the State of California and certificates of qualification to do business as a foreign corporation issued by the appropriate Governmental Entities of each state in which the nature of the Business or the ownership of assets in such state would require the Company to be qualified to do business in such state, each dated within thirty</w:t>
      </w:r>
    </w:p>
    <w:p>
      <w:pPr>
        <w:ind w:left="1260" w:hanging="339"/>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calendar days of the Closing;</w:t>
      </w:r>
    </w:p>
    <w:p>
      <w:pPr>
        <w:spacing w:after="0" w:line="102" w:lineRule="exact"/>
        <w:rPr>
          <w:rFonts w:ascii="Arial" w:cs="Arial" w:eastAsia="Arial" w:hAnsi="Arial"/>
          <w:sz w:val="18"/>
          <w:szCs w:val="18"/>
          <w:color w:val="auto"/>
        </w:rPr>
      </w:pPr>
    </w:p>
    <w:p>
      <w:pPr>
        <w:ind w:left="920" w:right="40" w:firstLine="421"/>
        <w:spacing w:after="0" w:line="264" w:lineRule="auto"/>
        <w:tabs>
          <w:tab w:leader="none" w:pos="15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copies of resolutions adopted by the Board of Directors and shareholders of the Company (including Sellers) authorizing and approving the execution and delivery of this Agreement, the Related Agreements and all agreements and other documents and instruments contemplated hereby and thereby and the consummation of the transactions contemplated hereby and thereby;</w:t>
      </w:r>
    </w:p>
    <w:p>
      <w:pPr>
        <w:spacing w:after="0" w:line="73" w:lineRule="exact"/>
        <w:rPr>
          <w:rFonts w:ascii="Arial" w:cs="Arial" w:eastAsia="Arial" w:hAnsi="Arial"/>
          <w:sz w:val="18"/>
          <w:szCs w:val="18"/>
          <w:color w:val="auto"/>
        </w:rPr>
      </w:pPr>
    </w:p>
    <w:p>
      <w:pPr>
        <w:ind w:left="920" w:firstLine="421"/>
        <w:spacing w:after="0" w:line="264" w:lineRule="auto"/>
        <w:tabs>
          <w:tab w:leader="none" w:pos="1585"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copies of the certified articles of incorporation of the Company, including all amendments thereto, certified as true, complete and correct and in full force and effect by the Secretary of the Company, and a copy of the Bylaws of the Company, including all amendments thereto, certified as true, complete and correct and in full force and effect by the Secretary of the Company;</w:t>
      </w:r>
    </w:p>
    <w:p>
      <w:pPr>
        <w:spacing w:after="0" w:line="73" w:lineRule="exact"/>
        <w:rPr>
          <w:rFonts w:ascii="Arial" w:cs="Arial" w:eastAsia="Arial" w:hAnsi="Arial"/>
          <w:sz w:val="18"/>
          <w:szCs w:val="18"/>
          <w:color w:val="auto"/>
        </w:rPr>
      </w:pPr>
    </w:p>
    <w:p>
      <w:pPr>
        <w:ind w:left="920" w:right="20" w:firstLine="421"/>
        <w:spacing w:after="0" w:line="297" w:lineRule="auto"/>
        <w:tabs>
          <w:tab w:leader="none" w:pos="1565" w:val="left"/>
        </w:tabs>
        <w:numPr>
          <w:ilvl w:val="1"/>
          <w:numId w:val="15"/>
        </w:numPr>
        <w:rPr>
          <w:rFonts w:ascii="Arial" w:cs="Arial" w:eastAsia="Arial" w:hAnsi="Arial"/>
          <w:sz w:val="16"/>
          <w:szCs w:val="16"/>
          <w:color w:val="auto"/>
        </w:rPr>
      </w:pPr>
      <w:r>
        <w:rPr>
          <w:rFonts w:ascii="Arial" w:cs="Arial" w:eastAsia="Arial" w:hAnsi="Arial"/>
          <w:sz w:val="16"/>
          <w:szCs w:val="16"/>
          <w:color w:val="auto"/>
        </w:rPr>
        <w:t>a certificate dated as of the Closing Date, duly executed by the Sellers’ Representative to the effect that (i) all representations and warranties made by the Sellers (considered collectively and individually) in this Agreement, are true and correct in all material respects as of the Closing Date, except that representations and warranties made as of a specific date are true and correct in all material respects as of such date and (ii) Sellers have performed, complied and fulfilled in all material respects all of the covenants, agreements, obligations and conditions required under this Agreement and each of the Related Agreements to which it is a party to be complied with or fulfilled by the Sellers;</w:t>
      </w:r>
    </w:p>
    <w:p>
      <w:pPr>
        <w:spacing w:after="0" w:line="90" w:lineRule="exact"/>
        <w:rPr>
          <w:rFonts w:ascii="Arial" w:cs="Arial" w:eastAsia="Arial" w:hAnsi="Arial"/>
          <w:sz w:val="16"/>
          <w:szCs w:val="16"/>
          <w:color w:val="auto"/>
        </w:rPr>
      </w:pPr>
    </w:p>
    <w:p>
      <w:pPr>
        <w:ind w:left="5660" w:hanging="96"/>
        <w:spacing w:after="0"/>
        <w:tabs>
          <w:tab w:leader="none" w:pos="56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920" w:right="780" w:firstLine="421"/>
        <w:spacing w:after="0" w:line="277" w:lineRule="auto"/>
        <w:tabs>
          <w:tab w:leader="none" w:pos="15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evidences of the releases of all Encumbrances on the Shares, other than Permitted Encumbrances, each in form and substance satisfactory to Purchaser in its sole discretion;</w:t>
      </w:r>
    </w:p>
    <w:p>
      <w:pPr>
        <w:spacing w:after="0" w:line="62" w:lineRule="exact"/>
        <w:rPr>
          <w:rFonts w:ascii="Arial" w:cs="Arial" w:eastAsia="Arial" w:hAnsi="Arial"/>
          <w:sz w:val="18"/>
          <w:szCs w:val="18"/>
          <w:color w:val="auto"/>
        </w:rPr>
      </w:pPr>
    </w:p>
    <w:p>
      <w:pPr>
        <w:ind w:left="920" w:right="160" w:firstLine="421"/>
        <w:spacing w:after="0" w:line="308" w:lineRule="auto"/>
        <w:tabs>
          <w:tab w:leader="none" w:pos="1595"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counterparts of that certain Restricted Stock Unit Award Agreement (the “</w:t>
      </w:r>
      <w:r>
        <w:rPr>
          <w:rFonts w:ascii="Arial" w:cs="Arial" w:eastAsia="Arial" w:hAnsi="Arial"/>
          <w:sz w:val="17"/>
          <w:szCs w:val="17"/>
          <w:u w:val="single" w:color="auto"/>
          <w:color w:val="auto"/>
        </w:rPr>
        <w:t>Restricted Unit Award Agreement</w:t>
      </w:r>
      <w:r>
        <w:rPr>
          <w:rFonts w:ascii="Arial" w:cs="Arial" w:eastAsia="Arial" w:hAnsi="Arial"/>
          <w:sz w:val="17"/>
          <w:szCs w:val="17"/>
          <w:color w:val="auto"/>
        </w:rPr>
        <w:t xml:space="preserve">”) by and between GLDD and each Seller set forth on the Employee Schedule attached hereto as </w:t>
      </w:r>
      <w:r>
        <w:rPr>
          <w:rFonts w:ascii="Arial" w:cs="Arial" w:eastAsia="Arial" w:hAnsi="Arial"/>
          <w:sz w:val="17"/>
          <w:szCs w:val="17"/>
          <w:u w:val="single" w:color="auto"/>
          <w:color w:val="auto"/>
        </w:rPr>
        <w:t>Schedule D</w:t>
      </w:r>
      <w:r>
        <w:rPr>
          <w:rFonts w:ascii="Arial" w:cs="Arial" w:eastAsia="Arial" w:hAnsi="Arial"/>
          <w:sz w:val="17"/>
          <w:szCs w:val="17"/>
          <w:color w:val="auto"/>
        </w:rPr>
        <w:t xml:space="preserve">, in the form attached hereto as </w:t>
      </w:r>
      <w:r>
        <w:rPr>
          <w:rFonts w:ascii="Arial" w:cs="Arial" w:eastAsia="Arial" w:hAnsi="Arial"/>
          <w:sz w:val="17"/>
          <w:szCs w:val="17"/>
          <w:u w:val="single" w:color="auto"/>
          <w:color w:val="auto"/>
        </w:rPr>
        <w:t>Exhibit C;</w:t>
      </w:r>
    </w:p>
    <w:p>
      <w:pPr>
        <w:spacing w:after="0" w:line="38" w:lineRule="exact"/>
        <w:rPr>
          <w:rFonts w:ascii="Arial" w:cs="Arial" w:eastAsia="Arial" w:hAnsi="Arial"/>
          <w:sz w:val="17"/>
          <w:szCs w:val="17"/>
          <w:color w:val="auto"/>
        </w:rPr>
      </w:pPr>
    </w:p>
    <w:p>
      <w:pPr>
        <w:ind w:left="920" w:right="180" w:firstLine="421"/>
        <w:spacing w:after="0" w:line="264" w:lineRule="auto"/>
        <w:tabs>
          <w:tab w:leader="none" w:pos="15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copy of the Lease by and between the Company and Magnus Real Estate Group, LLC, or its assigned entity (“</w:t>
      </w:r>
      <w:r>
        <w:rPr>
          <w:rFonts w:ascii="Arial" w:cs="Arial" w:eastAsia="Arial" w:hAnsi="Arial"/>
          <w:sz w:val="18"/>
          <w:szCs w:val="18"/>
          <w:u w:val="single" w:color="auto"/>
          <w:color w:val="auto"/>
        </w:rPr>
        <w:t>Magnus Real Estate</w:t>
      </w:r>
      <w:r>
        <w:rPr>
          <w:rFonts w:ascii="Arial" w:cs="Arial" w:eastAsia="Arial" w:hAnsi="Arial"/>
          <w:sz w:val="18"/>
          <w:szCs w:val="18"/>
          <w:color w:val="auto"/>
        </w:rPr>
        <w:t>”), for the office space located in Rocklin, California (the “</w:t>
      </w:r>
      <w:r>
        <w:rPr>
          <w:rFonts w:ascii="Arial" w:cs="Arial" w:eastAsia="Arial" w:hAnsi="Arial"/>
          <w:sz w:val="18"/>
          <w:szCs w:val="18"/>
          <w:u w:val="single" w:color="auto"/>
          <w:color w:val="auto"/>
        </w:rPr>
        <w:t>Office Lease</w:t>
      </w:r>
      <w:r>
        <w:rPr>
          <w:rFonts w:ascii="Arial" w:cs="Arial" w:eastAsia="Arial" w:hAnsi="Arial"/>
          <w:sz w:val="18"/>
          <w:szCs w:val="18"/>
          <w:color w:val="auto"/>
        </w:rPr>
        <w:t xml:space="preserve">”), duly executed by Magnus Real Estate and the Company,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920" w:right="640" w:firstLine="421"/>
        <w:spacing w:after="0" w:line="342" w:lineRule="auto"/>
        <w:tabs>
          <w:tab w:leader="none" w:pos="15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copy of the Lease by and between the Company and Magnus Real Estate for the yard and warehouse space located in Rocklin, California (the “</w:t>
      </w:r>
      <w:r>
        <w:rPr>
          <w:rFonts w:ascii="Arial" w:cs="Arial" w:eastAsia="Arial" w:hAnsi="Arial"/>
          <w:sz w:val="16"/>
          <w:szCs w:val="16"/>
          <w:u w:val="single" w:color="auto"/>
          <w:color w:val="auto"/>
        </w:rPr>
        <w:t>Yard Lease</w:t>
      </w:r>
      <w:r>
        <w:rPr>
          <w:rFonts w:ascii="Arial" w:cs="Arial" w:eastAsia="Arial" w:hAnsi="Arial"/>
          <w:sz w:val="16"/>
          <w:szCs w:val="16"/>
          <w:color w:val="auto"/>
        </w:rPr>
        <w:t xml:space="preserve">”), duly executed by Magnus Real Estate and the Company,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920" w:right="140" w:firstLine="421"/>
        <w:spacing w:after="0" w:line="277" w:lineRule="auto"/>
        <w:tabs>
          <w:tab w:leader="none" w:pos="15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executed Agreement of Merger, by and between the Company and Magnus Equipment Group (“</w:t>
      </w:r>
      <w:r>
        <w:rPr>
          <w:rFonts w:ascii="Arial" w:cs="Arial" w:eastAsia="Arial" w:hAnsi="Arial"/>
          <w:sz w:val="18"/>
          <w:szCs w:val="18"/>
          <w:u w:val="single" w:color="auto"/>
          <w:color w:val="auto"/>
        </w:rPr>
        <w:t>MEG</w:t>
      </w:r>
      <w:r>
        <w:rPr>
          <w:rFonts w:ascii="Arial" w:cs="Arial" w:eastAsia="Arial" w:hAnsi="Arial"/>
          <w:sz w:val="18"/>
          <w:szCs w:val="18"/>
          <w:color w:val="auto"/>
        </w:rPr>
        <w:t>”), effectively merging MEG into the Company;</w:t>
      </w:r>
    </w:p>
    <w:p>
      <w:pPr>
        <w:spacing w:after="0" w:line="62" w:lineRule="exact"/>
        <w:rPr>
          <w:rFonts w:ascii="Arial" w:cs="Arial" w:eastAsia="Arial" w:hAnsi="Arial"/>
          <w:sz w:val="18"/>
          <w:szCs w:val="18"/>
          <w:color w:val="auto"/>
        </w:rPr>
      </w:pPr>
    </w:p>
    <w:p>
      <w:pPr>
        <w:ind w:left="920" w:right="760" w:firstLine="421"/>
        <w:spacing w:after="0" w:line="277" w:lineRule="auto"/>
        <w:tabs>
          <w:tab w:leader="none" w:pos="15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 consent in the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Spousal Consent</w:t>
      </w:r>
      <w:r>
        <w:rPr>
          <w:rFonts w:ascii="Arial" w:cs="Arial" w:eastAsia="Arial" w:hAnsi="Arial"/>
          <w:sz w:val="18"/>
          <w:szCs w:val="18"/>
          <w:color w:val="auto"/>
        </w:rPr>
        <w:t>”), executed by the spouses of each of the Sellers and Executives, as applicable; and</w:t>
      </w:r>
    </w:p>
    <w:p>
      <w:pPr>
        <w:spacing w:after="0" w:line="62" w:lineRule="exact"/>
        <w:rPr>
          <w:rFonts w:ascii="Arial" w:cs="Arial" w:eastAsia="Arial" w:hAnsi="Arial"/>
          <w:sz w:val="18"/>
          <w:szCs w:val="18"/>
          <w:color w:val="auto"/>
        </w:rPr>
      </w:pPr>
    </w:p>
    <w:p>
      <w:pPr>
        <w:ind w:left="920" w:right="100" w:firstLine="421"/>
        <w:spacing w:after="0" w:line="277" w:lineRule="auto"/>
        <w:tabs>
          <w:tab w:leader="none" w:pos="16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other documents as Purchaser may reasonably request for the purpose of otherwise facilitating the consummation or performance of any of the transactions contemplated by this Agreement or any of the Related Agreements.</w:t>
      </w:r>
    </w:p>
    <w:p>
      <w:pPr>
        <w:spacing w:after="0" w:line="166" w:lineRule="exact"/>
        <w:rPr>
          <w:sz w:val="20"/>
          <w:szCs w:val="20"/>
          <w:color w:val="auto"/>
        </w:rPr>
      </w:pPr>
    </w:p>
    <w:p>
      <w:pPr>
        <w:ind w:right="620" w:firstLine="913"/>
        <w:spacing w:after="0" w:line="282" w:lineRule="auto"/>
        <w:rPr>
          <w:sz w:val="20"/>
          <w:szCs w:val="20"/>
          <w:color w:val="auto"/>
        </w:rPr>
      </w:pPr>
      <w:r>
        <w:rPr>
          <w:rFonts w:ascii="Arial" w:cs="Arial" w:eastAsia="Arial" w:hAnsi="Arial"/>
          <w:sz w:val="18"/>
          <w:szCs w:val="18"/>
          <w:b w:val="1"/>
          <w:bCs w:val="1"/>
          <w:u w:val="single" w:color="auto"/>
          <w:color w:val="auto"/>
        </w:rPr>
        <w:t>Section 2.03. Deliveries by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At the Closing, Purchaser shall deliver (or cause to be delivered) to Sellers originals, or copies if</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of the following agreements, documents and other items:</w:t>
      </w:r>
    </w:p>
    <w:p>
      <w:pPr>
        <w:spacing w:after="0" w:line="58" w:lineRule="exact"/>
        <w:rPr>
          <w:sz w:val="20"/>
          <w:szCs w:val="20"/>
          <w:color w:val="auto"/>
        </w:rPr>
      </w:pPr>
    </w:p>
    <w:p>
      <w:pPr>
        <w:ind w:left="1580" w:hanging="239"/>
        <w:spacing w:after="0"/>
        <w:tabs>
          <w:tab w:leader="none" w:pos="1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Closing Cash Payment;</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Note, duly executed by GLDD;</w:t>
      </w:r>
    </w:p>
    <w:p>
      <w:pPr>
        <w:spacing w:after="0" w:line="117" w:lineRule="exact"/>
        <w:rPr>
          <w:rFonts w:ascii="Arial" w:cs="Arial" w:eastAsia="Arial" w:hAnsi="Arial"/>
          <w:sz w:val="18"/>
          <w:szCs w:val="18"/>
          <w:color w:val="auto"/>
        </w:rPr>
      </w:pPr>
    </w:p>
    <w:p>
      <w:pPr>
        <w:ind w:left="920" w:right="660" w:firstLine="421"/>
        <w:spacing w:after="0" w:line="277" w:lineRule="auto"/>
        <w:tabs>
          <w:tab w:leader="none" w:pos="15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counterparts of all agreements, documents and instruments required to be delivered by Purchaser pursuant to any of the Related Agreements, duly executed by Purchaser;</w:t>
      </w:r>
    </w:p>
    <w:p>
      <w:pPr>
        <w:spacing w:after="0" w:line="62" w:lineRule="exact"/>
        <w:rPr>
          <w:rFonts w:ascii="Arial" w:cs="Arial" w:eastAsia="Arial" w:hAnsi="Arial"/>
          <w:sz w:val="18"/>
          <w:szCs w:val="18"/>
          <w:color w:val="auto"/>
        </w:rPr>
      </w:pPr>
    </w:p>
    <w:p>
      <w:pPr>
        <w:ind w:left="920" w:right="40" w:firstLine="421"/>
        <w:spacing w:after="0" w:line="264" w:lineRule="auto"/>
        <w:tabs>
          <w:tab w:leader="none" w:pos="15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copies of all the resolutions adopted by the Board of Managers of Purchaser authorizing and approving the execution and delivery of this Agreement, the Related Agreements and all agreements contemplated hereby and the consummation of the transactions contemplated hereby and thereby;</w:t>
      </w:r>
    </w:p>
    <w:p>
      <w:pPr>
        <w:spacing w:after="0" w:line="113" w:lineRule="exact"/>
        <w:rPr>
          <w:rFonts w:ascii="Arial" w:cs="Arial" w:eastAsia="Arial" w:hAnsi="Arial"/>
          <w:sz w:val="18"/>
          <w:szCs w:val="18"/>
          <w:color w:val="auto"/>
        </w:rPr>
      </w:pPr>
    </w:p>
    <w:p>
      <w:pPr>
        <w:ind w:left="5660" w:hanging="96"/>
        <w:spacing w:after="0"/>
        <w:tabs>
          <w:tab w:leader="none" w:pos="5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1580" w:hanging="239"/>
        <w:spacing w:after="0"/>
        <w:tabs>
          <w:tab w:leader="none" w:pos="1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Certificate of Good Standing of Purchaser issued by the Secretary of State of the State of Delaware;</w:t>
      </w:r>
    </w:p>
    <w:p>
      <w:pPr>
        <w:spacing w:after="0" w:line="117" w:lineRule="exact"/>
        <w:rPr>
          <w:rFonts w:ascii="Arial" w:cs="Arial" w:eastAsia="Arial" w:hAnsi="Arial"/>
          <w:sz w:val="18"/>
          <w:szCs w:val="18"/>
          <w:color w:val="auto"/>
        </w:rPr>
      </w:pPr>
    </w:p>
    <w:p>
      <w:pPr>
        <w:ind w:left="920" w:right="40" w:firstLine="421"/>
        <w:spacing w:after="0" w:line="276" w:lineRule="auto"/>
        <w:tabs>
          <w:tab w:leader="none" w:pos="156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certificate dated as of the Closing Date, duly executed by an officer of Purchaser to the effect that (i) all representations and warranties made by the Purchaser in this Agreement, are true and correct in all material respects as of the Closing Date, except that representations and warranties made as of a specific date are true and correct in all material respects as of such date and (ii) Purchaser has performed, complied and fulfilled in all material respects all of the covenants, agreements, obligations and conditions required under this Agreement and each of the Related Agreements to which it is a party to be complied with or fulfilled by the Purchaser;</w:t>
      </w:r>
    </w:p>
    <w:p>
      <w:pPr>
        <w:spacing w:after="0" w:line="64" w:lineRule="exact"/>
        <w:rPr>
          <w:rFonts w:ascii="Arial" w:cs="Arial" w:eastAsia="Arial" w:hAnsi="Arial"/>
          <w:sz w:val="17"/>
          <w:szCs w:val="17"/>
          <w:color w:val="auto"/>
        </w:rPr>
      </w:pPr>
    </w:p>
    <w:p>
      <w:pPr>
        <w:ind w:left="1600" w:hanging="259"/>
        <w:spacing w:after="0"/>
        <w:tabs>
          <w:tab w:leader="none" w:pos="1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counterpart of the Restricted Stock Unit Award Agreement, by and between GLDD and each Seller, duly executed by GLDD;</w:t>
      </w:r>
    </w:p>
    <w:p>
      <w:pPr>
        <w:spacing w:after="0" w:line="233"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Section 2.04. Post-Closing Matters</w:t>
      </w:r>
      <w:r>
        <w:rPr>
          <w:rFonts w:ascii="Arial" w:cs="Arial" w:eastAsia="Arial" w:hAnsi="Arial"/>
          <w:sz w:val="18"/>
          <w:szCs w:val="18"/>
          <w:b w:val="1"/>
          <w:bCs w:val="1"/>
          <w:color w:val="auto"/>
        </w:rPr>
        <w:t>.</w:t>
      </w:r>
    </w:p>
    <w:p>
      <w:pPr>
        <w:spacing w:after="0" w:line="121" w:lineRule="exact"/>
        <w:rPr>
          <w:sz w:val="20"/>
          <w:szCs w:val="20"/>
          <w:color w:val="auto"/>
        </w:rPr>
      </w:pPr>
    </w:p>
    <w:p>
      <w:pPr>
        <w:ind w:left="920" w:right="60" w:firstLine="421"/>
        <w:spacing w:after="0" w:line="259" w:lineRule="auto"/>
        <w:tabs>
          <w:tab w:leader="none" w:pos="15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Within fifteen (15) calendar days of the Closing Date, the Company shall prepare and file (i) a Form D filing with the Securities and Exchange Commission as required under Rule 506 of Regulation D; (ii) any additional filings to the extent required by the blue sky administration laws of the state of California; and (iii) a press release to announce the transaction contemplated by this Agreement, as well as the Restricted Stock Unit Award Agreement.</w:t>
      </w:r>
    </w:p>
    <w:p>
      <w:pPr>
        <w:spacing w:after="0" w:line="78" w:lineRule="exact"/>
        <w:rPr>
          <w:rFonts w:ascii="Arial" w:cs="Arial" w:eastAsia="Arial" w:hAnsi="Arial"/>
          <w:sz w:val="18"/>
          <w:szCs w:val="18"/>
          <w:color w:val="auto"/>
        </w:rPr>
      </w:pPr>
    </w:p>
    <w:p>
      <w:pPr>
        <w:ind w:left="920" w:right="60" w:firstLine="421"/>
        <w:spacing w:after="0" w:line="264" w:lineRule="auto"/>
        <w:tabs>
          <w:tab w:leader="none" w:pos="15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soon as practicable after the Closing Date, Sellers’ Representative shall prepare and file any and all filings required by the Secretary of State of California and by the Secretary of State of any of each state in which the Company is qualified to do business as a result of the transactions contemplated by this Agreement.</w:t>
      </w:r>
    </w:p>
    <w:p>
      <w:pPr>
        <w:spacing w:after="0" w:line="73" w:lineRule="exact"/>
        <w:rPr>
          <w:rFonts w:ascii="Arial" w:cs="Arial" w:eastAsia="Arial" w:hAnsi="Arial"/>
          <w:sz w:val="18"/>
          <w:szCs w:val="18"/>
          <w:color w:val="auto"/>
        </w:rPr>
      </w:pPr>
    </w:p>
    <w:p>
      <w:pPr>
        <w:ind w:left="920" w:right="220" w:firstLine="421"/>
        <w:spacing w:after="0" w:line="264" w:lineRule="auto"/>
        <w:tabs>
          <w:tab w:leader="none" w:pos="15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As soon as practicable after the Closing Date, Sellers’ Representative shall provide to Purchaser copies of any consent, waiver, authorization and approval required pursuant to </w:t>
      </w:r>
      <w:r>
        <w:rPr>
          <w:rFonts w:ascii="Arial" w:cs="Arial" w:eastAsia="Arial" w:hAnsi="Arial"/>
          <w:sz w:val="18"/>
          <w:szCs w:val="18"/>
          <w:u w:val="single" w:color="auto"/>
          <w:color w:val="auto"/>
        </w:rPr>
        <w:t>Section 4.05</w:t>
      </w:r>
      <w:r>
        <w:rPr>
          <w:rFonts w:ascii="Arial" w:cs="Arial" w:eastAsia="Arial" w:hAnsi="Arial"/>
          <w:sz w:val="18"/>
          <w:szCs w:val="18"/>
          <w:color w:val="auto"/>
        </w:rPr>
        <w:t xml:space="preserve"> of this Agreement, which was not obtained prior to the Closing Date, as indicated on </w:t>
      </w:r>
      <w:r>
        <w:rPr>
          <w:rFonts w:ascii="Arial" w:cs="Arial" w:eastAsia="Arial" w:hAnsi="Arial"/>
          <w:sz w:val="18"/>
          <w:szCs w:val="18"/>
          <w:u w:val="single" w:color="auto"/>
          <w:color w:val="auto"/>
        </w:rPr>
        <w:t>Section 4.05</w:t>
      </w:r>
      <w:r>
        <w:rPr>
          <w:rFonts w:ascii="Arial" w:cs="Arial" w:eastAsia="Arial" w:hAnsi="Arial"/>
          <w:sz w:val="18"/>
          <w:szCs w:val="18"/>
          <w:color w:val="auto"/>
        </w:rPr>
        <w:t xml:space="preserve"> of the Disclosure Schedules.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INDIVIDUAL REPRESENTATIONS AND WARRANTIES OF SELLERS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Seller severally, and not jointly, hereby represents and warrants to Purchaser, solely as to such Seller, as follows:</w:t>
      </w:r>
    </w:p>
    <w:p>
      <w:pPr>
        <w:spacing w:after="0" w:line="113" w:lineRule="exact"/>
        <w:rPr>
          <w:sz w:val="20"/>
          <w:szCs w:val="20"/>
          <w:color w:val="auto"/>
        </w:rPr>
      </w:pPr>
    </w:p>
    <w:p>
      <w:pPr>
        <w:ind w:right="200" w:firstLine="913"/>
        <w:spacing w:after="0" w:line="258" w:lineRule="auto"/>
        <w:rPr>
          <w:sz w:val="20"/>
          <w:szCs w:val="20"/>
          <w:color w:val="auto"/>
        </w:rPr>
      </w:pPr>
      <w:r>
        <w:rPr>
          <w:rFonts w:ascii="Arial" w:cs="Arial" w:eastAsia="Arial" w:hAnsi="Arial"/>
          <w:sz w:val="18"/>
          <w:szCs w:val="18"/>
          <w:b w:val="1"/>
          <w:bCs w:val="1"/>
          <w:u w:val="single" w:color="auto"/>
          <w:color w:val="auto"/>
        </w:rPr>
        <w:t>Section 3.01. Authorization and Validity of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Each Seller has the legal capacity and authority to enter into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Agreements to which he, she or it is a party and such other agreements, documents and instruments to which he, she or it is a party and to carry out his, her or its obligations hereunder and thereunder. The execution and delivery of this Agreement, the Related Agreements to which he, she or it is a party and such other agreements, documents and instruments by each of Sellers and the consummation by each of Sellers of the transactions contemplated hereby and thereby have been duly authorized by all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necessary action on the part of each of Sellers, and no other corporate or other proceedings on the part of any Sellers are necessary to authorize the execution, delivery and performance of this Agreement, the Related Agreements or any other such agreement, document or instrument, as applicable. This Agreement, each of the Related Agreements and all other agreements, documents and instruments executed by any Sellers in connection with the transactions contemplated by this Agreement have been duly executed and delivered by each Seller, as applicable, and constitute Sellers’ legal, valid and binding obligation, as applicable, enforceable against Sellers, as applicable, in accordance with their respective terms and conditions.</w:t>
      </w:r>
    </w:p>
    <w:p>
      <w:pPr>
        <w:spacing w:after="0" w:line="169" w:lineRule="exact"/>
        <w:rPr>
          <w:sz w:val="20"/>
          <w:szCs w:val="20"/>
          <w:color w:val="auto"/>
        </w:rPr>
      </w:pPr>
    </w:p>
    <w:p>
      <w:pPr>
        <w:ind w:firstLine="913"/>
        <w:spacing w:after="0" w:line="274" w:lineRule="auto"/>
        <w:rPr>
          <w:sz w:val="20"/>
          <w:szCs w:val="20"/>
          <w:color w:val="auto"/>
        </w:rPr>
      </w:pPr>
      <w:r>
        <w:rPr>
          <w:rFonts w:ascii="Arial" w:cs="Arial" w:eastAsia="Arial" w:hAnsi="Arial"/>
          <w:sz w:val="17"/>
          <w:szCs w:val="17"/>
          <w:b w:val="1"/>
          <w:bCs w:val="1"/>
          <w:u w:val="single" w:color="auto"/>
          <w:color w:val="auto"/>
        </w:rPr>
        <w:t>Section 3.02. No Conflict or Violation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execution, delivery, consummation and performance of this Agreement and each of the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by each Seller do not and shall not: (a) in the case of each Seller who is not an individual, violate or conflict with any provision of any Governing Document of such Seller; (b) violate any provision of Law applicable to such Seller; (c) violate or result in a breach of or constitute (with or without due notice or lapse of time or both) a default under any Contract, consent, order or other instrument or obligation to which any Seller is a party, or by which any of Sellers’ respective assets or properties may be bound; or (d) result in the imposition of any Encumbrance or restriction on the Business, the Shares or any of the assets or properties of the Company (with or without due notice or lapse of time or both).</w:t>
      </w:r>
    </w:p>
    <w:p>
      <w:pPr>
        <w:spacing w:after="0" w:line="174" w:lineRule="exact"/>
        <w:rPr>
          <w:sz w:val="20"/>
          <w:szCs w:val="20"/>
          <w:color w:val="auto"/>
        </w:rPr>
      </w:pPr>
    </w:p>
    <w:p>
      <w:pPr>
        <w:ind w:right="40" w:firstLine="913"/>
        <w:spacing w:after="0" w:line="266" w:lineRule="auto"/>
        <w:rPr>
          <w:sz w:val="20"/>
          <w:szCs w:val="20"/>
          <w:color w:val="auto"/>
        </w:rPr>
      </w:pPr>
      <w:r>
        <w:rPr>
          <w:rFonts w:ascii="Arial" w:cs="Arial" w:eastAsia="Arial" w:hAnsi="Arial"/>
          <w:sz w:val="18"/>
          <w:szCs w:val="18"/>
          <w:b w:val="1"/>
          <w:bCs w:val="1"/>
          <w:u w:val="single" w:color="auto"/>
          <w:color w:val="auto"/>
        </w:rPr>
        <w:t>Section 3.03. Consents and Approvals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execution, delivery and performance by such Seller of this Agreement or any Related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it is a party and the consummation by such party of the transactions contemplated thereby, will not require any notice to, or consent, authorization or approval from any Governmental Entity or any other third party.</w:t>
      </w:r>
    </w:p>
    <w:p>
      <w:pPr>
        <w:spacing w:after="0" w:line="176"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b w:val="1"/>
          <w:bCs w:val="1"/>
          <w:u w:val="single" w:color="auto"/>
          <w:color w:val="auto"/>
        </w:rPr>
        <w:t>Section 3.04. Title to the Shares and Related Matters</w:t>
      </w:r>
      <w:r>
        <w:rPr>
          <w:rFonts w:ascii="Arial" w:cs="Arial" w:eastAsia="Arial" w:hAnsi="Arial"/>
          <w:sz w:val="17"/>
          <w:szCs w:val="17"/>
          <w:b w:val="1"/>
          <w:bCs w:val="1"/>
          <w:color w:val="auto"/>
        </w:rPr>
        <w:t xml:space="preserve">. </w:t>
      </w:r>
      <w:r>
        <w:rPr>
          <w:rFonts w:ascii="Arial" w:cs="Arial" w:eastAsia="Arial" w:hAnsi="Arial"/>
          <w:sz w:val="17"/>
          <w:szCs w:val="17"/>
          <w:color w:val="auto"/>
        </w:rPr>
        <w:t>Sellers have good, marketable and insurable title to all of the Shares, free and clear of</w:t>
      </w:r>
      <w:r>
        <w:rPr>
          <w:rFonts w:ascii="Arial" w:cs="Arial" w:eastAsia="Arial" w:hAnsi="Arial"/>
          <w:sz w:val="17"/>
          <w:szCs w:val="17"/>
          <w:b w:val="1"/>
          <w:bCs w:val="1"/>
          <w:color w:val="auto"/>
        </w:rPr>
        <w:t xml:space="preserve"> </w:t>
      </w:r>
      <w:r>
        <w:rPr>
          <w:rFonts w:ascii="Arial" w:cs="Arial" w:eastAsia="Arial" w:hAnsi="Arial"/>
          <w:sz w:val="17"/>
          <w:szCs w:val="17"/>
          <w:color w:val="auto"/>
        </w:rPr>
        <w:t>all Encumbrances. Sellers have complete and unrestricted power and the unqualified right to sell, convey, assign, transfer and deliver the Shares, and the instruments of assignment and transfer to be executed and delivered by Sellers to Purchaser at the Closing shall be valid and binding obligations of Sellers, enforceable in accordance with their respective terms, and shall effectively vest in Purchaser good, marketable and insurable title to the Shares. All consents necessary to consummate the transactions contemplated by this Agreement have been obtained, or, shall be obtained on or prior to, and be in effect as of, the Closing Date, and are or shall be when obtained enforceable, valid and binding upon the Persons giving the same. There does not exist any condition which may interfere with the economic value or use of any of the Shares.</w:t>
      </w:r>
    </w:p>
    <w:p>
      <w:pPr>
        <w:spacing w:after="0" w:line="172" w:lineRule="exact"/>
        <w:rPr>
          <w:sz w:val="20"/>
          <w:szCs w:val="20"/>
          <w:color w:val="auto"/>
        </w:rPr>
      </w:pPr>
    </w:p>
    <w:p>
      <w:pPr>
        <w:ind w:right="240" w:firstLine="913"/>
        <w:spacing w:after="0" w:line="261" w:lineRule="auto"/>
        <w:rPr>
          <w:sz w:val="20"/>
          <w:szCs w:val="20"/>
          <w:color w:val="auto"/>
        </w:rPr>
      </w:pPr>
      <w:r>
        <w:rPr>
          <w:rFonts w:ascii="Arial" w:cs="Arial" w:eastAsia="Arial" w:hAnsi="Arial"/>
          <w:sz w:val="18"/>
          <w:szCs w:val="18"/>
          <w:b w:val="1"/>
          <w:bCs w:val="1"/>
          <w:u w:val="single" w:color="auto"/>
          <w:color w:val="auto"/>
        </w:rPr>
        <w:t>Section 3.05. Broker’s and Finder’s Fees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(which fees shall be paid and fully</w:t>
      </w:r>
      <w:r>
        <w:rPr>
          <w:rFonts w:ascii="Arial" w:cs="Arial" w:eastAsia="Arial" w:hAnsi="Arial"/>
          <w:sz w:val="18"/>
          <w:szCs w:val="18"/>
          <w:b w:val="1"/>
          <w:bCs w:val="1"/>
          <w:color w:val="auto"/>
        </w:rPr>
        <w:t xml:space="preserve"> </w:t>
      </w:r>
      <w:r>
        <w:rPr>
          <w:rFonts w:ascii="Arial" w:cs="Arial" w:eastAsia="Arial" w:hAnsi="Arial"/>
          <w:sz w:val="18"/>
          <w:szCs w:val="18"/>
          <w:color w:val="auto"/>
        </w:rPr>
        <w:t>discharged by the Sellers), no broker, finder or other Person is entitled to any commission or finder’s fee in connection with this Agreement or the transactions contemplated by this Agreement as a result of any actions or commitments of the Sellers (or any Affiliates). Any fees shall be paid from the Sellers’ available cash at the time of Closing or the Closing Cash Payment.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0" w:lineRule="exact"/>
        <w:rPr>
          <w:sz w:val="20"/>
          <w:szCs w:val="20"/>
          <w:color w:val="auto"/>
        </w:rPr>
      </w:pPr>
    </w:p>
    <w:p>
      <w:pPr>
        <w:ind w:right="180" w:firstLine="913"/>
        <w:spacing w:after="0" w:line="313" w:lineRule="auto"/>
        <w:rPr>
          <w:sz w:val="20"/>
          <w:szCs w:val="20"/>
          <w:color w:val="auto"/>
        </w:rPr>
      </w:pPr>
      <w:r>
        <w:rPr>
          <w:rFonts w:ascii="Arial" w:cs="Arial" w:eastAsia="Arial" w:hAnsi="Arial"/>
          <w:sz w:val="17"/>
          <w:szCs w:val="17"/>
          <w:b w:val="1"/>
          <w:bCs w:val="1"/>
          <w:u w:val="single" w:color="auto"/>
          <w:color w:val="auto"/>
        </w:rPr>
        <w:t>Section 3.06. Legal Proceedings</w:t>
      </w:r>
      <w:r>
        <w:rPr>
          <w:rFonts w:ascii="Arial" w:cs="Arial" w:eastAsia="Arial" w:hAnsi="Arial"/>
          <w:sz w:val="17"/>
          <w:szCs w:val="17"/>
          <w:b w:val="1"/>
          <w:bCs w:val="1"/>
          <w:color w:val="auto"/>
        </w:rPr>
        <w:t xml:space="preserve">. </w:t>
      </w:r>
      <w:r>
        <w:rPr>
          <w:rFonts w:ascii="Arial" w:cs="Arial" w:eastAsia="Arial" w:hAnsi="Arial"/>
          <w:sz w:val="17"/>
          <w:szCs w:val="17"/>
          <w:color w:val="auto"/>
        </w:rPr>
        <w:t>There is not pending, or to such Sellers’ Knowledge, threatened, any Proceeding that challenges, or that may</w:t>
      </w:r>
      <w:r>
        <w:rPr>
          <w:rFonts w:ascii="Arial" w:cs="Arial" w:eastAsia="Arial" w:hAnsi="Arial"/>
          <w:sz w:val="17"/>
          <w:szCs w:val="17"/>
          <w:b w:val="1"/>
          <w:bCs w:val="1"/>
          <w:color w:val="auto"/>
        </w:rPr>
        <w:t xml:space="preserve"> </w:t>
      </w:r>
      <w:r>
        <w:rPr>
          <w:rFonts w:ascii="Arial" w:cs="Arial" w:eastAsia="Arial" w:hAnsi="Arial"/>
          <w:sz w:val="17"/>
          <w:szCs w:val="17"/>
          <w:color w:val="auto"/>
        </w:rPr>
        <w:t>have the effect of preventing, delaying, making illegal or otherwise interfering with, any of the transactions contemplated by this Agreement.</w:t>
      </w:r>
    </w:p>
    <w:p>
      <w:pPr>
        <w:spacing w:after="0" w:line="138" w:lineRule="exact"/>
        <w:rPr>
          <w:sz w:val="20"/>
          <w:szCs w:val="20"/>
          <w:color w:val="auto"/>
        </w:rPr>
      </w:pPr>
    </w:p>
    <w:p>
      <w:pPr>
        <w:ind w:right="60" w:firstLine="913"/>
        <w:spacing w:after="0" w:line="289" w:lineRule="auto"/>
        <w:rPr>
          <w:sz w:val="20"/>
          <w:szCs w:val="20"/>
          <w:color w:val="auto"/>
        </w:rPr>
      </w:pPr>
      <w:r>
        <w:rPr>
          <w:rFonts w:ascii="Arial" w:cs="Arial" w:eastAsia="Arial" w:hAnsi="Arial"/>
          <w:sz w:val="17"/>
          <w:szCs w:val="17"/>
          <w:b w:val="1"/>
          <w:bCs w:val="1"/>
          <w:u w:val="single" w:color="auto"/>
          <w:color w:val="auto"/>
        </w:rPr>
        <w:t>Section 3.07. GLDD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1.03</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1.04</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and the Restricted Stock Unit Award Agreements,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and other securities of GLDD (“</w:t>
      </w:r>
      <w:r>
        <w:rPr>
          <w:rFonts w:ascii="Arial" w:cs="Arial" w:eastAsia="Arial" w:hAnsi="Arial"/>
          <w:sz w:val="17"/>
          <w:szCs w:val="17"/>
          <w:u w:val="single" w:color="auto"/>
          <w:color w:val="auto"/>
        </w:rPr>
        <w:t>GLDD Consideration Securities</w:t>
      </w:r>
      <w:r>
        <w:rPr>
          <w:rFonts w:ascii="Arial" w:cs="Arial" w:eastAsia="Arial" w:hAnsi="Arial"/>
          <w:sz w:val="17"/>
          <w:szCs w:val="17"/>
          <w:color w:val="auto"/>
        </w:rPr>
        <w:t>”) may be issued to the Sellers as part of the consideration for the purchase of the Company’s shares. The Sellers make the following representations with respect to the GLDD Consideration Securities:</w:t>
      </w:r>
    </w:p>
    <w:p>
      <w:pPr>
        <w:spacing w:after="0" w:line="54" w:lineRule="exact"/>
        <w:rPr>
          <w:sz w:val="20"/>
          <w:szCs w:val="20"/>
          <w:color w:val="auto"/>
        </w:rPr>
      </w:pPr>
    </w:p>
    <w:p>
      <w:pPr>
        <w:ind w:left="920" w:right="100" w:firstLine="421"/>
        <w:spacing w:after="0" w:line="277" w:lineRule="auto"/>
        <w:tabs>
          <w:tab w:leader="none" w:pos="15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Sellers have appointed Louay Owaidat as the Seller’s Rule 506 Representative (the “</w:t>
      </w:r>
      <w:r>
        <w:rPr>
          <w:rFonts w:ascii="Arial" w:cs="Arial" w:eastAsia="Arial" w:hAnsi="Arial"/>
          <w:sz w:val="18"/>
          <w:szCs w:val="18"/>
          <w:u w:val="single" w:color="auto"/>
          <w:color w:val="auto"/>
        </w:rPr>
        <w:t>Rule 506 Representative</w:t>
      </w:r>
      <w:r>
        <w:rPr>
          <w:rFonts w:ascii="Arial" w:cs="Arial" w:eastAsia="Arial" w:hAnsi="Arial"/>
          <w:sz w:val="18"/>
          <w:szCs w:val="18"/>
          <w:color w:val="auto"/>
        </w:rPr>
        <w:t>”) to explain to them, among other matters, the merits and risks of investment in the GLDD Consideration Securities.</w:t>
      </w:r>
    </w:p>
    <w:p>
      <w:pPr>
        <w:spacing w:after="0" w:line="62" w:lineRule="exact"/>
        <w:rPr>
          <w:rFonts w:ascii="Arial" w:cs="Arial" w:eastAsia="Arial" w:hAnsi="Arial"/>
          <w:sz w:val="18"/>
          <w:szCs w:val="18"/>
          <w:color w:val="auto"/>
        </w:rPr>
      </w:pPr>
    </w:p>
    <w:p>
      <w:pPr>
        <w:ind w:left="920" w:right="280" w:firstLine="421"/>
        <w:spacing w:after="0" w:line="277" w:lineRule="auto"/>
        <w:tabs>
          <w:tab w:leader="none" w:pos="15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Seller, either alone or with the Rule 506 Representative, has knowledge and experience in financial and business matters and is capable of evaluating the merits and risks of the GLDD Consideration Securities.</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Seller is acquiring the GLDD Consideration Securities with an investment intent.</w:t>
      </w:r>
    </w:p>
    <w:p>
      <w:pPr>
        <w:spacing w:after="0" w:line="117" w:lineRule="exact"/>
        <w:rPr>
          <w:rFonts w:ascii="Arial" w:cs="Arial" w:eastAsia="Arial" w:hAnsi="Arial"/>
          <w:sz w:val="18"/>
          <w:szCs w:val="18"/>
          <w:color w:val="auto"/>
        </w:rPr>
      </w:pPr>
    </w:p>
    <w:p>
      <w:pPr>
        <w:ind w:left="920" w:right="60" w:firstLine="421"/>
        <w:spacing w:after="0" w:line="277" w:lineRule="auto"/>
        <w:tabs>
          <w:tab w:leader="none" w:pos="15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Seller has received GLDD’s most recent Form 10-K, proxy, and annual report and has had ample opportunity to ask questions and review information regarding the GLDD Consideration Securities.</w:t>
      </w:r>
    </w:p>
    <w:p>
      <w:pPr>
        <w:spacing w:after="0" w:line="62" w:lineRule="exact"/>
        <w:rPr>
          <w:rFonts w:ascii="Arial" w:cs="Arial" w:eastAsia="Arial" w:hAnsi="Arial"/>
          <w:sz w:val="18"/>
          <w:szCs w:val="18"/>
          <w:color w:val="auto"/>
        </w:rPr>
      </w:pPr>
    </w:p>
    <w:p>
      <w:pPr>
        <w:ind w:left="920" w:right="200" w:firstLine="421"/>
        <w:spacing w:after="0" w:line="286" w:lineRule="auto"/>
        <w:tabs>
          <w:tab w:leader="none" w:pos="158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GLDD Consideration Securities will be issued pursuant to Rule 506 of the Securities Act and will not be registered under federal or state securities laws. As a result, any GLDD shares issued as GLDD Consideration Securities will be subject to restrictions on transfer. Certificates for GLDD Consideration Securities in the form of GLDD stock will bear a legend stating the restrictions on transfer.</w:t>
      </w:r>
    </w:p>
    <w:p>
      <w:pPr>
        <w:spacing w:after="0" w:line="57" w:lineRule="exact"/>
        <w:rPr>
          <w:rFonts w:ascii="Arial" w:cs="Arial" w:eastAsia="Arial" w:hAnsi="Arial"/>
          <w:sz w:val="17"/>
          <w:szCs w:val="17"/>
          <w:color w:val="auto"/>
        </w:rPr>
      </w:pPr>
    </w:p>
    <w:p>
      <w:pPr>
        <w:jc w:val="both"/>
        <w:ind w:left="920" w:right="40" w:firstLine="421"/>
        <w:spacing w:after="0" w:line="259" w:lineRule="auto"/>
        <w:tabs>
          <w:tab w:leader="none" w:pos="15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Seller further represents that they, and any Related Person, do not currently own, and have not previously owned since August 29, 2014, any GLDD Stock, or rights to acquire GLDD Stock, except to the extent such GLDD Stock was part of a portfolio investment in any fund owned by such Seller or Related Person wherein any such investment decisions are made by third Parties not under the direction or control of the Seller or any Related Person.</w:t>
      </w:r>
    </w:p>
    <w:p>
      <w:pPr>
        <w:spacing w:after="0" w:line="119" w:lineRule="exact"/>
        <w:rPr>
          <w:rFonts w:ascii="Arial" w:cs="Arial" w:eastAsia="Arial" w:hAnsi="Arial"/>
          <w:sz w:val="18"/>
          <w:szCs w:val="18"/>
          <w:color w:val="auto"/>
        </w:rPr>
      </w:pPr>
    </w:p>
    <w:p>
      <w:pPr>
        <w:ind w:left="5620" w:hanging="98"/>
        <w:spacing w:after="0"/>
        <w:tabs>
          <w:tab w:leader="none" w:pos="5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THE COMPANY</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The Company and each of the Sellers, jointly and severally, hereby represent and warrant to Purchaser, subject to such exceptions as are specifically disclosed in the Disclosure Schedules (each such disclosures, in order to be effective, shall clearly reference the appropriate section and, if applicable, subsection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to which it relates) delivered by the Company and the Sellers concurrently with the execution of this Agreement, dated as of the date hereof (the “</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as follows:</w:t>
      </w:r>
    </w:p>
    <w:p>
      <w:pPr>
        <w:spacing w:after="0" w:line="75"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b w:val="1"/>
          <w:bCs w:val="1"/>
          <w:u w:val="single" w:color="auto"/>
          <w:color w:val="auto"/>
        </w:rPr>
        <w:t>Section 4.01. Organization; Power.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is a corporation duly organized, validly existing, and in good standing under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State of California. The Company has all requisite corporate power and authority to own, lease, and operate its properties and assets and to carry on its business as it is now conducted and as it is now proposed to be conducted. The Company is qualified as a foreign corporation to transact business, and is validly existing and in good standing in each state or jurisdiction, as set forth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of the Disclosure Schedules, where such qualification is necessary or desirable because of the nature of the assets and properties it owns, leases or operates or because of the nature of the business it conducts or now proposes to conduct, except where such failure to qualify would not have a Material Adverse Effect. Except as set forth on </w:t>
      </w:r>
      <w:r>
        <w:rPr>
          <w:rFonts w:ascii="Arial" w:cs="Arial" w:eastAsia="Arial" w:hAnsi="Arial"/>
          <w:sz w:val="17"/>
          <w:szCs w:val="17"/>
          <w:u w:val="single" w:color="auto"/>
          <w:color w:val="auto"/>
        </w:rPr>
        <w:t>Section 4.03(b)</w:t>
      </w:r>
      <w:r>
        <w:rPr>
          <w:rFonts w:ascii="Arial" w:cs="Arial" w:eastAsia="Arial" w:hAnsi="Arial"/>
          <w:sz w:val="17"/>
          <w:szCs w:val="17"/>
          <w:color w:val="auto"/>
        </w:rPr>
        <w:t xml:space="preserve"> of the Disclosure Schedules, the Company has no Subsidiaries and does not own any equity securities of any other Person. Sellers have delivered or caused to be delivered to Purchaser true, accurate and complete copies of (i) the Governing Documents of the Company, and (ii) the minute books of the Company which contain records of all meetings held, and other actions taken by, the Company’s board of directors or shareholders, or any committees appointed by the Company’s board of directors.</w:t>
      </w:r>
    </w:p>
    <w:p>
      <w:pPr>
        <w:spacing w:after="0" w:line="178"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b w:val="1"/>
          <w:bCs w:val="1"/>
          <w:u w:val="single" w:color="auto"/>
          <w:color w:val="auto"/>
        </w:rPr>
        <w:t>Section 4.02. Authorization and Validity of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has all requisite power and authority to enter into, execute and deliver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the Related Agreements to which it is a party and all agreements, documents and instruments contemplated hereby or thereby, to consummate the transactions contemplated thereby, to perform all of its obligations under this Agreement, the Related Agreements to which it is a party and all agreements, documents and instruments contemplated hereby or thereby, and to comply with and fulfill the terms and conditions of this Agreement, the Related Agreements to which it is a party and all agreements, documents and instruments contemplated hereby or thereby. The execution and delivery of this Agreement, the Related Agreements to which it is a party and such other agreements, documents and instruments by the Company and the consummation by the Company of the transactions contemplated thereby have been duly authorized by all necessary action on the part of the Company and each Seller, and no other corporate or other proceedings on the part of the Company or any Seller is necessary to authorize the execution, delivery and performance of this Agreement, the Related Agreements or any other such agreement, document or instrument, as applicable. This Agreement, each of the Related Agreements and all other agreements, documents and instruments executed by the Company in connection with the transactions contemplated thereby have been duly executed and delivered by each of the Company and constitute the Company’s legal, valid and binding obligation, as applicable, enforceable against the Company in accordance with their respective terms and conditions.</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Section 4.03. Capital Structure of the Company and Related Matters; Owners of Shares; Subsidiaries</w:t>
      </w:r>
      <w:r>
        <w:rPr>
          <w:rFonts w:ascii="Arial" w:cs="Arial" w:eastAsia="Arial" w:hAnsi="Arial"/>
          <w:sz w:val="18"/>
          <w:szCs w:val="18"/>
          <w:u w:val="single" w:color="auto"/>
          <w:color w:val="auto"/>
        </w:rPr>
        <w:t>.</w:t>
      </w:r>
    </w:p>
    <w:p>
      <w:pPr>
        <w:spacing w:after="0" w:line="121" w:lineRule="exact"/>
        <w:rPr>
          <w:sz w:val="20"/>
          <w:szCs w:val="20"/>
          <w:color w:val="auto"/>
        </w:rPr>
      </w:pPr>
    </w:p>
    <w:p>
      <w:pPr>
        <w:ind w:left="920" w:right="120" w:firstLine="421"/>
        <w:spacing w:after="0" w:line="264" w:lineRule="auto"/>
        <w:tabs>
          <w:tab w:leader="none" w:pos="15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total authorized, issued and outstanding shares of the Company are set forth on </w:t>
      </w:r>
      <w:r>
        <w:rPr>
          <w:rFonts w:ascii="Arial" w:cs="Arial" w:eastAsia="Arial" w:hAnsi="Arial"/>
          <w:sz w:val="18"/>
          <w:szCs w:val="18"/>
          <w:u w:val="single" w:color="auto"/>
          <w:color w:val="auto"/>
        </w:rPr>
        <w:t>Section 4.03(a)</w:t>
      </w:r>
      <w:r>
        <w:rPr>
          <w:rFonts w:ascii="Arial" w:cs="Arial" w:eastAsia="Arial" w:hAnsi="Arial"/>
          <w:sz w:val="18"/>
          <w:szCs w:val="18"/>
          <w:color w:val="auto"/>
        </w:rPr>
        <w:t xml:space="preserve"> of the Disclosure Schedules. All of the issued and outstanding shares of the Company are owned by Sellers. All outstanding shares of the Company have been duly authorized and validly issued and are fully paid and non assessable.</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4.03(a)</w:t>
      </w:r>
      <w:r>
        <w:rPr>
          <w:rFonts w:ascii="Arial" w:cs="Arial" w:eastAsia="Arial" w:hAnsi="Arial"/>
          <w:sz w:val="18"/>
          <w:szCs w:val="18"/>
          <w:color w:val="auto"/>
        </w:rPr>
        <w:t xml:space="preserve"> of the Disclosure Schedules, there are no outstanding options, warrants or other rights of any kind to acquire any shares of the Company, nor any outstanding securities convertible into or exchangeable for, or which otherwise confer on the holder thereof any right to acquire, any shares of the Company. Except as set forth on </w:t>
      </w:r>
      <w:r>
        <w:rPr>
          <w:rFonts w:ascii="Arial" w:cs="Arial" w:eastAsia="Arial" w:hAnsi="Arial"/>
          <w:sz w:val="18"/>
          <w:szCs w:val="18"/>
          <w:u w:val="single" w:color="auto"/>
          <w:color w:val="auto"/>
        </w:rPr>
        <w:t>Section 4.03(a)</w:t>
      </w:r>
      <w:r>
        <w:rPr>
          <w:rFonts w:ascii="Arial" w:cs="Arial" w:eastAsia="Arial" w:hAnsi="Arial"/>
          <w:sz w:val="18"/>
          <w:szCs w:val="18"/>
          <w:color w:val="auto"/>
        </w:rPr>
        <w:t xml:space="preserve"> of the Disclosure Schedules, the Company is not committed to issue any such option, warrant, right or security.</w:t>
      </w:r>
    </w:p>
    <w:p>
      <w:pPr>
        <w:spacing w:after="0" w:line="79" w:lineRule="exact"/>
        <w:rPr>
          <w:sz w:val="20"/>
          <w:szCs w:val="20"/>
          <w:color w:val="auto"/>
        </w:rPr>
      </w:pPr>
    </w:p>
    <w:p>
      <w:pPr>
        <w:ind w:left="920" w:right="20" w:firstLine="421"/>
        <w:spacing w:after="0" w:line="255" w:lineRule="auto"/>
        <w:tabs>
          <w:tab w:leader="none" w:pos="159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Section 4.03(b)</w:t>
      </w:r>
      <w:r>
        <w:rPr>
          <w:rFonts w:ascii="Arial" w:cs="Arial" w:eastAsia="Arial" w:hAnsi="Arial"/>
          <w:sz w:val="18"/>
          <w:szCs w:val="18"/>
          <w:color w:val="auto"/>
        </w:rPr>
        <w:t xml:space="preserve"> of the Disclosure Schedules attached hereto sets forth a true, complete and correct list of the subsidiaries of the Company, and for each subsidiary of the Company, (i) its name, (ii) the number of authorized shares for each class of its capital stock, (iii) the number of issued and outstanding shares of each class of its capital stock, (iv) the names of the holders of such issued and outstanding shares and the number and class of shares held by each such holder and (v) the number of shares of its capital stock held in treasury. The Company or one or more of its subsidiaries holds of record and owns beneficially all of the outstanding shares of each subsidiary of the Company, free and clear of any Encumbrances or Taxes.</w:t>
      </w:r>
    </w:p>
    <w:p>
      <w:pPr>
        <w:spacing w:after="0" w:line="189"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b w:val="1"/>
          <w:bCs w:val="1"/>
          <w:u w:val="single" w:color="auto"/>
          <w:color w:val="auto"/>
        </w:rPr>
        <w:t>Section 4.04. No Conflict or Violation.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execution, delivery, consummation and performance of this Agreement and each of the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Agreements by the Company do not and shall not: (a) violate or conflict with any provision of the articles of incorporation, bylaws, other Governing Documents of the Company or resolutions adopted by the board of directors or the shareholders of the Company, as applicable; (b) violate any provision of Law applicable to the Company, or the Business; (c) violate or result in a breach of or constitute (with or without due notice or lapse of time or both) a default under any Contract, consent, order or other instrument or obligation to which the Company is a party, or to the Company’s or Sellers’ Knowledge by which any of the Company’s respective assets or properties may be bound; (d) result in the imposition of any Encumbrance or restriction on the Business or any of the assets of the Company (with or without due notice or lapse of time or both); or (e) except as disclosed on </w:t>
      </w:r>
      <w:r>
        <w:rPr>
          <w:rFonts w:ascii="Arial" w:cs="Arial" w:eastAsia="Arial" w:hAnsi="Arial"/>
          <w:sz w:val="16"/>
          <w:szCs w:val="16"/>
          <w:u w:val="single" w:color="auto"/>
          <w:color w:val="auto"/>
        </w:rPr>
        <w:t>Section 4.04(e)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4.08</w:t>
      </w:r>
      <w:r>
        <w:rPr>
          <w:rFonts w:ascii="Arial" w:cs="Arial" w:eastAsia="Arial" w:hAnsi="Arial"/>
          <w:sz w:val="16"/>
          <w:szCs w:val="16"/>
          <w:color w:val="auto"/>
        </w:rPr>
        <w:t xml:space="preserve"> of the Disclosure Schedules, cause the Company to become subject to, or to become liable for the payment of, any Tax for any time period ending prior to the Closing Date.</w:t>
      </w:r>
    </w:p>
    <w:p>
      <w:pPr>
        <w:spacing w:after="0" w:line="160"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b w:val="1"/>
          <w:bCs w:val="1"/>
          <w:u w:val="single" w:color="auto"/>
          <w:color w:val="auto"/>
        </w:rPr>
        <w:t>Section 4.05. Consents and Approvals.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4.05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sets forth a list of each consent, waiver, authorization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of any Governmental Entity, or of any other Person, and each declaration to or filing or registration with any Governmental Entity required in connection with the execution and delivery of this Agreement or any of the Related Agreements by the Company, or any agreement, document or instrument contemplated thereby by the Company, as applicable, or the performance by the Company of its obligations hereunder or thereunder, as applicable. Other than as set forth on Section 4.05 of the Disclosure Schedules, no other consents, waivers, authorizations or approvals are required by any Governmental Entity or any other Person.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Section 4.06. Financial Statements; Books and Records.</w:t>
      </w:r>
    </w:p>
    <w:p>
      <w:pPr>
        <w:spacing w:after="0" w:line="121" w:lineRule="exact"/>
        <w:rPr>
          <w:sz w:val="20"/>
          <w:szCs w:val="20"/>
          <w:color w:val="auto"/>
        </w:rPr>
      </w:pPr>
    </w:p>
    <w:p>
      <w:pPr>
        <w:ind w:left="920" w:right="360" w:firstLine="421"/>
        <w:spacing w:after="0" w:line="277" w:lineRule="auto"/>
        <w:tabs>
          <w:tab w:leader="none" w:pos="15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Section 4.06(a)</w:t>
      </w:r>
      <w:r>
        <w:rPr>
          <w:rFonts w:ascii="Arial" w:cs="Arial" w:eastAsia="Arial" w:hAnsi="Arial"/>
          <w:sz w:val="18"/>
          <w:szCs w:val="18"/>
          <w:color w:val="auto"/>
        </w:rPr>
        <w:t xml:space="preserve"> of the Disclosure Schedules are true and complete copies of: (i) the audited balance sheets of the Company as of</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20"/>
          </w:cols>
          <w:pgMar w:left="240" w:top="274" w:right="239" w:bottom="1440" w:gutter="0" w:footer="0" w:header="0"/>
        </w:sectPr>
      </w:pPr>
    </w:p>
    <w:bookmarkStart w:id="23" w:name="page24"/>
    <w:bookmarkEnd w:id="23"/>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48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left="840" w:right="80"/>
        <w:spacing w:after="0" w:line="289" w:lineRule="auto"/>
        <w:rPr>
          <w:sz w:val="20"/>
          <w:szCs w:val="20"/>
          <w:color w:val="auto"/>
        </w:rPr>
      </w:pPr>
      <w:r>
        <w:rPr>
          <w:rFonts w:ascii="Arial" w:cs="Arial" w:eastAsia="Arial" w:hAnsi="Arial"/>
          <w:sz w:val="16"/>
          <w:szCs w:val="16"/>
          <w:color w:val="auto"/>
        </w:rPr>
        <w:t>December 31, 2012 and December 31, 2013, and the related statements of income, changes in shareholders’ equity and cash flows for the fiscal years then ended, together with the notes thereto and the audit report thereon of Gallina LLP, certified public accountants; and (ii) the unaudited balance sheet of the Company (the “</w:t>
      </w:r>
      <w:r>
        <w:rPr>
          <w:rFonts w:ascii="Arial" w:cs="Arial" w:eastAsia="Arial" w:hAnsi="Arial"/>
          <w:sz w:val="16"/>
          <w:szCs w:val="16"/>
          <w:u w:val="single" w:color="auto"/>
          <w:color w:val="auto"/>
        </w:rPr>
        <w:t>Interim Balance Sheet</w:t>
      </w:r>
      <w:r>
        <w:rPr>
          <w:rFonts w:ascii="Arial" w:cs="Arial" w:eastAsia="Arial" w:hAnsi="Arial"/>
          <w:sz w:val="16"/>
          <w:szCs w:val="16"/>
          <w:color w:val="auto"/>
        </w:rPr>
        <w:t>”) as of September 30, 2014 (the “</w:t>
      </w:r>
      <w:r>
        <w:rPr>
          <w:rFonts w:ascii="Arial" w:cs="Arial" w:eastAsia="Arial" w:hAnsi="Arial"/>
          <w:sz w:val="16"/>
          <w:szCs w:val="16"/>
          <w:u w:val="single" w:color="auto"/>
          <w:color w:val="auto"/>
        </w:rPr>
        <w:t>Interim Balance Sheet Date</w:t>
      </w:r>
      <w:r>
        <w:rPr>
          <w:rFonts w:ascii="Arial" w:cs="Arial" w:eastAsia="Arial" w:hAnsi="Arial"/>
          <w:sz w:val="16"/>
          <w:szCs w:val="16"/>
          <w:color w:val="auto"/>
        </w:rPr>
        <w:t>”), and the related statements of income, changes in shareholders’ equity and cash flow for the nine (9) months then ended (collectively, the “</w:t>
      </w:r>
      <w:r>
        <w:rPr>
          <w:rFonts w:ascii="Arial" w:cs="Arial" w:eastAsia="Arial" w:hAnsi="Arial"/>
          <w:sz w:val="16"/>
          <w:szCs w:val="16"/>
          <w:u w:val="single" w:color="auto"/>
          <w:color w:val="auto"/>
        </w:rPr>
        <w:t>Financial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Statements</w:t>
      </w:r>
      <w:r>
        <w:rPr>
          <w:rFonts w:ascii="Arial" w:cs="Arial" w:eastAsia="Arial" w:hAnsi="Arial"/>
          <w:sz w:val="16"/>
          <w:szCs w:val="16"/>
          <w:color w:val="auto"/>
        </w:rPr>
        <w:t xml:space="preserve">”). All Financial Statements referred to in this </w:t>
      </w:r>
      <w:r>
        <w:rPr>
          <w:rFonts w:ascii="Arial" w:cs="Arial" w:eastAsia="Arial" w:hAnsi="Arial"/>
          <w:sz w:val="16"/>
          <w:szCs w:val="16"/>
          <w:u w:val="single" w:color="auto"/>
          <w:color w:val="auto"/>
        </w:rPr>
        <w:t>Section 4.06(a)</w:t>
      </w:r>
      <w:r>
        <w:rPr>
          <w:rFonts w:ascii="Arial" w:cs="Arial" w:eastAsia="Arial" w:hAnsi="Arial"/>
          <w:sz w:val="16"/>
          <w:szCs w:val="16"/>
          <w:color w:val="auto"/>
        </w:rPr>
        <w:t>, including the notes thereto, have been prepared in accordance with GAAP from the books and records of the Company and fairly and accurately present the financial position of the Company as of the respective dates thereof and the results of the Company’s income, cash flows and changes in shareholders’ equity for the periods then ended. The Company has also delivered to Purchaser copies of all letters from the Company’s auditors to the Company’s Board of Directors or the audit committee thereof during the thirty-six (36) months preceding the execution of this Agreement, together with copies of all responses thereto.</w:t>
      </w:r>
    </w:p>
    <w:p>
      <w:pPr>
        <w:spacing w:after="0" w:line="59" w:lineRule="exact"/>
        <w:rPr>
          <w:sz w:val="20"/>
          <w:szCs w:val="20"/>
          <w:color w:val="auto"/>
        </w:rPr>
      </w:pPr>
    </w:p>
    <w:p>
      <w:pPr>
        <w:ind w:left="840" w:right="100" w:firstLine="421"/>
        <w:spacing w:after="0" w:line="254" w:lineRule="auto"/>
        <w:tabs>
          <w:tab w:leader="none" w:pos="15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books of account and other financial records of the Company, all of which have been provided to Purchaser, are complete and correct in all respects and represent actual, bona fide transactions and have been maintained in accordance with sound business practices and the requirements of Section 13(b)(2) of the Exchange Act (regardless of whether the Company is subject to such section or not), including, without limitation, the maintenance of an adequate system of internal control over financial reporting. The minute books of the Company, all of which have been provided to Purchaser, are accurate and complete in all respects and contain records of all meetings held, and corporate action taken by, the shareholders of the Company (including Sellers) and the Board of Directors (and committees of the Board of Directors) of the Company, and no meeting of any such shareholders, Board of Directors or committee has been held for which minutes are not contained in such minute books.</w:t>
      </w:r>
    </w:p>
    <w:p>
      <w:pPr>
        <w:spacing w:after="0" w:line="84" w:lineRule="exact"/>
        <w:rPr>
          <w:rFonts w:ascii="Arial" w:cs="Arial" w:eastAsia="Arial" w:hAnsi="Arial"/>
          <w:sz w:val="18"/>
          <w:szCs w:val="18"/>
          <w:color w:val="auto"/>
        </w:rPr>
      </w:pPr>
    </w:p>
    <w:p>
      <w:pPr>
        <w:ind w:left="840" w:right="460" w:firstLine="421"/>
        <w:spacing w:after="0" w:line="277" w:lineRule="auto"/>
        <w:tabs>
          <w:tab w:leader="none" w:pos="15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Sellers and the Company have provided Purchaser with a calculation of Contracted Backlog, a copy of which is attached hereto as </w:t>
      </w:r>
      <w:r>
        <w:rPr>
          <w:rFonts w:ascii="Arial" w:cs="Arial" w:eastAsia="Arial" w:hAnsi="Arial"/>
          <w:sz w:val="18"/>
          <w:szCs w:val="18"/>
          <w:u w:val="single" w:color="auto"/>
          <w:color w:val="auto"/>
        </w:rPr>
        <w:t>Section 4.06(c)</w:t>
      </w:r>
      <w:r>
        <w:rPr>
          <w:rFonts w:ascii="Arial" w:cs="Arial" w:eastAsia="Arial" w:hAnsi="Arial"/>
          <w:sz w:val="18"/>
          <w:szCs w:val="18"/>
          <w:color w:val="auto"/>
        </w:rPr>
        <w:t xml:space="preserve"> of the Disclosure Schedules, and which is complete and correct in all respects.</w:t>
      </w:r>
    </w:p>
    <w:p>
      <w:pPr>
        <w:spacing w:after="0" w:line="62" w:lineRule="exact"/>
        <w:rPr>
          <w:rFonts w:ascii="Arial" w:cs="Arial" w:eastAsia="Arial" w:hAnsi="Arial"/>
          <w:sz w:val="18"/>
          <w:szCs w:val="18"/>
          <w:color w:val="auto"/>
        </w:rPr>
      </w:pPr>
    </w:p>
    <w:p>
      <w:pPr>
        <w:ind w:left="840" w:firstLine="421"/>
        <w:spacing w:after="0" w:line="291" w:lineRule="auto"/>
        <w:tabs>
          <w:tab w:leader="none" w:pos="1511"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remaining amount of the Company’s work in process for projects or jobs begun but not yet completed, as of the Closing Date, based upon a percentage of completion basis, as reflected in </w:t>
      </w:r>
      <w:r>
        <w:rPr>
          <w:rFonts w:ascii="Arial" w:cs="Arial" w:eastAsia="Arial" w:hAnsi="Arial"/>
          <w:sz w:val="16"/>
          <w:szCs w:val="16"/>
          <w:u w:val="single" w:color="auto"/>
          <w:color w:val="auto"/>
        </w:rPr>
        <w:t>Section 4.06(d)</w:t>
      </w:r>
      <w:r>
        <w:rPr>
          <w:rFonts w:ascii="Arial" w:cs="Arial" w:eastAsia="Arial" w:hAnsi="Arial"/>
          <w:sz w:val="16"/>
          <w:szCs w:val="16"/>
          <w:color w:val="auto"/>
        </w:rPr>
        <w:t xml:space="preserve"> of the Disclosure Schedules (the “</w:t>
      </w:r>
      <w:r>
        <w:rPr>
          <w:rFonts w:ascii="Arial" w:cs="Arial" w:eastAsia="Arial" w:hAnsi="Arial"/>
          <w:sz w:val="16"/>
          <w:szCs w:val="16"/>
          <w:u w:val="single" w:color="auto"/>
          <w:color w:val="auto"/>
        </w:rPr>
        <w:t>Work In Process</w:t>
      </w:r>
      <w:r>
        <w:rPr>
          <w:rFonts w:ascii="Arial" w:cs="Arial" w:eastAsia="Arial" w:hAnsi="Arial"/>
          <w:sz w:val="16"/>
          <w:szCs w:val="16"/>
          <w:color w:val="auto"/>
        </w:rPr>
        <w:t xml:space="preserve">”), represents a true and correct statement of the remaining work to be completed for such projects or jobs, together with the listing of costs incurred for those jobs, fees billed, and fees collected, and to Seller’s and Company’s knowledge, is true, complete and correct in all material respects. For purposes of this </w:t>
      </w:r>
      <w:r>
        <w:rPr>
          <w:rFonts w:ascii="Arial" w:cs="Arial" w:eastAsia="Arial" w:hAnsi="Arial"/>
          <w:sz w:val="16"/>
          <w:szCs w:val="16"/>
          <w:u w:val="single" w:color="auto"/>
          <w:color w:val="auto"/>
        </w:rPr>
        <w:t>Section 4.06(d)</w:t>
      </w:r>
      <w:r>
        <w:rPr>
          <w:rFonts w:ascii="Arial" w:cs="Arial" w:eastAsia="Arial" w:hAnsi="Arial"/>
          <w:sz w:val="16"/>
          <w:szCs w:val="16"/>
          <w:color w:val="auto"/>
        </w:rPr>
        <w:t xml:space="preserve"> only, </w:t>
      </w:r>
      <w:r>
        <w:rPr>
          <w:rFonts w:ascii="Arial" w:cs="Arial" w:eastAsia="Arial" w:hAnsi="Arial"/>
          <w:sz w:val="16"/>
          <w:szCs w:val="16"/>
          <w:u w:val="single" w:color="auto"/>
          <w:color w:val="auto"/>
        </w:rPr>
        <w:t>Section 4.06(d)</w:t>
      </w:r>
      <w:r>
        <w:rPr>
          <w:rFonts w:ascii="Arial" w:cs="Arial" w:eastAsia="Arial" w:hAnsi="Arial"/>
          <w:sz w:val="16"/>
          <w:szCs w:val="16"/>
          <w:color w:val="auto"/>
        </w:rPr>
        <w:t xml:space="preserve"> of the Disclosure Schedules shall not be considered as being “true, complete or correct in all material respects” if: (i) a job which is under contract is omitted from the Schedule; or (ii) if a listed job reflects either costs or billings or collections that are in error by more than 20% from actual; or (iii) if the percentage of work claimed to be completed deviates by more than 20% from actual.</w:t>
      </w:r>
    </w:p>
    <w:p>
      <w:pPr>
        <w:spacing w:after="0" w:line="99" w:lineRule="exact"/>
        <w:rPr>
          <w:rFonts w:ascii="Arial" w:cs="Arial" w:eastAsia="Arial" w:hAnsi="Arial"/>
          <w:sz w:val="16"/>
          <w:szCs w:val="16"/>
          <w:color w:val="auto"/>
        </w:rPr>
      </w:pPr>
    </w:p>
    <w:p>
      <w:pPr>
        <w:ind w:left="5540" w:hanging="101"/>
        <w:spacing w:after="0"/>
        <w:tabs>
          <w:tab w:leader="none" w:pos="5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340"/>
          </w:cols>
          <w:pgMar w:left="32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0" w:lineRule="exact"/>
        <w:rPr>
          <w:sz w:val="20"/>
          <w:szCs w:val="20"/>
          <w:color w:val="auto"/>
        </w:rPr>
      </w:pPr>
    </w:p>
    <w:p>
      <w:pPr>
        <w:ind w:right="200" w:firstLine="913"/>
        <w:spacing w:after="0" w:line="266" w:lineRule="auto"/>
        <w:rPr>
          <w:sz w:val="20"/>
          <w:szCs w:val="20"/>
          <w:color w:val="auto"/>
        </w:rPr>
      </w:pPr>
      <w:r>
        <w:rPr>
          <w:rFonts w:ascii="Arial" w:cs="Arial" w:eastAsia="Arial" w:hAnsi="Arial"/>
          <w:sz w:val="18"/>
          <w:szCs w:val="18"/>
          <w:b w:val="1"/>
          <w:bCs w:val="1"/>
          <w:u w:val="single" w:color="auto"/>
          <w:color w:val="auto"/>
        </w:rPr>
        <w:t>Section 4.07. Absence of Certain Changes or Events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4.07</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or as reflected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September 30, 2014 financial statement, since September 30, 2014, the Company has operated the Business in the Ordinary Course of Business and there has not been any:</w:t>
      </w:r>
    </w:p>
    <w:p>
      <w:pPr>
        <w:spacing w:after="0" w:line="72" w:lineRule="exact"/>
        <w:rPr>
          <w:sz w:val="20"/>
          <w:szCs w:val="20"/>
          <w:color w:val="auto"/>
        </w:rPr>
      </w:pPr>
    </w:p>
    <w:p>
      <w:pPr>
        <w:ind w:left="920" w:right="500" w:firstLine="421"/>
        <w:spacing w:after="0" w:line="277" w:lineRule="auto"/>
        <w:tabs>
          <w:tab w:leader="none" w:pos="15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event or condition (whether or not covered by insurance) that has resulted in, or might be expected to result in, a Material Adverse Effect on the Company, the Shares or the Business;</w:t>
      </w:r>
    </w:p>
    <w:p>
      <w:pPr>
        <w:spacing w:after="0" w:line="62" w:lineRule="exact"/>
        <w:rPr>
          <w:rFonts w:ascii="Arial" w:cs="Arial" w:eastAsia="Arial" w:hAnsi="Arial"/>
          <w:sz w:val="18"/>
          <w:szCs w:val="18"/>
          <w:color w:val="auto"/>
        </w:rPr>
      </w:pPr>
    </w:p>
    <w:p>
      <w:pPr>
        <w:ind w:left="920" w:right="40" w:firstLine="421"/>
        <w:spacing w:after="0" w:line="273" w:lineRule="auto"/>
        <w:tabs>
          <w:tab w:leader="none" w:pos="15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increase in the compensation payable or to become payable to any Personnel engaged in the Business, whether agreed upon orally or in writing, and whether or not conditional; (ii) bonus, incentive compensation, service award or other like benefit granted, made, or accrued, contingently or otherwise, for or to the credit of any Personnel engaged in the Business, whether agreed upon orally or in writing, and whether or not conditional; (iii) addition to or modification of any Employee Plan, arrangement or practice or other employee welfare, pension, retirement, profit-sharing or similar payment or arrangement made or agreed to by the Company for any Personnel engaged in the Business; or (iv) new employment agreement with any Personnel engaged in the Business to which the Company is a party;</w:t>
      </w:r>
    </w:p>
    <w:p>
      <w:pPr>
        <w:spacing w:after="0" w:line="70" w:lineRule="exact"/>
        <w:rPr>
          <w:rFonts w:ascii="Arial" w:cs="Arial" w:eastAsia="Arial" w:hAnsi="Arial"/>
          <w:sz w:val="17"/>
          <w:szCs w:val="17"/>
          <w:color w:val="auto"/>
        </w:rPr>
      </w:pPr>
    </w:p>
    <w:p>
      <w:pPr>
        <w:ind w:left="920" w:right="220" w:firstLine="421"/>
        <w:spacing w:after="0" w:line="277" w:lineRule="auto"/>
        <w:tabs>
          <w:tab w:leader="none" w:pos="15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 assignment or transfer of any of the Shares, assets or properties of the Company except for fair market value and in the Ordinary Course of Business;</w:t>
      </w:r>
    </w:p>
    <w:p>
      <w:pPr>
        <w:spacing w:after="0" w:line="62" w:lineRule="exact"/>
        <w:rPr>
          <w:rFonts w:ascii="Arial" w:cs="Arial" w:eastAsia="Arial" w:hAnsi="Arial"/>
          <w:sz w:val="18"/>
          <w:szCs w:val="18"/>
          <w:color w:val="auto"/>
        </w:rPr>
      </w:pPr>
    </w:p>
    <w:p>
      <w:pPr>
        <w:ind w:left="920" w:right="360" w:firstLine="421"/>
        <w:spacing w:after="0" w:line="277" w:lineRule="auto"/>
        <w:tabs>
          <w:tab w:leader="none" w:pos="15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cancellation of any indebtedness or waiver of any rights having a value in the aggregate of $50,000 or greater, whether or not in the Ordinary Course of Business;</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execution, delivery, amendment, cancellation, waiver, modification or termination of any Contract;</w:t>
      </w:r>
    </w:p>
    <w:p>
      <w:pPr>
        <w:spacing w:after="0" w:line="117" w:lineRule="exact"/>
        <w:rPr>
          <w:rFonts w:ascii="Arial" w:cs="Arial" w:eastAsia="Arial" w:hAnsi="Arial"/>
          <w:sz w:val="18"/>
          <w:szCs w:val="18"/>
          <w:color w:val="auto"/>
        </w:rPr>
      </w:pPr>
    </w:p>
    <w:p>
      <w:pPr>
        <w:ind w:left="920" w:right="400" w:firstLine="421"/>
        <w:spacing w:after="0" w:line="277" w:lineRule="auto"/>
        <w:tabs>
          <w:tab w:leader="none" w:pos="15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capital expenditure or acquisition of any securities or the execution of any lease or any incurring of Liability in connection with the Business involving payments in excess of $50,000 in the aggregate;</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repay or discharge any obligation or Liability;</w:t>
      </w:r>
    </w:p>
    <w:p>
      <w:pPr>
        <w:spacing w:after="0" w:line="117" w:lineRule="exact"/>
        <w:rPr>
          <w:rFonts w:ascii="Arial" w:cs="Arial" w:eastAsia="Arial" w:hAnsi="Arial"/>
          <w:sz w:val="18"/>
          <w:szCs w:val="18"/>
          <w:color w:val="auto"/>
        </w:rPr>
      </w:pPr>
    </w:p>
    <w:p>
      <w:pPr>
        <w:ind w:left="920" w:right="620" w:firstLine="421"/>
        <w:spacing w:after="0" w:line="342" w:lineRule="auto"/>
        <w:tabs>
          <w:tab w:leader="none" w:pos="15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failure to preserve the Business intact, to exercise best efforts to keep available to Purchaser the services of the Personnel and to preserve for Purchaser the goodwill of the Company’s dealers, suppliers, customers and others having business relations with it;</w:t>
      </w:r>
    </w:p>
    <w:p>
      <w:pPr>
        <w:spacing w:after="0" w:line="15" w:lineRule="exact"/>
        <w:rPr>
          <w:rFonts w:ascii="Arial" w:cs="Arial" w:eastAsia="Arial" w:hAnsi="Arial"/>
          <w:sz w:val="16"/>
          <w:szCs w:val="16"/>
          <w:color w:val="auto"/>
        </w:rPr>
      </w:pPr>
    </w:p>
    <w:p>
      <w:pPr>
        <w:ind w:left="1560" w:hanging="219"/>
        <w:spacing w:after="0"/>
        <w:tabs>
          <w:tab w:leader="none" w:pos="1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policies or practices relating to selling practices, returns, credit, discounts or other terms of sale or in policies of employment;</w:t>
      </w:r>
    </w:p>
    <w:p>
      <w:pPr>
        <w:spacing w:after="0" w:line="140" w:lineRule="exact"/>
        <w:rPr>
          <w:rFonts w:ascii="Arial" w:cs="Arial" w:eastAsia="Arial" w:hAnsi="Arial"/>
          <w:sz w:val="16"/>
          <w:szCs w:val="16"/>
          <w:color w:val="auto"/>
        </w:rPr>
      </w:pPr>
    </w:p>
    <w:p>
      <w:pPr>
        <w:ind w:left="1560" w:hanging="219"/>
        <w:spacing w:after="0"/>
        <w:tabs>
          <w:tab w:leader="none" w:pos="1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accounting methods or practices or in the rate or timing of payment of trade payables or collection of Accounts Receivable;</w:t>
      </w:r>
    </w:p>
    <w:p>
      <w:pPr>
        <w:spacing w:after="0" w:line="180" w:lineRule="exact"/>
        <w:rPr>
          <w:rFonts w:ascii="Arial" w:cs="Arial" w:eastAsia="Arial" w:hAnsi="Arial"/>
          <w:sz w:val="16"/>
          <w:szCs w:val="16"/>
          <w:color w:val="auto"/>
        </w:rPr>
      </w:pPr>
    </w:p>
    <w:p>
      <w:pPr>
        <w:ind w:left="5620" w:hanging="101"/>
        <w:spacing w:after="0"/>
        <w:tabs>
          <w:tab w:leader="none" w:pos="5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20"/>
          </w:cols>
          <w:pgMar w:left="240" w:top="274" w:right="239" w:bottom="1440" w:gutter="0" w:footer="0" w:header="0"/>
        </w:sectPr>
      </w:pPr>
    </w:p>
    <w:bookmarkStart w:id="25" w:name="page26"/>
    <w:bookmarkEnd w:id="25"/>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1520" w:hanging="259"/>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revaluation by the Company of any of the Company’s assets, including writing off any Accounts Receivable;</w:t>
      </w:r>
    </w:p>
    <w:p>
      <w:pPr>
        <w:spacing w:after="0" w:line="117" w:lineRule="exact"/>
        <w:rPr>
          <w:rFonts w:ascii="Arial" w:cs="Arial" w:eastAsia="Arial" w:hAnsi="Arial"/>
          <w:sz w:val="18"/>
          <w:szCs w:val="18"/>
          <w:color w:val="auto"/>
        </w:rPr>
      </w:pPr>
    </w:p>
    <w:p>
      <w:pPr>
        <w:ind w:left="840" w:right="180" w:firstLine="421"/>
        <w:spacing w:after="0" w:line="277" w:lineRule="auto"/>
        <w:tabs>
          <w:tab w:leader="none" w:pos="14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maintain in full force and effect insurance comparable in amount and scope of coverage to insurance carried as of the date of this Agreement in connection with the Business;</w:t>
      </w:r>
    </w:p>
    <w:p>
      <w:pPr>
        <w:spacing w:after="0" w:line="62" w:lineRule="exact"/>
        <w:rPr>
          <w:rFonts w:ascii="Arial" w:cs="Arial" w:eastAsia="Arial" w:hAnsi="Arial"/>
          <w:sz w:val="18"/>
          <w:szCs w:val="18"/>
          <w:color w:val="auto"/>
        </w:rPr>
      </w:pPr>
    </w:p>
    <w:p>
      <w:pPr>
        <w:ind w:left="1560" w:hanging="299"/>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destruction or loss (whether or not covered by insurance) affecting the Company’s assets or the Business;</w:t>
      </w:r>
    </w:p>
    <w:p>
      <w:pPr>
        <w:spacing w:after="0" w:line="117" w:lineRule="exact"/>
        <w:rPr>
          <w:rFonts w:ascii="Arial" w:cs="Arial" w:eastAsia="Arial" w:hAnsi="Arial"/>
          <w:sz w:val="18"/>
          <w:szCs w:val="18"/>
          <w:color w:val="auto"/>
        </w:rPr>
      </w:pPr>
    </w:p>
    <w:p>
      <w:pPr>
        <w:ind w:left="1520" w:hanging="259"/>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mortgage, pledge or other Encumbrance placed upon any of the Company’s assets;</w:t>
      </w:r>
    </w:p>
    <w:p>
      <w:pPr>
        <w:spacing w:after="0" w:line="117" w:lineRule="exact"/>
        <w:rPr>
          <w:rFonts w:ascii="Arial" w:cs="Arial" w:eastAsia="Arial" w:hAnsi="Arial"/>
          <w:sz w:val="18"/>
          <w:szCs w:val="18"/>
          <w:color w:val="auto"/>
        </w:rPr>
      </w:pPr>
    </w:p>
    <w:p>
      <w:pPr>
        <w:ind w:left="840" w:firstLine="421"/>
        <w:spacing w:after="0" w:line="264" w:lineRule="auto"/>
        <w:tabs>
          <w:tab w:leader="none" w:pos="15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indebtedness incurred for borrowed money or any commitment to borrow money by the Company, or any loans, investments or capital contributions made or agreed to be made by the Company, or any guarantee, assumption, endorsement of, or other assumption of an obligation by the Company with respect to any Liabilities or obligations of any other Person;</w:t>
      </w:r>
    </w:p>
    <w:p>
      <w:pPr>
        <w:spacing w:after="0" w:line="73" w:lineRule="exact"/>
        <w:rPr>
          <w:rFonts w:ascii="Arial" w:cs="Arial" w:eastAsia="Arial" w:hAnsi="Arial"/>
          <w:sz w:val="18"/>
          <w:szCs w:val="18"/>
          <w:color w:val="auto"/>
        </w:rPr>
      </w:pPr>
    </w:p>
    <w:p>
      <w:pPr>
        <w:ind w:left="840" w:right="120" w:firstLine="421"/>
        <w:spacing w:after="0" w:line="277" w:lineRule="auto"/>
        <w:tabs>
          <w:tab w:leader="none" w:pos="15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in the Company’s authorized or issued capital stock, grant of any stock option or right to purchase shares of capital stock of the Company or issuance of any security convertible into such capital stock;</w:t>
      </w:r>
    </w:p>
    <w:p>
      <w:pPr>
        <w:spacing w:after="0" w:line="62" w:lineRule="exact"/>
        <w:rPr>
          <w:rFonts w:ascii="Arial" w:cs="Arial" w:eastAsia="Arial" w:hAnsi="Arial"/>
          <w:sz w:val="18"/>
          <w:szCs w:val="18"/>
          <w:color w:val="auto"/>
        </w:rPr>
      </w:pPr>
    </w:p>
    <w:p>
      <w:pPr>
        <w:ind w:left="840" w:right="180" w:firstLine="421"/>
        <w:spacing w:after="0" w:line="264" w:lineRule="auto"/>
        <w:tabs>
          <w:tab w:leader="none" w:pos="15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declare, set aside or pay any dividend or make any distribution with respect to its capital stock (whether in cash or in kind) or redeem, purchase or otherwise acquire any of its capital stock for the benefit of, any Seller or any Affiliate of any Seller (other than payments made to officers, directors, managers and employees in the Ordinary Course of Business);</w:t>
      </w:r>
    </w:p>
    <w:p>
      <w:pPr>
        <w:spacing w:after="0" w:line="73" w:lineRule="exact"/>
        <w:rPr>
          <w:rFonts w:ascii="Arial" w:cs="Arial" w:eastAsia="Arial" w:hAnsi="Arial"/>
          <w:sz w:val="18"/>
          <w:szCs w:val="18"/>
          <w:color w:val="auto"/>
        </w:rPr>
      </w:pPr>
    </w:p>
    <w:p>
      <w:pPr>
        <w:ind w:left="840" w:right="500" w:firstLine="421"/>
        <w:spacing w:after="0" w:line="277" w:lineRule="auto"/>
        <w:tabs>
          <w:tab w:leader="none" w:pos="14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amendment or waiver to or modification, termination or cancellation of the Governing Documents or any Material Contract of the Company;</w:t>
      </w:r>
    </w:p>
    <w:p>
      <w:pPr>
        <w:spacing w:after="0" w:line="62" w:lineRule="exact"/>
        <w:rPr>
          <w:rFonts w:ascii="Arial" w:cs="Arial" w:eastAsia="Arial" w:hAnsi="Arial"/>
          <w:sz w:val="18"/>
          <w:szCs w:val="18"/>
          <w:color w:val="auto"/>
        </w:rPr>
      </w:pPr>
    </w:p>
    <w:p>
      <w:pPr>
        <w:ind w:left="840" w:right="480" w:firstLine="421"/>
        <w:spacing w:after="0" w:line="277" w:lineRule="auto"/>
        <w:tabs>
          <w:tab w:leader="none" w:pos="1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entry by the Company into any transaction with any of its Personnel or payment to or from, or entry into any transaction with, any Affiliate or Related Party of Seller or any such Personnel;</w:t>
      </w:r>
    </w:p>
    <w:p>
      <w:pPr>
        <w:spacing w:after="0" w:line="62" w:lineRule="exact"/>
        <w:rPr>
          <w:rFonts w:ascii="Arial" w:cs="Arial" w:eastAsia="Arial" w:hAnsi="Arial"/>
          <w:sz w:val="18"/>
          <w:szCs w:val="18"/>
          <w:color w:val="auto"/>
        </w:rPr>
      </w:pPr>
    </w:p>
    <w:p>
      <w:pPr>
        <w:ind w:left="1480" w:hanging="219"/>
        <w:spacing w:after="0"/>
        <w:tabs>
          <w:tab w:leader="none" w:pos="14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indication by any customer or supplier of an intention to discontinue or change the terms of its relationship with the Company;</w:t>
      </w:r>
    </w:p>
    <w:p>
      <w:pPr>
        <w:spacing w:after="0" w:line="128" w:lineRule="exact"/>
        <w:rPr>
          <w:rFonts w:ascii="Arial" w:cs="Arial" w:eastAsia="Arial" w:hAnsi="Arial"/>
          <w:sz w:val="17"/>
          <w:szCs w:val="17"/>
          <w:color w:val="auto"/>
        </w:rPr>
      </w:pPr>
    </w:p>
    <w:p>
      <w:pPr>
        <w:ind w:left="1520" w:hanging="259"/>
        <w:spacing w:after="0"/>
        <w:tabs>
          <w:tab w:leader="none" w:pos="1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grant of any rights or interests to any other Person in any Intellectual Property Assets, the Real Property or the Leased Real Property;</w:t>
      </w:r>
    </w:p>
    <w:p>
      <w:pPr>
        <w:spacing w:after="0" w:line="140" w:lineRule="exact"/>
        <w:rPr>
          <w:rFonts w:ascii="Arial" w:cs="Arial" w:eastAsia="Arial" w:hAnsi="Arial"/>
          <w:sz w:val="16"/>
          <w:szCs w:val="16"/>
          <w:color w:val="auto"/>
        </w:rPr>
      </w:pPr>
    </w:p>
    <w:p>
      <w:pPr>
        <w:ind w:left="1520" w:hanging="259"/>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labor union organizing activity or any actual or threatened employee strikes, work stoppages, slowdowns or lockouts;</w:t>
      </w:r>
    </w:p>
    <w:p>
      <w:pPr>
        <w:spacing w:after="0" w:line="117" w:lineRule="exact"/>
        <w:rPr>
          <w:rFonts w:ascii="Arial" w:cs="Arial" w:eastAsia="Arial" w:hAnsi="Arial"/>
          <w:sz w:val="18"/>
          <w:szCs w:val="18"/>
          <w:color w:val="auto"/>
        </w:rPr>
      </w:pPr>
    </w:p>
    <w:p>
      <w:pPr>
        <w:ind w:left="1560" w:hanging="299"/>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election outside of the Ordinary Course of Business;</w:t>
      </w:r>
    </w:p>
    <w:p>
      <w:pPr>
        <w:spacing w:after="0" w:line="157" w:lineRule="exact"/>
        <w:rPr>
          <w:rFonts w:ascii="Arial" w:cs="Arial" w:eastAsia="Arial" w:hAnsi="Arial"/>
          <w:sz w:val="18"/>
          <w:szCs w:val="18"/>
          <w:color w:val="auto"/>
        </w:rPr>
      </w:pPr>
    </w:p>
    <w:p>
      <w:pPr>
        <w:ind w:left="5540" w:hanging="101"/>
        <w:spacing w:after="0"/>
        <w:tabs>
          <w:tab w:leader="none" w:pos="5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340"/>
          </w:cols>
          <w:pgMar w:left="320" w:top="274" w:right="239" w:bottom="1440" w:gutter="0" w:footer="0" w:header="0"/>
        </w:sectPr>
      </w:pPr>
    </w:p>
    <w:bookmarkStart w:id="26" w:name="page27"/>
    <w:bookmarkEnd w:id="26"/>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1520" w:hanging="259"/>
        <w:spacing w:after="0"/>
        <w:tabs>
          <w:tab w:leader="none" w:pos="1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payment to or from, or entry into any transaction with, any Affiliate of the Company; or</w:t>
      </w:r>
    </w:p>
    <w:p>
      <w:pPr>
        <w:spacing w:after="0" w:line="117" w:lineRule="exact"/>
        <w:rPr>
          <w:rFonts w:ascii="Arial" w:cs="Arial" w:eastAsia="Arial" w:hAnsi="Arial"/>
          <w:sz w:val="18"/>
          <w:szCs w:val="18"/>
          <w:color w:val="auto"/>
        </w:rPr>
      </w:pPr>
    </w:p>
    <w:p>
      <w:pPr>
        <w:ind w:left="840" w:right="200" w:firstLine="421"/>
        <w:spacing w:after="0" w:line="277" w:lineRule="auto"/>
        <w:tabs>
          <w:tab w:leader="none" w:pos="15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agreement by the Company to do any of the foregoing or any action by the Company that would result in the occurrence of any of the foregoing.</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8"/>
          <w:szCs w:val="18"/>
          <w:b w:val="1"/>
          <w:bCs w:val="1"/>
          <w:u w:val="single" w:color="auto"/>
          <w:color w:val="auto"/>
        </w:rPr>
        <w:t>Section 4.08. Tax Matters.</w:t>
      </w:r>
    </w:p>
    <w:p>
      <w:pPr>
        <w:spacing w:after="0" w:line="121" w:lineRule="exact"/>
        <w:rPr>
          <w:sz w:val="20"/>
          <w:szCs w:val="20"/>
          <w:color w:val="auto"/>
        </w:rPr>
      </w:pPr>
    </w:p>
    <w:p>
      <w:pPr>
        <w:ind w:left="840" w:right="40" w:firstLine="421"/>
        <w:spacing w:after="0" w:line="285" w:lineRule="auto"/>
        <w:tabs>
          <w:tab w:leader="none" w:pos="15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Except as otherwise provided in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below, the Company and LLC have filed or caused to be filed on a timely basis all Tax Returns and all reports with respect to Taxes that are or were required to be filed pursuant to applicable Law. All Tax Returns and reports filed by the Company and LLC are true, correct and complete in all respects and were prepared in compliance with all applicable laws and regulations. The Company and LLC have paid, or made provision for the payment of, all filed or required to be filed, Taxes that have or may have become due for all periods covered by all Tax Returns filed or required to be filed, or otherwise, or pursuant to any assessment received by the Company, except such Taxes as are set forth on </w:t>
      </w:r>
      <w:r>
        <w:rPr>
          <w:rFonts w:ascii="Arial" w:cs="Arial" w:eastAsia="Arial" w:hAnsi="Arial"/>
          <w:sz w:val="16"/>
          <w:szCs w:val="16"/>
          <w:u w:val="single" w:color="auto"/>
          <w:color w:val="auto"/>
        </w:rPr>
        <w:t>Section 4.08(a)</w:t>
      </w:r>
      <w:r>
        <w:rPr>
          <w:rFonts w:ascii="Arial" w:cs="Arial" w:eastAsia="Arial" w:hAnsi="Arial"/>
          <w:sz w:val="16"/>
          <w:szCs w:val="16"/>
          <w:color w:val="auto"/>
        </w:rPr>
        <w:t xml:space="preserve"> of the Disclosure Schedules and are being contested in good faith and as to which adequate reserves (determined in accordance with GAAP) have been provided in the Interim Balance Sheet. The Company and LLC have made all withholding of Taxes required to be made under all applicable Laws, including, without limitation, withholding with respect to sales and use Taxes and compensation paid to employees, and the amounts withheld have been properly paid over to the appropriate Tax authorities. The Company and LLC currently are not the beneficiary of any extension of time within which to file any Tax Return. No claim has ever been made or could reasonably be made by any Governmental Entity in a jurisdiction where the Company or LLC does not file Tax Returns that they are or may be subject to taxation by that jurisdiction. There are no Encumbrances on any of the Shares or Interests that arose in connection with any failure (or alleged failure) to pay any Tax and no basis exists for assertion of any claims attributable to Taxes which, if adversely determined, would result in any such Encumbrance. The Company and LLC are not a “foreign person” within the meaning of Section 1445(f)(3) of the Code. The transactions contemplated by this Agreement are not subject to the Tax withholding provisions of Section 3406 of the Code or of Sub-Chapter A or Chapter 3 of the Code, or of any other comparable provision of Law.</w:t>
      </w:r>
    </w:p>
    <w:p>
      <w:pPr>
        <w:spacing w:after="0" w:line="69" w:lineRule="exact"/>
        <w:rPr>
          <w:rFonts w:ascii="Arial" w:cs="Arial" w:eastAsia="Arial" w:hAnsi="Arial"/>
          <w:sz w:val="16"/>
          <w:szCs w:val="16"/>
          <w:color w:val="auto"/>
        </w:rPr>
      </w:pPr>
    </w:p>
    <w:p>
      <w:pPr>
        <w:ind w:left="840" w:right="40" w:firstLine="421"/>
        <w:spacing w:after="0" w:line="293" w:lineRule="auto"/>
        <w:tabs>
          <w:tab w:leader="none" w:pos="15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The Company and LLC have delivered to Purchaser copies of, and </w:t>
      </w:r>
      <w:r>
        <w:rPr>
          <w:rFonts w:ascii="Arial" w:cs="Arial" w:eastAsia="Arial" w:hAnsi="Arial"/>
          <w:sz w:val="16"/>
          <w:szCs w:val="16"/>
          <w:u w:val="single" w:color="auto"/>
          <w:color w:val="auto"/>
        </w:rPr>
        <w:t>Section 4.08(b)</w:t>
      </w:r>
      <w:r>
        <w:rPr>
          <w:rFonts w:ascii="Arial" w:cs="Arial" w:eastAsia="Arial" w:hAnsi="Arial"/>
          <w:sz w:val="16"/>
          <w:szCs w:val="16"/>
          <w:color w:val="auto"/>
        </w:rPr>
        <w:t xml:space="preserve"> of the Disclosure Schedules contains a complete and accurate list of, all Tax Returns filed since December 31, 2010. The federal and state income or franchise Tax Returns of the Company and LLC have been audited by the IRS or relevant state tax authorities or are closed by the applicable statute of limitations for all taxable years through December 31, 2009. </w:t>
      </w:r>
      <w:r>
        <w:rPr>
          <w:rFonts w:ascii="Arial" w:cs="Arial" w:eastAsia="Arial" w:hAnsi="Arial"/>
          <w:sz w:val="16"/>
          <w:szCs w:val="16"/>
          <w:u w:val="single" w:color="auto"/>
          <w:color w:val="auto"/>
        </w:rPr>
        <w:t>Section 4.08(b)</w:t>
      </w:r>
      <w:r>
        <w:rPr>
          <w:rFonts w:ascii="Arial" w:cs="Arial" w:eastAsia="Arial" w:hAnsi="Arial"/>
          <w:sz w:val="16"/>
          <w:szCs w:val="16"/>
          <w:color w:val="auto"/>
        </w:rPr>
        <w:t xml:space="preserve"> of the Disclosure Schedules contains a complete and accurate list of all Tax Returns of the Company and LLC that have been audited or are currently under audit and accurately describes any deficiencies or other amounts that were paid or are currently being contested. No deficiencies are expected to be asserted with respect to any such current audit. All</w:t>
      </w:r>
    </w:p>
    <w:p>
      <w:pPr>
        <w:spacing w:after="0" w:line="97" w:lineRule="exact"/>
        <w:rPr>
          <w:rFonts w:ascii="Arial" w:cs="Arial" w:eastAsia="Arial" w:hAnsi="Arial"/>
          <w:sz w:val="16"/>
          <w:szCs w:val="16"/>
          <w:color w:val="auto"/>
        </w:rPr>
      </w:pPr>
    </w:p>
    <w:p>
      <w:pPr>
        <w:ind w:left="5540" w:hanging="101"/>
        <w:spacing w:after="0"/>
        <w:tabs>
          <w:tab w:leader="none" w:pos="5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340"/>
          </w:cols>
          <w:pgMar w:left="320" w:top="274" w:right="239" w:bottom="1440" w:gutter="0" w:footer="0" w:header="0"/>
        </w:sectPr>
      </w:pPr>
    </w:p>
    <w:bookmarkStart w:id="27" w:name="page28"/>
    <w:bookmarkEnd w:id="27"/>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48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left="840" w:right="40"/>
        <w:spacing w:after="0" w:line="289" w:lineRule="auto"/>
        <w:rPr>
          <w:sz w:val="20"/>
          <w:szCs w:val="20"/>
          <w:color w:val="auto"/>
        </w:rPr>
      </w:pPr>
      <w:r>
        <w:rPr>
          <w:rFonts w:ascii="Arial" w:cs="Arial" w:eastAsia="Arial" w:hAnsi="Arial"/>
          <w:sz w:val="16"/>
          <w:szCs w:val="16"/>
          <w:color w:val="auto"/>
        </w:rPr>
        <w:t xml:space="preserve">deficiencies proposed as a result of such audits have been paid, reserved against, settled or are being contested in good faith by appropriate proceedings as described on </w:t>
      </w:r>
      <w:r>
        <w:rPr>
          <w:rFonts w:ascii="Arial" w:cs="Arial" w:eastAsia="Arial" w:hAnsi="Arial"/>
          <w:sz w:val="16"/>
          <w:szCs w:val="16"/>
          <w:u w:val="single" w:color="auto"/>
          <w:color w:val="auto"/>
        </w:rPr>
        <w:t>Section 4.08(b)</w:t>
      </w:r>
      <w:r>
        <w:rPr>
          <w:rFonts w:ascii="Arial" w:cs="Arial" w:eastAsia="Arial" w:hAnsi="Arial"/>
          <w:sz w:val="16"/>
          <w:szCs w:val="16"/>
          <w:color w:val="auto"/>
        </w:rPr>
        <w:t xml:space="preserve"> of the Disclosure Schedules. The Company and LLC have delivered to Purchaser, copies of any examination reports, statements or deficiencies or similar items with respect to such audits. Neither the Company, LLC nor any Seller expect that any Governmental Entity may assess any additional Taxes for any period for which Tax Returns have been filed. There is no dispute or claim concerning any Taxes of the Company or LLC either: (i) claimed or raised by any Governmental Entity; or (ii) as to which the Company or LLC have Knowledge. </w:t>
      </w:r>
      <w:r>
        <w:rPr>
          <w:rFonts w:ascii="Arial" w:cs="Arial" w:eastAsia="Arial" w:hAnsi="Arial"/>
          <w:sz w:val="16"/>
          <w:szCs w:val="16"/>
          <w:u w:val="single" w:color="auto"/>
          <w:color w:val="auto"/>
        </w:rPr>
        <w:t>Section 4.08(b)</w:t>
      </w:r>
      <w:r>
        <w:rPr>
          <w:rFonts w:ascii="Arial" w:cs="Arial" w:eastAsia="Arial" w:hAnsi="Arial"/>
          <w:sz w:val="16"/>
          <w:szCs w:val="16"/>
          <w:color w:val="auto"/>
        </w:rPr>
        <w:t xml:space="preserve"> of the Disclosure Schedules contains a list of all Federal and California, Washington and Texas state Tax Returns for which the applicable statute of limitations has not run. The Company and LLC have not given or been requested to give waivers or extensions (or is or would be subject to a waiver or extension given by any other Person) of any statute of limitations relating to the payment of Taxes of the Company or LLC or for which the Company or LLC may be liable.</w:t>
      </w:r>
    </w:p>
    <w:p>
      <w:pPr>
        <w:spacing w:after="0" w:line="59" w:lineRule="exact"/>
        <w:rPr>
          <w:sz w:val="20"/>
          <w:szCs w:val="20"/>
          <w:color w:val="auto"/>
        </w:rPr>
      </w:pPr>
    </w:p>
    <w:p>
      <w:pPr>
        <w:ind w:left="840" w:right="140" w:firstLine="421"/>
        <w:spacing w:after="0" w:line="264" w:lineRule="auto"/>
        <w:tabs>
          <w:tab w:leader="none" w:pos="15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is no Tax sharing agreement, Tax allocation agreement, Tax indemnity obligation or similar Contract understanding or practice with respect to Taxes (including any advance pricing agreement, closing agreement or other arrangement relating to Taxes) that will require any payment by the Company or LLC.</w:t>
      </w:r>
    </w:p>
    <w:p>
      <w:pPr>
        <w:spacing w:after="0" w:line="73" w:lineRule="exact"/>
        <w:rPr>
          <w:rFonts w:ascii="Arial" w:cs="Arial" w:eastAsia="Arial" w:hAnsi="Arial"/>
          <w:sz w:val="18"/>
          <w:szCs w:val="18"/>
          <w:color w:val="auto"/>
        </w:rPr>
      </w:pPr>
    </w:p>
    <w:p>
      <w:pPr>
        <w:ind w:left="840" w:right="20" w:firstLine="421"/>
        <w:spacing w:after="0" w:line="259" w:lineRule="auto"/>
        <w:tabs>
          <w:tab w:leader="none" w:pos="15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(i) has not been a member of an affiliated group within the meaning of Code Section 1504(a) (or any similar group defined under a similar provision of state, local or foreign Law), and (ii) has no Liability for Taxes of any Person (other than the Company and its subsidiaries) under Treas. Reg. sect. 1.1502-6 (or any similar provision of state, local or foreign Law), as a transferee or successor by contract or otherwise.</w:t>
      </w:r>
    </w:p>
    <w:p>
      <w:pPr>
        <w:spacing w:after="0" w:line="78" w:lineRule="exact"/>
        <w:rPr>
          <w:rFonts w:ascii="Arial" w:cs="Arial" w:eastAsia="Arial" w:hAnsi="Arial"/>
          <w:sz w:val="18"/>
          <w:szCs w:val="18"/>
          <w:color w:val="auto"/>
        </w:rPr>
      </w:pPr>
    </w:p>
    <w:p>
      <w:pPr>
        <w:ind w:left="840" w:right="100" w:firstLine="421"/>
        <w:spacing w:after="0" w:line="277" w:lineRule="auto"/>
        <w:tabs>
          <w:tab w:leader="none" w:pos="15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and LLC have disclosed on its federal income Tax Returns all positions taken therein that could give rise to a substantial understatement of federal income Tax within the meaning of Code Section 6662.</w:t>
      </w:r>
    </w:p>
    <w:p>
      <w:pPr>
        <w:spacing w:after="0" w:line="62" w:lineRule="exact"/>
        <w:rPr>
          <w:rFonts w:ascii="Arial" w:cs="Arial" w:eastAsia="Arial" w:hAnsi="Arial"/>
          <w:sz w:val="18"/>
          <w:szCs w:val="18"/>
          <w:color w:val="auto"/>
        </w:rPr>
      </w:pPr>
    </w:p>
    <w:p>
      <w:pPr>
        <w:jc w:val="both"/>
        <w:ind w:left="840" w:right="220" w:firstLine="421"/>
        <w:spacing w:after="0" w:line="259" w:lineRule="auto"/>
        <w:tabs>
          <w:tab w:leader="none" w:pos="14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elected to be taxed as an S corporation within the meaning of Code Sections 1361 and 1362 by filing a valid IRS form 2553 to be effective as of December 10, 2008 (the “</w:t>
      </w:r>
      <w:r>
        <w:rPr>
          <w:rFonts w:ascii="Arial" w:cs="Arial" w:eastAsia="Arial" w:hAnsi="Arial"/>
          <w:sz w:val="18"/>
          <w:szCs w:val="18"/>
          <w:u w:val="single" w:color="auto"/>
          <w:color w:val="auto"/>
        </w:rPr>
        <w:t>S Election</w:t>
      </w:r>
      <w:r>
        <w:rPr>
          <w:rFonts w:ascii="Arial" w:cs="Arial" w:eastAsia="Arial" w:hAnsi="Arial"/>
          <w:sz w:val="18"/>
          <w:szCs w:val="18"/>
          <w:color w:val="auto"/>
        </w:rPr>
        <w:t>”) and has been a taxed as a validly electing S corporation within the meaning of Code Sections 1361 and 1362 at all times since the effective date of the S Election. The Company will be an S corporation up to and including the Closing Date.</w:t>
      </w:r>
    </w:p>
    <w:p>
      <w:pPr>
        <w:spacing w:after="0" w:line="78" w:lineRule="exact"/>
        <w:rPr>
          <w:rFonts w:ascii="Arial" w:cs="Arial" w:eastAsia="Arial" w:hAnsi="Arial"/>
          <w:sz w:val="18"/>
          <w:szCs w:val="18"/>
          <w:color w:val="auto"/>
        </w:rPr>
      </w:pPr>
    </w:p>
    <w:p>
      <w:pPr>
        <w:ind w:left="840" w:right="200" w:firstLine="421"/>
        <w:spacing w:after="0" w:line="277" w:lineRule="auto"/>
        <w:tabs>
          <w:tab w:leader="none" w:pos="15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all times since its formation, LLC has been and will be through the date of contribution to the Company, classified as a partnership for federal income tax purposes.</w:t>
      </w:r>
    </w:p>
    <w:p>
      <w:pPr>
        <w:spacing w:after="0" w:line="62" w:lineRule="exact"/>
        <w:rPr>
          <w:rFonts w:ascii="Arial" w:cs="Arial" w:eastAsia="Arial" w:hAnsi="Arial"/>
          <w:sz w:val="18"/>
          <w:szCs w:val="18"/>
          <w:color w:val="auto"/>
        </w:rPr>
      </w:pPr>
    </w:p>
    <w:p>
      <w:pPr>
        <w:ind w:left="840" w:right="320" w:firstLine="421"/>
        <w:spacing w:after="0" w:line="277" w:lineRule="auto"/>
        <w:tabs>
          <w:tab w:leader="none" w:pos="15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will not be liable for any Tax under Code Section 1374 in connection with the deemed sale of its assets caused by the Section 338(h)(10) Election. The Company has not, in the past 10 years (A) acquired assets from another</w:t>
      </w:r>
    </w:p>
    <w:p>
      <w:pPr>
        <w:spacing w:after="0" w:line="102" w:lineRule="exact"/>
        <w:rPr>
          <w:rFonts w:ascii="Arial" w:cs="Arial" w:eastAsia="Arial" w:hAnsi="Arial"/>
          <w:sz w:val="18"/>
          <w:szCs w:val="18"/>
          <w:color w:val="auto"/>
        </w:rPr>
      </w:pPr>
    </w:p>
    <w:p>
      <w:pPr>
        <w:ind w:left="5540" w:hanging="101"/>
        <w:spacing w:after="0"/>
        <w:tabs>
          <w:tab w:leader="none" w:pos="5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340"/>
          </w:cols>
          <w:pgMar w:left="320" w:top="274" w:right="239" w:bottom="1440" w:gutter="0" w:footer="0" w:header="0"/>
        </w:sectPr>
      </w:pPr>
    </w:p>
    <w:bookmarkStart w:id="28" w:name="page29"/>
    <w:bookmarkEnd w:id="28"/>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48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left="840" w:right="20"/>
        <w:spacing w:after="0" w:line="264" w:lineRule="auto"/>
        <w:rPr>
          <w:sz w:val="20"/>
          <w:szCs w:val="20"/>
          <w:color w:val="auto"/>
        </w:rPr>
      </w:pPr>
      <w:r>
        <w:rPr>
          <w:rFonts w:ascii="Arial" w:cs="Arial" w:eastAsia="Arial" w:hAnsi="Arial"/>
          <w:sz w:val="18"/>
          <w:szCs w:val="18"/>
          <w:color w:val="auto"/>
        </w:rPr>
        <w:t>corporation in a transaction in which the Company’s Tax basis for the acquired assets was determined, in whole or in part, by reference to the Tax basis of the acquired assets (or any other property) in the hands of the transferor or (B) acquired the stock of any corporation that is a qualified subchapter S subsidiary.</w:t>
      </w:r>
    </w:p>
    <w:p>
      <w:pPr>
        <w:spacing w:after="0" w:line="73" w:lineRule="exact"/>
        <w:rPr>
          <w:sz w:val="20"/>
          <w:szCs w:val="20"/>
          <w:color w:val="auto"/>
        </w:rPr>
      </w:pPr>
    </w:p>
    <w:p>
      <w:pPr>
        <w:ind w:left="840" w:right="100" w:firstLine="421"/>
        <w:spacing w:after="0" w:line="277" w:lineRule="auto"/>
        <w:tabs>
          <w:tab w:leader="none" w:pos="14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Company nor LLC has engaged in a trade or business, had a permanent establishment (within the meaning of an applicable Tax treaty), or otherwise become subject to Tax jurisdiction in a country other than the country of its formation.</w:t>
      </w:r>
    </w:p>
    <w:p>
      <w:pPr>
        <w:spacing w:after="0" w:line="62" w:lineRule="exact"/>
        <w:rPr>
          <w:rFonts w:ascii="Arial" w:cs="Arial" w:eastAsia="Arial" w:hAnsi="Arial"/>
          <w:sz w:val="18"/>
          <w:szCs w:val="18"/>
          <w:color w:val="auto"/>
        </w:rPr>
      </w:pPr>
    </w:p>
    <w:p>
      <w:pPr>
        <w:ind w:left="840" w:right="100" w:firstLine="421"/>
        <w:spacing w:after="0" w:line="279" w:lineRule="auto"/>
        <w:tabs>
          <w:tab w:leader="none" w:pos="1475"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Neither Company nor LLC has agreed, or are required, to make any adjustment under Section 481(a) of the Code by reason of a change in accounting method or otherwise. Neither the Company nor LLC will be required to include any item of income in, or exclude any item of deduction from, taxable income for any period (or any portion thereof) ending after the Closing Date as a result of any installment sale or other transaction on or prior to the Closing Date or any accounting method change or agreement with any Taxing Authority.</w:t>
      </w:r>
    </w:p>
    <w:p>
      <w:pPr>
        <w:spacing w:after="0" w:line="63" w:lineRule="exact"/>
        <w:rPr>
          <w:rFonts w:ascii="Arial" w:cs="Arial" w:eastAsia="Arial" w:hAnsi="Arial"/>
          <w:sz w:val="17"/>
          <w:szCs w:val="17"/>
          <w:color w:val="auto"/>
        </w:rPr>
      </w:pPr>
    </w:p>
    <w:p>
      <w:pPr>
        <w:ind w:left="840" w:right="20" w:firstLine="421"/>
        <w:spacing w:after="0" w:line="264" w:lineRule="auto"/>
        <w:tabs>
          <w:tab w:leader="none" w:pos="15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Company nor LLC has been a party to a transaction that is or is substantially similar to a “listed transaction,” as such term is defined in Treasury Regulations Section 1.6011 4(b)(2), or any other transaction requiring disclosure under analogous provisions of state, local or foreign Tax Law.</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Section 4.09. Absence of Undisclosed Liabilities</w:t>
      </w:r>
      <w:r>
        <w:rPr>
          <w:rFonts w:ascii="Arial" w:cs="Arial" w:eastAsia="Arial" w:hAnsi="Arial"/>
          <w:sz w:val="18"/>
          <w:szCs w:val="18"/>
          <w:b w:val="1"/>
          <w:bCs w:val="1"/>
          <w:color w:val="auto"/>
        </w:rPr>
        <w:t>.</w:t>
      </w:r>
    </w:p>
    <w:p>
      <w:pPr>
        <w:spacing w:after="0" w:line="121" w:lineRule="exact"/>
        <w:rPr>
          <w:sz w:val="20"/>
          <w:szCs w:val="20"/>
          <w:color w:val="auto"/>
        </w:rPr>
      </w:pPr>
    </w:p>
    <w:p>
      <w:pPr>
        <w:ind w:left="840" w:right="20" w:firstLine="421"/>
        <w:spacing w:after="0" w:line="269" w:lineRule="auto"/>
        <w:tabs>
          <w:tab w:leader="none" w:pos="1505"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of the Disclosure Schedules, the Company has no indebtedness, obligation or Liability (in any case, whether known or unknown, asserted or unasserted, absolute or contingent, accrued or unaccrued, liquidated or unliquidated or due or to become due) which is not shown on the face of the Interim Balance Sheet (rather than in the notes thereto), other than Liabilities incurred or accrued in the Ordinary Course of Business since the Interim Balance Sheet Date (none of which is a Liability resulting from, arising out of, relating to, in the nature of, or caused by any breach of any Contract, breach of warranty, tort, infringement, violation of Law, environmental matter, claim or lawsuit) and, to the Knowledge of the Company and the Sellers, there is no basis for any present or future action, suit, proceeding, hearing, investigation, charge, complaint, claim or demand against any of the Sellers, the Business or the Company giving rise to any such indebtedness, obligation or Liability. None of the Company’s Personnel is now or shall by the passage of time hereinafter become entitled to receive any vacation time, vacation pay or severance pay attributable to services rendered prior to such date except as disclosed on the face of the Interim Balance Sheet and included in the calculation of the Final Working Capital. The Shares shall be conveyed to Purchaser pursuant to this Agreement free and clear of all Encumbrances (other than the Permitted Encumbrances), and Purchaser shall not incur any Liability or obligation as a result of its acquisition of the Shares.</w:t>
      </w:r>
    </w:p>
    <w:p>
      <w:pPr>
        <w:spacing w:after="0" w:line="112" w:lineRule="exact"/>
        <w:rPr>
          <w:rFonts w:ascii="Arial" w:cs="Arial" w:eastAsia="Arial" w:hAnsi="Arial"/>
          <w:sz w:val="17"/>
          <w:szCs w:val="17"/>
          <w:color w:val="auto"/>
        </w:rPr>
      </w:pPr>
    </w:p>
    <w:p>
      <w:pPr>
        <w:ind w:left="5540" w:hanging="101"/>
        <w:spacing w:after="0"/>
        <w:tabs>
          <w:tab w:leader="none" w:pos="5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340"/>
          </w:cols>
          <w:pgMar w:left="32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920" w:right="80" w:firstLine="421"/>
        <w:spacing w:after="0" w:line="288" w:lineRule="auto"/>
        <w:tabs>
          <w:tab w:leader="none" w:pos="1595"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For avoidance of doubt, upon the occurrence of Closing all long term liabilities of the Company shall be paid from Company’s existing cash or the Closing Cash Payment, and all liabilities discussed on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of the Disclosure Schedules will be either paid by the Sellers or properly reserved for in connection with the calculation of the Final Working Capital and the only remaining liabilities of the Company shall be:</w:t>
      </w:r>
    </w:p>
    <w:p>
      <w:pPr>
        <w:ind w:left="920" w:right="600" w:firstLine="1"/>
        <w:spacing w:after="0" w:line="261" w:lineRule="auto"/>
        <w:tabs>
          <w:tab w:leader="none" w:pos="11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those liabilities reflected or accrued in the calculation of the Final Working Capital; and (ii) those liabilities which relate to an ongoing obligation to complete performance under any contracts in existence at Closing.</w:t>
      </w:r>
    </w:p>
    <w:p>
      <w:pPr>
        <w:spacing w:after="0" w:line="180" w:lineRule="exact"/>
        <w:rPr>
          <w:sz w:val="20"/>
          <w:szCs w:val="20"/>
          <w:color w:val="auto"/>
        </w:rPr>
      </w:pPr>
    </w:p>
    <w:p>
      <w:pPr>
        <w:ind w:right="160" w:firstLine="913"/>
        <w:spacing w:after="0" w:line="258" w:lineRule="auto"/>
        <w:rPr>
          <w:sz w:val="20"/>
          <w:szCs w:val="20"/>
          <w:color w:val="auto"/>
        </w:rPr>
      </w:pPr>
      <w:r>
        <w:rPr>
          <w:rFonts w:ascii="Arial" w:cs="Arial" w:eastAsia="Arial" w:hAnsi="Arial"/>
          <w:sz w:val="18"/>
          <w:szCs w:val="18"/>
          <w:b w:val="1"/>
          <w:bCs w:val="1"/>
          <w:u w:val="single" w:color="auto"/>
          <w:color w:val="auto"/>
        </w:rPr>
        <w:t>Section 4.10. Real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does not own any real property which is held for, or used in, the Business (collectively, the “</w:t>
      </w:r>
      <w:r>
        <w:rPr>
          <w:rFonts w:ascii="Arial" w:cs="Arial" w:eastAsia="Arial" w:hAnsi="Arial"/>
          <w:sz w:val="18"/>
          <w:szCs w:val="18"/>
          <w:u w:val="single" w:color="auto"/>
          <w:color w:val="auto"/>
        </w:rPr>
        <w:t>Real</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Property</w:t>
      </w:r>
      <w:r>
        <w:rPr>
          <w:rFonts w:ascii="Arial" w:cs="Arial" w:eastAsia="Arial" w:hAnsi="Arial"/>
          <w:sz w:val="18"/>
          <w:szCs w:val="18"/>
          <w:color w:val="auto"/>
        </w:rPr>
        <w:t>”). Magnus Real Estate Group, LLC (“</w:t>
      </w:r>
      <w:r>
        <w:rPr>
          <w:rFonts w:ascii="Arial" w:cs="Arial" w:eastAsia="Arial" w:hAnsi="Arial"/>
          <w:sz w:val="18"/>
          <w:szCs w:val="18"/>
          <w:u w:val="single" w:color="auto"/>
          <w:color w:val="auto"/>
        </w:rPr>
        <w:t>MRE</w:t>
      </w:r>
      <w:r>
        <w:rPr>
          <w:rFonts w:ascii="Arial" w:cs="Arial" w:eastAsia="Arial" w:hAnsi="Arial"/>
          <w:sz w:val="18"/>
          <w:szCs w:val="18"/>
          <w:color w:val="auto"/>
        </w:rPr>
        <w:t>”), an Affiliate of the Company, owns certain Real Property which it leases to the Company. To the Company or Seller’s Knowledge, no portion of the Real Property owned by MRE and being leased by the Company is located in either a “Special Flood Hazard Area” pursuant to the Federal Insurance Rate Maps created by the Federal Emergency Management Agency or an area which is inundated by a “100 year” flood as provided by any Governmental Entity.</w:t>
      </w:r>
    </w:p>
    <w:p>
      <w:pPr>
        <w:spacing w:after="0" w:line="184"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b w:val="1"/>
          <w:bCs w:val="1"/>
          <w:u w:val="single" w:color="auto"/>
          <w:color w:val="auto"/>
        </w:rPr>
        <w:t>Section 4.11. Leased Real Property.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4.11</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sets forth a list of all real property in which the Company has a</w:t>
      </w:r>
      <w:r>
        <w:rPr>
          <w:rFonts w:ascii="Arial" w:cs="Arial" w:eastAsia="Arial" w:hAnsi="Arial"/>
          <w:sz w:val="17"/>
          <w:szCs w:val="17"/>
          <w:b w:val="1"/>
          <w:bCs w:val="1"/>
          <w:color w:val="auto"/>
        </w:rPr>
        <w:t xml:space="preserve"> </w:t>
      </w:r>
      <w:r>
        <w:rPr>
          <w:rFonts w:ascii="Arial" w:cs="Arial" w:eastAsia="Arial" w:hAnsi="Arial"/>
          <w:sz w:val="17"/>
          <w:szCs w:val="17"/>
          <w:color w:val="auto"/>
        </w:rPr>
        <w:t>leasehold interest (the “</w:t>
      </w:r>
      <w:r>
        <w:rPr>
          <w:rFonts w:ascii="Arial" w:cs="Arial" w:eastAsia="Arial" w:hAnsi="Arial"/>
          <w:sz w:val="17"/>
          <w:szCs w:val="17"/>
          <w:u w:val="single" w:color="auto"/>
          <w:color w:val="auto"/>
        </w:rPr>
        <w:t>Leased Real Property</w:t>
      </w:r>
      <w:r>
        <w:rPr>
          <w:rFonts w:ascii="Arial" w:cs="Arial" w:eastAsia="Arial" w:hAnsi="Arial"/>
          <w:sz w:val="17"/>
          <w:szCs w:val="17"/>
          <w:color w:val="auto"/>
        </w:rPr>
        <w:t>”, with the leases or other agreements evidencing such interests being referred to as the “</w:t>
      </w:r>
      <w:r>
        <w:rPr>
          <w:rFonts w:ascii="Arial" w:cs="Arial" w:eastAsia="Arial" w:hAnsi="Arial"/>
          <w:sz w:val="17"/>
          <w:szCs w:val="17"/>
          <w:u w:val="single" w:color="auto"/>
          <w:color w:val="auto"/>
        </w:rPr>
        <w:t>Real Property Leases</w:t>
      </w:r>
      <w:r>
        <w:rPr>
          <w:rFonts w:ascii="Arial" w:cs="Arial" w:eastAsia="Arial" w:hAnsi="Arial"/>
          <w:sz w:val="17"/>
          <w:szCs w:val="17"/>
          <w:color w:val="auto"/>
        </w:rPr>
        <w:t>”). The Company has provided Purchaser with complete and accurate copies of all Real Property Leases. Neither the Company nor any party thereto is in breach of or default under any Real Property Lease, and no party to any Real Property Lease has given the Company notice (whether written or oral) of or made a claim with respect to any breach or default thereunder. None of the Leased Real Property is subject to any sublease or grant to any Person of any right to the use, occupancy or enjoyment of the property or any portion thereof except as provided for in the Real Property Leases. The Leased Real Property is not subject to any Encumbrance (other than the lien, if any, of current property Taxes and assessments not in default and other than as provided for in the Real Estates Leases). The Leased Real Property is not subject to any use restrictions, exceptions, reservations or limitations which in any respect interfere with or impair the present and continued use thereof in the Ordinary Course of Business. There are no pending or, to the Company’s or Sellers’ Knowledge, threatened condemnation or other Proceedings or claims relating to any of the Leased Real Property. The Real Property Leases shall continue to be legal, valid, binding, enforceable and in full force and effect on identical terms immediately following the consummation of the transactions contemplated by this Agreement.</w:t>
      </w:r>
    </w:p>
    <w:p>
      <w:pPr>
        <w:spacing w:after="0" w:line="180"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b w:val="1"/>
          <w:bCs w:val="1"/>
          <w:u w:val="single" w:color="auto"/>
          <w:color w:val="auto"/>
        </w:rPr>
        <w:t>Section 4.12. Conformity of the Real Property and the Leased Real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To the Company’s or Sellers’ Knowledge all buildings,</w:t>
      </w:r>
      <w:r>
        <w:rPr>
          <w:rFonts w:ascii="Arial" w:cs="Arial" w:eastAsia="Arial" w:hAnsi="Arial"/>
          <w:sz w:val="16"/>
          <w:szCs w:val="16"/>
          <w:b w:val="1"/>
          <w:bCs w:val="1"/>
          <w:color w:val="auto"/>
        </w:rPr>
        <w:t xml:space="preserve"> </w:t>
      </w:r>
      <w:r>
        <w:rPr>
          <w:rFonts w:ascii="Arial" w:cs="Arial" w:eastAsia="Arial" w:hAnsi="Arial"/>
          <w:sz w:val="16"/>
          <w:szCs w:val="16"/>
          <w:color w:val="auto"/>
        </w:rPr>
        <w:t>structures and improvements located on, fixtures contained in, and appurtenances attached to the Real Property or the Leased Real Property conform in all respects to all applicable Laws, including those related to zoning, use or construction, and the Real Property and the Leased Real Property are zoned for the purposes for which they are presently used by the Company. All such buildings, structures, improvements, fixtures and appurtenances are in good condition and repair, subject to normal wear and tear, and no condition exists which interferes with the economic value or use thereof.</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274" w:right="239" w:bottom="1440" w:gutter="0" w:footer="0" w:header="0"/>
        </w:sectPr>
      </w:pPr>
    </w:p>
    <w:bookmarkStart w:id="30" w:name="page31"/>
    <w:bookmarkEnd w:id="30"/>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ind w:left="840"/>
        <w:spacing w:after="0"/>
        <w:rPr>
          <w:sz w:val="20"/>
          <w:szCs w:val="20"/>
          <w:color w:val="auto"/>
        </w:rPr>
      </w:pPr>
      <w:r>
        <w:rPr>
          <w:rFonts w:ascii="Arial" w:cs="Arial" w:eastAsia="Arial" w:hAnsi="Arial"/>
          <w:sz w:val="18"/>
          <w:szCs w:val="18"/>
          <w:b w:val="1"/>
          <w:bCs w:val="1"/>
          <w:u w:val="single" w:color="auto"/>
          <w:color w:val="auto"/>
        </w:rPr>
        <w:t>Section 4.13. Equipment and Machinery</w:t>
      </w:r>
      <w:r>
        <w:rPr>
          <w:rFonts w:ascii="Arial" w:cs="Arial" w:eastAsia="Arial" w:hAnsi="Arial"/>
          <w:sz w:val="18"/>
          <w:szCs w:val="18"/>
          <w:b w:val="1"/>
          <w:bCs w:val="1"/>
          <w:color w:val="auto"/>
        </w:rPr>
        <w:t>.</w:t>
      </w:r>
    </w:p>
    <w:p>
      <w:pPr>
        <w:spacing w:after="0" w:line="121" w:lineRule="exact"/>
        <w:rPr>
          <w:sz w:val="20"/>
          <w:szCs w:val="20"/>
          <w:color w:val="auto"/>
        </w:rPr>
      </w:pPr>
    </w:p>
    <w:p>
      <w:pPr>
        <w:ind w:left="840" w:right="20" w:firstLine="421"/>
        <w:spacing w:after="0" w:line="255" w:lineRule="auto"/>
        <w:tabs>
          <w:tab w:leader="none" w:pos="150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of the Disclosure Schedules sets forth a list of all Equipment and Machinery (whether owned or leased by the Company) included in the Company’s assets and a designation as to whether such Equipment and Machinery is owned or leased by the Company. Except as set forth on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of the Disclosure Schedules, as of the Closing, the Company has good title, free and clear of all Encumbrances (other than the Permitted Encumbrances), to the Equipment and Machinery listed as owned by it. Except as set forth on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of the Disclosure Schedules, the Company holds good and transferable leasehold interests in all Equipment and Machinery listed as leased by it, in each case under valid and enforceable leases.</w:t>
      </w:r>
    </w:p>
    <w:p>
      <w:pPr>
        <w:spacing w:after="0" w:line="85" w:lineRule="exact"/>
        <w:rPr>
          <w:rFonts w:ascii="Arial" w:cs="Arial" w:eastAsia="Arial" w:hAnsi="Arial"/>
          <w:sz w:val="18"/>
          <w:szCs w:val="18"/>
          <w:color w:val="auto"/>
        </w:rPr>
      </w:pPr>
    </w:p>
    <w:p>
      <w:pPr>
        <w:jc w:val="both"/>
        <w:ind w:left="840" w:right="120" w:firstLine="421"/>
        <w:spacing w:after="0" w:line="264" w:lineRule="auto"/>
        <w:tabs>
          <w:tab w:leader="none" w:pos="15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Equipment and Machinery are in good operating condition and repair (except for ordinary wear and tear), are all of the Equipment and Machinery necessary or desirable for the operation of the Business as presently conducted (and as presently proposed to be conducted), and are in conformity in all respects with all applicable Laws and other applicable requirements.</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18"/>
          <w:szCs w:val="18"/>
          <w:b w:val="1"/>
          <w:bCs w:val="1"/>
          <w:u w:val="single" w:color="auto"/>
          <w:color w:val="auto"/>
        </w:rPr>
        <w:t>Section 4.14. Accounts Receivable and Inventories</w:t>
      </w:r>
      <w:r>
        <w:rPr>
          <w:rFonts w:ascii="Arial" w:cs="Arial" w:eastAsia="Arial" w:hAnsi="Arial"/>
          <w:sz w:val="18"/>
          <w:szCs w:val="18"/>
          <w:b w:val="1"/>
          <w:bCs w:val="1"/>
          <w:color w:val="auto"/>
        </w:rPr>
        <w:t>.</w:t>
      </w:r>
    </w:p>
    <w:p>
      <w:pPr>
        <w:spacing w:after="0" w:line="121" w:lineRule="exact"/>
        <w:rPr>
          <w:sz w:val="20"/>
          <w:szCs w:val="20"/>
          <w:color w:val="auto"/>
        </w:rPr>
      </w:pPr>
    </w:p>
    <w:p>
      <w:pPr>
        <w:ind w:left="840" w:right="20" w:firstLine="421"/>
        <w:spacing w:after="0" w:line="285" w:lineRule="auto"/>
        <w:tabs>
          <w:tab w:leader="none" w:pos="1505" w:val="left"/>
        </w:tabs>
        <w:numPr>
          <w:ilvl w:val="1"/>
          <w:numId w:val="35"/>
        </w:numPr>
        <w:rPr>
          <w:rFonts w:ascii="Arial" w:cs="Arial" w:eastAsia="Arial" w:hAnsi="Arial"/>
          <w:sz w:val="16"/>
          <w:szCs w:val="16"/>
          <w:color w:val="auto"/>
        </w:rPr>
      </w:pPr>
      <w:r>
        <w:rPr>
          <w:rFonts w:ascii="Arial" w:cs="Arial" w:eastAsia="Arial" w:hAnsi="Arial"/>
          <w:sz w:val="16"/>
          <w:szCs w:val="16"/>
          <w:color w:val="auto"/>
        </w:rPr>
        <w:t>Except for billing corrections made in the Ordinary Course of Business, which have no impact on the calculation of Final Working Capital, the Accounts Receivable reflected in the Interim Balance Sheet, and all Accounts Receivable arising since the Interim Balance Sheet Date, represent or shall represent bona fide claims, arms-length transactions, against debtors for sales, services performed or other charges arising in the Ordinary Course of Business and are not subject to dispute, set-off or counterclaim. The Company shall use commercially reasonable efforts to collect all Accounts Receivable in full in the Ordinary Course of Business (without the necessity of legal Proceedings) within ninety</w:t>
      </w:r>
    </w:p>
    <w:p>
      <w:pPr>
        <w:spacing w:after="0" w:line="2" w:lineRule="exact"/>
        <w:rPr>
          <w:rFonts w:ascii="Arial" w:cs="Arial" w:eastAsia="Arial" w:hAnsi="Arial"/>
          <w:sz w:val="16"/>
          <w:szCs w:val="16"/>
          <w:color w:val="auto"/>
        </w:rPr>
      </w:pPr>
    </w:p>
    <w:p>
      <w:pPr>
        <w:ind w:left="840" w:right="40" w:firstLine="1"/>
        <w:spacing w:after="0" w:line="253" w:lineRule="auto"/>
        <w:tabs>
          <w:tab w:leader="none" w:pos="11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calendar days after invoicing therefor in accordance with their terms, and at the aggregate recorded amounts thereof. Except for any billing corrections made in the Ordinary Course of Business, which have no impact on the calculation of Final Working Capital, as referenced above, in the event the Company is unable to collect any Accounts Receivable within such ninety (90) day period, Purchaser shall be entitled to setoff such uncollected amounts from the then remaining value of the Note, provided, however, that if any of such funds are collected after such setoff then the collected funds shall be paid to the Sellers.</w:t>
      </w:r>
    </w:p>
    <w:p>
      <w:pPr>
        <w:spacing w:after="0" w:line="83" w:lineRule="exact"/>
        <w:rPr>
          <w:rFonts w:ascii="Arial" w:cs="Arial" w:eastAsia="Arial" w:hAnsi="Arial"/>
          <w:sz w:val="18"/>
          <w:szCs w:val="18"/>
          <w:color w:val="auto"/>
        </w:rPr>
      </w:pPr>
    </w:p>
    <w:p>
      <w:pPr>
        <w:ind w:left="840" w:right="160" w:firstLine="421"/>
        <w:spacing w:after="0" w:line="312" w:lineRule="auto"/>
        <w:tabs>
          <w:tab w:leader="none" w:pos="1515"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items of Inventory included in the Company’s assets reflected on the Interim Balance Sheet or acquired after the Interim Balance Sheet Date and prior to the Closing Date consist or shall consist of a quality and quantity usable and saleable within a reasonable period of time in the Ordinary Course of Business. All Inventory had or shall have a commercial value at least equal to the value shown on the Interim</w:t>
      </w:r>
    </w:p>
    <w:p>
      <w:pPr>
        <w:spacing w:after="0" w:line="79" w:lineRule="exact"/>
        <w:rPr>
          <w:rFonts w:ascii="Arial" w:cs="Arial" w:eastAsia="Arial" w:hAnsi="Arial"/>
          <w:sz w:val="16"/>
          <w:szCs w:val="16"/>
          <w:color w:val="auto"/>
        </w:rPr>
      </w:pPr>
    </w:p>
    <w:p>
      <w:pPr>
        <w:ind w:left="5540" w:hanging="101"/>
        <w:spacing w:after="0"/>
        <w:tabs>
          <w:tab w:leader="none" w:pos="5540" w:val="left"/>
        </w:tabs>
        <w:numPr>
          <w:ilvl w:val="2"/>
          <w:numId w:val="36"/>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340"/>
          </w:cols>
          <w:pgMar w:left="320" w:top="274" w:right="239" w:bottom="1440" w:gutter="0" w:footer="0" w:header="0"/>
        </w:sectPr>
      </w:pPr>
    </w:p>
    <w:bookmarkStart w:id="31" w:name="page32"/>
    <w:bookmarkEnd w:id="31"/>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48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left="840" w:right="160"/>
        <w:spacing w:after="0" w:line="264" w:lineRule="auto"/>
        <w:rPr>
          <w:sz w:val="20"/>
          <w:szCs w:val="20"/>
          <w:color w:val="auto"/>
        </w:rPr>
      </w:pPr>
      <w:r>
        <w:rPr>
          <w:rFonts w:ascii="Arial" w:cs="Arial" w:eastAsia="Arial" w:hAnsi="Arial"/>
          <w:sz w:val="18"/>
          <w:szCs w:val="18"/>
          <w:color w:val="auto"/>
        </w:rPr>
        <w:t>Balance Sheet and is or shall be valued in accordance with GAAP at the lower of cost or market value on a first in, first out basis. All Inventory (other than Inventory in transit in the Ordinary Course of Business) is located at the Real Property or at the Leased Real Property. Work-in-process Inventories are now valued, and shall be valued on the Closing Date, according to GAAP.</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18"/>
          <w:szCs w:val="18"/>
          <w:b w:val="1"/>
          <w:bCs w:val="1"/>
          <w:u w:val="single" w:color="auto"/>
          <w:color w:val="auto"/>
        </w:rPr>
        <w:t>Section 4.15. Services</w:t>
      </w:r>
      <w:r>
        <w:rPr>
          <w:rFonts w:ascii="Arial" w:cs="Arial" w:eastAsia="Arial" w:hAnsi="Arial"/>
          <w:sz w:val="18"/>
          <w:szCs w:val="18"/>
          <w:b w:val="1"/>
          <w:bCs w:val="1"/>
          <w:color w:val="auto"/>
        </w:rPr>
        <w:t>.</w:t>
      </w:r>
    </w:p>
    <w:p>
      <w:pPr>
        <w:spacing w:after="0" w:line="121" w:lineRule="exact"/>
        <w:rPr>
          <w:sz w:val="20"/>
          <w:szCs w:val="20"/>
          <w:color w:val="auto"/>
        </w:rPr>
      </w:pPr>
    </w:p>
    <w:p>
      <w:pPr>
        <w:ind w:left="840" w:right="80" w:firstLine="421"/>
        <w:spacing w:after="0" w:line="279" w:lineRule="auto"/>
        <w:tabs>
          <w:tab w:leader="none" w:pos="1505"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Purchaser has been furnished with complete and accurate copies of the standard terms and conditions of sale for each of the products or services of the Company (containing applicable guaranty, warranty and indemnity provisions). Except as set forth on </w:t>
      </w:r>
      <w:r>
        <w:rPr>
          <w:rFonts w:ascii="Arial" w:cs="Arial" w:eastAsia="Arial" w:hAnsi="Arial"/>
          <w:sz w:val="17"/>
          <w:szCs w:val="17"/>
          <w:u w:val="single" w:color="auto"/>
          <w:color w:val="auto"/>
        </w:rPr>
        <w:t>Section 4.15(a)</w:t>
      </w:r>
      <w:r>
        <w:rPr>
          <w:rFonts w:ascii="Arial" w:cs="Arial" w:eastAsia="Arial" w:hAnsi="Arial"/>
          <w:sz w:val="17"/>
          <w:szCs w:val="17"/>
          <w:color w:val="auto"/>
        </w:rPr>
        <w:t xml:space="preserve"> of the Disclosure Schedules, no product manufactured, sold or delivered by, or service rendered by or on behalf of, the Company is subject to any guaranty, warranty or other indemnity, express or implied, beyond such standard terms and conditions.</w:t>
      </w:r>
    </w:p>
    <w:p>
      <w:pPr>
        <w:spacing w:after="0" w:line="63" w:lineRule="exact"/>
        <w:rPr>
          <w:rFonts w:ascii="Arial" w:cs="Arial" w:eastAsia="Arial" w:hAnsi="Arial"/>
          <w:sz w:val="17"/>
          <w:szCs w:val="17"/>
          <w:color w:val="auto"/>
        </w:rPr>
      </w:pPr>
    </w:p>
    <w:p>
      <w:pPr>
        <w:ind w:left="840" w:firstLine="421"/>
        <w:spacing w:after="0" w:line="259" w:lineRule="auto"/>
        <w:tabs>
          <w:tab w:leader="none" w:pos="15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has no Liability of any nature whether based on strict liability, negligence, breach of warranty (express or implied), breach of contract or otherwise, in respect of any product, component or other item manufactured, sold, designed or produced prior to the Closing by, or service rendered prior to the Closing by or on behalf of, the Company or any predecessor of the Company that is not otherwise fully and adequately reserved against as reflected on the face of the Interim Balance Sheet.</w:t>
      </w:r>
    </w:p>
    <w:p>
      <w:pPr>
        <w:spacing w:after="0" w:line="78" w:lineRule="exact"/>
        <w:rPr>
          <w:rFonts w:ascii="Arial" w:cs="Arial" w:eastAsia="Arial" w:hAnsi="Arial"/>
          <w:sz w:val="18"/>
          <w:szCs w:val="18"/>
          <w:color w:val="auto"/>
        </w:rPr>
      </w:pPr>
    </w:p>
    <w:p>
      <w:pPr>
        <w:ind w:left="840" w:right="20" w:firstLine="421"/>
        <w:spacing w:after="0" w:line="264" w:lineRule="auto"/>
        <w:tabs>
          <w:tab w:leader="none" w:pos="15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has not entered into, or offered to enter into, any Contract pursuant to which the Company or Purchaser (after the Closing Date) is or shall be obligated to make any rebates, discounts, promotional allowances or similar payments or arrangements with or to any customer or other business relation.</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18"/>
          <w:szCs w:val="18"/>
          <w:b w:val="1"/>
          <w:bCs w:val="1"/>
          <w:u w:val="single" w:color="auto"/>
          <w:color w:val="auto"/>
        </w:rPr>
        <w:t>Section 4.16. Intellectual Property</w:t>
      </w:r>
      <w:r>
        <w:rPr>
          <w:rFonts w:ascii="Arial" w:cs="Arial" w:eastAsia="Arial" w:hAnsi="Arial"/>
          <w:sz w:val="18"/>
          <w:szCs w:val="18"/>
          <w:b w:val="1"/>
          <w:bCs w:val="1"/>
          <w:color w:val="auto"/>
        </w:rPr>
        <w:t>.</w:t>
      </w:r>
    </w:p>
    <w:p>
      <w:pPr>
        <w:spacing w:after="0" w:line="121" w:lineRule="exact"/>
        <w:rPr>
          <w:sz w:val="20"/>
          <w:szCs w:val="20"/>
          <w:color w:val="auto"/>
        </w:rPr>
      </w:pPr>
    </w:p>
    <w:p>
      <w:pPr>
        <w:ind w:left="840" w:right="60" w:firstLine="421"/>
        <w:spacing w:after="0" w:line="297" w:lineRule="auto"/>
        <w:tabs>
          <w:tab w:leader="none" w:pos="1504"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Section 4.16(a)</w:t>
      </w:r>
      <w:r>
        <w:rPr>
          <w:rFonts w:ascii="Arial" w:cs="Arial" w:eastAsia="Arial" w:hAnsi="Arial"/>
          <w:sz w:val="16"/>
          <w:szCs w:val="16"/>
          <w:color w:val="auto"/>
        </w:rPr>
        <w:t xml:space="preserve"> of the Disclosure Schedules contains a complete and accurate list of all of the Intellectual Property Assets owned, in whole or in part, or licensed by the Company. Except as set forth on </w:t>
      </w:r>
      <w:r>
        <w:rPr>
          <w:rFonts w:ascii="Arial" w:cs="Arial" w:eastAsia="Arial" w:hAnsi="Arial"/>
          <w:sz w:val="16"/>
          <w:szCs w:val="16"/>
          <w:u w:val="single" w:color="auto"/>
          <w:color w:val="auto"/>
        </w:rPr>
        <w:t>Section 4.16(a)</w:t>
      </w:r>
      <w:r>
        <w:rPr>
          <w:rFonts w:ascii="Arial" w:cs="Arial" w:eastAsia="Arial" w:hAnsi="Arial"/>
          <w:sz w:val="16"/>
          <w:szCs w:val="16"/>
          <w:color w:val="auto"/>
        </w:rPr>
        <w:t xml:space="preserve"> of the Disclosure Schedules, the Intellectual Property Assets are all those necessary for the operation of the Business as it is currently conducted or presently proposed to be conducted by the Company. All of the Intellectual Property Assets are in good standing, are duly authorized, validly, issued and enforceable and have not been cancelled. The Company, nor any Seller, has Knowledge of any facts that would invalidate or render any of the Intellectual Property Assets unenforceable.</w:t>
      </w:r>
    </w:p>
    <w:p>
      <w:pPr>
        <w:spacing w:after="0" w:line="50" w:lineRule="exact"/>
        <w:rPr>
          <w:rFonts w:ascii="Arial" w:cs="Arial" w:eastAsia="Arial" w:hAnsi="Arial"/>
          <w:sz w:val="16"/>
          <w:szCs w:val="16"/>
          <w:color w:val="auto"/>
        </w:rPr>
      </w:pPr>
    </w:p>
    <w:p>
      <w:pPr>
        <w:ind w:left="840" w:right="20" w:firstLine="421"/>
        <w:spacing w:after="0" w:line="259" w:lineRule="auto"/>
        <w:tabs>
          <w:tab w:leader="none" w:pos="15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is the owner or licensee of all right, title and interest in and to each of the Intellectual Property Assets, free and clear of all Encumbrances. The Company’s use of its Intellectual Property Assets, and the operation of the Business as currently conducted and as presently proposed to be conducted does not and shall not infringe, misappropriate or otherwise make any unlawful or unauthorized use of any of the intellectual property assets or other proprietary right of any Person. Except as set</w:t>
      </w:r>
    </w:p>
    <w:p>
      <w:pPr>
        <w:spacing w:after="0" w:line="119" w:lineRule="exact"/>
        <w:rPr>
          <w:rFonts w:ascii="Arial" w:cs="Arial" w:eastAsia="Arial" w:hAnsi="Arial"/>
          <w:sz w:val="18"/>
          <w:szCs w:val="18"/>
          <w:color w:val="auto"/>
        </w:rPr>
      </w:pPr>
    </w:p>
    <w:p>
      <w:pPr>
        <w:ind w:left="5540" w:hanging="101"/>
        <w:spacing w:after="0"/>
        <w:tabs>
          <w:tab w:leader="none" w:pos="5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340"/>
          </w:cols>
          <w:pgMar w:left="320" w:top="274" w:right="239" w:bottom="1440" w:gutter="0" w:footer="0" w:header="0"/>
        </w:sectPr>
      </w:pPr>
    </w:p>
    <w:bookmarkStart w:id="32" w:name="page33"/>
    <w:bookmarkEnd w:id="32"/>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48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left="840" w:right="80"/>
        <w:spacing w:after="0" w:line="269" w:lineRule="auto"/>
        <w:rPr>
          <w:sz w:val="20"/>
          <w:szCs w:val="20"/>
          <w:color w:val="auto"/>
        </w:rPr>
      </w:pPr>
      <w:r>
        <w:rPr>
          <w:rFonts w:ascii="Arial" w:cs="Arial" w:eastAsia="Arial" w:hAnsi="Arial"/>
          <w:sz w:val="17"/>
          <w:szCs w:val="17"/>
          <w:color w:val="auto"/>
        </w:rPr>
        <w:t xml:space="preserve">forth on </w:t>
      </w:r>
      <w:r>
        <w:rPr>
          <w:rFonts w:ascii="Arial" w:cs="Arial" w:eastAsia="Arial" w:hAnsi="Arial"/>
          <w:sz w:val="17"/>
          <w:szCs w:val="17"/>
          <w:u w:val="single" w:color="auto"/>
          <w:color w:val="auto"/>
        </w:rPr>
        <w:t>Section 4.16(b)</w:t>
      </w:r>
      <w:r>
        <w:rPr>
          <w:rFonts w:ascii="Arial" w:cs="Arial" w:eastAsia="Arial" w:hAnsi="Arial"/>
          <w:sz w:val="17"/>
          <w:szCs w:val="17"/>
          <w:color w:val="auto"/>
        </w:rPr>
        <w:t xml:space="preserve"> of the Disclosure Schedules, (i) there are no licenses now outstanding or other rights granted to any Person with respect to any of the intellectual property assets, (ii) neither the Company, nor any Seller is a party to any Contract with respect to any of the Intellectual Property Assets and (iii) neither the Company, nor any Seller has received any notice or other communication claiming, alleging or suggesting that the Company has infringed, misappropriated or otherwise made any unlawful or unauthorized use of any of its Intellectual Property Assets, and, to the Knowledge of the Company or any Seller, no other Person has threatened to make any such claims and there are no basis for any claims. To the Knowledge of the Company or any Seller, no third party is infringing any of the Company’s rights in any of its Intellectual Property Assets. All of the Intellectual Property Assets are assignable to Purchaser without the consent or approval of any Person. Except as described on </w:t>
      </w:r>
      <w:r>
        <w:rPr>
          <w:rFonts w:ascii="Arial" w:cs="Arial" w:eastAsia="Arial" w:hAnsi="Arial"/>
          <w:sz w:val="17"/>
          <w:szCs w:val="17"/>
          <w:u w:val="single" w:color="auto"/>
          <w:color w:val="auto"/>
        </w:rPr>
        <w:t>Section 4.16(b)</w:t>
      </w:r>
      <w:r>
        <w:rPr>
          <w:rFonts w:ascii="Arial" w:cs="Arial" w:eastAsia="Arial" w:hAnsi="Arial"/>
          <w:sz w:val="17"/>
          <w:szCs w:val="17"/>
          <w:color w:val="auto"/>
        </w:rPr>
        <w:t xml:space="preserve"> of the Disclosure Schedules, there are no unresolved claims made that any of the Intellectual Property Assets or the activities of the Company or any Seller in connection with the Intellectual Property Assets constitutes unfair competition or are in violation or infringement of any Mark, Patent, Copyright, Trade Secret, Documentation, Domain Name, Software or Website or registration therefore, of any other Person.</w:t>
      </w:r>
    </w:p>
    <w:p>
      <w:pPr>
        <w:spacing w:after="0" w:line="75" w:lineRule="exact"/>
        <w:rPr>
          <w:sz w:val="20"/>
          <w:szCs w:val="20"/>
          <w:color w:val="auto"/>
        </w:rPr>
      </w:pPr>
    </w:p>
    <w:p>
      <w:pPr>
        <w:ind w:left="840" w:right="20" w:firstLine="421"/>
        <w:spacing w:after="0" w:line="290" w:lineRule="auto"/>
        <w:tabs>
          <w:tab w:leader="none" w:pos="1505"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Upon consummation of the transactions contemplated by this Agreement, Purchaser shall receive complete and exclusive right, title and interest in and to all tangible and intangible property rights existing in the Intellectual Property Assets. The Company has developed the Intellectual Property Assets entirely through its own efforts and for its own account. There are no Intellectual Property Assets that have been created by any independent contractor or other third party for the Company, other than the Intellectual Property Assets owned by independent contractors or third Parties and licensed to the Company pursuant to the license agreements listed on </w:t>
      </w:r>
      <w:r>
        <w:rPr>
          <w:rFonts w:ascii="Arial" w:cs="Arial" w:eastAsia="Arial" w:hAnsi="Arial"/>
          <w:sz w:val="16"/>
          <w:szCs w:val="16"/>
          <w:u w:val="single" w:color="auto"/>
          <w:color w:val="auto"/>
        </w:rPr>
        <w:t>Section 4.16(c)</w:t>
      </w:r>
      <w:r>
        <w:rPr>
          <w:rFonts w:ascii="Arial" w:cs="Arial" w:eastAsia="Arial" w:hAnsi="Arial"/>
          <w:sz w:val="16"/>
          <w:szCs w:val="16"/>
          <w:color w:val="auto"/>
        </w:rPr>
        <w:t xml:space="preserve"> of the Disclosure Schedules. Each of the license agreements listed on </w:t>
      </w:r>
      <w:r>
        <w:rPr>
          <w:rFonts w:ascii="Arial" w:cs="Arial" w:eastAsia="Arial" w:hAnsi="Arial"/>
          <w:sz w:val="16"/>
          <w:szCs w:val="16"/>
          <w:u w:val="single" w:color="auto"/>
          <w:color w:val="auto"/>
        </w:rPr>
        <w:t>Section 4.16(c)</w:t>
      </w:r>
      <w:r>
        <w:rPr>
          <w:rFonts w:ascii="Arial" w:cs="Arial" w:eastAsia="Arial" w:hAnsi="Arial"/>
          <w:sz w:val="16"/>
          <w:szCs w:val="16"/>
          <w:color w:val="auto"/>
        </w:rPr>
        <w:t xml:space="preserve"> of the Disclosure Schedules following the consummation of the transactions contemplated by this Agreement (i) shall remain the legal, valid, binding and enforceable obligations of such independent contractor or third party and (ii) have not been repudiated in any way by the Company nor is the Company in default under such agreements.</w:t>
      </w:r>
    </w:p>
    <w:p>
      <w:pPr>
        <w:spacing w:after="0" w:line="58" w:lineRule="exact"/>
        <w:rPr>
          <w:rFonts w:ascii="Arial" w:cs="Arial" w:eastAsia="Arial" w:hAnsi="Arial"/>
          <w:sz w:val="16"/>
          <w:szCs w:val="16"/>
          <w:color w:val="auto"/>
        </w:rPr>
      </w:pPr>
    </w:p>
    <w:p>
      <w:pPr>
        <w:ind w:left="840" w:right="160" w:firstLine="421"/>
        <w:spacing w:after="0" w:line="264" w:lineRule="auto"/>
        <w:tabs>
          <w:tab w:leader="none" w:pos="15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is not in default with respect to any order, writ, judgment, award, injunction or decree of any Governmental Entity or regulatory authority or arbitrator applicable to the Intellectual Property Assets or the Company’s activities in connection therewith, nor does the Company or any Seller have any Knowledge that any factual circumstances could result in such default.</w:t>
      </w:r>
    </w:p>
    <w:p>
      <w:pPr>
        <w:spacing w:after="0" w:line="73" w:lineRule="exact"/>
        <w:rPr>
          <w:rFonts w:ascii="Arial" w:cs="Arial" w:eastAsia="Arial" w:hAnsi="Arial"/>
          <w:sz w:val="18"/>
          <w:szCs w:val="18"/>
          <w:color w:val="auto"/>
        </w:rPr>
      </w:pPr>
    </w:p>
    <w:p>
      <w:pPr>
        <w:ind w:left="840" w:right="200" w:firstLine="421"/>
        <w:spacing w:after="0" w:line="277" w:lineRule="auto"/>
        <w:tabs>
          <w:tab w:leader="none" w:pos="15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has not agreed to indemnify any Person against any charge of infringement or other violation with respect to any of the Intellectual Property Assets.</w:t>
      </w:r>
    </w:p>
    <w:p>
      <w:pPr>
        <w:spacing w:after="0" w:line="62" w:lineRule="exact"/>
        <w:rPr>
          <w:rFonts w:ascii="Arial" w:cs="Arial" w:eastAsia="Arial" w:hAnsi="Arial"/>
          <w:sz w:val="18"/>
          <w:szCs w:val="18"/>
          <w:color w:val="auto"/>
        </w:rPr>
      </w:pPr>
    </w:p>
    <w:p>
      <w:pPr>
        <w:ind w:left="840" w:right="700" w:firstLine="421"/>
        <w:spacing w:after="0" w:line="277" w:lineRule="auto"/>
        <w:tabs>
          <w:tab w:leader="none" w:pos="14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has the right, which, to the Company’s or Sellers’ Knowledge, is non-terminable and not subject to expiration or revocation, to develop,</w:t>
      </w:r>
    </w:p>
    <w:p>
      <w:pPr>
        <w:spacing w:after="0" w:line="102" w:lineRule="exact"/>
        <w:rPr>
          <w:rFonts w:ascii="Arial" w:cs="Arial" w:eastAsia="Arial" w:hAnsi="Arial"/>
          <w:sz w:val="18"/>
          <w:szCs w:val="18"/>
          <w:color w:val="auto"/>
        </w:rPr>
      </w:pPr>
    </w:p>
    <w:p>
      <w:pPr>
        <w:ind w:left="5540" w:hanging="101"/>
        <w:spacing w:after="0"/>
        <w:tabs>
          <w:tab w:leader="none" w:pos="5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340"/>
          </w:cols>
          <w:pgMar w:left="320" w:top="274" w:right="239" w:bottom="1440" w:gutter="0" w:footer="0" w:header="0"/>
        </w:sectPr>
      </w:pPr>
    </w:p>
    <w:bookmarkStart w:id="33" w:name="page34"/>
    <w:bookmarkEnd w:id="33"/>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48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left="840" w:right="40"/>
        <w:spacing w:after="0" w:line="277" w:lineRule="auto"/>
        <w:rPr>
          <w:sz w:val="20"/>
          <w:szCs w:val="20"/>
          <w:color w:val="auto"/>
        </w:rPr>
      </w:pPr>
      <w:r>
        <w:rPr>
          <w:rFonts w:ascii="Arial" w:cs="Arial" w:eastAsia="Arial" w:hAnsi="Arial"/>
          <w:sz w:val="18"/>
          <w:szCs w:val="18"/>
          <w:color w:val="auto"/>
        </w:rPr>
        <w:t>license, control, regulate the use of or otherwise exploit the Intellectual Property Assets without any valid legal or equitable claim by, or payment or other obligation owing to, or required consent from, any Person.</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8"/>
          <w:szCs w:val="18"/>
          <w:b w:val="1"/>
          <w:bCs w:val="1"/>
          <w:u w:val="single" w:color="auto"/>
          <w:color w:val="auto"/>
        </w:rPr>
        <w:t>Section 4.17. Employee Benefit Plans</w:t>
      </w:r>
      <w:r>
        <w:rPr>
          <w:rFonts w:ascii="Arial" w:cs="Arial" w:eastAsia="Arial" w:hAnsi="Arial"/>
          <w:sz w:val="18"/>
          <w:szCs w:val="18"/>
          <w:b w:val="1"/>
          <w:bCs w:val="1"/>
          <w:color w:val="auto"/>
        </w:rPr>
        <w:t>.</w:t>
      </w:r>
    </w:p>
    <w:p>
      <w:pPr>
        <w:spacing w:after="0" w:line="121" w:lineRule="exact"/>
        <w:rPr>
          <w:sz w:val="20"/>
          <w:szCs w:val="20"/>
          <w:color w:val="auto"/>
        </w:rPr>
      </w:pPr>
    </w:p>
    <w:p>
      <w:pPr>
        <w:ind w:left="840" w:right="220" w:firstLine="421"/>
        <w:spacing w:after="0" w:line="255" w:lineRule="auto"/>
        <w:tabs>
          <w:tab w:leader="none" w:pos="150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Section 4.17(a)</w:t>
      </w:r>
      <w:r>
        <w:rPr>
          <w:rFonts w:ascii="Arial" w:cs="Arial" w:eastAsia="Arial" w:hAnsi="Arial"/>
          <w:sz w:val="18"/>
          <w:szCs w:val="18"/>
          <w:color w:val="auto"/>
        </w:rPr>
        <w:t xml:space="preserve"> of the Disclosure Schedules contains a complete and accurate list of all Employee Plans and the Company’s Benefit Obligations. All such Employee Plans and the Company’s Benefit Obligations are in full force and effect and are in compliance in all respects, both as to form and operation, with all applicable provisions of ERISA, the Code and any other applicable Laws, and with any applicable collective bargaining agreements. No event has occurred, and there exists no condition or set of circumstances which has resulted in or which could result in the imposition of any Liability on the Company under ERISA, the Code or other applicable Law with respect to such Employee Plans or the Company’s Benefit Obligations.</w:t>
      </w:r>
    </w:p>
    <w:p>
      <w:pPr>
        <w:spacing w:after="0" w:line="85" w:lineRule="exact"/>
        <w:rPr>
          <w:rFonts w:ascii="Arial" w:cs="Arial" w:eastAsia="Arial" w:hAnsi="Arial"/>
          <w:sz w:val="18"/>
          <w:szCs w:val="18"/>
          <w:color w:val="auto"/>
        </w:rPr>
      </w:pPr>
    </w:p>
    <w:p>
      <w:pPr>
        <w:jc w:val="both"/>
        <w:ind w:left="840" w:right="80" w:firstLine="421"/>
        <w:spacing w:after="0" w:line="302" w:lineRule="auto"/>
        <w:tabs>
          <w:tab w:leader="none" w:pos="15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Employee Plans which are “employee pension benefit plans” within the meaning of Section 3(2) of ERISA and which are intended to meet the qualification requirements of Section 401(a) of the Code have at all times met the qualification requirements of Section 401(a) of the Code (“</w:t>
      </w:r>
      <w:r>
        <w:rPr>
          <w:rFonts w:ascii="Arial" w:cs="Arial" w:eastAsia="Arial" w:hAnsi="Arial"/>
          <w:sz w:val="16"/>
          <w:szCs w:val="16"/>
          <w:u w:val="single" w:color="auto"/>
          <w:color w:val="auto"/>
        </w:rPr>
        <w:t>Pension Plan</w:t>
      </w:r>
      <w:r>
        <w:rPr>
          <w:rFonts w:ascii="Arial" w:cs="Arial" w:eastAsia="Arial" w:hAnsi="Arial"/>
          <w:sz w:val="16"/>
          <w:szCs w:val="16"/>
          <w:color w:val="auto"/>
        </w:rPr>
        <w:t>”), and each related trust has at all times been exempt from taxation under Section 501(a) of the Code. All contributions required to be made under the terms of any Employee Plans have been timely made or have been reflected in the Financial Statements.</w:t>
      </w:r>
    </w:p>
    <w:p>
      <w:pPr>
        <w:spacing w:after="0" w:line="46" w:lineRule="exact"/>
        <w:rPr>
          <w:rFonts w:ascii="Arial" w:cs="Arial" w:eastAsia="Arial" w:hAnsi="Arial"/>
          <w:sz w:val="16"/>
          <w:szCs w:val="16"/>
          <w:color w:val="auto"/>
        </w:rPr>
      </w:pPr>
    </w:p>
    <w:p>
      <w:pPr>
        <w:ind w:left="840" w:right="60" w:firstLine="421"/>
        <w:spacing w:after="0" w:line="264" w:lineRule="auto"/>
        <w:tabs>
          <w:tab w:leader="none" w:pos="15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is not part of a controlled group of employers with any other Person (as defined in Section 7701(a)(l) of the Code) which is considered a single employer under Sections 414(b), (c), (m) or (o) of the Code, or Section 3(5) or 4001(b)(1) of ERISA, or the regulations promulgated thereunder.</w:t>
      </w:r>
    </w:p>
    <w:p>
      <w:pPr>
        <w:spacing w:after="0" w:line="73" w:lineRule="exact"/>
        <w:rPr>
          <w:rFonts w:ascii="Arial" w:cs="Arial" w:eastAsia="Arial" w:hAnsi="Arial"/>
          <w:sz w:val="18"/>
          <w:szCs w:val="18"/>
          <w:color w:val="auto"/>
        </w:rPr>
      </w:pPr>
    </w:p>
    <w:p>
      <w:pPr>
        <w:ind w:left="840" w:right="180" w:firstLine="421"/>
        <w:spacing w:after="0" w:line="264" w:lineRule="auto"/>
        <w:tabs>
          <w:tab w:leader="none" w:pos="15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does not sponsor, maintain or contribute to, and is not required to contribute to, and has never contributed to, any Employee Plan that is subject to Title IV of ERISA or any Multiemployer Plan and has no Liability of any nature, whether known or unknown, fixed or contingent, choate or inchoate, with respect to any such Employee Plan or Multiemployer Plan.</w:t>
      </w:r>
    </w:p>
    <w:p>
      <w:pPr>
        <w:spacing w:after="0" w:line="73" w:lineRule="exact"/>
        <w:rPr>
          <w:rFonts w:ascii="Arial" w:cs="Arial" w:eastAsia="Arial" w:hAnsi="Arial"/>
          <w:sz w:val="18"/>
          <w:szCs w:val="18"/>
          <w:color w:val="auto"/>
        </w:rPr>
      </w:pPr>
    </w:p>
    <w:p>
      <w:pPr>
        <w:ind w:left="840" w:right="20" w:firstLine="421"/>
        <w:spacing w:after="0" w:line="279" w:lineRule="auto"/>
        <w:tabs>
          <w:tab w:leader="none" w:pos="150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does not sponsor, maintain or contribute to, and is not required to contribute to, and has never contributed to any medical, health, life or other welfare benefits for present or future terminated or retired employees or their spouses or dependents, other than as required by Part 6 of Subtitle B of Title I of ERISA, COBRA, or any comparable state Law, and has no Liability of any nature, whether known or unknown, fixed or contingent, choate or inchoate, with respect to any such post-termination welfare benefits.</w:t>
      </w:r>
    </w:p>
    <w:p>
      <w:pPr>
        <w:spacing w:after="0" w:line="63" w:lineRule="exact"/>
        <w:rPr>
          <w:rFonts w:ascii="Arial" w:cs="Arial" w:eastAsia="Arial" w:hAnsi="Arial"/>
          <w:sz w:val="17"/>
          <w:szCs w:val="17"/>
          <w:color w:val="auto"/>
        </w:rPr>
      </w:pPr>
    </w:p>
    <w:p>
      <w:pPr>
        <w:ind w:left="840" w:firstLine="421"/>
        <w:spacing w:after="0" w:line="259" w:lineRule="auto"/>
        <w:tabs>
          <w:tab w:leader="none" w:pos="14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Pension Plan has received determination letters from the IRS to the effect that each such Pension Plan is qualified and the related trusts are exempt from federal income taxes, and no determination letter received with respect to any Pension Plan has been revoked, nor is there any reason for such revocation, nor has any Pension Plan been amended since the date of its most recent determination letter in any respect which could adversely affect its qualification.</w:t>
      </w:r>
    </w:p>
    <w:p>
      <w:pPr>
        <w:spacing w:after="0" w:line="119" w:lineRule="exact"/>
        <w:rPr>
          <w:rFonts w:ascii="Arial" w:cs="Arial" w:eastAsia="Arial" w:hAnsi="Arial"/>
          <w:sz w:val="18"/>
          <w:szCs w:val="18"/>
          <w:color w:val="auto"/>
        </w:rPr>
      </w:pPr>
    </w:p>
    <w:p>
      <w:pPr>
        <w:ind w:left="5540" w:hanging="101"/>
        <w:spacing w:after="0"/>
        <w:tabs>
          <w:tab w:leader="none" w:pos="5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340"/>
          </w:cols>
          <w:pgMar w:left="320" w:top="274" w:right="239" w:bottom="1440" w:gutter="0" w:footer="0" w:header="0"/>
        </w:sectPr>
      </w:pPr>
    </w:p>
    <w:bookmarkStart w:id="34" w:name="page35"/>
    <w:bookmarkEnd w:id="34"/>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840" w:right="340" w:firstLine="421"/>
        <w:spacing w:after="0" w:line="259" w:lineRule="auto"/>
        <w:tabs>
          <w:tab w:leader="none" w:pos="1515"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There are no pending audits or investigations by any governmental agency involving any of the Employee Plans, and there are no threatened or pending claims (except for individual claims for benefits payable in the normal operation of the Employee Plans), suits or Proceedings involving any Employee Plan, any fiduciary thereof or service provider thereto, nor, to the Company’s or Sellers’ Knowledge, is there any reasonable basis for any such claim, suit or Proceeding.</w:t>
      </w:r>
    </w:p>
    <w:p>
      <w:pPr>
        <w:spacing w:after="0" w:line="78" w:lineRule="exact"/>
        <w:rPr>
          <w:rFonts w:ascii="Arial" w:cs="Arial" w:eastAsia="Arial" w:hAnsi="Arial"/>
          <w:sz w:val="18"/>
          <w:szCs w:val="18"/>
          <w:color w:val="auto"/>
        </w:rPr>
      </w:pPr>
    </w:p>
    <w:p>
      <w:pPr>
        <w:ind w:left="840" w:right="80" w:firstLine="421"/>
        <w:spacing w:after="0" w:line="259" w:lineRule="auto"/>
        <w:tabs>
          <w:tab w:leader="none" w:pos="1515"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None of the Company, any ERISA Affiliate or any employee of the Company or any ERISA Affiliate has engaged in a “prohibited transaction” within the meaning of Section 406 of ERISA or Section 4975 of the Code, nor has any such person breached any duty imposed by Title I of ERISA, with respect to any Employee Plan. No other Person has engaged in such a prohibited transaction or breach with respect to any Employee Plan.</w:t>
      </w:r>
    </w:p>
    <w:p>
      <w:pPr>
        <w:spacing w:after="0" w:line="78" w:lineRule="exact"/>
        <w:rPr>
          <w:rFonts w:ascii="Arial" w:cs="Arial" w:eastAsia="Arial" w:hAnsi="Arial"/>
          <w:sz w:val="18"/>
          <w:szCs w:val="18"/>
          <w:color w:val="auto"/>
        </w:rPr>
      </w:pPr>
    </w:p>
    <w:p>
      <w:pPr>
        <w:ind w:left="840" w:right="40" w:firstLine="421"/>
        <w:spacing w:after="0" w:line="259" w:lineRule="auto"/>
        <w:tabs>
          <w:tab w:leader="none" w:pos="1475"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insurance premiums under any insurance policy related to an Employee Plan for any period up to and including the Closing Date have been paid, or accrued and booked on or prior to the Closing Date in the Financial Statements, and, with respect to any such insurance policy or premium payment obligation, the Company is not subject to a retroactive rate adjustment, loss sharing arrangement or other actual or contingent Liability.</w:t>
      </w:r>
    </w:p>
    <w:p>
      <w:pPr>
        <w:spacing w:after="0" w:line="78" w:lineRule="exact"/>
        <w:rPr>
          <w:rFonts w:ascii="Arial" w:cs="Arial" w:eastAsia="Arial" w:hAnsi="Arial"/>
          <w:sz w:val="18"/>
          <w:szCs w:val="18"/>
          <w:color w:val="auto"/>
        </w:rPr>
      </w:pPr>
    </w:p>
    <w:p>
      <w:pPr>
        <w:ind w:left="840" w:firstLine="421"/>
        <w:spacing w:after="0" w:line="279" w:lineRule="auto"/>
        <w:tabs>
          <w:tab w:leader="none" w:pos="1475" w:val="left"/>
        </w:tabs>
        <w:numPr>
          <w:ilvl w:val="1"/>
          <w:numId w:val="41"/>
        </w:numPr>
        <w:rPr>
          <w:rFonts w:ascii="Arial" w:cs="Arial" w:eastAsia="Arial" w:hAnsi="Arial"/>
          <w:sz w:val="17"/>
          <w:szCs w:val="17"/>
          <w:color w:val="auto"/>
        </w:rPr>
      </w:pPr>
      <w:r>
        <w:rPr>
          <w:rFonts w:ascii="Arial" w:cs="Arial" w:eastAsia="Arial" w:hAnsi="Arial"/>
          <w:sz w:val="17"/>
          <w:szCs w:val="17"/>
          <w:color w:val="auto"/>
        </w:rPr>
        <w:t>Within the six-month period preceding the Closing Date, there has been no amendment to, announcement by the Company relating to, or change in employee participation or coverage under, any Employee Plan which would increase the expense of maintaining such Employee Plan above the level of the expense incurred therefor for the most recent fiscal year, except for increases directly resulting from an increase in the number of persons employed by the Company or promotions of existing employees in the Ordinary Course of Business.</w:t>
      </w:r>
    </w:p>
    <w:p>
      <w:pPr>
        <w:spacing w:after="0" w:line="63" w:lineRule="exact"/>
        <w:rPr>
          <w:rFonts w:ascii="Arial" w:cs="Arial" w:eastAsia="Arial" w:hAnsi="Arial"/>
          <w:sz w:val="17"/>
          <w:szCs w:val="17"/>
          <w:color w:val="auto"/>
        </w:rPr>
      </w:pPr>
    </w:p>
    <w:p>
      <w:pPr>
        <w:ind w:left="840" w:right="360" w:firstLine="421"/>
        <w:spacing w:after="0" w:line="277" w:lineRule="auto"/>
        <w:tabs>
          <w:tab w:leader="none" w:pos="1515"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does not have any Contract, whether legally binding or not, to create any additional Employee Plan or to modify any existing Employee Plan.</w:t>
      </w:r>
    </w:p>
    <w:p>
      <w:pPr>
        <w:spacing w:after="0" w:line="62" w:lineRule="exact"/>
        <w:rPr>
          <w:rFonts w:ascii="Arial" w:cs="Arial" w:eastAsia="Arial" w:hAnsi="Arial"/>
          <w:sz w:val="18"/>
          <w:szCs w:val="18"/>
          <w:color w:val="auto"/>
        </w:rPr>
      </w:pPr>
    </w:p>
    <w:p>
      <w:pPr>
        <w:ind w:left="840" w:right="320" w:firstLine="421"/>
        <w:spacing w:after="0" w:line="277" w:lineRule="auto"/>
        <w:tabs>
          <w:tab w:leader="none" w:pos="1475"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 condition, fact or circumstance exists which would prevent the Company from amending or terminating any Employee Plan with respect to any future, current, former or retired employee, independent contractor or agent of the Company.</w:t>
      </w:r>
    </w:p>
    <w:p>
      <w:pPr>
        <w:spacing w:after="0" w:line="62" w:lineRule="exact"/>
        <w:rPr>
          <w:rFonts w:ascii="Arial" w:cs="Arial" w:eastAsia="Arial" w:hAnsi="Arial"/>
          <w:sz w:val="18"/>
          <w:szCs w:val="18"/>
          <w:color w:val="auto"/>
        </w:rPr>
      </w:pPr>
    </w:p>
    <w:p>
      <w:pPr>
        <w:ind w:left="1560" w:hanging="299"/>
        <w:spacing w:after="0"/>
        <w:tabs>
          <w:tab w:leader="none" w:pos="15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As applicable, with respect to each of the Employee Plans, the Company has delivered to Purchaser complete and accurate copies of:</w:t>
      </w:r>
    </w:p>
    <w:p>
      <w:pPr>
        <w:spacing w:after="0" w:line="46" w:lineRule="exact"/>
        <w:rPr>
          <w:rFonts w:ascii="Arial" w:cs="Arial" w:eastAsia="Arial" w:hAnsi="Arial"/>
          <w:sz w:val="16"/>
          <w:szCs w:val="16"/>
          <w:color w:val="auto"/>
        </w:rPr>
      </w:pPr>
    </w:p>
    <w:p>
      <w:pPr>
        <w:ind w:left="840" w:right="440" w:firstLine="1"/>
        <w:spacing w:after="0" w:line="295" w:lineRule="auto"/>
        <w:tabs>
          <w:tab w:leader="none" w:pos="10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plan documents (including all amendments and modifications thereof) and, in the case of an unwritten Employee Plan, a written description thereof, and in either case all related agreements including the trust agreement and amendments thereto, insurance contracts and investment management agreements; (ii) the last three (3) filed Form 5500 series and all schedules thereto; (iii) the current summary plan descriptions and all modifications thereto; (iv) the three (3) most recent actuarial reports, financial statements and trustee</w:t>
      </w:r>
    </w:p>
    <w:p>
      <w:pPr>
        <w:spacing w:after="0" w:line="93" w:lineRule="exact"/>
        <w:rPr>
          <w:rFonts w:ascii="Arial" w:cs="Arial" w:eastAsia="Arial" w:hAnsi="Arial"/>
          <w:sz w:val="16"/>
          <w:szCs w:val="16"/>
          <w:color w:val="auto"/>
        </w:rPr>
      </w:pPr>
    </w:p>
    <w:p>
      <w:pPr>
        <w:ind w:left="5540" w:hanging="101"/>
        <w:spacing w:after="0"/>
        <w:tabs>
          <w:tab w:leader="none" w:pos="55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340"/>
          </w:cols>
          <w:pgMar w:left="320" w:top="274" w:right="239" w:bottom="1440" w:gutter="0" w:footer="0" w:header="0"/>
        </w:sectPr>
      </w:pPr>
    </w:p>
    <w:bookmarkStart w:id="35" w:name="page36"/>
    <w:bookmarkEnd w:id="35"/>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48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left="840" w:right="40"/>
        <w:spacing w:after="0" w:line="259" w:lineRule="auto"/>
        <w:rPr>
          <w:sz w:val="20"/>
          <w:szCs w:val="20"/>
          <w:color w:val="auto"/>
        </w:rPr>
      </w:pPr>
      <w:r>
        <w:rPr>
          <w:rFonts w:ascii="Arial" w:cs="Arial" w:eastAsia="Arial" w:hAnsi="Arial"/>
          <w:sz w:val="18"/>
          <w:szCs w:val="18"/>
          <w:color w:val="auto"/>
        </w:rPr>
        <w:t>reports; and (v) copies of all private letter rulings, requests and determination letters issued with respect to any Employee Plan and filings, summaries of self-corrections or applications made under the Employee Plans Compliance Resolution System (as set forth in Revenue Procedure 2003-44, and any successor thereto) or the Voluntary Fiduciary Correction or Delinquent Filer Voluntary Compliance programs with respect to the Employee Plans within the past five (5) years.</w:t>
      </w:r>
    </w:p>
    <w:p>
      <w:pPr>
        <w:spacing w:after="0" w:line="79" w:lineRule="exact"/>
        <w:rPr>
          <w:sz w:val="20"/>
          <w:szCs w:val="20"/>
          <w:color w:val="auto"/>
        </w:rPr>
      </w:pPr>
    </w:p>
    <w:p>
      <w:pPr>
        <w:ind w:left="840" w:right="100" w:firstLine="421"/>
        <w:spacing w:after="0" w:line="257" w:lineRule="auto"/>
        <w:tabs>
          <w:tab w:leader="none" w:pos="15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has not, since December 31, 2013, (i) granted an interest in a nonqualified deferred compensation plan (as defined in Section 409A(d)(1) of the Code) which interest has been or, upon the lapse of a substantial risk of forfeiture with respect to such interest, will be subject to the Tax imposed by Sections 409A(a)(1)(B) or (b)(4)(A) of the Code, or (ii) modified the terms of any nonqualified deferred compensation plan in a manner that could cause an interest previously granted under such plan to become subject to the Tax imposed by Sections 409A(a)(1)(B) or (b)(4) of the Code.</w:t>
      </w:r>
    </w:p>
    <w:p>
      <w:pPr>
        <w:spacing w:after="0" w:line="80" w:lineRule="exact"/>
        <w:rPr>
          <w:rFonts w:ascii="Arial" w:cs="Arial" w:eastAsia="Arial" w:hAnsi="Arial"/>
          <w:sz w:val="18"/>
          <w:szCs w:val="18"/>
          <w:color w:val="auto"/>
        </w:rPr>
      </w:pPr>
    </w:p>
    <w:p>
      <w:pPr>
        <w:ind w:left="840" w:right="100" w:firstLine="421"/>
        <w:spacing w:after="0" w:line="291" w:lineRule="auto"/>
        <w:tabs>
          <w:tab w:leader="none" w:pos="1515"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deferred compensation arrangements, as defined under Section 409A of the Code, have been or will be amended to comply with Code Section 409A on or prior to the Closing Date, and therefore, no such arrangements will be subject to the Tax imposed by Sections 409A(a)</w:t>
      </w:r>
    </w:p>
    <w:p>
      <w:pPr>
        <w:ind w:left="840"/>
        <w:spacing w:after="0"/>
        <w:rPr>
          <w:rFonts w:ascii="Arial" w:cs="Arial" w:eastAsia="Arial" w:hAnsi="Arial"/>
          <w:sz w:val="16"/>
          <w:szCs w:val="16"/>
          <w:color w:val="auto"/>
        </w:rPr>
      </w:pPr>
      <w:r>
        <w:rPr>
          <w:rFonts w:ascii="Arial" w:cs="Arial" w:eastAsia="Arial" w:hAnsi="Arial"/>
          <w:sz w:val="18"/>
          <w:szCs w:val="18"/>
          <w:color w:val="auto"/>
        </w:rPr>
        <w:t>(1)(B) or (b)(4)(A) of the Code.</w:t>
      </w:r>
    </w:p>
    <w:p>
      <w:pPr>
        <w:spacing w:after="0" w:line="102" w:lineRule="exact"/>
        <w:rPr>
          <w:rFonts w:ascii="Arial" w:cs="Arial" w:eastAsia="Arial" w:hAnsi="Arial"/>
          <w:sz w:val="16"/>
          <w:szCs w:val="16"/>
          <w:color w:val="auto"/>
        </w:rPr>
      </w:pPr>
    </w:p>
    <w:p>
      <w:pPr>
        <w:ind w:left="840" w:right="120" w:firstLine="421"/>
        <w:spacing w:after="0" w:line="264" w:lineRule="auto"/>
        <w:tabs>
          <w:tab w:leader="none" w:pos="15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expressly understood that Purchaser assumes no Liability for any underfunding of the Employee Plans or the Company’s Benefit Obligations, and that the ongoing operations or termination of such Employee Plans or the Company’s Benefit Obligations, and any expenses or Liabilities incidental thereto, shall be the sole responsibility of the Company.</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18"/>
          <w:szCs w:val="18"/>
          <w:b w:val="1"/>
          <w:bCs w:val="1"/>
          <w:u w:val="single" w:color="auto"/>
          <w:color w:val="auto"/>
        </w:rPr>
        <w:t>Section 4.18. Personnel; Labor Relations.</w:t>
      </w:r>
    </w:p>
    <w:p>
      <w:pPr>
        <w:spacing w:after="0" w:line="121" w:lineRule="exact"/>
        <w:rPr>
          <w:sz w:val="20"/>
          <w:szCs w:val="20"/>
          <w:color w:val="auto"/>
        </w:rPr>
      </w:pPr>
    </w:p>
    <w:p>
      <w:pPr>
        <w:ind w:left="840" w:right="140" w:firstLine="421"/>
        <w:spacing w:after="0" w:line="297" w:lineRule="auto"/>
        <w:tabs>
          <w:tab w:leader="none" w:pos="1504"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Section 4.18(a)</w:t>
      </w:r>
      <w:r>
        <w:rPr>
          <w:rFonts w:ascii="Arial" w:cs="Arial" w:eastAsia="Arial" w:hAnsi="Arial"/>
          <w:sz w:val="16"/>
          <w:szCs w:val="16"/>
          <w:color w:val="auto"/>
        </w:rPr>
        <w:t xml:space="preserve"> of the Disclosure Schedules sets forth a list of all collective bargaining agreements and other agreements or documents relating to relationships with Personnel to which the Company is a party, identifying the Parties thereto, the expiration dates and the status thereof. The Company has provided Purchaser a true and complete copy of all such collective bargaining agreements. In the event the Company has entered into any collective bargaining agreements of which Purchaser has not been provided a true and complete copy, Sellers and the Company represent and warrant that any such agreements do not contain any terms materially different than those which have been provided.</w:t>
      </w:r>
    </w:p>
    <w:p>
      <w:pPr>
        <w:spacing w:after="0" w:line="50" w:lineRule="exact"/>
        <w:rPr>
          <w:rFonts w:ascii="Arial" w:cs="Arial" w:eastAsia="Arial" w:hAnsi="Arial"/>
          <w:sz w:val="16"/>
          <w:szCs w:val="16"/>
          <w:color w:val="auto"/>
        </w:rPr>
      </w:pPr>
    </w:p>
    <w:p>
      <w:pPr>
        <w:ind w:left="840" w:right="20" w:firstLine="421"/>
        <w:spacing w:after="0" w:line="257" w:lineRule="auto"/>
        <w:tabs>
          <w:tab w:leader="none" w:pos="15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There is no labor strike, lockout, dispute, slowdown or stoppage pending or threatened against or involving the Company, nor has any such event or labor difficulty occurred within the past five (5) years, (ii) no union claims to represent the Company’s Personnel, (iii) the Company is not a party to nor is the Company bound by any collective bargaining or similar agreement with any labor organization, written work rules or practices or unwritten work rules or practices agreed to with any labor organization or employee association, (iv) there has been no attempt to organize</w:t>
      </w:r>
    </w:p>
    <w:p>
      <w:pPr>
        <w:spacing w:after="0" w:line="120" w:lineRule="exact"/>
        <w:rPr>
          <w:rFonts w:ascii="Arial" w:cs="Arial" w:eastAsia="Arial" w:hAnsi="Arial"/>
          <w:sz w:val="18"/>
          <w:szCs w:val="18"/>
          <w:color w:val="auto"/>
        </w:rPr>
      </w:pPr>
    </w:p>
    <w:p>
      <w:pPr>
        <w:ind w:left="5540" w:hanging="101"/>
        <w:spacing w:after="0"/>
        <w:tabs>
          <w:tab w:leader="none" w:pos="5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340"/>
          </w:cols>
          <w:pgMar w:left="320" w:top="274" w:right="239" w:bottom="1440" w:gutter="0" w:footer="0" w:header="0"/>
        </w:sectPr>
      </w:pPr>
    </w:p>
    <w:bookmarkStart w:id="36" w:name="page37"/>
    <w:bookmarkEnd w:id="36"/>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48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left="840" w:right="40"/>
        <w:spacing w:after="0" w:line="286" w:lineRule="auto"/>
        <w:rPr>
          <w:sz w:val="20"/>
          <w:szCs w:val="20"/>
          <w:color w:val="auto"/>
        </w:rPr>
      </w:pPr>
      <w:r>
        <w:rPr>
          <w:rFonts w:ascii="Arial" w:cs="Arial" w:eastAsia="Arial" w:hAnsi="Arial"/>
          <w:sz w:val="16"/>
          <w:szCs w:val="16"/>
          <w:color w:val="auto"/>
        </w:rPr>
        <w:t>any group or all of the Company’s Personnel within the past five (5) years, (v) the Company is in compliance in all respects with all applicable Laws relating to employment and employment practices, terms and conditions of employment, wages, hours of work and occupational safety and health, (vi) there is no unfair labor practice charge or complaint against the Company pending or threatened before the National Labor Relations Board or any Governmental Entity (and there is no reasonable basis therefor), (vii) there is no charge with respect to or relating to the Company pending before the Equal Employment Opportunity Commission or any other agency responsible for the prevention of unlawful or discriminatory employment practices (and there is no reasonable basis therefor), (viii) the Company has not received any notice of the intent of any Governmental Entity responsible for the enforcement of labor or employment Laws to conduct an investigation or other inquiry relating to the Company, and no such investigation or other inquiry is in progress, (ix) there is no Proceeding pending or threatened, in any forum by or on behalf of any present or former Personnel of the Company, any applicant for employment or any class or classes of the foregoing alleging breach of any express or implied Contract of employment, any Law governing employment or the termination thereof or other discriminatory, wrongful or tortious conduct in connection with the employment relationship, (x) there is no agreement of any kind which restricts the Company from relocating, closing or terminating any of its operations or facilities, (xi) neither the Company nor any Seller has any Knowledge that any of the Company’s Personnel has any current or immediate plans to terminate his or her employment with the Company, and (xii) the Company has no present intention to terminate the employment of any Personnel due to misconduct, absenteeism or unsatisfactory performance.</w:t>
      </w:r>
    </w:p>
    <w:p>
      <w:pPr>
        <w:spacing w:after="0" w:line="64" w:lineRule="exact"/>
        <w:rPr>
          <w:sz w:val="20"/>
          <w:szCs w:val="20"/>
          <w:color w:val="auto"/>
        </w:rPr>
      </w:pPr>
    </w:p>
    <w:p>
      <w:pPr>
        <w:ind w:left="840" w:right="100" w:firstLine="421"/>
        <w:spacing w:after="0" w:line="291" w:lineRule="auto"/>
        <w:tabs>
          <w:tab w:leader="none" w:pos="1505"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Company has not, in the past five (5) years, with respect to the Business, effectuated (i) a “plant closing” (as defined in the WARN Act) affecting any site of employment or one or more facilities or operating units within any site of employment or facility of the Business, or</w:t>
      </w:r>
    </w:p>
    <w:p>
      <w:pPr>
        <w:ind w:left="840" w:firstLine="1"/>
        <w:spacing w:after="0" w:line="277" w:lineRule="auto"/>
        <w:tabs>
          <w:tab w:leader="none" w:pos="110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“mass layoff” (as defined in the WARN Act) affecting any site of employment or facility of the Business, nor has the Business been affected by any transaction or engaged in layoffs or employment terminations sufficient in number to trigger application of any similar Law. None of the Company’s Personnel has suffered an “employment loss” (as defined in the WARN Act) during the previous six (6) months.</w:t>
      </w:r>
    </w:p>
    <w:p>
      <w:pPr>
        <w:spacing w:after="0" w:line="65" w:lineRule="exact"/>
        <w:rPr>
          <w:rFonts w:ascii="Arial" w:cs="Arial" w:eastAsia="Arial" w:hAnsi="Arial"/>
          <w:sz w:val="17"/>
          <w:szCs w:val="17"/>
          <w:color w:val="auto"/>
        </w:rPr>
      </w:pPr>
    </w:p>
    <w:p>
      <w:pPr>
        <w:ind w:left="840" w:right="160" w:firstLine="421"/>
        <w:spacing w:after="0" w:line="297" w:lineRule="auto"/>
        <w:tabs>
          <w:tab w:leader="none" w:pos="1515" w:val="left"/>
        </w:tabs>
        <w:numPr>
          <w:ilvl w:val="1"/>
          <w:numId w:val="46"/>
        </w:numPr>
        <w:rPr>
          <w:rFonts w:ascii="Arial" w:cs="Arial" w:eastAsia="Arial" w:hAnsi="Arial"/>
          <w:sz w:val="16"/>
          <w:szCs w:val="16"/>
          <w:color w:val="auto"/>
        </w:rPr>
      </w:pPr>
      <w:r>
        <w:rPr>
          <w:rFonts w:ascii="Arial" w:cs="Arial" w:eastAsia="Arial" w:hAnsi="Arial"/>
          <w:sz w:val="16"/>
          <w:szCs w:val="16"/>
          <w:color w:val="auto"/>
        </w:rPr>
        <w:t>Nothing contained in this Agreement shall confer upon any Personnel of the Company any right with regard to continued employment by Purchaser nor any third party beneficiary rights, nor shall anything herein (i) interfere with the right of Purchaser after the Closing Date to terminate the employment of any of its Personnel at any time, with or without cause or notice, or (ii) restrict Purchaser in the exercise of its independent business judgment in establishing or modifying any of the terms or conditions of the employment of its Personnel. Purchaser will not incur any Liability on account of the Company’s Personnel in connection with the transactions contemplated by this Agreement.</w:t>
      </w:r>
    </w:p>
    <w:p>
      <w:pPr>
        <w:spacing w:after="0" w:line="90" w:lineRule="exact"/>
        <w:rPr>
          <w:rFonts w:ascii="Arial" w:cs="Arial" w:eastAsia="Arial" w:hAnsi="Arial"/>
          <w:sz w:val="16"/>
          <w:szCs w:val="16"/>
          <w:color w:val="auto"/>
        </w:rPr>
      </w:pPr>
    </w:p>
    <w:p>
      <w:pPr>
        <w:ind w:left="5540" w:hanging="101"/>
        <w:spacing w:after="0"/>
        <w:tabs>
          <w:tab w:leader="none" w:pos="5540" w:val="left"/>
        </w:tabs>
        <w:numPr>
          <w:ilvl w:val="2"/>
          <w:numId w:val="46"/>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340"/>
          </w:cols>
          <w:pgMar w:left="320" w:top="27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920" w:right="140" w:firstLine="421"/>
        <w:spacing w:after="0" w:line="257" w:lineRule="auto"/>
        <w:tabs>
          <w:tab w:leader="none" w:pos="15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Personnel of the Company is bound by any Contract that purports to limit the ability of such Personnel (i) to engage in or continue to perform any conduct, activity, duties or practice relating to the Business or (ii) to assign to the Company or to any other Person any rights to any invention, improvement or discovery. No former or current Personnel of the Company is a party to, or is otherwise bound by, any Contract that in any way adversely affected, affects or will affect the ability of Purchaser to conduct the Business as presently conducted and as presently proposed to be conducted.</w:t>
      </w:r>
    </w:p>
    <w:p>
      <w:pPr>
        <w:spacing w:after="0" w:line="80" w:lineRule="exact"/>
        <w:rPr>
          <w:rFonts w:ascii="Arial" w:cs="Arial" w:eastAsia="Arial" w:hAnsi="Arial"/>
          <w:sz w:val="18"/>
          <w:szCs w:val="18"/>
          <w:color w:val="auto"/>
        </w:rPr>
      </w:pPr>
    </w:p>
    <w:p>
      <w:pPr>
        <w:ind w:left="920" w:right="40" w:firstLine="421"/>
        <w:spacing w:after="0" w:line="270" w:lineRule="auto"/>
        <w:tabs>
          <w:tab w:leader="none" w:pos="1565" w:val="left"/>
        </w:tabs>
        <w:numPr>
          <w:ilvl w:val="0"/>
          <w:numId w:val="47"/>
        </w:numPr>
        <w:rPr>
          <w:rFonts w:ascii="Arial" w:cs="Arial" w:eastAsia="Arial" w:hAnsi="Arial"/>
          <w:sz w:val="17"/>
          <w:szCs w:val="17"/>
          <w:color w:val="auto"/>
        </w:rPr>
      </w:pPr>
      <w:r>
        <w:rPr>
          <w:rFonts w:ascii="Arial" w:cs="Arial" w:eastAsia="Arial" w:hAnsi="Arial"/>
          <w:sz w:val="17"/>
          <w:szCs w:val="17"/>
          <w:color w:val="auto"/>
        </w:rPr>
        <w:t>(i) The Company has not entered into any severance or similar arrangement in respect of any present or former Personnel that shall result in any Liability of the Company or Purchaser to make any payment to any present or former Personnel following termination of employment, including the termination of employment effected by the transactions contemplated by this Agreement, and (ii) the consummation of the transactions contemplated by this Agreement shall not (A) increase or modify any benefits otherwise payable by the Company or Purchaser to any Personnel or former Personnel of the Company, or (B) result in the acceleration of time of payment or vesting of any such benefits except as required under Section 411(d)(3) of the Code. The consummation of the transactions contemplated by this Agreement shall not trigger any severance or similar arrangement of the Company payable by Purchaser after the Closing. There are no Contracts providing for payments that could subject any Person to Liability for Tax under Section 409A or Section 4999 of the Code. No Employee Plans provide for “parachute payments” within the meaning of Section 280G of the Code.</w:t>
      </w:r>
    </w:p>
    <w:p>
      <w:pPr>
        <w:spacing w:after="0" w:line="73" w:lineRule="exact"/>
        <w:rPr>
          <w:rFonts w:ascii="Arial" w:cs="Arial" w:eastAsia="Arial" w:hAnsi="Arial"/>
          <w:sz w:val="17"/>
          <w:szCs w:val="17"/>
          <w:color w:val="auto"/>
        </w:rPr>
      </w:pPr>
    </w:p>
    <w:p>
      <w:pPr>
        <w:ind w:left="920" w:right="240" w:firstLine="421"/>
        <w:spacing w:after="0" w:line="277" w:lineRule="auto"/>
        <w:tabs>
          <w:tab w:leader="none" w:pos="15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maintained workers’ compensation coverage as required by applicable Law through the purchase of insurance and not by self-insurance or otherwise.</w:t>
      </w:r>
    </w:p>
    <w:p>
      <w:pPr>
        <w:spacing w:after="0" w:line="166" w:lineRule="exact"/>
        <w:rPr>
          <w:sz w:val="20"/>
          <w:szCs w:val="20"/>
          <w:color w:val="auto"/>
        </w:rPr>
      </w:pPr>
    </w:p>
    <w:p>
      <w:pPr>
        <w:ind w:right="100" w:firstLine="913"/>
        <w:spacing w:after="0" w:line="282" w:lineRule="auto"/>
        <w:rPr>
          <w:sz w:val="20"/>
          <w:szCs w:val="20"/>
          <w:color w:val="auto"/>
        </w:rPr>
      </w:pPr>
      <w:r>
        <w:rPr>
          <w:rFonts w:ascii="Arial" w:cs="Arial" w:eastAsia="Arial" w:hAnsi="Arial"/>
          <w:sz w:val="18"/>
          <w:szCs w:val="18"/>
          <w:b w:val="1"/>
          <w:bCs w:val="1"/>
          <w:u w:val="single" w:color="auto"/>
          <w:color w:val="auto"/>
        </w:rPr>
        <w:t>Section 4.19. Environmental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As a result of the Company’s and Sellers actions, and to the Company and Sellers’ Knowledge,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of the actions of a third party:</w:t>
      </w:r>
    </w:p>
    <w:p>
      <w:pPr>
        <w:spacing w:after="0" w:line="58" w:lineRule="exact"/>
        <w:rPr>
          <w:sz w:val="20"/>
          <w:szCs w:val="20"/>
          <w:color w:val="auto"/>
        </w:rPr>
      </w:pPr>
    </w:p>
    <w:p>
      <w:pPr>
        <w:ind w:left="920" w:right="160" w:firstLine="421"/>
        <w:spacing w:after="0" w:line="290" w:lineRule="auto"/>
        <w:tabs>
          <w:tab w:leader="none" w:pos="1585"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Hazardous Material has been disposed of, spilled, leaked or otherwise released on any Real Property or Leased Real Property or at any geologically or hydrologically adjoining property, no Hazardous Materials are present on or in the ambient air, surface water, ground water, land surface or subsurface strata at any Real Property or Leased Real Property, including any Hazardous Materials contained in barrels, aboveground or underground storage tanks, landfills, land deposits, dumps, equipment (whether movable or fixed) or other containers, either temporary or permanent, and deposited or located in land, water, sumps or any other part of the Real Property or Leased Real Property or such adjoining property, or incorporated into any structure therein or thereon, nor has any Hazardous Material come to be located in the soil, surface water or groundwater on or below any Real Property or Leased Real Property. No Hazardous Materials are or have been generated, manufactured, treated, stored, transported, used, disposed of or otherwise handled by the Company either on</w:t>
      </w:r>
    </w:p>
    <w:p>
      <w:pPr>
        <w:spacing w:after="0" w:line="98" w:lineRule="exact"/>
        <w:rPr>
          <w:rFonts w:ascii="Arial" w:cs="Arial" w:eastAsia="Arial" w:hAnsi="Arial"/>
          <w:sz w:val="16"/>
          <w:szCs w:val="16"/>
          <w:color w:val="auto"/>
        </w:rPr>
      </w:pPr>
    </w:p>
    <w:p>
      <w:pPr>
        <w:ind w:left="5620" w:hanging="101"/>
        <w:spacing w:after="0"/>
        <w:tabs>
          <w:tab w:leader="none" w:pos="5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420"/>
          </w:cols>
          <w:pgMar w:left="240" w:top="27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or off of any Real Property or Leased Real Property, and there are no underground storage tanks thereon (whether or not regulated and whether or not out of service, closed or decommissioned). There is no condition affecting any Real Property or Leased Real Property causing it to be in violation of any Environmental Requirement. There are no asbestos-containing materials incorporated into the buildings or interior improvements that are part of any of the Real Property or Leased Real Property, or into any other assets of the Company. There is no electrical transformer, fluorescent light fixture with ballasts or other equipment containing polychlorinated biphenyls on any of the Real Property or Leased Real Property. The Company has not conducted activities on the Real Property or Leased Real Property involving the treatment, storage or disposal of Hazardous Materials. To the Sellers’ Knowledge, and without inquiry, and except as set forth in any Phase 1 study previously delivered by Purchaser, no previous owner or tenant of the Real Property or Leased Real Property has spilled, disposed, discharged, emitted or released any Hazardous Materials into, upon or from any Real Property or Leased Real Property or into or upon the soil, ground water or surface water thereof, nor has any previous owner or tenant of the Real Property or Leased Real Property violated any Environmental Requirements with respect to the Real Property or Leased Real Property.</w:t>
      </w:r>
    </w:p>
    <w:p>
      <w:pPr>
        <w:spacing w:after="0" w:line="75" w:lineRule="exact"/>
        <w:rPr>
          <w:sz w:val="20"/>
          <w:szCs w:val="20"/>
          <w:color w:val="auto"/>
        </w:rPr>
      </w:pPr>
    </w:p>
    <w:p>
      <w:pPr>
        <w:ind w:left="920" w:right="40" w:firstLine="421"/>
        <w:spacing w:after="0" w:line="287" w:lineRule="auto"/>
        <w:tabs>
          <w:tab w:leader="none" w:pos="1595"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4.19(b)</w:t>
      </w:r>
      <w:r>
        <w:rPr>
          <w:rFonts w:ascii="Arial" w:cs="Arial" w:eastAsia="Arial" w:hAnsi="Arial"/>
          <w:sz w:val="16"/>
          <w:szCs w:val="16"/>
          <w:color w:val="auto"/>
        </w:rPr>
        <w:t xml:space="preserve"> of the Disclosure Schedules, the Company is in compliance with, and has at all times complied in all respects with, all Environmental Requirements, and the Company has not received any notice or been cited for any violation or potential violation of any such Environmental Requirements. No capital expenditures by the Company or Purchaser (following the Closing Date) shall be required to establish or maintain compliance with any applicable Environmental Requirements. There is no pending investigation, civil, criminal or administrative action, notice or demand letter, notice of violation or other Proceeding by any Governmental Entity with respect to ground water or surface water, soil or air contamination, the storage, treatment, release, transportation or disposal of Hazardous Materials, the use of underground storage tanks by the Company or any previous owner or tenant of any Real Property or Leased Real Property or the violation of any Environmental Requirement relating to any Real Property, Leased Real Property or the Business. Neither the Company nor any Seller has received any notice or other communication concerning any past, present or future events, actions or conditions which under present Law may give rise to any Liability of the Company or Purchaser (following the Closing Date) relating to the presence of Hazardous Materials on the Real Property or Leased Real Property or on the real property of any Person. The Company has no agreement with any Governmental Entity relating to any such environmental matter or any environmental or Hazardous Materials cleanup.</w:t>
      </w:r>
    </w:p>
    <w:p>
      <w:pPr>
        <w:spacing w:after="0" w:line="60" w:lineRule="exact"/>
        <w:rPr>
          <w:rFonts w:ascii="Arial" w:cs="Arial" w:eastAsia="Arial" w:hAnsi="Arial"/>
          <w:sz w:val="16"/>
          <w:szCs w:val="16"/>
          <w:color w:val="auto"/>
        </w:rPr>
      </w:pPr>
    </w:p>
    <w:p>
      <w:pPr>
        <w:ind w:left="920" w:right="20" w:firstLine="421"/>
        <w:spacing w:after="0" w:line="277" w:lineRule="auto"/>
        <w:tabs>
          <w:tab w:leader="none" w:pos="15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 complete listing of all projects where Company transported Hazardous Materials offsite, and the location where those offsite facilities are located, is set forth on </w:t>
      </w:r>
      <w:r>
        <w:rPr>
          <w:rFonts w:ascii="Arial" w:cs="Arial" w:eastAsia="Arial" w:hAnsi="Arial"/>
          <w:sz w:val="18"/>
          <w:szCs w:val="18"/>
          <w:u w:val="single" w:color="auto"/>
          <w:color w:val="auto"/>
        </w:rPr>
        <w:t>Section 4.19(c)</w:t>
      </w:r>
      <w:r>
        <w:rPr>
          <w:rFonts w:ascii="Arial" w:cs="Arial" w:eastAsia="Arial" w:hAnsi="Arial"/>
          <w:sz w:val="18"/>
          <w:szCs w:val="18"/>
          <w:color w:val="auto"/>
        </w:rPr>
        <w:t xml:space="preserve"> of the Disclosure Schedules.</w:t>
      </w:r>
    </w:p>
    <w:p>
      <w:pPr>
        <w:spacing w:after="0" w:line="166"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b w:val="1"/>
          <w:bCs w:val="1"/>
          <w:u w:val="single" w:color="auto"/>
          <w:color w:val="auto"/>
        </w:rPr>
        <w:t>Section 4.20. Licenses and Permits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4.20</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sets forth a list, together with a description of type, duration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status, of each of the Licenses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20"/>
          </w:cols>
          <w:pgMar w:left="240" w:top="27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and Permits held by the Company or required in order to operate the Business. The Company has obtained and maintained in full force and effect all Licenses and Permits required to operate the Business in the Ordinary Course of Business. The Company has provided Purchaser with true and complete copies of all Licenses and Permits. The consummation of the transactions contemplated hereby shall not interrupt or give any Governmental Entity the right to modify, terminate or interrupt the continuation of any of the Licenses and Permits or the conduct of the Business. The Company is in compliance with all terms, conditions and requirements of all Licenses and Permits and no Proceeding is pending or threatened relating to the revocation or limitation of any of the Licenses or Permits.</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Section 4.21. Insurance; Bonds</w:t>
      </w:r>
      <w:r>
        <w:rPr>
          <w:rFonts w:ascii="Arial" w:cs="Arial" w:eastAsia="Arial" w:hAnsi="Arial"/>
          <w:sz w:val="18"/>
          <w:szCs w:val="18"/>
          <w:b w:val="1"/>
          <w:bCs w:val="1"/>
          <w:color w:val="auto"/>
        </w:rPr>
        <w:t>.</w:t>
      </w:r>
    </w:p>
    <w:p>
      <w:pPr>
        <w:spacing w:after="0" w:line="121" w:lineRule="exact"/>
        <w:rPr>
          <w:sz w:val="20"/>
          <w:szCs w:val="20"/>
          <w:color w:val="auto"/>
        </w:rPr>
      </w:pPr>
    </w:p>
    <w:p>
      <w:pPr>
        <w:ind w:left="920" w:right="80" w:firstLine="421"/>
        <w:spacing w:after="0" w:line="257" w:lineRule="auto"/>
        <w:tabs>
          <w:tab w:leader="none" w:pos="158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4.21(a)</w:t>
      </w:r>
      <w:r>
        <w:rPr>
          <w:rFonts w:ascii="Arial" w:cs="Arial" w:eastAsia="Arial" w:hAnsi="Arial"/>
          <w:sz w:val="18"/>
          <w:szCs w:val="18"/>
          <w:color w:val="auto"/>
        </w:rPr>
        <w:t xml:space="preserve"> of the Disclosure Schedules sets forth a list of all policies of title, liability, fire, casualty, business interruption, workers’ compensation and all other forms of insurance (including, without limitation, self-insurance arrangements) (collectively, the “</w:t>
      </w:r>
      <w:r>
        <w:rPr>
          <w:rFonts w:ascii="Arial" w:cs="Arial" w:eastAsia="Arial" w:hAnsi="Arial"/>
          <w:sz w:val="18"/>
          <w:szCs w:val="18"/>
          <w:u w:val="single" w:color="auto"/>
          <w:color w:val="auto"/>
        </w:rPr>
        <w:t>Policies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Policy</w:t>
      </w:r>
      <w:r>
        <w:rPr>
          <w:rFonts w:ascii="Arial" w:cs="Arial" w:eastAsia="Arial" w:hAnsi="Arial"/>
          <w:sz w:val="18"/>
          <w:szCs w:val="18"/>
          <w:color w:val="auto"/>
        </w:rPr>
        <w:t>”) insuring the properties, assets or other operations of the Company, setting forth the carrier, policy number, expiration dates, premiums, deductibles, description of type of coverage and coverage amounts. The Company has provided Purchaser with true and complete copies of all of the Policies.</w:t>
      </w:r>
    </w:p>
    <w:p>
      <w:pPr>
        <w:spacing w:after="0" w:line="80" w:lineRule="exact"/>
        <w:rPr>
          <w:rFonts w:ascii="Arial" w:cs="Arial" w:eastAsia="Arial" w:hAnsi="Arial"/>
          <w:sz w:val="18"/>
          <w:szCs w:val="18"/>
          <w:color w:val="auto"/>
        </w:rPr>
      </w:pPr>
    </w:p>
    <w:p>
      <w:pPr>
        <w:ind w:left="920" w:right="100" w:firstLine="421"/>
        <w:spacing w:after="0" w:line="253" w:lineRule="auto"/>
        <w:tabs>
          <w:tab w:leader="none" w:pos="15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the Policies is in an amount and insures against the risks usually and customarily carried by a Person engaged in the type of business which constitutes the Business. Each of the Policies is in full force and effect. The Company is not in default under any provisions of any Policy, and the Company has not received notice of cancellation or modification of any Policy. There is no claim by the Company pending under any Policy as to which coverage has been questioned, denied or disputed by the underwriters of any Policy, and neither the Company nor any of Sellers has any Knowledge of any basis for denial of any claim under any Policy. The Company has not received any notice from or on behalf of any insurance carrier issuing any Policy that insurance rates therefor shall hereafter be increased or that there shall hereafter be a cancellation or an increase in a deductible (or an increase in premiums in order to maintain an existing deductible) or non-renewal of any Policy. The Policies are sufficient in all respects for compliance by the Company with all requirements of Law and with the requirements of all Material Contracts.</w:t>
      </w:r>
    </w:p>
    <w:p>
      <w:pPr>
        <w:spacing w:after="0" w:line="89" w:lineRule="exact"/>
        <w:rPr>
          <w:rFonts w:ascii="Arial" w:cs="Arial" w:eastAsia="Arial" w:hAnsi="Arial"/>
          <w:sz w:val="18"/>
          <w:szCs w:val="18"/>
          <w:color w:val="auto"/>
        </w:rPr>
      </w:pPr>
    </w:p>
    <w:p>
      <w:pPr>
        <w:ind w:left="920" w:right="580" w:firstLine="421"/>
        <w:spacing w:after="0" w:line="277" w:lineRule="auto"/>
        <w:tabs>
          <w:tab w:leader="none" w:pos="158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4.21(c)</w:t>
      </w:r>
      <w:r>
        <w:rPr>
          <w:rFonts w:ascii="Arial" w:cs="Arial" w:eastAsia="Arial" w:hAnsi="Arial"/>
          <w:sz w:val="18"/>
          <w:szCs w:val="18"/>
          <w:color w:val="auto"/>
        </w:rPr>
        <w:t xml:space="preserve"> of the Disclosure Schedules set forth all outstanding bonds or other surety arrangements issued or entered into in connection with the assets and properties of the Company or the Business.</w:t>
      </w:r>
    </w:p>
    <w:p>
      <w:pPr>
        <w:spacing w:after="0" w:line="166" w:lineRule="exact"/>
        <w:rPr>
          <w:sz w:val="20"/>
          <w:szCs w:val="20"/>
          <w:color w:val="auto"/>
        </w:rPr>
      </w:pPr>
    </w:p>
    <w:p>
      <w:pPr>
        <w:ind w:right="820" w:firstLine="913"/>
        <w:spacing w:after="0" w:line="282" w:lineRule="auto"/>
        <w:rPr>
          <w:sz w:val="20"/>
          <w:szCs w:val="20"/>
          <w:color w:val="auto"/>
        </w:rPr>
      </w:pPr>
      <w:r>
        <w:rPr>
          <w:rFonts w:ascii="Arial" w:cs="Arial" w:eastAsia="Arial" w:hAnsi="Arial"/>
          <w:sz w:val="18"/>
          <w:szCs w:val="18"/>
          <w:b w:val="1"/>
          <w:bCs w:val="1"/>
          <w:u w:val="single" w:color="auto"/>
          <w:color w:val="auto"/>
        </w:rPr>
        <w:t>Section 4.22. Contracts and Commitments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contains a list of all of the following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the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58" w:lineRule="exact"/>
        <w:rPr>
          <w:sz w:val="20"/>
          <w:szCs w:val="20"/>
          <w:color w:val="auto"/>
        </w:rPr>
      </w:pPr>
    </w:p>
    <w:p>
      <w:pPr>
        <w:ind w:left="920" w:right="260" w:firstLine="421"/>
        <w:spacing w:after="0" w:line="264" w:lineRule="auto"/>
        <w:tabs>
          <w:tab w:leader="none" w:pos="158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employment, consulting, bonus, profit-sharing, percentage compensation, deferred compensation, pension, welfare, retirement, stock purchase or stock option plans and agreements and commitments with or relating to the Personnel (current or former) or Affiliates of the Company;</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420"/>
          </w:cols>
          <w:pgMar w:left="240" w:top="27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jc w:val="both"/>
        <w:ind w:left="920" w:right="420" w:firstLine="421"/>
        <w:spacing w:after="0" w:line="286" w:lineRule="auto"/>
        <w:tabs>
          <w:tab w:leader="none" w:pos="1595" w:val="left"/>
        </w:tabs>
        <w:numPr>
          <w:ilvl w:val="0"/>
          <w:numId w:val="52"/>
        </w:numPr>
        <w:rPr>
          <w:rFonts w:ascii="Arial" w:cs="Arial" w:eastAsia="Arial" w:hAnsi="Arial"/>
          <w:sz w:val="17"/>
          <w:szCs w:val="17"/>
          <w:color w:val="auto"/>
        </w:rPr>
      </w:pPr>
      <w:r>
        <w:rPr>
          <w:rFonts w:ascii="Arial" w:cs="Arial" w:eastAsia="Arial" w:hAnsi="Arial"/>
          <w:sz w:val="17"/>
          <w:szCs w:val="17"/>
          <w:color w:val="auto"/>
        </w:rPr>
        <w:t>notes, mortgages and Contracts for the repayment or borrowing of money by the Company in excess of $50,000 in any one case or $200,000 in the aggregate, or for a line of credit, including borrowings by the Company in the form of guarantees of, indemnification for or agreements to acquire any obligations of others, and all security or pledge agreements related thereto;</w:t>
      </w:r>
    </w:p>
    <w:p>
      <w:pPr>
        <w:spacing w:after="0" w:line="57" w:lineRule="exact"/>
        <w:rPr>
          <w:rFonts w:ascii="Arial" w:cs="Arial" w:eastAsia="Arial" w:hAnsi="Arial"/>
          <w:sz w:val="17"/>
          <w:szCs w:val="17"/>
          <w:color w:val="auto"/>
        </w:rPr>
      </w:pPr>
    </w:p>
    <w:p>
      <w:pPr>
        <w:ind w:left="920" w:right="600" w:firstLine="421"/>
        <w:spacing w:after="0" w:line="277" w:lineRule="auto"/>
        <w:tabs>
          <w:tab w:leader="none" w:pos="15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Contracts relating to any joint venture, partnership, strategic alliance or sharing of profits or losses with any Person to which the Company is a party or by which it or any of its assets is bound;</w:t>
      </w:r>
    </w:p>
    <w:p>
      <w:pPr>
        <w:spacing w:after="0" w:line="62" w:lineRule="exact"/>
        <w:rPr>
          <w:rFonts w:ascii="Arial" w:cs="Arial" w:eastAsia="Arial" w:hAnsi="Arial"/>
          <w:sz w:val="18"/>
          <w:szCs w:val="18"/>
          <w:color w:val="auto"/>
        </w:rPr>
      </w:pPr>
    </w:p>
    <w:p>
      <w:pPr>
        <w:ind w:left="920" w:right="80" w:firstLine="421"/>
        <w:spacing w:after="0" w:line="277" w:lineRule="auto"/>
        <w:tabs>
          <w:tab w:leader="none" w:pos="15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Contracts containing covenants purporting to limit the freedom of the Company or any Personnel (current or former) to compete in any business or in any geographic area;</w:t>
      </w:r>
    </w:p>
    <w:p>
      <w:pPr>
        <w:spacing w:after="0" w:line="62" w:lineRule="exact"/>
        <w:rPr>
          <w:rFonts w:ascii="Arial" w:cs="Arial" w:eastAsia="Arial" w:hAnsi="Arial"/>
          <w:sz w:val="18"/>
          <w:szCs w:val="18"/>
          <w:color w:val="auto"/>
        </w:rPr>
      </w:pPr>
    </w:p>
    <w:p>
      <w:pPr>
        <w:ind w:left="920" w:right="300" w:firstLine="421"/>
        <w:spacing w:after="0" w:line="277" w:lineRule="auto"/>
        <w:tabs>
          <w:tab w:leader="none" w:pos="15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Contracts requiring payments or distributions to any shareholder or Personnel of the Company (current or former), or any relative or Affiliate of any such Person; and</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Contracts not made in the Ordinary Course of Business.</w:t>
      </w:r>
    </w:p>
    <w:p>
      <w:pPr>
        <w:spacing w:after="0" w:line="2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The Company has provided Purchaser with true and complete copies of all the Contracts and each amendment, supplement, waiver or modification thereto. All of the Material Contracts identified on, or required to be identified on </w:t>
      </w:r>
      <w:r>
        <w:rPr>
          <w:rFonts w:ascii="Arial" w:cs="Arial" w:eastAsia="Arial" w:hAnsi="Arial"/>
          <w:sz w:val="18"/>
          <w:szCs w:val="18"/>
          <w:u w:val="single" w:color="auto"/>
          <w:color w:val="auto"/>
        </w:rPr>
        <w:t>Section 4.22</w:t>
      </w:r>
      <w:r>
        <w:rPr>
          <w:rFonts w:ascii="Arial" w:cs="Arial" w:eastAsia="Arial" w:hAnsi="Arial"/>
          <w:sz w:val="18"/>
          <w:szCs w:val="18"/>
          <w:color w:val="auto"/>
        </w:rPr>
        <w:t xml:space="preserve"> of the Disclosure Schedules are in full force and effect and shall continue to be in full force and effect on identical terms following the consummation of the transactions contemplated hereby. Neither the Company, nor, to the Company’s or Sellers’ Knowledge, any other party thereto, has breached any provision of, or is in default under the terms of, nor does any condition exist which, with or without notice or lapse of time, or both, would cause the Company or any other party to be in default under any of the Material Contracts or would constitute a breach or default or permit termination, modification or acceleration under any such Material Contract. There are no renegotiations of, attempts to renegotiate or outstanding rights to renegotiate any amounts paid by or payable to the Company under current or completed Material Contracts with any Person having the contractual or statutory right to demand or require such renegotiation, and no such Person has made written demand for such renegotiation.</w:t>
      </w:r>
    </w:p>
    <w:p>
      <w:pPr>
        <w:spacing w:after="0" w:line="193"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b w:val="1"/>
          <w:bCs w:val="1"/>
          <w:u w:val="single" w:color="auto"/>
          <w:color w:val="auto"/>
        </w:rPr>
        <w:t>Section 4.23. Customers and Suppliers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4.23</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sets forth a list of the names and addresses of (a)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customers whose purchases exceeded eighty-five percent (85%) of the Company’s total revenue in the calendar years ended December 31, 2012 and December 31, 2013, showing the dollar volume of sales or leases to each such customer for such year, (b) the Company’s ten (10) largest customers by dollar volume (with specification of the dollar volume) in the calendar years ended December 31, 2012 and December 31, 2013, and (c) any suppliers of the Company’s whose dollar volume (with specification of the dollar volume) in the calendar years ended December 31, 2012 and December 31, 2013 equaled or exceeded Two-Hundred and Fifty Thousand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20"/>
          </w:cols>
          <w:pgMar w:left="240" w:top="27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 xml:space="preserve">No/100s dollars ($25,000.00). No customer or supplier required to be set forth on </w:t>
      </w:r>
      <w:r>
        <w:rPr>
          <w:rFonts w:ascii="Arial" w:cs="Arial" w:eastAsia="Arial" w:hAnsi="Arial"/>
          <w:sz w:val="16"/>
          <w:szCs w:val="16"/>
          <w:u w:val="single" w:color="auto"/>
          <w:color w:val="auto"/>
        </w:rPr>
        <w:t>Section 4.23</w:t>
      </w:r>
      <w:r>
        <w:rPr>
          <w:rFonts w:ascii="Arial" w:cs="Arial" w:eastAsia="Arial" w:hAnsi="Arial"/>
          <w:sz w:val="16"/>
          <w:szCs w:val="16"/>
          <w:color w:val="auto"/>
        </w:rPr>
        <w:t xml:space="preserve"> of the Disclosure Schedules has terminated or modified within the past eighteen (18) months, or, to the Knowledge of the Company or any Seller, intends to terminate or modify its business relationship with the Company.</w:t>
      </w:r>
    </w:p>
    <w:p>
      <w:pPr>
        <w:spacing w:after="0" w:line="120"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b w:val="1"/>
          <w:bCs w:val="1"/>
          <w:u w:val="single" w:color="auto"/>
          <w:color w:val="auto"/>
        </w:rPr>
        <w:t>Section 4.24. Compliance with Law</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4.24</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Schedules, to the Company’s or Sellers’ Knowledge,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Business are in compliance with all applicable Laws, including, without limitation, those applicable to discrimination in employment, occupational safety and health, trade practices, competition and pricing, product warranties, zoning, building, sanitation, employment, retirement, labor relations, product advertising and any and all applicable Environmental Requirements. The Company is not in default with respect to any order, writ, judgment, award, injunction or decree of any Governmental Entity or arbitrator applicable to it or the Business, its Personnel or any of its assets, and there are no factual circumstances that are likely to result in such default. The Company has not received, at any time since December 31, 2012, any notice or other communication (whether oral or written) from any Governmental Entity or any other Person regarding any actual, alleged, possible or potential violation of, or failure to comply with, any term or requirement of any order to which the Company or any of its assets is or has been subject.</w:t>
      </w:r>
    </w:p>
    <w:p>
      <w:pPr>
        <w:spacing w:after="0" w:line="160" w:lineRule="exact"/>
        <w:rPr>
          <w:sz w:val="20"/>
          <w:szCs w:val="20"/>
          <w:color w:val="auto"/>
        </w:rPr>
      </w:pPr>
    </w:p>
    <w:p>
      <w:pPr>
        <w:ind w:right="200" w:firstLine="913"/>
        <w:spacing w:after="0" w:line="261" w:lineRule="auto"/>
        <w:rPr>
          <w:sz w:val="20"/>
          <w:szCs w:val="20"/>
          <w:color w:val="auto"/>
        </w:rPr>
      </w:pPr>
      <w:r>
        <w:rPr>
          <w:rFonts w:ascii="Arial" w:cs="Arial" w:eastAsia="Arial" w:hAnsi="Arial"/>
          <w:sz w:val="18"/>
          <w:szCs w:val="18"/>
          <w:b w:val="1"/>
          <w:bCs w:val="1"/>
          <w:u w:val="single" w:color="auto"/>
          <w:color w:val="auto"/>
        </w:rPr>
        <w:t>Section 4.25. 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(a) there are no investigations, inquiries, audits or</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pending or threatened against or affecting the Company, the Business or any of its assets (nor is there any basis for the foregoing), (b) there are no unsatisfied judgments of any kind against the Company, the Business or any of its assets and (c) the Company is not subject to any judgment, order, decree, rule or regulation of any court or Governmental Entity.</w:t>
      </w:r>
    </w:p>
    <w:p>
      <w:pPr>
        <w:spacing w:after="0" w:line="180" w:lineRule="exact"/>
        <w:rPr>
          <w:sz w:val="20"/>
          <w:szCs w:val="20"/>
          <w:color w:val="auto"/>
        </w:rPr>
      </w:pPr>
    </w:p>
    <w:p>
      <w:pPr>
        <w:ind w:right="80" w:firstLine="913"/>
        <w:spacing w:after="0" w:line="295" w:lineRule="auto"/>
        <w:rPr>
          <w:sz w:val="20"/>
          <w:szCs w:val="20"/>
          <w:color w:val="auto"/>
        </w:rPr>
      </w:pPr>
      <w:r>
        <w:rPr>
          <w:rFonts w:ascii="Arial" w:cs="Arial" w:eastAsia="Arial" w:hAnsi="Arial"/>
          <w:sz w:val="16"/>
          <w:szCs w:val="16"/>
          <w:b w:val="1"/>
          <w:bCs w:val="1"/>
          <w:u w:val="single" w:color="auto"/>
          <w:color w:val="auto"/>
        </w:rPr>
        <w:t>Section 4.26. Absence of Certain Business Practices</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the five (5) years immediately preceding the Closing, neither the Company nor</w:t>
      </w:r>
      <w:r>
        <w:rPr>
          <w:rFonts w:ascii="Arial" w:cs="Arial" w:eastAsia="Arial" w:hAnsi="Arial"/>
          <w:sz w:val="16"/>
          <w:szCs w:val="16"/>
          <w:b w:val="1"/>
          <w:bCs w:val="1"/>
          <w:color w:val="auto"/>
        </w:rPr>
        <w:t xml:space="preserve"> </w:t>
      </w:r>
      <w:r>
        <w:rPr>
          <w:rFonts w:ascii="Arial" w:cs="Arial" w:eastAsia="Arial" w:hAnsi="Arial"/>
          <w:sz w:val="16"/>
          <w:szCs w:val="16"/>
          <w:color w:val="auto"/>
        </w:rPr>
        <w:t>any Seller, nor to the Company’s or Sellers’ Knowledge, any Personnel of the Company, nor any other Person acting on behalf of the Company, has given or agreed to give, directly or indirectly, any gift or similar benefit to any dealer, supplier, customer, governmental employee or other Person who is or may be in a position to help or hinder the Business (or assist the Company in connection with any actual or proposed transaction relating to the Business or the Shares) which might subject the Company to any damage or penalty in any civil, criminal or governmental Proceeding or which, if not continued in the future, would be reasonably likely to have a Material Adverse Effect on the Company, Purchaser or the Business.</w:t>
      </w:r>
    </w:p>
    <w:p>
      <w:pPr>
        <w:spacing w:after="0" w:line="156" w:lineRule="exact"/>
        <w:rPr>
          <w:sz w:val="20"/>
          <w:szCs w:val="20"/>
          <w:color w:val="auto"/>
        </w:rPr>
      </w:pPr>
    </w:p>
    <w:p>
      <w:pPr>
        <w:jc w:val="both"/>
        <w:ind w:right="60" w:firstLine="913"/>
        <w:spacing w:after="0" w:line="266" w:lineRule="auto"/>
        <w:rPr>
          <w:sz w:val="20"/>
          <w:szCs w:val="20"/>
          <w:color w:val="auto"/>
        </w:rPr>
      </w:pPr>
      <w:r>
        <w:rPr>
          <w:rFonts w:ascii="Arial" w:cs="Arial" w:eastAsia="Arial" w:hAnsi="Arial"/>
          <w:sz w:val="18"/>
          <w:szCs w:val="18"/>
          <w:b w:val="1"/>
          <w:bCs w:val="1"/>
          <w:u w:val="single" w:color="auto"/>
          <w:color w:val="auto"/>
        </w:rPr>
        <w:t>Section 4.27. No Other Agreement to Sell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Company nor any Seller has an obligation, absolute or contingent, to any Person</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Purchaser) to sell any of the Shares, or to effect any merger, consolidation or other reorganization of the Company, or to enter into any agreement with respect thereto.</w:t>
      </w:r>
    </w:p>
    <w:p>
      <w:pPr>
        <w:spacing w:after="0" w:line="176" w:lineRule="exact"/>
        <w:rPr>
          <w:sz w:val="20"/>
          <w:szCs w:val="20"/>
          <w:color w:val="auto"/>
        </w:rPr>
      </w:pPr>
    </w:p>
    <w:p>
      <w:pPr>
        <w:jc w:val="both"/>
        <w:ind w:right="200" w:firstLine="913"/>
        <w:spacing w:after="0" w:line="266" w:lineRule="auto"/>
        <w:rPr>
          <w:sz w:val="20"/>
          <w:szCs w:val="20"/>
          <w:color w:val="auto"/>
        </w:rPr>
      </w:pPr>
      <w:r>
        <w:rPr>
          <w:rFonts w:ascii="Arial" w:cs="Arial" w:eastAsia="Arial" w:hAnsi="Arial"/>
          <w:sz w:val="18"/>
          <w:szCs w:val="18"/>
          <w:b w:val="1"/>
          <w:bCs w:val="1"/>
          <w:u w:val="single" w:color="auto"/>
          <w:color w:val="auto"/>
        </w:rPr>
        <w:t>Section 4.28. Relationships With Related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4.28</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neither the Company, nor</w:t>
      </w:r>
      <w:r>
        <w:rPr>
          <w:rFonts w:ascii="Arial" w:cs="Arial" w:eastAsia="Arial" w:hAnsi="Arial"/>
          <w:sz w:val="18"/>
          <w:szCs w:val="18"/>
          <w:b w:val="1"/>
          <w:bCs w:val="1"/>
          <w:color w:val="auto"/>
        </w:rPr>
        <w:t xml:space="preserve"> </w:t>
      </w:r>
      <w:r>
        <w:rPr>
          <w:rFonts w:ascii="Arial" w:cs="Arial" w:eastAsia="Arial" w:hAnsi="Arial"/>
          <w:sz w:val="18"/>
          <w:szCs w:val="18"/>
          <w:color w:val="auto"/>
        </w:rPr>
        <w:t>any Seller or any Related Person of any of them has, or since December 31, 2010 has had, any interest in any property (whether real, personal or mixed and whether tangible or intangible) used in or pertaining to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20"/>
          </w:cols>
          <w:pgMar w:left="240" w:top="274"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Business. Neither the Company nor any Seller nor any Related Person of any of them currently owns, or since December 31, 2010 has owned, of record or as a beneficial owner, an equity interest or any other financial or profit interest in any Person that (a) has had business dealings or a financial interest in any transaction with the Company other than business dealings or transactions set forth on </w:t>
      </w:r>
      <w:r>
        <w:rPr>
          <w:rFonts w:ascii="Arial" w:cs="Arial" w:eastAsia="Arial" w:hAnsi="Arial"/>
          <w:sz w:val="16"/>
          <w:szCs w:val="16"/>
          <w:u w:val="single" w:color="auto"/>
          <w:color w:val="auto"/>
        </w:rPr>
        <w:t>Section 4.28</w:t>
      </w:r>
      <w:r>
        <w:rPr>
          <w:rFonts w:ascii="Arial" w:cs="Arial" w:eastAsia="Arial" w:hAnsi="Arial"/>
          <w:sz w:val="16"/>
          <w:szCs w:val="16"/>
          <w:color w:val="auto"/>
        </w:rPr>
        <w:t xml:space="preserve"> of the Disclosure Schedules, each of which has been conducted in the Ordinary Course of Business with the Company at substantially prevailing market prices and on substantially prevailing market terms, or</w:t>
      </w:r>
    </w:p>
    <w:p>
      <w:pPr>
        <w:spacing w:after="0" w:line="2" w:lineRule="exact"/>
        <w:rPr>
          <w:sz w:val="20"/>
          <w:szCs w:val="20"/>
          <w:color w:val="auto"/>
        </w:rPr>
      </w:pPr>
    </w:p>
    <w:p>
      <w:pPr>
        <w:ind w:right="80" w:firstLine="8"/>
        <w:spacing w:after="0" w:line="255" w:lineRule="auto"/>
        <w:tabs>
          <w:tab w:leader="none" w:pos="2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has engaged in competition with the Company with respect to any line of the products or services of the Company (a “</w:t>
      </w:r>
      <w:r>
        <w:rPr>
          <w:rFonts w:ascii="Arial" w:cs="Arial" w:eastAsia="Arial" w:hAnsi="Arial"/>
          <w:sz w:val="18"/>
          <w:szCs w:val="18"/>
          <w:u w:val="single" w:color="auto"/>
          <w:color w:val="auto"/>
        </w:rPr>
        <w:t>Competing Business</w:t>
      </w:r>
      <w:r>
        <w:rPr>
          <w:rFonts w:ascii="Arial" w:cs="Arial" w:eastAsia="Arial" w:hAnsi="Arial"/>
          <w:sz w:val="18"/>
          <w:szCs w:val="18"/>
          <w:color w:val="auto"/>
        </w:rPr>
        <w:t>”) in any market presently served by the Company, except for ownership of less than one percent (1%) of the outstanding capital stock of any Competing Business that has shares of capital stock that are publicly traded on any nationally recognized exchange.</w:t>
      </w:r>
    </w:p>
    <w:p>
      <w:pPr>
        <w:spacing w:after="0" w:line="186" w:lineRule="exact"/>
        <w:rPr>
          <w:sz w:val="20"/>
          <w:szCs w:val="20"/>
          <w:color w:val="auto"/>
        </w:rPr>
      </w:pPr>
    </w:p>
    <w:p>
      <w:pPr>
        <w:ind w:right="240" w:firstLine="913"/>
        <w:spacing w:after="0" w:line="289" w:lineRule="auto"/>
        <w:rPr>
          <w:sz w:val="20"/>
          <w:szCs w:val="20"/>
          <w:color w:val="auto"/>
        </w:rPr>
      </w:pPr>
      <w:r>
        <w:rPr>
          <w:rFonts w:ascii="Arial" w:cs="Arial" w:eastAsia="Arial" w:hAnsi="Arial"/>
          <w:sz w:val="17"/>
          <w:szCs w:val="17"/>
          <w:b w:val="1"/>
          <w:bCs w:val="1"/>
          <w:u w:val="single" w:color="auto"/>
          <w:color w:val="auto"/>
        </w:rPr>
        <w:t>Section 4.29. Broker’s and Finder’s Fees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4.29</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(which fees shall be paid and fully</w:t>
      </w:r>
      <w:r>
        <w:rPr>
          <w:rFonts w:ascii="Arial" w:cs="Arial" w:eastAsia="Arial" w:hAnsi="Arial"/>
          <w:sz w:val="17"/>
          <w:szCs w:val="17"/>
          <w:b w:val="1"/>
          <w:bCs w:val="1"/>
          <w:color w:val="auto"/>
        </w:rPr>
        <w:t xml:space="preserve"> </w:t>
      </w:r>
      <w:r>
        <w:rPr>
          <w:rFonts w:ascii="Arial" w:cs="Arial" w:eastAsia="Arial" w:hAnsi="Arial"/>
          <w:sz w:val="17"/>
          <w:szCs w:val="17"/>
          <w:color w:val="auto"/>
        </w:rPr>
        <w:t>discharged by the Sellers), no broker, finder or other Person is entitled to any commission or finder’s fee in connection with this Agreement or the transactions contemplated by this Agreement as a result of any actions or commitments of the Company (or its Affiliates).</w:t>
      </w:r>
    </w:p>
    <w:p>
      <w:pPr>
        <w:spacing w:after="0" w:line="158" w:lineRule="exact"/>
        <w:rPr>
          <w:sz w:val="20"/>
          <w:szCs w:val="20"/>
          <w:color w:val="auto"/>
        </w:rPr>
      </w:pPr>
    </w:p>
    <w:p>
      <w:pPr>
        <w:ind w:right="160" w:firstLine="913"/>
        <w:spacing w:after="0" w:line="274" w:lineRule="auto"/>
        <w:rPr>
          <w:sz w:val="20"/>
          <w:szCs w:val="20"/>
          <w:color w:val="auto"/>
        </w:rPr>
      </w:pPr>
      <w:r>
        <w:rPr>
          <w:rFonts w:ascii="Arial" w:cs="Arial" w:eastAsia="Arial" w:hAnsi="Arial"/>
          <w:sz w:val="17"/>
          <w:szCs w:val="17"/>
          <w:b w:val="1"/>
          <w:bCs w:val="1"/>
          <w:u w:val="single" w:color="auto"/>
          <w:color w:val="auto"/>
        </w:rPr>
        <w:t>Section 4.30. All Material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the Company, nor any Seller has intentionally withheld from Purchaser any material facts</w:t>
      </w:r>
      <w:r>
        <w:rPr>
          <w:rFonts w:ascii="Arial" w:cs="Arial" w:eastAsia="Arial" w:hAnsi="Arial"/>
          <w:sz w:val="17"/>
          <w:szCs w:val="17"/>
          <w:b w:val="1"/>
          <w:bCs w:val="1"/>
          <w:color w:val="auto"/>
        </w:rPr>
        <w:t xml:space="preserve"> </w:t>
      </w:r>
      <w:r>
        <w:rPr>
          <w:rFonts w:ascii="Arial" w:cs="Arial" w:eastAsia="Arial" w:hAnsi="Arial"/>
          <w:sz w:val="17"/>
          <w:szCs w:val="17"/>
          <w:color w:val="auto"/>
        </w:rPr>
        <w:t>relating to the Shares, the Business, the operations of the Company or the financial or other condition of the Company. Subject to any conditions or qualifications set forth in this Agreement, no representation or warranty made herein or in any of the Related Agreements by the Company or any Seller and no statement contained in any certificate, schedule, exhibit or other instrument furnished or to be furnished to Purchaser by the Company or any Seller in connection with the transactions contemplated by this Agreement contains or will contain an untrue statement of a fact or omits or will omit to state any fact necessary in order to make any representation, warranty or other statement of the Company or any Seller not misleading.</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Section 4.31. Government Contracts</w:t>
      </w:r>
      <w:r>
        <w:rPr>
          <w:rFonts w:ascii="Arial" w:cs="Arial" w:eastAsia="Arial" w:hAnsi="Arial"/>
          <w:sz w:val="18"/>
          <w:szCs w:val="18"/>
          <w:b w:val="1"/>
          <w:bCs w:val="1"/>
          <w:color w:val="auto"/>
        </w:rPr>
        <w:t>.</w:t>
      </w:r>
    </w:p>
    <w:p>
      <w:pPr>
        <w:spacing w:after="0" w:line="121" w:lineRule="exact"/>
        <w:rPr>
          <w:sz w:val="20"/>
          <w:szCs w:val="20"/>
          <w:color w:val="auto"/>
        </w:rPr>
      </w:pPr>
    </w:p>
    <w:p>
      <w:pPr>
        <w:ind w:left="920" w:right="100" w:firstLine="421"/>
        <w:spacing w:after="0" w:line="271" w:lineRule="auto"/>
        <w:tabs>
          <w:tab w:leader="none" w:pos="1585" w:val="left"/>
        </w:tabs>
        <w:numPr>
          <w:ilvl w:val="0"/>
          <w:numId w:val="54"/>
        </w:numPr>
        <w:rPr>
          <w:rFonts w:ascii="Arial" w:cs="Arial" w:eastAsia="Arial" w:hAnsi="Arial"/>
          <w:sz w:val="17"/>
          <w:szCs w:val="17"/>
          <w:color w:val="auto"/>
        </w:rPr>
      </w:pPr>
      <w:r>
        <w:rPr>
          <w:rFonts w:ascii="Arial" w:cs="Arial" w:eastAsia="Arial" w:hAnsi="Arial"/>
          <w:sz w:val="17"/>
          <w:szCs w:val="17"/>
          <w:color w:val="auto"/>
        </w:rPr>
        <w:t>(i) All Contracts, including all task orders issued from such Contracts, between any of the Companies and any Governmental Entity (collectively, the “</w:t>
      </w:r>
      <w:r>
        <w:rPr>
          <w:rFonts w:ascii="Arial" w:cs="Arial" w:eastAsia="Arial" w:hAnsi="Arial"/>
          <w:sz w:val="17"/>
          <w:szCs w:val="17"/>
          <w:u w:val="single" w:color="auto"/>
          <w:color w:val="auto"/>
        </w:rPr>
        <w:t>Government Contracts</w:t>
      </w:r>
      <w:r>
        <w:rPr>
          <w:rFonts w:ascii="Arial" w:cs="Arial" w:eastAsia="Arial" w:hAnsi="Arial"/>
          <w:sz w:val="17"/>
          <w:szCs w:val="17"/>
          <w:color w:val="auto"/>
        </w:rPr>
        <w:t xml:space="preserve">”) constitute valid and binding obligations of the Company and the other party or Parties thereto, enforceable in accordance with, and subject to, their respective terms, (ii) the Company is in compliance in all respects with the terms of each of the Government Contracts, (iii) neither the Company nor any other party has terminated, canceled or waived any term or condition of any Government Contract, and (iv) the cost accounting, estimating, property and procurement systems relating to the Government Contracts are in compliance in all respects with applicable Laws and Contract provisions, including applicable cost principles and applicable cost accounting standards. </w:t>
      </w:r>
      <w:r>
        <w:rPr>
          <w:rFonts w:ascii="Arial" w:cs="Arial" w:eastAsia="Arial" w:hAnsi="Arial"/>
          <w:sz w:val="17"/>
          <w:szCs w:val="17"/>
          <w:u w:val="single" w:color="auto"/>
          <w:color w:val="auto"/>
        </w:rPr>
        <w:t>Section 4.31(a)</w:t>
      </w:r>
      <w:r>
        <w:rPr>
          <w:rFonts w:ascii="Arial" w:cs="Arial" w:eastAsia="Arial" w:hAnsi="Arial"/>
          <w:sz w:val="17"/>
          <w:szCs w:val="17"/>
          <w:color w:val="auto"/>
        </w:rPr>
        <w:t xml:space="preserve"> of the Disclosure Schedules sets forth a list of all Government Contracts which require a performance bond and the amount of such bond.</w:t>
      </w:r>
    </w:p>
    <w:p>
      <w:pPr>
        <w:spacing w:after="0" w:line="70" w:lineRule="exact"/>
        <w:rPr>
          <w:rFonts w:ascii="Arial" w:cs="Arial" w:eastAsia="Arial" w:hAnsi="Arial"/>
          <w:sz w:val="17"/>
          <w:szCs w:val="17"/>
          <w:color w:val="auto"/>
        </w:rPr>
      </w:pPr>
    </w:p>
    <w:p>
      <w:pPr>
        <w:ind w:left="1600" w:hanging="259"/>
        <w:spacing w:after="0"/>
        <w:tabs>
          <w:tab w:leader="none" w:pos="1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Government Contract has a currently incurred or currently projected cost overrun.</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420"/>
          </w:cols>
          <w:pgMar w:left="240" w:top="274" w:right="239" w:bottom="1440" w:gutter="0" w:footer="0" w:header="0"/>
        </w:sectPr>
      </w:pPr>
    </w:p>
    <w:bookmarkStart w:id="43" w:name="page44"/>
    <w:bookmarkEnd w:id="43"/>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840" w:right="40" w:firstLine="421"/>
        <w:spacing w:after="0" w:line="276" w:lineRule="auto"/>
        <w:tabs>
          <w:tab w:leader="none" w:pos="1505"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4.31 (c)</w:t>
      </w:r>
      <w:r>
        <w:rPr>
          <w:rFonts w:ascii="Arial" w:cs="Arial" w:eastAsia="Arial" w:hAnsi="Arial"/>
          <w:sz w:val="17"/>
          <w:szCs w:val="17"/>
          <w:color w:val="auto"/>
        </w:rPr>
        <w:t xml:space="preserve"> of the Disclosure Schedules, all of which assignments were made in accordance with 31 U.S.C. § 3727 (otherwise known as the Assignment of Claims Act) and 41 U.S.C. § 15 (otherwise known as the Assignment of Contracts Act), and except for Encumbrances which will be discharged or terminated on or prior to the Closing, the Company has not assigned or otherwise conveyed or transferred, or agreed to assign or otherwise convey or transfer, to any Person, any right, title or interest in or to any of the Government Contracts, or any Accounts Receivable relating thereto, whether as a security interest or otherwise.</w:t>
      </w:r>
    </w:p>
    <w:p>
      <w:pPr>
        <w:spacing w:after="0" w:line="64" w:lineRule="exact"/>
        <w:rPr>
          <w:rFonts w:ascii="Arial" w:cs="Arial" w:eastAsia="Arial" w:hAnsi="Arial"/>
          <w:sz w:val="17"/>
          <w:szCs w:val="17"/>
          <w:color w:val="auto"/>
        </w:rPr>
      </w:pPr>
    </w:p>
    <w:p>
      <w:pPr>
        <w:ind w:left="840" w:firstLine="421"/>
        <w:spacing w:after="0" w:line="257" w:lineRule="auto"/>
        <w:tabs>
          <w:tab w:leader="none" w:pos="15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Seller, nor the Company has received any notice or other communication in any form from any federal, state, local or foreign Governmental Entity regarding its actual or threatened disqualification, suspension or debarment from contracting with any federal, state, local or foreign government including any show cause notice or cure notice, notice of termination for default, notice for deductive change or, in the case of any notification of termination for convenience, any such notifications which in the aggregate or individually could have a Material Adverse Effect on the Company or the Business.</w:t>
      </w:r>
    </w:p>
    <w:p>
      <w:pPr>
        <w:spacing w:after="0" w:line="80" w:lineRule="exact"/>
        <w:rPr>
          <w:rFonts w:ascii="Arial" w:cs="Arial" w:eastAsia="Arial" w:hAnsi="Arial"/>
          <w:sz w:val="18"/>
          <w:szCs w:val="18"/>
          <w:color w:val="auto"/>
        </w:rPr>
      </w:pPr>
    </w:p>
    <w:p>
      <w:pPr>
        <w:ind w:left="840" w:right="140" w:firstLine="421"/>
        <w:spacing w:after="0" w:line="342" w:lineRule="auto"/>
        <w:tabs>
          <w:tab w:leader="none" w:pos="150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There is no (i) pending or, to the Knowledge of the Company or any Seller, threatened investigation relating to any Government Contract, or (ii) termination for default or cure notice or show cause notice proposed or currently in effect relating to any Government Contract.</w:t>
      </w:r>
    </w:p>
    <w:p>
      <w:pPr>
        <w:spacing w:after="0" w:line="15" w:lineRule="exact"/>
        <w:rPr>
          <w:rFonts w:ascii="Arial" w:cs="Arial" w:eastAsia="Arial" w:hAnsi="Arial"/>
          <w:sz w:val="16"/>
          <w:szCs w:val="16"/>
          <w:color w:val="auto"/>
        </w:rPr>
      </w:pPr>
    </w:p>
    <w:p>
      <w:pPr>
        <w:ind w:left="840" w:right="100" w:firstLine="421"/>
        <w:spacing w:after="0" w:line="277" w:lineRule="auto"/>
        <w:tabs>
          <w:tab w:leader="none" w:pos="148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are currently no claims or Proceedings under the False Claims Act or other relevant statutes relating to any Government Contract for any period preceding the Closing.</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8"/>
          <w:szCs w:val="18"/>
          <w:b w:val="1"/>
          <w:bCs w:val="1"/>
          <w:u w:val="single" w:color="auto"/>
          <w:color w:val="auto"/>
        </w:rPr>
        <w:t>Section 4.32. Lower Presidio Claims</w:t>
      </w:r>
      <w:r>
        <w:rPr>
          <w:rFonts w:ascii="Arial" w:cs="Arial" w:eastAsia="Arial" w:hAnsi="Arial"/>
          <w:sz w:val="18"/>
          <w:szCs w:val="18"/>
          <w:color w:val="auto"/>
        </w:rPr>
        <w:t>.</w:t>
      </w:r>
    </w:p>
    <w:p>
      <w:pPr>
        <w:spacing w:after="0" w:line="121" w:lineRule="exact"/>
        <w:rPr>
          <w:sz w:val="20"/>
          <w:szCs w:val="20"/>
          <w:color w:val="auto"/>
        </w:rPr>
      </w:pPr>
    </w:p>
    <w:p>
      <w:pPr>
        <w:ind w:left="840" w:firstLine="421"/>
        <w:spacing w:after="0" w:line="270" w:lineRule="auto"/>
        <w:tabs>
          <w:tab w:leader="none" w:pos="150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term “Lower Presidio Claim” means all claims arising out of the contract and facts at issue in Magnus Pacific Corporation v. United States (IBWC Litigation), pending in the United States Court of Federal Claims. The Purchasers, the Company and the Sellers agree that the Sellers may, in their sole discretion, continue to pursue litigation regarding the Lower Presidio Claim, and agree that the litigation decisions and litigation strategies will be under the control of the Sellers’ Representative, with the exception of decisions related to the settlement of any claims, which shall require approval of the Purchaser, which approval shall not be unreasonably withheld. The Sellers agree to promptly pay all costs of such litigation, including, but not limited to attorney’s fees and costs. All amounts recovered in connection with the Lower Presidio Claim shall be the property of Sellers, and shall be transferred by the Company to the Sellers as promptly as practicable after receipt by the Company, and any amounts payable by the Company in connection with the Lower Presidio Claim shall be the sole responsibility of, and paid by, the Sellers.</w:t>
      </w:r>
    </w:p>
    <w:p>
      <w:pPr>
        <w:spacing w:after="0" w:line="73" w:lineRule="exact"/>
        <w:rPr>
          <w:rFonts w:ascii="Arial" w:cs="Arial" w:eastAsia="Arial" w:hAnsi="Arial"/>
          <w:sz w:val="17"/>
          <w:szCs w:val="17"/>
          <w:color w:val="auto"/>
        </w:rPr>
      </w:pPr>
    </w:p>
    <w:p>
      <w:pPr>
        <w:ind w:left="840" w:right="820" w:firstLine="421"/>
        <w:spacing w:after="0" w:line="277" w:lineRule="auto"/>
        <w:tabs>
          <w:tab w:leader="none" w:pos="15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term “Lower Presidio Disputed Liability” refers to a claim made against Company in Far South Mining, LLC v. Magnus Corporation, U.S. District</w:t>
      </w:r>
    </w:p>
    <w:p>
      <w:pPr>
        <w:spacing w:after="0" w:line="102" w:lineRule="exact"/>
        <w:rPr>
          <w:rFonts w:ascii="Arial" w:cs="Arial" w:eastAsia="Arial" w:hAnsi="Arial"/>
          <w:sz w:val="18"/>
          <w:szCs w:val="18"/>
          <w:color w:val="auto"/>
        </w:rPr>
      </w:pPr>
    </w:p>
    <w:p>
      <w:pPr>
        <w:ind w:left="5540" w:hanging="101"/>
        <w:spacing w:after="0"/>
        <w:tabs>
          <w:tab w:leader="none" w:pos="5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340"/>
          </w:cols>
          <w:pgMar w:left="320" w:top="274"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Court of Texas, San Antonio Division, Case No. 5:14-CV-00217DAE. The Company has settled the Lower Presidio Disputed Liability for [*] through the negotiation of a settlement agreement with Far South Mining, LLC, through which settlement agreement the Company does not admit fault, and which settlement agreement, pursuant to its terms, is confidential. The [*] settlement amount will be included in the calculation of Final Working Capital.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PURCHASER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Purchaser hereby represents and warrants to Sellers as follows:</w:t>
      </w:r>
    </w:p>
    <w:p>
      <w:pPr>
        <w:spacing w:after="0" w:line="113" w:lineRule="exact"/>
        <w:rPr>
          <w:sz w:val="20"/>
          <w:szCs w:val="20"/>
          <w:color w:val="auto"/>
        </w:rPr>
      </w:pPr>
    </w:p>
    <w:p>
      <w:pPr>
        <w:ind w:right="380" w:firstLine="913"/>
        <w:spacing w:after="0" w:line="347" w:lineRule="auto"/>
        <w:rPr>
          <w:sz w:val="20"/>
          <w:szCs w:val="20"/>
          <w:color w:val="auto"/>
        </w:rPr>
      </w:pPr>
      <w:r>
        <w:rPr>
          <w:rFonts w:ascii="Arial" w:cs="Arial" w:eastAsia="Arial" w:hAnsi="Arial"/>
          <w:sz w:val="16"/>
          <w:szCs w:val="16"/>
          <w:b w:val="1"/>
          <w:bCs w:val="1"/>
          <w:u w:val="single" w:color="auto"/>
          <w:color w:val="auto"/>
        </w:rPr>
        <w:t>Section 5.01. Organization; Power</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is a corporation duly organized, validly existing, and in good standing under the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State of Illinois, and has all requisite corporate power and authority to own its properties and assets and to conduct its business as it is now conducted.</w:t>
      </w:r>
    </w:p>
    <w:p>
      <w:pPr>
        <w:spacing w:after="0" w:line="116" w:lineRule="exact"/>
        <w:rPr>
          <w:sz w:val="20"/>
          <w:szCs w:val="20"/>
          <w:color w:val="auto"/>
        </w:rPr>
      </w:pPr>
    </w:p>
    <w:p>
      <w:pPr>
        <w:ind w:right="20" w:firstLine="913"/>
        <w:spacing w:after="0" w:line="295" w:lineRule="auto"/>
        <w:rPr>
          <w:sz w:val="20"/>
          <w:szCs w:val="20"/>
          <w:color w:val="auto"/>
        </w:rPr>
      </w:pPr>
      <w:r>
        <w:rPr>
          <w:rFonts w:ascii="Arial" w:cs="Arial" w:eastAsia="Arial" w:hAnsi="Arial"/>
          <w:sz w:val="16"/>
          <w:szCs w:val="16"/>
          <w:b w:val="1"/>
          <w:bCs w:val="1"/>
          <w:u w:val="single" w:color="auto"/>
          <w:color w:val="auto"/>
        </w:rPr>
        <w:t>Section 5.02. Authorization and Validity of Agreement and Related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has all requisite corporate power and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to enter into this Agreement and the Related Agreements and to perform its obligations hereunder and thereunder. The execution and delivery of this Agreement and the Related Agreements, and the performance of the obligations of Purchaser hereunder and thereunder, have been duly authorized by all necessary corporate action by the Board of Directors of Purchaser, and no other corporate proceedings on the part of Purchaser are necessary to authorize the execution, delivery or performance of this Agreement and the Related Agreements. This Agreement, and the Related Agreements, have been duly executed by Purchaser and constitute Purchaser’s valid and binding obligations, enforceable against Purchaser in accordance with their terms.</w:t>
      </w:r>
    </w:p>
    <w:p>
      <w:pPr>
        <w:spacing w:after="0" w:line="156" w:lineRule="exact"/>
        <w:rPr>
          <w:sz w:val="20"/>
          <w:szCs w:val="20"/>
          <w:color w:val="auto"/>
        </w:rPr>
      </w:pPr>
    </w:p>
    <w:p>
      <w:pPr>
        <w:ind w:right="20" w:firstLine="913"/>
        <w:spacing w:after="0" w:line="258" w:lineRule="auto"/>
        <w:rPr>
          <w:sz w:val="20"/>
          <w:szCs w:val="20"/>
          <w:color w:val="auto"/>
        </w:rPr>
      </w:pPr>
      <w:r>
        <w:rPr>
          <w:rFonts w:ascii="Arial" w:cs="Arial" w:eastAsia="Arial" w:hAnsi="Arial"/>
          <w:sz w:val="18"/>
          <w:szCs w:val="18"/>
          <w:b w:val="1"/>
          <w:bCs w:val="1"/>
          <w:u w:val="single" w:color="auto"/>
          <w:color w:val="auto"/>
        </w:rPr>
        <w:t>Section 5.03. No Conflict or Violation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execution, delivery and performance of this Agreement by Purchaser do not and shall not (a) violate</w:t>
      </w:r>
      <w:r>
        <w:rPr>
          <w:rFonts w:ascii="Arial" w:cs="Arial" w:eastAsia="Arial" w:hAnsi="Arial"/>
          <w:sz w:val="18"/>
          <w:szCs w:val="18"/>
          <w:b w:val="1"/>
          <w:bCs w:val="1"/>
          <w:color w:val="auto"/>
        </w:rPr>
        <w:t xml:space="preserve"> </w:t>
      </w:r>
      <w:r>
        <w:rPr>
          <w:rFonts w:ascii="Arial" w:cs="Arial" w:eastAsia="Arial" w:hAnsi="Arial"/>
          <w:sz w:val="18"/>
          <w:szCs w:val="18"/>
          <w:color w:val="auto"/>
        </w:rPr>
        <w:t>or conflict with any provision of its articles of incorporation, bylaws or other Governing Document of Purchaser, (b) violate any applicable provision of Law or (c) violate or result in a breach of, or constitute (with due notice or lapse of time or both) a default under, any Contract, lease, loan agreement, mortgage, security agreement, trust indenture or other agreement or instrument to which Purchaser is a party or by which it is bound or to which any of its properties or assets is subject.</w:t>
      </w:r>
    </w:p>
    <w:p>
      <w:pPr>
        <w:spacing w:after="0" w:line="184" w:lineRule="exact"/>
        <w:rPr>
          <w:sz w:val="20"/>
          <w:szCs w:val="20"/>
          <w:color w:val="auto"/>
        </w:rPr>
      </w:pPr>
    </w:p>
    <w:p>
      <w:pPr>
        <w:ind w:firstLine="913"/>
        <w:spacing w:after="0" w:line="281" w:lineRule="auto"/>
        <w:rPr>
          <w:sz w:val="20"/>
          <w:szCs w:val="20"/>
          <w:color w:val="auto"/>
        </w:rPr>
      </w:pPr>
      <w:r>
        <w:rPr>
          <w:rFonts w:ascii="Arial" w:cs="Arial" w:eastAsia="Arial" w:hAnsi="Arial"/>
          <w:sz w:val="17"/>
          <w:szCs w:val="17"/>
          <w:b w:val="1"/>
          <w:bCs w:val="1"/>
          <w:u w:val="single" w:color="auto"/>
          <w:color w:val="auto"/>
        </w:rPr>
        <w:t>Section 5.04. Approvals and Consents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execution, delivery and performance of this Agreement by Purchaser do not require Purchaser to</w:t>
      </w:r>
      <w:r>
        <w:rPr>
          <w:rFonts w:ascii="Arial" w:cs="Arial" w:eastAsia="Arial" w:hAnsi="Arial"/>
          <w:sz w:val="17"/>
          <w:szCs w:val="17"/>
          <w:b w:val="1"/>
          <w:bCs w:val="1"/>
          <w:color w:val="auto"/>
        </w:rPr>
        <w:t xml:space="preserve"> </w:t>
      </w:r>
      <w:r>
        <w:rPr>
          <w:rFonts w:ascii="Arial" w:cs="Arial" w:eastAsia="Arial" w:hAnsi="Arial"/>
          <w:sz w:val="17"/>
          <w:szCs w:val="17"/>
          <w:color w:val="auto"/>
        </w:rPr>
        <w:t>obtain the consent or approval of, or to make any filing with, any Governmental Entity or any other Person except (a) as may be required to obtain the transfer of any Licenses or Permits, and (b) such consents, approvals and filings, the failure to obtain or make which would not, individually or in the aggregate, have a Material Adverse Effect on Sellers or on the ability of Purchaser to perform its obligations hereunder.</w:t>
      </w:r>
    </w:p>
    <w:p>
      <w:pPr>
        <w:spacing w:after="0" w:line="165" w:lineRule="exact"/>
        <w:rPr>
          <w:sz w:val="20"/>
          <w:szCs w:val="20"/>
          <w:color w:val="auto"/>
        </w:rPr>
      </w:pPr>
    </w:p>
    <w:p>
      <w:pPr>
        <w:ind w:right="120" w:firstLine="913"/>
        <w:spacing w:after="0" w:line="266" w:lineRule="auto"/>
        <w:rPr>
          <w:sz w:val="20"/>
          <w:szCs w:val="20"/>
          <w:color w:val="auto"/>
        </w:rPr>
      </w:pPr>
      <w:r>
        <w:rPr>
          <w:rFonts w:ascii="Arial" w:cs="Arial" w:eastAsia="Arial" w:hAnsi="Arial"/>
          <w:sz w:val="18"/>
          <w:szCs w:val="18"/>
          <w:b w:val="1"/>
          <w:bCs w:val="1"/>
          <w:u w:val="single" w:color="auto"/>
          <w:color w:val="auto"/>
        </w:rPr>
        <w:t>Section 5.05. Broker’s and Finder’s Fees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Knowledge of Purchaser, no broker, finder or other Person is entitled to any commission or</w:t>
      </w:r>
      <w:r>
        <w:rPr>
          <w:rFonts w:ascii="Arial" w:cs="Arial" w:eastAsia="Arial" w:hAnsi="Arial"/>
          <w:sz w:val="18"/>
          <w:szCs w:val="18"/>
          <w:b w:val="1"/>
          <w:bCs w:val="1"/>
          <w:color w:val="auto"/>
        </w:rPr>
        <w:t xml:space="preserve"> </w:t>
      </w:r>
      <w:r>
        <w:rPr>
          <w:rFonts w:ascii="Arial" w:cs="Arial" w:eastAsia="Arial" w:hAnsi="Arial"/>
          <w:sz w:val="18"/>
          <w:szCs w:val="18"/>
          <w:color w:val="auto"/>
        </w:rPr>
        <w:t>finder’s fee in connection with this Agreement or the transactions contemplated by this Agreement as a result of any actions or commitments of Purchaser or its Affiliates.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20"/>
          </w:cols>
          <w:pgMar w:left="240" w:top="27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SET-OFF RIGHTS; SURVIVAL</w:t>
      </w:r>
    </w:p>
    <w:p>
      <w:pPr>
        <w:spacing w:after="0" w:line="207" w:lineRule="exact"/>
        <w:rPr>
          <w:sz w:val="20"/>
          <w:szCs w:val="20"/>
          <w:color w:val="auto"/>
        </w:rPr>
      </w:pPr>
    </w:p>
    <w:p>
      <w:pPr>
        <w:ind w:right="40" w:firstLine="913"/>
        <w:spacing w:after="0" w:line="303" w:lineRule="auto"/>
        <w:rPr>
          <w:sz w:val="20"/>
          <w:szCs w:val="20"/>
          <w:color w:val="auto"/>
        </w:rPr>
      </w:pPr>
      <w:r>
        <w:rPr>
          <w:rFonts w:ascii="Arial" w:cs="Arial" w:eastAsia="Arial" w:hAnsi="Arial"/>
          <w:sz w:val="16"/>
          <w:szCs w:val="16"/>
          <w:b w:val="1"/>
          <w:bCs w:val="1"/>
          <w:u w:val="single" w:color="auto"/>
          <w:color w:val="auto"/>
        </w:rPr>
        <w:t>Section 6.01. Indemnification By Sellers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applicable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6.08</w:t>
      </w:r>
      <w:r>
        <w:rPr>
          <w:rFonts w:ascii="Arial" w:cs="Arial" w:eastAsia="Arial" w:hAnsi="Arial"/>
          <w:sz w:val="16"/>
          <w:szCs w:val="16"/>
          <w:color w:val="auto"/>
        </w:rPr>
        <w:t>, Sellers shall jointly and severally indemnify and</w:t>
      </w:r>
      <w:r>
        <w:rPr>
          <w:rFonts w:ascii="Arial" w:cs="Arial" w:eastAsia="Arial" w:hAnsi="Arial"/>
          <w:sz w:val="16"/>
          <w:szCs w:val="16"/>
          <w:b w:val="1"/>
          <w:bCs w:val="1"/>
          <w:color w:val="auto"/>
        </w:rPr>
        <w:t xml:space="preserve"> </w:t>
      </w:r>
      <w:r>
        <w:rPr>
          <w:rFonts w:ascii="Arial" w:cs="Arial" w:eastAsia="Arial" w:hAnsi="Arial"/>
          <w:sz w:val="16"/>
          <w:szCs w:val="16"/>
          <w:color w:val="auto"/>
        </w:rPr>
        <w:t>hold harmless Purchaser and its successors, shareholders, Personnel, representatives, Affiliates and agents (the “</w:t>
      </w:r>
      <w:r>
        <w:rPr>
          <w:rFonts w:ascii="Arial" w:cs="Arial" w:eastAsia="Arial" w:hAnsi="Arial"/>
          <w:sz w:val="16"/>
          <w:szCs w:val="16"/>
          <w:u w:val="single" w:color="auto"/>
          <w:color w:val="auto"/>
        </w:rPr>
        <w:t>Purchaser Indemnified Parties</w:t>
      </w:r>
      <w:r>
        <w:rPr>
          <w:rFonts w:ascii="Arial" w:cs="Arial" w:eastAsia="Arial" w:hAnsi="Arial"/>
          <w:sz w:val="16"/>
          <w:szCs w:val="16"/>
          <w:color w:val="auto"/>
        </w:rPr>
        <w:t>”) from and against any and all damages, losses, obligations, Liabilities, claims, encumbrances, penalties, costs and expenses (including costs of investigation and defense and reasonable attorneys’ fees and expenses) (each, an “</w:t>
      </w:r>
      <w:r>
        <w:rPr>
          <w:rFonts w:ascii="Arial" w:cs="Arial" w:eastAsia="Arial" w:hAnsi="Arial"/>
          <w:sz w:val="16"/>
          <w:szCs w:val="16"/>
          <w:u w:val="single" w:color="auto"/>
          <w:color w:val="auto"/>
        </w:rPr>
        <w:t>Indemnity Loss</w:t>
      </w:r>
      <w:r>
        <w:rPr>
          <w:rFonts w:ascii="Arial" w:cs="Arial" w:eastAsia="Arial" w:hAnsi="Arial"/>
          <w:sz w:val="16"/>
          <w:szCs w:val="16"/>
          <w:color w:val="auto"/>
        </w:rPr>
        <w:t>”), directly or indirectly arising from or relating to:</w:t>
      </w:r>
    </w:p>
    <w:p>
      <w:pPr>
        <w:spacing w:after="0" w:line="47" w:lineRule="exact"/>
        <w:rPr>
          <w:sz w:val="20"/>
          <w:szCs w:val="20"/>
          <w:color w:val="auto"/>
        </w:rPr>
      </w:pPr>
    </w:p>
    <w:p>
      <w:pPr>
        <w:ind w:left="920" w:right="140" w:firstLine="421"/>
        <w:spacing w:after="0" w:line="264" w:lineRule="auto"/>
        <w:tabs>
          <w:tab w:leader="none" w:pos="158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breach or nonfulfillment of any of the representations and warranties of Sellers in this Agreement, any of the Related Agreements, or any certificate, document, schedule, exhibit, or instrument executed in connection herewith or therewith (in each case without regard to any qualification as to materiality or Material Adverse Effect or Knowledge);</w:t>
      </w:r>
    </w:p>
    <w:p>
      <w:pPr>
        <w:spacing w:after="0" w:line="73" w:lineRule="exact"/>
        <w:rPr>
          <w:rFonts w:ascii="Arial" w:cs="Arial" w:eastAsia="Arial" w:hAnsi="Arial"/>
          <w:sz w:val="18"/>
          <w:szCs w:val="18"/>
          <w:color w:val="auto"/>
        </w:rPr>
      </w:pPr>
    </w:p>
    <w:p>
      <w:pPr>
        <w:ind w:left="920" w:right="180" w:firstLine="421"/>
        <w:spacing w:after="0" w:line="264" w:lineRule="auto"/>
        <w:tabs>
          <w:tab w:leader="none" w:pos="15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breach by Sellers of or failure by Sellers to comply with any covenants or obligations of Sellers in this Agreement, any of the Related Agreements, or any certificate, document, schedule or instrument executed in connection herewith or therewith (in each without regard to any qualification as to materiality or Material Adverse Effect or Knowledge);</w:t>
      </w:r>
    </w:p>
    <w:p>
      <w:pPr>
        <w:spacing w:after="0" w:line="73" w:lineRule="exact"/>
        <w:rPr>
          <w:rFonts w:ascii="Arial" w:cs="Arial" w:eastAsia="Arial" w:hAnsi="Arial"/>
          <w:sz w:val="18"/>
          <w:szCs w:val="18"/>
          <w:color w:val="auto"/>
        </w:rPr>
      </w:pPr>
    </w:p>
    <w:p>
      <w:pPr>
        <w:ind w:left="920" w:right="460" w:firstLine="421"/>
        <w:spacing w:after="0" w:line="302" w:lineRule="auto"/>
        <w:tabs>
          <w:tab w:leader="none" w:pos="1585"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investigation, civil, criminal or administrative action, notice or demand letter, notice of violation, or other Proceeding by any Governmental Entity with respect to ground water or surface water, soil or air contamination, the storage, treatment, release, transportation, disposal or use of Hazardous Materials, or the use of underground storage tanks by the Company to the extent such contamination, storage, treatment, release, transportation, disposal or use occurred or relates to any time on or before the Closing Date; and</w:t>
      </w:r>
    </w:p>
    <w:p>
      <w:pPr>
        <w:spacing w:after="0" w:line="46" w:lineRule="exact"/>
        <w:rPr>
          <w:rFonts w:ascii="Arial" w:cs="Arial" w:eastAsia="Arial" w:hAnsi="Arial"/>
          <w:sz w:val="16"/>
          <w:szCs w:val="16"/>
          <w:color w:val="auto"/>
        </w:rPr>
      </w:pPr>
    </w:p>
    <w:p>
      <w:pPr>
        <w:ind w:left="1600" w:hanging="259"/>
        <w:spacing w:after="0"/>
        <w:tabs>
          <w:tab w:leader="none" w:pos="1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and all Proceedings, demands, assessments, audits or judgments arising out of any of the foregoing.</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Section 6.02. Indemnification by Purchaser, GLDD and the Company</w:t>
      </w:r>
      <w:r>
        <w:rPr>
          <w:rFonts w:ascii="Arial" w:cs="Arial" w:eastAsia="Arial" w:hAnsi="Arial"/>
          <w:sz w:val="18"/>
          <w:szCs w:val="18"/>
          <w:b w:val="1"/>
          <w:bCs w:val="1"/>
          <w:color w:val="auto"/>
        </w:rPr>
        <w:t>.</w:t>
      </w:r>
    </w:p>
    <w:p>
      <w:pPr>
        <w:spacing w:after="0" w:line="121" w:lineRule="exact"/>
        <w:rPr>
          <w:sz w:val="20"/>
          <w:szCs w:val="20"/>
          <w:color w:val="auto"/>
        </w:rPr>
      </w:pPr>
    </w:p>
    <w:p>
      <w:pPr>
        <w:ind w:left="920" w:right="60" w:firstLine="421"/>
        <w:spacing w:after="0" w:line="264" w:lineRule="auto"/>
        <w:tabs>
          <w:tab w:leader="none" w:pos="1585"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Subject to the applicable provisions of </w:t>
      </w:r>
      <w:r>
        <w:rPr>
          <w:rFonts w:ascii="Arial" w:cs="Arial" w:eastAsia="Arial" w:hAnsi="Arial"/>
          <w:sz w:val="18"/>
          <w:szCs w:val="18"/>
          <w:u w:val="single" w:color="auto"/>
          <w:color w:val="auto"/>
        </w:rPr>
        <w:t>Section 6.08</w:t>
      </w:r>
      <w:r>
        <w:rPr>
          <w:rFonts w:ascii="Arial" w:cs="Arial" w:eastAsia="Arial" w:hAnsi="Arial"/>
          <w:sz w:val="18"/>
          <w:szCs w:val="18"/>
          <w:color w:val="auto"/>
        </w:rPr>
        <w:t>, Purchaser shall indemnify and hold harmless Sellers and their respective successors, shareholders, Personnel, representatives, Affiliates and agents from and against any and all Indemnity Losses arising from or relating to:</w:t>
      </w:r>
    </w:p>
    <w:p>
      <w:pPr>
        <w:spacing w:after="0" w:line="73" w:lineRule="exact"/>
        <w:rPr>
          <w:rFonts w:ascii="Arial" w:cs="Arial" w:eastAsia="Arial" w:hAnsi="Arial"/>
          <w:sz w:val="18"/>
          <w:szCs w:val="18"/>
          <w:color w:val="auto"/>
        </w:rPr>
      </w:pPr>
    </w:p>
    <w:p>
      <w:pPr>
        <w:ind w:left="1500" w:firstLine="389"/>
        <w:spacing w:after="0" w:line="264" w:lineRule="auto"/>
        <w:tabs>
          <w:tab w:leader="none" w:pos="2112"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misrepresentation, breach of warranty or nonfulfillment of any of the representations, warranties, covenants or agreements of Purchaser in this Agreement, any of the Related Agreements, or any certificate, document, schedule, exhibit or instrument executed in connection herewith or therewith; and</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2"/>
          <w:numId w:val="58"/>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420"/>
          </w:cols>
          <w:pgMar w:left="240" w:top="27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2160" w:hanging="271"/>
        <w:spacing w:after="0"/>
        <w:tabs>
          <w:tab w:leader="none" w:pos="21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and all Proceedings, demands, assessments, audits or judgments arising out of any of the foregoing.</w:t>
      </w:r>
    </w:p>
    <w:p>
      <w:pPr>
        <w:spacing w:after="0" w:line="117" w:lineRule="exact"/>
        <w:rPr>
          <w:rFonts w:ascii="Arial" w:cs="Arial" w:eastAsia="Arial" w:hAnsi="Arial"/>
          <w:sz w:val="18"/>
          <w:szCs w:val="18"/>
          <w:color w:val="auto"/>
        </w:rPr>
      </w:pPr>
    </w:p>
    <w:p>
      <w:pPr>
        <w:ind w:left="920" w:right="20" w:firstLine="421"/>
        <w:spacing w:after="0" w:line="257" w:lineRule="auto"/>
        <w:tabs>
          <w:tab w:leader="none" w:pos="15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Company agrees to acquire a “tail” director and officer insurance policy (“D&amp;O Policy”) to cover Sellers’ officers and directors for pre-Closing claims that are first presented post-Closing. Such D&amp;O Policy shall be in lieu of any other obligation of GLDD, Purchaser, or Company to provide any such indemnification for officers and directors of Company for pre-Closing acts. All Sellers agree that Company, Purchaser, and GLDD are released of any further obligations with respect thereto, with any and all such claims and recoveries being as provided in the D&amp;O Policy.</w:t>
      </w:r>
    </w:p>
    <w:p>
      <w:pPr>
        <w:spacing w:after="0" w:line="80" w:lineRule="exact"/>
        <w:rPr>
          <w:rFonts w:ascii="Arial" w:cs="Arial" w:eastAsia="Arial" w:hAnsi="Arial"/>
          <w:sz w:val="18"/>
          <w:szCs w:val="18"/>
          <w:color w:val="auto"/>
        </w:rPr>
      </w:pPr>
    </w:p>
    <w:p>
      <w:pPr>
        <w:ind w:left="920" w:right="40" w:firstLine="421"/>
        <w:spacing w:after="0" w:line="264" w:lineRule="auto"/>
        <w:tabs>
          <w:tab w:leader="none" w:pos="1585" w:val="left"/>
        </w:tabs>
        <w:numPr>
          <w:ilvl w:val="0"/>
          <w:numId w:val="60"/>
        </w:numPr>
        <w:rPr>
          <w:rFonts w:ascii="Arial" w:cs="Arial" w:eastAsia="Arial" w:hAnsi="Arial"/>
          <w:sz w:val="18"/>
          <w:szCs w:val="18"/>
          <w:color w:val="auto"/>
        </w:rPr>
      </w:pPr>
      <w:r>
        <w:rPr>
          <w:rFonts w:ascii="Arial" w:cs="Arial" w:eastAsia="Arial" w:hAnsi="Arial"/>
          <w:sz w:val="18"/>
          <w:szCs w:val="18"/>
          <w:color w:val="auto"/>
        </w:rPr>
        <w:t>GLDD shall indemnify and hold harmless Sellers or any Related Persons of Seller from and against any and all Indemnity Losses arising from or relating to any bonding obligations, or other delegations, of the Company, for which such Seller or Related Person was a personal guarantor.</w:t>
      </w:r>
    </w:p>
    <w:p>
      <w:pPr>
        <w:spacing w:after="0" w:line="17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b w:val="1"/>
          <w:bCs w:val="1"/>
          <w:u w:val="single" w:color="auto"/>
          <w:color w:val="auto"/>
        </w:rPr>
        <w:t>Section 6.03. Indemnification Notice; Litigation Notice</w:t>
      </w:r>
      <w:r>
        <w:rPr>
          <w:rFonts w:ascii="Arial" w:cs="Arial" w:eastAsia="Arial" w:hAnsi="Arial"/>
          <w:sz w:val="17"/>
          <w:szCs w:val="17"/>
          <w:b w:val="1"/>
          <w:bCs w:val="1"/>
          <w:color w:val="auto"/>
        </w:rPr>
        <w:t xml:space="preserve">. </w:t>
      </w:r>
      <w:r>
        <w:rPr>
          <w:rFonts w:ascii="Arial" w:cs="Arial" w:eastAsia="Arial" w:hAnsi="Arial"/>
          <w:sz w:val="17"/>
          <w:szCs w:val="17"/>
          <w:color w:val="auto"/>
        </w:rPr>
        <w:t>If a party entitled to indemnity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6.01</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6.02</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u w:val="single" w:color="auto"/>
          <w:color w:val="auto"/>
        </w:rPr>
        <w:t>Claimant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believes that it has suffered or incurred any Indemnity Loss, it shall so notify the party which the Claimant believes has an obligation to indemnify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promptly in writing describing such loss or expense, the amount thereof, if known, and the method of computation of such loss or expense, all with reasonable particularity (the “</w:t>
      </w:r>
      <w:r>
        <w:rPr>
          <w:rFonts w:ascii="Arial" w:cs="Arial" w:eastAsia="Arial" w:hAnsi="Arial"/>
          <w:sz w:val="17"/>
          <w:szCs w:val="17"/>
          <w:u w:val="single" w:color="auto"/>
          <w:color w:val="auto"/>
        </w:rPr>
        <w:t>Indemnification Notice</w:t>
      </w:r>
      <w:r>
        <w:rPr>
          <w:rFonts w:ascii="Arial" w:cs="Arial" w:eastAsia="Arial" w:hAnsi="Arial"/>
          <w:sz w:val="17"/>
          <w:szCs w:val="17"/>
          <w:color w:val="auto"/>
        </w:rPr>
        <w:t xml:space="preserve">”). If any action at Law, suit in equity, arbitration or administrative action is instituted by or against a third party with respect to which the Claimant intends to claim any Liability or expense as an Indemnity Loss under this </w:t>
      </w:r>
      <w:r>
        <w:rPr>
          <w:rFonts w:ascii="Arial" w:cs="Arial" w:eastAsia="Arial" w:hAnsi="Arial"/>
          <w:sz w:val="17"/>
          <w:szCs w:val="17"/>
          <w:u w:val="single" w:color="auto"/>
          <w:color w:val="auto"/>
        </w:rPr>
        <w:t>Article VI</w:t>
      </w:r>
      <w:r>
        <w:rPr>
          <w:rFonts w:ascii="Arial" w:cs="Arial" w:eastAsia="Arial" w:hAnsi="Arial"/>
          <w:sz w:val="17"/>
          <w:szCs w:val="17"/>
          <w:color w:val="auto"/>
        </w:rPr>
        <w:t>, it shall promptly notify the Indemnifying Party in writing of such action, matter or suit describing such loss or expense, the amount thereof, if known, and the method of computation of such loss or expense, all with reasonable particularity (the “</w:t>
      </w:r>
      <w:r>
        <w:rPr>
          <w:rFonts w:ascii="Arial" w:cs="Arial" w:eastAsia="Arial" w:hAnsi="Arial"/>
          <w:sz w:val="17"/>
          <w:szCs w:val="17"/>
          <w:u w:val="single" w:color="auto"/>
          <w:color w:val="auto"/>
        </w:rPr>
        <w:t>Litigation Notice</w:t>
      </w:r>
      <w:r>
        <w:rPr>
          <w:rFonts w:ascii="Arial" w:cs="Arial" w:eastAsia="Arial" w:hAnsi="Arial"/>
          <w:sz w:val="17"/>
          <w:szCs w:val="17"/>
          <w:color w:val="auto"/>
        </w:rPr>
        <w:t>”) in lieu of an Indemnification Notice.</w:t>
      </w:r>
    </w:p>
    <w:p>
      <w:pPr>
        <w:spacing w:after="0" w:line="172"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b w:val="1"/>
          <w:bCs w:val="1"/>
          <w:u w:val="single" w:color="auto"/>
          <w:color w:val="auto"/>
        </w:rPr>
        <w:t>Section 6.04. Defense of Claims</w:t>
      </w:r>
      <w:r>
        <w:rPr>
          <w:rFonts w:ascii="Arial" w:cs="Arial" w:eastAsia="Arial" w:hAnsi="Arial"/>
          <w:sz w:val="17"/>
          <w:szCs w:val="17"/>
          <w:b w:val="1"/>
          <w:bCs w:val="1"/>
          <w:color w:val="auto"/>
        </w:rPr>
        <w:t xml:space="preserve">. </w:t>
      </w:r>
      <w:r>
        <w:rPr>
          <w:rFonts w:ascii="Arial" w:cs="Arial" w:eastAsia="Arial" w:hAnsi="Arial"/>
          <w:sz w:val="17"/>
          <w:szCs w:val="17"/>
          <w:color w:val="auto"/>
        </w:rPr>
        <w:t>The Indemnifying Party shall have twenty (20) calendar days after receipt of the Litigation Notice to notify the</w:t>
      </w:r>
      <w:r>
        <w:rPr>
          <w:rFonts w:ascii="Arial" w:cs="Arial" w:eastAsia="Arial" w:hAnsi="Arial"/>
          <w:sz w:val="17"/>
          <w:szCs w:val="17"/>
          <w:b w:val="1"/>
          <w:bCs w:val="1"/>
          <w:color w:val="auto"/>
        </w:rPr>
        <w:t xml:space="preserve"> </w:t>
      </w:r>
      <w:r>
        <w:rPr>
          <w:rFonts w:ascii="Arial" w:cs="Arial" w:eastAsia="Arial" w:hAnsi="Arial"/>
          <w:sz w:val="17"/>
          <w:szCs w:val="17"/>
          <w:color w:val="auto"/>
        </w:rPr>
        <w:t>Claimant that it acknowledges its obligation to indemnify and hold harmless the Claimant with respect to the Indemnity Loss set forth in the Litigation Notice and that it elects to conduct and control any legal or administrative action or suit with respect to an identifiable claim (the “</w:t>
      </w:r>
      <w:r>
        <w:rPr>
          <w:rFonts w:ascii="Arial" w:cs="Arial" w:eastAsia="Arial" w:hAnsi="Arial"/>
          <w:sz w:val="17"/>
          <w:szCs w:val="17"/>
          <w:u w:val="single" w:color="auto"/>
          <w:color w:val="auto"/>
        </w:rPr>
        <w:t>Election Notice</w:t>
      </w:r>
      <w:r>
        <w:rPr>
          <w:rFonts w:ascii="Arial" w:cs="Arial" w:eastAsia="Arial" w:hAnsi="Arial"/>
          <w:sz w:val="17"/>
          <w:szCs w:val="17"/>
          <w:color w:val="auto"/>
        </w:rPr>
        <w:t xml:space="preserve">”). If the Indemnifying Party gives a Disagreement Notice or does not give the foregoing Election Notice, the Claimant shall have the right to defend, contest, settle or compromise such action or suit in the exercise of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right of the Claimant to indemnification hereunder shall not be conclusively established thereby. If the Indemnifying Party gives the foregoing Election Notice and provides information satisfactory to the Claimant in its sole discretion confirming the Indemnifying Party’s financial capacity to defend such Indemnity Loss and provide indemnification with respect to such Indemnity Loss, the Indemnifying Party shall have the right to undertake, conduct and control, through counsel satisfactory to the Claimant and at the Indemnifying Party’s sole expense, the conduct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420"/>
          </w:cols>
          <w:pgMar w:left="240" w:top="27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jc w:val="both"/>
        <w:ind w:right="480"/>
        <w:spacing w:after="0" w:line="291" w:lineRule="auto"/>
        <w:rPr>
          <w:sz w:val="20"/>
          <w:szCs w:val="20"/>
          <w:color w:val="auto"/>
        </w:rPr>
      </w:pPr>
      <w:r>
        <w:rPr>
          <w:rFonts w:ascii="Arial" w:cs="Arial" w:eastAsia="Arial" w:hAnsi="Arial"/>
          <w:sz w:val="16"/>
          <w:szCs w:val="16"/>
          <w:color w:val="auto"/>
        </w:rPr>
        <w:t xml:space="preserve">settlement of such action or suit, and the Claimant shall cooperate with the Indemnifying Party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Indemnifying Party shall not thereby consent to the imposition of any injunction against the Claimant without the prior written consent of the Claimant,</w:t>
      </w:r>
    </w:p>
    <w:p>
      <w:pPr>
        <w:ind w:right="80" w:firstLine="8"/>
        <w:spacing w:after="0" w:line="269" w:lineRule="auto"/>
        <w:tabs>
          <w:tab w:leader="none" w:pos="255"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the Indemnifying Party shall permit the Claimant to participate in such conduct or settlement through legal counsel chosen by the Claimant, but the fees and expenses of such legal counsel shall be borne by the Claimant, except as provided in clause (c) below, (c) upon a final determination of such action or suit, the Indemnifying Party shall promptly reimburse the Claimant, to the extent required under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for the full amount of any Indemnity Loss incurred by the Claimant, except fees and expenses of legal counsel that the Claimant incurred after the assumption of the conduct and control of such action or suit by the Indemnifying Party in good faith and (d) the Claimant shall have the right to pay or settle any such action or suit;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of such payment or settlement, the Claimant shall waive any right to indemnity therefor by the Indemnifying Party and no amount in respect thereof shall be claimed as an Indemnity Loss under this </w:t>
      </w:r>
      <w:r>
        <w:rPr>
          <w:rFonts w:ascii="Arial" w:cs="Arial" w:eastAsia="Arial" w:hAnsi="Arial"/>
          <w:sz w:val="17"/>
          <w:szCs w:val="17"/>
          <w:u w:val="single" w:color="auto"/>
          <w:color w:val="auto"/>
        </w:rPr>
        <w:t>Article VI</w:t>
      </w:r>
      <w:r>
        <w:rPr>
          <w:rFonts w:ascii="Arial" w:cs="Arial" w:eastAsia="Arial" w:hAnsi="Arial"/>
          <w:sz w:val="17"/>
          <w:szCs w:val="17"/>
          <w:color w:val="auto"/>
        </w:rPr>
        <w:t>.</w:t>
      </w:r>
    </w:p>
    <w:p>
      <w:pPr>
        <w:spacing w:after="0" w:line="177" w:lineRule="exact"/>
        <w:rPr>
          <w:sz w:val="20"/>
          <w:szCs w:val="20"/>
          <w:color w:val="auto"/>
        </w:rPr>
      </w:pPr>
    </w:p>
    <w:p>
      <w:pPr>
        <w:ind w:right="140" w:firstLine="913"/>
        <w:spacing w:after="0" w:line="274" w:lineRule="auto"/>
        <w:rPr>
          <w:sz w:val="20"/>
          <w:szCs w:val="20"/>
          <w:color w:val="auto"/>
        </w:rPr>
      </w:pPr>
      <w:r>
        <w:rPr>
          <w:rFonts w:ascii="Arial" w:cs="Arial" w:eastAsia="Arial" w:hAnsi="Arial"/>
          <w:sz w:val="17"/>
          <w:szCs w:val="17"/>
          <w:b w:val="1"/>
          <w:bCs w:val="1"/>
          <w:u w:val="single" w:color="auto"/>
          <w:color w:val="auto"/>
        </w:rPr>
        <w:t>Section 6.05. Disagreement Notice</w:t>
      </w:r>
      <w:r>
        <w:rPr>
          <w:rFonts w:ascii="Arial" w:cs="Arial" w:eastAsia="Arial" w:hAnsi="Arial"/>
          <w:sz w:val="17"/>
          <w:szCs w:val="17"/>
          <w:b w:val="1"/>
          <w:bCs w:val="1"/>
          <w:color w:val="auto"/>
        </w:rPr>
        <w:t xml:space="preserve">. </w:t>
      </w:r>
      <w:r>
        <w:rPr>
          <w:rFonts w:ascii="Arial" w:cs="Arial" w:eastAsia="Arial" w:hAnsi="Arial"/>
          <w:sz w:val="17"/>
          <w:szCs w:val="17"/>
          <w:color w:val="auto"/>
        </w:rPr>
        <w:t>If the Indemnifying Party does not agree that the Claimant is entitled to full reimbursement for the amount</w:t>
      </w:r>
      <w:r>
        <w:rPr>
          <w:rFonts w:ascii="Arial" w:cs="Arial" w:eastAsia="Arial" w:hAnsi="Arial"/>
          <w:sz w:val="17"/>
          <w:szCs w:val="17"/>
          <w:b w:val="1"/>
          <w:bCs w:val="1"/>
          <w:color w:val="auto"/>
        </w:rPr>
        <w:t xml:space="preserve"> </w:t>
      </w:r>
      <w:r>
        <w:rPr>
          <w:rFonts w:ascii="Arial" w:cs="Arial" w:eastAsia="Arial" w:hAnsi="Arial"/>
          <w:sz w:val="17"/>
          <w:szCs w:val="17"/>
          <w:color w:val="auto"/>
        </w:rPr>
        <w:t>specified in the Indemnification Notice or the Litigation Notice, as the case may be, the Indemnifying Party shall notify the Claimant (the “</w:t>
      </w:r>
      <w:r>
        <w:rPr>
          <w:rFonts w:ascii="Arial" w:cs="Arial" w:eastAsia="Arial" w:hAnsi="Arial"/>
          <w:sz w:val="17"/>
          <w:szCs w:val="17"/>
          <w:u w:val="single" w:color="auto"/>
          <w:color w:val="auto"/>
        </w:rPr>
        <w:t>Disagreement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within twenty (20) calendar days of its receipt of the Indemnification Notice or the Litigation Notice, as the case may be. Failure to deliver a Disagreement Notice in a timely manner shall be considered an express acknowledgment by the Indemnifying Party of its obligation to indemnify and hold harmless the Claimant with respect to the Indemnity Loss set forth in the Indemnification Notice or the Litigation Notice, as the case may be. Any dispute regarding Indemnity shall be resolved as provided for in </w:t>
      </w:r>
      <w:r>
        <w:rPr>
          <w:rFonts w:ascii="Arial" w:cs="Arial" w:eastAsia="Arial" w:hAnsi="Arial"/>
          <w:sz w:val="17"/>
          <w:szCs w:val="17"/>
          <w:u w:val="single" w:color="auto"/>
          <w:color w:val="auto"/>
        </w:rPr>
        <w:t>Section 10.13</w:t>
      </w:r>
      <w:r>
        <w:rPr>
          <w:rFonts w:ascii="Arial" w:cs="Arial" w:eastAsia="Arial" w:hAnsi="Arial"/>
          <w:sz w:val="17"/>
          <w:szCs w:val="17"/>
          <w:color w:val="auto"/>
        </w:rPr>
        <w:t>.</w:t>
      </w:r>
    </w:p>
    <w:p>
      <w:pPr>
        <w:spacing w:after="0" w:line="174"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b w:val="1"/>
          <w:bCs w:val="1"/>
          <w:u w:val="single" w:color="auto"/>
          <w:color w:val="auto"/>
        </w:rPr>
        <w:t>Section 6.06. Payment of Losses; Set-off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Indemnifying Party shall pay to the Claimant in cash the amount to which the Claimant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may become entitled by reason of the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within fifteen (15) Business Days after such amount is finally determined either by mutual agreement of the Parties or pursuant to the dispute resolution process set forth in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in the case of an Indemnity Loss described in any Litigation Notice, the date on which both such amount and Claimant’s obligation to pay such amount have been determined by a final judgment of the trial court or administrative body having jurisdiction over such Proceeding. Notwithstanding the foregoing, any amount to which Purchaser becomes entitled by reason of the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be paid as follows:</w:t>
      </w:r>
    </w:p>
    <w:p>
      <w:pPr>
        <w:spacing w:after="0" w:line="84" w:lineRule="exact"/>
        <w:rPr>
          <w:sz w:val="20"/>
          <w:szCs w:val="20"/>
          <w:color w:val="auto"/>
        </w:rPr>
      </w:pPr>
    </w:p>
    <w:p>
      <w:pPr>
        <w:ind w:left="920" w:right="60" w:firstLine="421"/>
        <w:spacing w:after="0" w:line="272" w:lineRule="auto"/>
        <w:tabs>
          <w:tab w:leader="none" w:pos="1585" w:val="left"/>
        </w:tabs>
        <w:numPr>
          <w:ilvl w:val="0"/>
          <w:numId w:val="62"/>
        </w:numPr>
        <w:rPr>
          <w:rFonts w:ascii="Arial" w:cs="Arial" w:eastAsia="Arial" w:hAnsi="Arial"/>
          <w:sz w:val="17"/>
          <w:szCs w:val="17"/>
          <w:color w:val="auto"/>
        </w:rPr>
      </w:pPr>
      <w:r>
        <w:rPr>
          <w:rFonts w:ascii="Arial" w:cs="Arial" w:eastAsia="Arial" w:hAnsi="Arial"/>
          <w:sz w:val="17"/>
          <w:szCs w:val="17"/>
          <w:color w:val="auto"/>
        </w:rPr>
        <w:t>First, Purchaser shall be entitled to reduce any payment due to the Seller pursuant to the terms of this Agreement in the following order (the “</w:t>
      </w:r>
      <w:r>
        <w:rPr>
          <w:rFonts w:ascii="Arial" w:cs="Arial" w:eastAsia="Arial" w:hAnsi="Arial"/>
          <w:sz w:val="17"/>
          <w:szCs w:val="17"/>
          <w:u w:val="single" w:color="auto"/>
          <w:color w:val="auto"/>
        </w:rPr>
        <w:t>Set-Off Rights</w:t>
      </w:r>
      <w:r>
        <w:rPr>
          <w:rFonts w:ascii="Arial" w:cs="Arial" w:eastAsia="Arial" w:hAnsi="Arial"/>
          <w:sz w:val="17"/>
          <w:szCs w:val="17"/>
          <w:color w:val="auto"/>
        </w:rPr>
        <w:t>”): (i) so long as there is money due and payable by GLDD to Sellers under the terms of the Note, Purchaser, shall notify Sellers that GLDD is reducing any amount of principal or accrued interest owed to Sellers under the Note, which Set-Off Rights shall be administered in accordance with the terms and procedures set forth in the Note and the exercise of which by Purchaser, whether or not ultimately determined to be justified, shall not constitute an event of default under the Note or any instrument securing the Note, (ii) so long as there are amounts due to Sellers under the Earn Out Payment, Purchaser shall notify Sellers that Purchaser is reducing any amounts owed to Sellers under the Earn Out Payment, and (iii) so long as there are amounts due to</w:t>
      </w:r>
    </w:p>
    <w:p>
      <w:pPr>
        <w:spacing w:after="0" w:line="110" w:lineRule="exact"/>
        <w:rPr>
          <w:rFonts w:ascii="Arial" w:cs="Arial" w:eastAsia="Arial" w:hAnsi="Arial"/>
          <w:sz w:val="17"/>
          <w:szCs w:val="17"/>
          <w:color w:val="auto"/>
        </w:rPr>
      </w:pPr>
    </w:p>
    <w:p>
      <w:pPr>
        <w:ind w:left="5620" w:hanging="101"/>
        <w:spacing w:after="0"/>
        <w:tabs>
          <w:tab w:leader="none" w:pos="56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420"/>
          </w:cols>
          <w:pgMar w:left="240" w:top="274"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left="920" w:right="200"/>
        <w:spacing w:after="0" w:line="257" w:lineRule="auto"/>
        <w:rPr>
          <w:sz w:val="20"/>
          <w:szCs w:val="20"/>
          <w:color w:val="auto"/>
        </w:rPr>
      </w:pPr>
      <w:r>
        <w:rPr>
          <w:rFonts w:ascii="Arial" w:cs="Arial" w:eastAsia="Arial" w:hAnsi="Arial"/>
          <w:sz w:val="18"/>
          <w:szCs w:val="18"/>
          <w:color w:val="auto"/>
        </w:rPr>
        <w:t xml:space="preserve">Sellers pursuant to the Restricted Stock Unit Award Agreement, Purchaser shall notify Sellers that Purchaser is reducing any amounts owed to Sellers pursuant to the Restricted Stock Unit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contained herein shall be construed to limit Purchaser’s limit Purchaser’s recovery from Sellers for any Indemnity Loss or losses to the Set-Off Rights nor shall the failure to exercise such Set-Off Rights constitute an election of remedies or limit Purchaser in any manner in the enforcement of its rights to obtain injunctive relief otherwise provided to Purchaser by the provisions of this Agreement; and</w:t>
      </w:r>
    </w:p>
    <w:p>
      <w:pPr>
        <w:spacing w:after="0" w:line="80" w:lineRule="exact"/>
        <w:rPr>
          <w:sz w:val="20"/>
          <w:szCs w:val="20"/>
          <w:color w:val="auto"/>
        </w:rPr>
      </w:pPr>
    </w:p>
    <w:p>
      <w:pPr>
        <w:ind w:left="920" w:right="200" w:firstLine="421"/>
        <w:spacing w:after="0" w:line="286" w:lineRule="auto"/>
        <w:tabs>
          <w:tab w:leader="none" w:pos="1595"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from Sellers, who hereby agree to be jointly and severally liable for any Indemnity Loss suffered under this Agreement or the Related Agreements which have not otherwise been satisfied pursuant to </w:t>
      </w:r>
      <w:r>
        <w:rPr>
          <w:rFonts w:ascii="Arial" w:cs="Arial" w:eastAsia="Arial" w:hAnsi="Arial"/>
          <w:sz w:val="17"/>
          <w:szCs w:val="17"/>
          <w:u w:val="single" w:color="auto"/>
          <w:color w:val="auto"/>
        </w:rPr>
        <w:t>Section 6.06(a)</w:t>
      </w:r>
      <w:r>
        <w:rPr>
          <w:rFonts w:ascii="Arial" w:cs="Arial" w:eastAsia="Arial" w:hAnsi="Arial"/>
          <w:sz w:val="17"/>
          <w:szCs w:val="17"/>
          <w:color w:val="auto"/>
        </w:rPr>
        <w:t>. Sellers shall pay such claims by certified or bank check in immediately available funds or by wire transfer of immediately available to an account designated by Purchaser.</w:t>
      </w:r>
    </w:p>
    <w:p>
      <w:pPr>
        <w:spacing w:after="0" w:line="162"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b w:val="1"/>
          <w:bCs w:val="1"/>
          <w:u w:val="single" w:color="auto"/>
          <w:color w:val="auto"/>
        </w:rPr>
        <w:t>Section 6.07. Survival</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foregoing, the Indemnifying Party shall have no Liability with respect to any 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Notice arising from a breach of a representation or warranty which is not received by the Indemnifying Party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on or before the eighteen (18) month anniversary of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the Indemnifying Party shall remain liable for any Indemnity Loss arising from a breach of the Tax Representations or any representation contained in </w:t>
      </w:r>
      <w:r>
        <w:rPr>
          <w:rFonts w:ascii="Arial" w:cs="Arial" w:eastAsia="Arial" w:hAnsi="Arial"/>
          <w:sz w:val="17"/>
          <w:szCs w:val="17"/>
          <w:u w:val="single" w:color="auto"/>
          <w:color w:val="auto"/>
        </w:rPr>
        <w:t>Section 4.16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4.24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4.25</w:t>
      </w:r>
      <w:r>
        <w:rPr>
          <w:rFonts w:ascii="Arial" w:cs="Arial" w:eastAsia="Arial" w:hAnsi="Arial"/>
          <w:sz w:val="17"/>
          <w:szCs w:val="17"/>
          <w:color w:val="auto"/>
        </w:rPr>
        <w:t xml:space="preserve"> or Indemnity Losses arising pursuant to </w:t>
      </w:r>
      <w:r>
        <w:rPr>
          <w:rFonts w:ascii="Arial" w:cs="Arial" w:eastAsia="Arial" w:hAnsi="Arial"/>
          <w:sz w:val="17"/>
          <w:szCs w:val="17"/>
          <w:u w:val="single" w:color="auto"/>
          <w:color w:val="auto"/>
        </w:rPr>
        <w:t>Section 6.01(c)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6.02(c)</w:t>
      </w:r>
      <w:r>
        <w:rPr>
          <w:rFonts w:ascii="Arial" w:cs="Arial" w:eastAsia="Arial" w:hAnsi="Arial"/>
          <w:sz w:val="17"/>
          <w:szCs w:val="17"/>
          <w:color w:val="auto"/>
        </w:rPr>
        <w:t xml:space="preserve"> until sixty (60) days after the expiration of the statute of limitations which is the basis of the Indemnification Notice, or until the expiration of the period in which any regulatory authority has the power to make any claims, assessment or reassessment with respect thereto, whichever is longer, with respect to any matter subject to the representations and warranties contained in those sections;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Indemnifying Party shall remain liable for any Indemnity Loss arising from fraud, willful misconduct, intentional misrepresentation or criminal activity on the part of Sellers or arising from a breach of any of the Title Representations or the Broker Representations or any representation contained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4</w:t>
      </w:r>
      <w:r>
        <w:rPr>
          <w:rFonts w:ascii="Arial" w:cs="Arial" w:eastAsia="Arial" w:hAnsi="Arial"/>
          <w:sz w:val="17"/>
          <w:szCs w:val="17"/>
          <w:u w:val="single" w:color="auto"/>
          <w:color w:val="auto"/>
        </w:rPr>
        <w:t>.01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4.04</w:t>
      </w:r>
      <w:r>
        <w:rPr>
          <w:rFonts w:ascii="Arial" w:cs="Arial" w:eastAsia="Arial" w:hAnsi="Arial"/>
          <w:sz w:val="17"/>
          <w:szCs w:val="17"/>
          <w:color w:val="auto"/>
        </w:rPr>
        <w:t>, without limitation as to time.</w:t>
      </w:r>
    </w:p>
    <w:p>
      <w:pPr>
        <w:spacing w:after="0" w:line="178"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b w:val="1"/>
          <w:bCs w:val="1"/>
          <w:u w:val="single" w:color="auto"/>
          <w:color w:val="auto"/>
        </w:rPr>
        <w:t>Section 6.08. Minimum Loss; Maximum Amount of Indemnified Costs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hereafter provided, Sellers shall not be required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indemnify the Purchaser Indemnified Parties for Indemnity Losses arising under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6.01(b)</w:t>
      </w:r>
      <w:r>
        <w:rPr>
          <w:rFonts w:ascii="Arial" w:cs="Arial" w:eastAsia="Arial" w:hAnsi="Arial"/>
          <w:sz w:val="17"/>
          <w:szCs w:val="17"/>
          <w:color w:val="auto"/>
        </w:rPr>
        <w:t xml:space="preserve">, (except as hereinafter described) unless and until the aggregate amount of such Indemnity Losses for which the Purchaser Indemnified Parties are otherwise entitled to indemnification pursuant to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exceeds Two Hundred Fifty Thousand and No/100s dollars ($250,000.00) (the “</w:t>
      </w:r>
      <w:r>
        <w:rPr>
          <w:rFonts w:ascii="Arial" w:cs="Arial" w:eastAsia="Arial" w:hAnsi="Arial"/>
          <w:sz w:val="17"/>
          <w:szCs w:val="17"/>
          <w:u w:val="single" w:color="auto"/>
          <w:color w:val="auto"/>
        </w:rPr>
        <w:t>Indemnification Basket</w:t>
      </w:r>
      <w:r>
        <w:rPr>
          <w:rFonts w:ascii="Arial" w:cs="Arial" w:eastAsia="Arial" w:hAnsi="Arial"/>
          <w:sz w:val="17"/>
          <w:szCs w:val="17"/>
          <w:color w:val="auto"/>
        </w:rPr>
        <w:t xml:space="preserve">”). The Indemnification Basket shall not apply to Indemnity Losses arising under the Title Representations, the Broker Representations, the Tax Representations, </w:t>
      </w:r>
      <w:r>
        <w:rPr>
          <w:rFonts w:ascii="Arial" w:cs="Arial" w:eastAsia="Arial" w:hAnsi="Arial"/>
          <w:sz w:val="17"/>
          <w:szCs w:val="17"/>
          <w:u w:val="single" w:color="auto"/>
          <w:color w:val="auto"/>
        </w:rPr>
        <w:t>Section 4.14(a)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.25, </w:t>
      </w:r>
      <w:r>
        <w:rPr>
          <w:rFonts w:ascii="Arial" w:cs="Arial" w:eastAsia="Arial" w:hAnsi="Arial"/>
          <w:sz w:val="17"/>
          <w:szCs w:val="17"/>
          <w:u w:val="single" w:color="auto"/>
          <w:color w:val="auto"/>
        </w:rPr>
        <w:t>6.01(c)</w:t>
      </w:r>
      <w:r>
        <w:rPr>
          <w:rFonts w:ascii="Arial" w:cs="Arial" w:eastAsia="Arial" w:hAnsi="Arial"/>
          <w:sz w:val="17"/>
          <w:szCs w:val="17"/>
          <w:color w:val="auto"/>
        </w:rPr>
        <w:t xml:space="preserve">, or based upon fraud, willful misconduct, intentional misrepresentation or criminal activity on the part of any Seller. Except as hereafter provided, in no event shall Sellers in the aggregate be liable to indemnify the Purchaser Indemnified Parties for Indemnity Losses arising under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6.01(b)</w:t>
      </w:r>
      <w:r>
        <w:rPr>
          <w:rFonts w:ascii="Arial" w:cs="Arial" w:eastAsia="Arial" w:hAnsi="Arial"/>
          <w:sz w:val="17"/>
          <w:szCs w:val="17"/>
          <w:color w:val="auto"/>
        </w:rPr>
        <w:t xml:space="preserve"> in excess of Six Million and No/100s Dollars and No/100s dollars ($6,000,000.00) (the “</w:t>
      </w:r>
      <w:r>
        <w:rPr>
          <w:rFonts w:ascii="Arial" w:cs="Arial" w:eastAsia="Arial" w:hAnsi="Arial"/>
          <w:sz w:val="17"/>
          <w:szCs w:val="17"/>
          <w:u w:val="single" w:color="auto"/>
          <w:color w:val="auto"/>
        </w:rPr>
        <w:t>Indemnification</w:t>
      </w:r>
    </w:p>
    <w:p>
      <w:pPr>
        <w:spacing w:after="0" w:line="10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20"/>
          </w:cols>
          <w:pgMar w:left="240" w:top="274"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u w:val="single" w:color="auto"/>
          <w:color w:val="auto"/>
        </w:rPr>
        <w:t>Cap</w:t>
      </w:r>
      <w:r>
        <w:rPr>
          <w:rFonts w:ascii="Arial" w:cs="Arial" w:eastAsia="Arial" w:hAnsi="Arial"/>
          <w:sz w:val="18"/>
          <w:szCs w:val="18"/>
          <w:color w:val="auto"/>
        </w:rPr>
        <w:t xml:space="preserve">”). Indemnity Losses arising under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w:t>
      </w:r>
      <w:r>
        <w:rPr>
          <w:rFonts w:ascii="Arial" w:cs="Arial" w:eastAsia="Arial" w:hAnsi="Arial"/>
          <w:sz w:val="18"/>
          <w:szCs w:val="18"/>
          <w:u w:val="single" w:color="auto"/>
          <w:color w:val="auto"/>
        </w:rPr>
        <w:t>4.01</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4.04</w:t>
      </w:r>
      <w:r>
        <w:rPr>
          <w:rFonts w:ascii="Arial" w:cs="Arial" w:eastAsia="Arial" w:hAnsi="Arial"/>
          <w:sz w:val="18"/>
          <w:szCs w:val="18"/>
          <w:color w:val="auto"/>
        </w:rPr>
        <w:t xml:space="preserve">, </w:t>
      </w:r>
      <w:r>
        <w:rPr>
          <w:rFonts w:ascii="Arial" w:cs="Arial" w:eastAsia="Arial" w:hAnsi="Arial"/>
          <w:sz w:val="18"/>
          <w:szCs w:val="18"/>
          <w:u w:val="single" w:color="auto"/>
          <w:color w:val="auto"/>
        </w:rPr>
        <w:t>4.14(a)</w:t>
      </w:r>
      <w:r>
        <w:rPr>
          <w:rFonts w:ascii="Arial" w:cs="Arial" w:eastAsia="Arial" w:hAnsi="Arial"/>
          <w:sz w:val="18"/>
          <w:szCs w:val="18"/>
          <w:color w:val="auto"/>
        </w:rPr>
        <w:t xml:space="preserve">, </w:t>
      </w:r>
      <w:r>
        <w:rPr>
          <w:rFonts w:ascii="Arial" w:cs="Arial" w:eastAsia="Arial" w:hAnsi="Arial"/>
          <w:sz w:val="18"/>
          <w:szCs w:val="18"/>
          <w:u w:val="single" w:color="auto"/>
          <w:color w:val="auto"/>
        </w:rPr>
        <w:t>4.17</w:t>
      </w:r>
      <w:r>
        <w:rPr>
          <w:rFonts w:ascii="Arial" w:cs="Arial" w:eastAsia="Arial" w:hAnsi="Arial"/>
          <w:sz w:val="18"/>
          <w:szCs w:val="18"/>
          <w:color w:val="auto"/>
        </w:rPr>
        <w:t xml:space="preserve">, </w:t>
      </w:r>
      <w:r>
        <w:rPr>
          <w:rFonts w:ascii="Arial" w:cs="Arial" w:eastAsia="Arial" w:hAnsi="Arial"/>
          <w:sz w:val="18"/>
          <w:szCs w:val="18"/>
          <w:u w:val="single" w:color="auto"/>
          <w:color w:val="auto"/>
        </w:rPr>
        <w:t>4.18</w:t>
      </w:r>
      <w:r>
        <w:rPr>
          <w:rFonts w:ascii="Arial" w:cs="Arial" w:eastAsia="Arial" w:hAnsi="Arial"/>
          <w:sz w:val="18"/>
          <w:szCs w:val="18"/>
          <w:color w:val="auto"/>
        </w:rPr>
        <w:t xml:space="preserve"> and the Title Representations, the Broker Representations or the Tax Representations shall be limited to the value of the Purchase Price paid and the share value awarded under the Restricted Stock Unit Agreement. Indemnity Losses based upon Section 4.19, 6.01(c), fraud, willful misconduct, intentional misrepresentation or criminal activity of Sellers shall be unlimited.</w:t>
      </w:r>
    </w:p>
    <w:p>
      <w:pPr>
        <w:spacing w:after="0" w:line="183"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b w:val="1"/>
          <w:bCs w:val="1"/>
          <w:u w:val="single" w:color="auto"/>
          <w:color w:val="auto"/>
        </w:rPr>
        <w:t>Section 6.09. Matters Disclosed on Section 4.25 of the Disclosure Schedules</w:t>
      </w:r>
      <w:r>
        <w:rPr>
          <w:rFonts w:ascii="Arial" w:cs="Arial" w:eastAsia="Arial" w:hAnsi="Arial"/>
          <w:sz w:val="16"/>
          <w:szCs w:val="16"/>
          <w:color w:val="auto"/>
        </w:rPr>
        <w:t>. Notwithstanding the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6.07</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6.08</w:t>
      </w:r>
      <w:r>
        <w:rPr>
          <w:rFonts w:ascii="Arial" w:cs="Arial" w:eastAsia="Arial" w:hAnsi="Arial"/>
          <w:sz w:val="16"/>
          <w:szCs w:val="16"/>
          <w:b w:val="1"/>
          <w:bCs w:val="1"/>
          <w:color w:val="auto"/>
        </w:rPr>
        <w:t xml:space="preserve"> </w:t>
      </w:r>
      <w:r>
        <w:rPr>
          <w:rFonts w:ascii="Arial" w:cs="Arial" w:eastAsia="Arial" w:hAnsi="Arial"/>
          <w:sz w:val="16"/>
          <w:szCs w:val="16"/>
          <w:color w:val="auto"/>
        </w:rPr>
        <w:t>above,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Sellers shall remain responsible for the settlement or resolution of all actual and threatened litigation matters set forth </w:t>
      </w:r>
      <w:r>
        <w:rPr>
          <w:rFonts w:ascii="Arial" w:cs="Arial" w:eastAsia="Arial" w:hAnsi="Arial"/>
          <w:sz w:val="16"/>
          <w:szCs w:val="16"/>
          <w:u w:val="single" w:color="auto"/>
          <w:color w:val="auto"/>
        </w:rPr>
        <w:t>Section 4.25</w:t>
      </w:r>
      <w:r>
        <w:rPr>
          <w:rFonts w:ascii="Arial" w:cs="Arial" w:eastAsia="Arial" w:hAnsi="Arial"/>
          <w:sz w:val="16"/>
          <w:szCs w:val="16"/>
          <w:color w:val="auto"/>
        </w:rPr>
        <w:t xml:space="preserve"> of the Disclosure Schedules. The Purchasers, the Company and the Sellers agree that the Sellers may, in their sole discretion, continue to pursue those actual and threatened litigation matters set forth </w:t>
      </w:r>
      <w:r>
        <w:rPr>
          <w:rFonts w:ascii="Arial" w:cs="Arial" w:eastAsia="Arial" w:hAnsi="Arial"/>
          <w:sz w:val="16"/>
          <w:szCs w:val="16"/>
          <w:u w:val="single" w:color="auto"/>
          <w:color w:val="auto"/>
        </w:rPr>
        <w:t>Section 4.25</w:t>
      </w:r>
      <w:r>
        <w:rPr>
          <w:rFonts w:ascii="Arial" w:cs="Arial" w:eastAsia="Arial" w:hAnsi="Arial"/>
          <w:sz w:val="16"/>
          <w:szCs w:val="16"/>
          <w:color w:val="auto"/>
        </w:rPr>
        <w:t xml:space="preserve"> of the Disclosure Schedules, and agree that the litigation decisions and litigation strategies related to such will be under the control of the Sellers’ Representative, with the exception of decisions related to the settlement of any claims, which shall require approval of the Purchaser, which approval shall not be unreasonably withheld. Any and all costs, judgments and settlements shall be netted against any and all recoveries, with the net amount being applied in the same manner as set forth in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above (assuming total costs exceed total recoveries), or if total recoveries exceed total costs, by Company’s payment to the Sellers of such additional amounts as soon as practicable after a final determination.</w:t>
      </w:r>
    </w:p>
    <w:p>
      <w:pPr>
        <w:spacing w:after="0" w:line="160" w:lineRule="exact"/>
        <w:rPr>
          <w:sz w:val="20"/>
          <w:szCs w:val="20"/>
          <w:color w:val="auto"/>
        </w:rPr>
      </w:pPr>
    </w:p>
    <w:p>
      <w:pPr>
        <w:ind w:right="100" w:firstLine="913"/>
        <w:spacing w:after="0" w:line="282" w:lineRule="auto"/>
        <w:rPr>
          <w:sz w:val="20"/>
          <w:szCs w:val="20"/>
          <w:color w:val="auto"/>
        </w:rPr>
      </w:pPr>
      <w:r>
        <w:rPr>
          <w:rFonts w:ascii="Arial" w:cs="Arial" w:eastAsia="Arial" w:hAnsi="Arial"/>
          <w:sz w:val="18"/>
          <w:szCs w:val="18"/>
          <w:b w:val="1"/>
          <w:bCs w:val="1"/>
          <w:u w:val="single" w:color="auto"/>
          <w:color w:val="auto"/>
        </w:rPr>
        <w:t>Section 6.10. Exclusive Remedy.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any available injunctive relief, Purchaser’s exclusive remedy for the breach or non-performance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of this Agreement shall be to seek indemnification pursuant to the provisions of this Article VI.</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RESTRICTIVE COVENANTS</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Section 7.01. Confidential Information</w:t>
      </w:r>
      <w:r>
        <w:rPr>
          <w:rFonts w:ascii="Arial" w:cs="Arial" w:eastAsia="Arial" w:hAnsi="Arial"/>
          <w:sz w:val="18"/>
          <w:szCs w:val="18"/>
          <w:b w:val="1"/>
          <w:bCs w:val="1"/>
          <w:color w:val="auto"/>
        </w:rPr>
        <w:t>.</w:t>
      </w:r>
    </w:p>
    <w:p>
      <w:pPr>
        <w:spacing w:after="0" w:line="121" w:lineRule="exact"/>
        <w:rPr>
          <w:sz w:val="20"/>
          <w:szCs w:val="20"/>
          <w:color w:val="auto"/>
        </w:rPr>
      </w:pPr>
    </w:p>
    <w:p>
      <w:pPr>
        <w:ind w:left="920" w:right="40" w:firstLine="421"/>
        <w:spacing w:after="0" w:line="269" w:lineRule="auto"/>
        <w:tabs>
          <w:tab w:leader="none" w:pos="1584"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Information Acquired During Negotiations and/or the Preparation of Agreements</w:t>
      </w:r>
      <w:r>
        <w:rPr>
          <w:rFonts w:ascii="Arial" w:cs="Arial" w:eastAsia="Arial" w:hAnsi="Arial"/>
          <w:sz w:val="17"/>
          <w:szCs w:val="17"/>
          <w:color w:val="auto"/>
        </w:rPr>
        <w:t>. Each of Purchaser and Sellers agrees that he, she or it will treat in confidence and will not use, disseminate or disclose, other than in connection with the transactions contemplated by this Agreement, or, in the case of Purchaser, the operation of the Business following the Closing, all documents, materials and other information regarding the other Parties to this Agreement which it obtains during the course of the negotiations leading to the consummation of the transactions contemplated by this Agreement (whether obtained on, prior to or following the date hereof) or the preparation of this Agreement or any of the Related Agreements. The obligation of each party to treat such documents, materials and other information in confidence and not to use, disseminate or disclose such materials shall not apply to any information which: (a) such party can demonstrate was already lawfully in its possession prior to the disclosure thereof by the other Parties; (b) is known to the public and did not become so known through any violation of a legal obligation on the part of the disclosing party; (c) is later lawfully acquired by such party from other sources; (d) is required to be disclosed under the provisions of any Law, or by any stock exchange or similar body; or (e) is required to be disclosed by a rule or order of any court of competent jurisdiction.</w:t>
      </w:r>
    </w:p>
    <w:p>
      <w:pPr>
        <w:spacing w:after="0" w:line="115" w:lineRule="exact"/>
        <w:rPr>
          <w:rFonts w:ascii="Arial" w:cs="Arial" w:eastAsia="Arial" w:hAnsi="Arial"/>
          <w:sz w:val="17"/>
          <w:szCs w:val="17"/>
          <w:color w:val="auto"/>
        </w:rPr>
      </w:pPr>
    </w:p>
    <w:p>
      <w:pPr>
        <w:ind w:left="5620" w:hanging="101"/>
        <w:spacing w:after="0"/>
        <w:tabs>
          <w:tab w:leader="none" w:pos="56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420"/>
          </w:cols>
          <w:pgMar w:left="240" w:top="274" w:right="239" w:bottom="1440" w:gutter="0" w:footer="0" w:header="0"/>
        </w:sectPr>
      </w:pPr>
    </w:p>
    <w:bookmarkStart w:id="50" w:name="page51"/>
    <w:bookmarkEnd w:id="50"/>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840" w:right="40" w:firstLine="421"/>
        <w:spacing w:after="0" w:line="289" w:lineRule="auto"/>
        <w:tabs>
          <w:tab w:leader="none" w:pos="151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Confidential Information of the Company</w:t>
      </w:r>
      <w:r>
        <w:rPr>
          <w:rFonts w:ascii="Arial" w:cs="Arial" w:eastAsia="Arial" w:hAnsi="Arial"/>
          <w:sz w:val="16"/>
          <w:szCs w:val="16"/>
          <w:color w:val="auto"/>
        </w:rPr>
        <w:t>. Sellers acknowledge and agree that the Confidential Information of the Company is an asset which Purchaser will acquire pursuant to this Agreement. For purposes of this Agreement,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shall mean the Company’s trade secrets, other Intellectual Property Assets and other information regarding the Company, the Business and the other business operations of the Company, which information: (i) was used in the Business of the Company and was proprietary to, about or created by the Company (including any of the Company’s Personnel) for use in the Business of the Company; (ii) is used in the Business of the Company as of the effective date of this Agreement and is proprietary to, about or created by the Company (including any of the Company’s Personnel) for use in the Business of the Company; (iii) is designated and/or, in fact, treated as confidential by the Company; or (iv) is not generally known by any non-Company personnel. Confidential Information includes, but is not limited to, the following types of information (whether or not reduced to writing or designated as confidential, and whether or not also covered under </w:t>
      </w:r>
      <w:r>
        <w:rPr>
          <w:rFonts w:ascii="Arial" w:cs="Arial" w:eastAsia="Arial" w:hAnsi="Arial"/>
          <w:sz w:val="16"/>
          <w:szCs w:val="16"/>
          <w:u w:val="single" w:color="auto"/>
          <w:color w:val="auto"/>
        </w:rPr>
        <w:t>Section 9.01(a)</w:t>
      </w:r>
      <w:r>
        <w:rPr>
          <w:rFonts w:ascii="Arial" w:cs="Arial" w:eastAsia="Arial" w:hAnsi="Arial"/>
          <w:sz w:val="16"/>
          <w:szCs w:val="16"/>
          <w:color w:val="auto"/>
        </w:rPr>
        <w:t xml:space="preserve"> of this Agreement):</w:t>
      </w:r>
    </w:p>
    <w:p>
      <w:pPr>
        <w:spacing w:after="0" w:line="58" w:lineRule="exact"/>
        <w:rPr>
          <w:rFonts w:ascii="Arial" w:cs="Arial" w:eastAsia="Arial" w:hAnsi="Arial"/>
          <w:sz w:val="16"/>
          <w:szCs w:val="16"/>
          <w:color w:val="auto"/>
        </w:rPr>
      </w:pPr>
    </w:p>
    <w:p>
      <w:pPr>
        <w:jc w:val="both"/>
        <w:ind w:left="1420" w:right="160" w:firstLine="389"/>
        <w:spacing w:after="0" w:line="312" w:lineRule="auto"/>
        <w:tabs>
          <w:tab w:leader="none" w:pos="2112"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information regarding any of the Company’s current and potential customers, clients, leads and referral sources, including but not limited to customer, client, lead and referral source lists, databases, files, information relating to representatives and contacts, future needs, specifications or other similar current and potential customer, client, lead and referral source information;</w:t>
      </w:r>
    </w:p>
    <w:p>
      <w:pPr>
        <w:spacing w:after="0" w:line="38" w:lineRule="exact"/>
        <w:rPr>
          <w:rFonts w:ascii="Arial" w:cs="Arial" w:eastAsia="Arial" w:hAnsi="Arial"/>
          <w:sz w:val="16"/>
          <w:szCs w:val="16"/>
          <w:color w:val="auto"/>
        </w:rPr>
      </w:pPr>
    </w:p>
    <w:p>
      <w:pPr>
        <w:ind w:left="2100" w:hanging="291"/>
        <w:spacing w:after="0"/>
        <w:tabs>
          <w:tab w:leader="none" w:pos="21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identity and terms of any Contracts (contents and Parties) to which the Company is or was a party or is or was bound;</w:t>
      </w:r>
    </w:p>
    <w:p>
      <w:pPr>
        <w:spacing w:after="0" w:line="128" w:lineRule="exact"/>
        <w:rPr>
          <w:rFonts w:ascii="Arial" w:cs="Arial" w:eastAsia="Arial" w:hAnsi="Arial"/>
          <w:sz w:val="17"/>
          <w:szCs w:val="17"/>
          <w:color w:val="auto"/>
        </w:rPr>
      </w:pPr>
    </w:p>
    <w:p>
      <w:pPr>
        <w:ind w:left="1420" w:right="500" w:firstLine="389"/>
        <w:spacing w:after="0" w:line="277" w:lineRule="auto"/>
        <w:tabs>
          <w:tab w:leader="none" w:pos="2102"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type, quantity and specifications of products and services being sold to, purchased, leased, licensed or received by the Company;</w:t>
      </w:r>
    </w:p>
    <w:p>
      <w:pPr>
        <w:spacing w:after="0" w:line="62" w:lineRule="exact"/>
        <w:rPr>
          <w:rFonts w:ascii="Arial" w:cs="Arial" w:eastAsia="Arial" w:hAnsi="Arial"/>
          <w:sz w:val="18"/>
          <w:szCs w:val="18"/>
          <w:color w:val="auto"/>
        </w:rPr>
      </w:pPr>
    </w:p>
    <w:p>
      <w:pPr>
        <w:ind w:left="1420" w:right="400" w:firstLine="389"/>
        <w:spacing w:after="0" w:line="277" w:lineRule="auto"/>
        <w:tabs>
          <w:tab w:leader="none" w:pos="2112"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information received by the Company from third Parties (such as vendors) under an obligation of confidentiality, restricted disclosure or restricted use;</w:t>
      </w:r>
    </w:p>
    <w:p>
      <w:pPr>
        <w:spacing w:after="0" w:line="62" w:lineRule="exact"/>
        <w:rPr>
          <w:rFonts w:ascii="Arial" w:cs="Arial" w:eastAsia="Arial" w:hAnsi="Arial"/>
          <w:sz w:val="18"/>
          <w:szCs w:val="18"/>
          <w:color w:val="auto"/>
        </w:rPr>
      </w:pPr>
    </w:p>
    <w:p>
      <w:pPr>
        <w:ind w:left="1420" w:right="260" w:firstLine="389"/>
        <w:spacing w:after="0" w:line="277" w:lineRule="auto"/>
        <w:tabs>
          <w:tab w:leader="none" w:pos="2092" w:val="left"/>
        </w:tabs>
        <w:numPr>
          <w:ilvl w:val="1"/>
          <w:numId w:val="65"/>
        </w:numPr>
        <w:rPr>
          <w:rFonts w:ascii="Arial" w:cs="Arial" w:eastAsia="Arial" w:hAnsi="Arial"/>
          <w:sz w:val="18"/>
          <w:szCs w:val="18"/>
          <w:color w:val="auto"/>
        </w:rPr>
      </w:pPr>
      <w:r>
        <w:rPr>
          <w:rFonts w:ascii="Arial" w:cs="Arial" w:eastAsia="Arial" w:hAnsi="Arial"/>
          <w:sz w:val="18"/>
          <w:szCs w:val="18"/>
          <w:color w:val="auto"/>
        </w:rPr>
        <w:t>work product related to work or projects performed or about to be performed for the Company or for its customers or clients, including working and/or project files;</w:t>
      </w:r>
    </w:p>
    <w:p>
      <w:pPr>
        <w:spacing w:after="0" w:line="62" w:lineRule="exact"/>
        <w:rPr>
          <w:rFonts w:ascii="Arial" w:cs="Arial" w:eastAsia="Arial" w:hAnsi="Arial"/>
          <w:sz w:val="18"/>
          <w:szCs w:val="18"/>
          <w:color w:val="auto"/>
        </w:rPr>
      </w:pPr>
    </w:p>
    <w:p>
      <w:pPr>
        <w:ind w:left="1420" w:right="40" w:firstLine="389"/>
        <w:spacing w:after="0" w:line="264" w:lineRule="auto"/>
        <w:tabs>
          <w:tab w:leader="none" w:pos="2082"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information with respect to the Company’s products, future products, services, facilities and methods, systems, trade secrets and other Intellectual Property Assets including information relating to the design, research, development, engineering, architecture, implementation and/or modification of or to any of the Company’s products;</w:t>
      </w:r>
    </w:p>
    <w:p>
      <w:pPr>
        <w:spacing w:after="0" w:line="113" w:lineRule="exact"/>
        <w:rPr>
          <w:rFonts w:ascii="Arial" w:cs="Arial" w:eastAsia="Arial" w:hAnsi="Arial"/>
          <w:sz w:val="18"/>
          <w:szCs w:val="18"/>
          <w:color w:val="auto"/>
        </w:rPr>
      </w:pPr>
    </w:p>
    <w:p>
      <w:pPr>
        <w:ind w:left="5540" w:hanging="101"/>
        <w:spacing w:after="0"/>
        <w:tabs>
          <w:tab w:leader="none" w:pos="5540" w:val="left"/>
        </w:tabs>
        <w:numPr>
          <w:ilvl w:val="2"/>
          <w:numId w:val="65"/>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340"/>
          </w:cols>
          <w:pgMar w:left="320" w:top="274" w:right="239" w:bottom="1440" w:gutter="0" w:footer="0" w:header="0"/>
        </w:sectPr>
      </w:pPr>
    </w:p>
    <w:bookmarkStart w:id="51" w:name="page52"/>
    <w:bookmarkEnd w:id="51"/>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1420" w:right="160" w:firstLine="389"/>
        <w:spacing w:after="0" w:line="312" w:lineRule="auto"/>
        <w:tabs>
          <w:tab w:leader="none" w:pos="2112" w:val="left"/>
        </w:tabs>
        <w:numPr>
          <w:ilvl w:val="1"/>
          <w:numId w:val="66"/>
        </w:numPr>
        <w:rPr>
          <w:rFonts w:ascii="Arial" w:cs="Arial" w:eastAsia="Arial" w:hAnsi="Arial"/>
          <w:sz w:val="16"/>
          <w:szCs w:val="16"/>
          <w:color w:val="auto"/>
        </w:rPr>
      </w:pPr>
      <w:r>
        <w:rPr>
          <w:rFonts w:ascii="Arial" w:cs="Arial" w:eastAsia="Arial" w:hAnsi="Arial"/>
          <w:sz w:val="16"/>
          <w:szCs w:val="16"/>
          <w:color w:val="auto"/>
        </w:rPr>
        <w:t>any of the Company’s internal personnel and financial information (including the revenue, costs or profits associated with any of the Company’s products), supplier names, payroll information, purchasing and internal cost information, internal service and operational manuals and other information of the Company; and the manner and methods of conducting the Company’s business;</w:t>
      </w:r>
    </w:p>
    <w:p>
      <w:pPr>
        <w:spacing w:after="0" w:line="38" w:lineRule="exact"/>
        <w:rPr>
          <w:rFonts w:ascii="Arial" w:cs="Arial" w:eastAsia="Arial" w:hAnsi="Arial"/>
          <w:sz w:val="16"/>
          <w:szCs w:val="16"/>
          <w:color w:val="auto"/>
        </w:rPr>
      </w:pPr>
    </w:p>
    <w:p>
      <w:pPr>
        <w:jc w:val="both"/>
        <w:ind w:left="1420" w:firstLine="389"/>
        <w:spacing w:after="0" w:line="264" w:lineRule="auto"/>
        <w:tabs>
          <w:tab w:leader="none" w:pos="2112" w:val="left"/>
        </w:tabs>
        <w:numPr>
          <w:ilvl w:val="1"/>
          <w:numId w:val="66"/>
        </w:numPr>
        <w:rPr>
          <w:rFonts w:ascii="Arial" w:cs="Arial" w:eastAsia="Arial" w:hAnsi="Arial"/>
          <w:sz w:val="18"/>
          <w:szCs w:val="18"/>
          <w:color w:val="auto"/>
        </w:rPr>
      </w:pPr>
      <w:r>
        <w:rPr>
          <w:rFonts w:ascii="Arial" w:cs="Arial" w:eastAsia="Arial" w:hAnsi="Arial"/>
          <w:sz w:val="18"/>
          <w:szCs w:val="18"/>
          <w:color w:val="auto"/>
        </w:rPr>
        <w:t>marketing and developmental plans, concepts, strategies, methods, procedures and technology price and cost data, price and fee amounts, pricing and billing policies, quoting procedures, marketing techniques and methods of obtaining business, forecasts and forecast assumptions and volumes and future plans and potential strategies of the Company; and</w:t>
      </w:r>
    </w:p>
    <w:p>
      <w:pPr>
        <w:spacing w:after="0" w:line="73" w:lineRule="exact"/>
        <w:rPr>
          <w:rFonts w:ascii="Arial" w:cs="Arial" w:eastAsia="Arial" w:hAnsi="Arial"/>
          <w:sz w:val="18"/>
          <w:szCs w:val="18"/>
          <w:color w:val="auto"/>
        </w:rPr>
      </w:pPr>
    </w:p>
    <w:p>
      <w:pPr>
        <w:ind w:left="2040" w:hanging="231"/>
        <w:spacing w:after="0"/>
        <w:tabs>
          <w:tab w:leader="none" w:pos="20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hardware, software and computer programs and technology used by the Company.</w:t>
      </w:r>
    </w:p>
    <w:p>
      <w:pPr>
        <w:spacing w:after="0" w:line="117" w:lineRule="exact"/>
        <w:rPr>
          <w:rFonts w:ascii="Arial" w:cs="Arial" w:eastAsia="Arial" w:hAnsi="Arial"/>
          <w:sz w:val="18"/>
          <w:szCs w:val="18"/>
          <w:color w:val="auto"/>
        </w:rPr>
      </w:pPr>
    </w:p>
    <w:p>
      <w:pPr>
        <w:ind w:left="840" w:right="80" w:firstLine="421"/>
        <w:spacing w:after="0" w:line="284" w:lineRule="auto"/>
        <w:tabs>
          <w:tab w:leader="none" w:pos="1504"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Non-Disclosure and Non-Use of Confidential Information</w:t>
      </w:r>
      <w:r>
        <w:rPr>
          <w:rFonts w:ascii="Arial" w:cs="Arial" w:eastAsia="Arial" w:hAnsi="Arial"/>
          <w:sz w:val="16"/>
          <w:szCs w:val="16"/>
          <w:color w:val="auto"/>
        </w:rPr>
        <w:t xml:space="preserve">. In furtherance of this Agreement, to ensure adequate protection against the wrongful use or disclosure of Confidential Information, and to protect the value associated with the Confidential Information and Purchaser’s investment in the Shares, Sellers agree that they shall hold all Confidential Information in strict confidence, and that, unless they obtain the prior written consent of Purchaser or as required by Law, Sellers shall not directly or indirectly use, disclose, distribute, disseminate or authorize any third party to use, disclose, distribute or disseminate any Confidential Information for any purpose. Sellers further agree that they shall deliver to Purchaser all Confidential Information (and any copies thereof, in whatever format), in their possession or under their control on the Closing. Sellers acknowledge and agree that any violation of the confidentiality obligations set forth in this </w:t>
      </w:r>
      <w:r>
        <w:rPr>
          <w:rFonts w:ascii="Arial" w:cs="Arial" w:eastAsia="Arial" w:hAnsi="Arial"/>
          <w:sz w:val="16"/>
          <w:szCs w:val="16"/>
          <w:u w:val="single" w:color="auto"/>
          <w:color w:val="auto"/>
        </w:rPr>
        <w:t>Section 7.01(c)</w:t>
      </w:r>
      <w:r>
        <w:rPr>
          <w:rFonts w:ascii="Arial" w:cs="Arial" w:eastAsia="Arial" w:hAnsi="Arial"/>
          <w:sz w:val="16"/>
          <w:szCs w:val="16"/>
          <w:color w:val="auto"/>
        </w:rPr>
        <w:t xml:space="preserve"> would be extremely detrimental and prejudicial to Purchaser, and would result in irreparable injury and loss to Purchaser. The obligations set forth in this</w:t>
      </w:r>
    </w:p>
    <w:p>
      <w:pPr>
        <w:spacing w:after="0" w:line="1" w:lineRule="exact"/>
        <w:rPr>
          <w:rFonts w:ascii="Arial" w:cs="Arial" w:eastAsia="Arial" w:hAnsi="Arial"/>
          <w:sz w:val="16"/>
          <w:szCs w:val="16"/>
          <w:color w:val="auto"/>
        </w:rPr>
      </w:pPr>
    </w:p>
    <w:p>
      <w:pPr>
        <w:ind w:left="840" w:right="180"/>
        <w:spacing w:after="0" w:line="277" w:lineRule="auto"/>
        <w:rPr>
          <w:rFonts w:ascii="Arial" w:cs="Arial" w:eastAsia="Arial" w:hAnsi="Arial"/>
          <w:sz w:val="16"/>
          <w:szCs w:val="16"/>
          <w:color w:val="auto"/>
        </w:rPr>
      </w:pPr>
      <w:r>
        <w:rPr>
          <w:rFonts w:ascii="Arial" w:cs="Arial" w:eastAsia="Arial" w:hAnsi="Arial"/>
          <w:sz w:val="17"/>
          <w:szCs w:val="17"/>
          <w:u w:val="single" w:color="auto"/>
          <w:color w:val="auto"/>
        </w:rPr>
        <w:t>Section 7.01(c)</w:t>
      </w:r>
      <w:r>
        <w:rPr>
          <w:rFonts w:ascii="Arial" w:cs="Arial" w:eastAsia="Arial" w:hAnsi="Arial"/>
          <w:sz w:val="17"/>
          <w:szCs w:val="17"/>
          <w:color w:val="auto"/>
        </w:rPr>
        <w:t xml:space="preserve">, and Purchaser’s rights and remedies with respect thereto, shall remain in full force and effect for as long as the Confidential Information remains confidential (except that the obligations shall continue if the Confidential Information loses its confidential nature through any act by or omission of the Company and/or any of Sellers, including breaches of this </w:t>
      </w:r>
      <w:r>
        <w:rPr>
          <w:rFonts w:ascii="Arial" w:cs="Arial" w:eastAsia="Arial" w:hAnsi="Arial"/>
          <w:sz w:val="17"/>
          <w:szCs w:val="17"/>
          <w:u w:val="single" w:color="auto"/>
          <w:color w:val="auto"/>
        </w:rPr>
        <w:t>Section 7.01(c</w:t>
      </w:r>
      <w:r>
        <w:rPr>
          <w:rFonts w:ascii="Arial" w:cs="Arial" w:eastAsia="Arial" w:hAnsi="Arial"/>
          <w:sz w:val="17"/>
          <w:szCs w:val="17"/>
          <w:color w:val="auto"/>
        </w:rPr>
        <w:t>)).</w:t>
      </w:r>
    </w:p>
    <w:p>
      <w:pPr>
        <w:spacing w:after="0" w:line="169" w:lineRule="exact"/>
        <w:rPr>
          <w:sz w:val="20"/>
          <w:szCs w:val="20"/>
          <w:color w:val="auto"/>
        </w:rPr>
      </w:pPr>
    </w:p>
    <w:p>
      <w:pPr>
        <w:ind w:left="840"/>
        <w:spacing w:after="0"/>
        <w:rPr>
          <w:sz w:val="20"/>
          <w:szCs w:val="20"/>
          <w:color w:val="auto"/>
        </w:rPr>
      </w:pPr>
      <w:r>
        <w:rPr>
          <w:rFonts w:ascii="Arial" w:cs="Arial" w:eastAsia="Arial" w:hAnsi="Arial"/>
          <w:sz w:val="18"/>
          <w:szCs w:val="18"/>
          <w:b w:val="1"/>
          <w:bCs w:val="1"/>
          <w:u w:val="single" w:color="auto"/>
          <w:color w:val="auto"/>
        </w:rPr>
        <w:t>Section 7.02. Non-Competition</w:t>
      </w:r>
      <w:r>
        <w:rPr>
          <w:rFonts w:ascii="Arial" w:cs="Arial" w:eastAsia="Arial" w:hAnsi="Arial"/>
          <w:sz w:val="18"/>
          <w:szCs w:val="18"/>
          <w:color w:val="auto"/>
        </w:rPr>
        <w:t>.</w:t>
      </w:r>
    </w:p>
    <w:p>
      <w:pPr>
        <w:spacing w:after="0" w:line="121" w:lineRule="exact"/>
        <w:rPr>
          <w:sz w:val="20"/>
          <w:szCs w:val="20"/>
          <w:color w:val="auto"/>
        </w:rPr>
      </w:pPr>
    </w:p>
    <w:p>
      <w:pPr>
        <w:ind w:left="840" w:right="240" w:firstLine="421"/>
        <w:spacing w:after="0" w:line="276" w:lineRule="auto"/>
        <w:tabs>
          <w:tab w:leader="none" w:pos="1505" w:val="left"/>
        </w:tabs>
        <w:numPr>
          <w:ilvl w:val="0"/>
          <w:numId w:val="68"/>
        </w:numPr>
        <w:rPr>
          <w:rFonts w:ascii="Arial" w:cs="Arial" w:eastAsia="Arial" w:hAnsi="Arial"/>
          <w:sz w:val="17"/>
          <w:szCs w:val="17"/>
          <w:color w:val="auto"/>
        </w:rPr>
      </w:pPr>
      <w:r>
        <w:rPr>
          <w:rFonts w:ascii="Arial" w:cs="Arial" w:eastAsia="Arial" w:hAnsi="Arial"/>
          <w:sz w:val="17"/>
          <w:szCs w:val="17"/>
          <w:color w:val="auto"/>
        </w:rPr>
        <w:t>For a period of four (4) years following the Closing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each Seller shall not, directly or indirectly, engage in, own, manage, operate, join, control, lend money or other assistance to, or participate in or be connected with, as an officer, director, employee, partner, shareholder, consultant, manager, agent or otherwise, any individual, corporation, partnership, firm, other company, business organization, activity, entity or Person that provides and/or markets any of the same or similar services as those the Company provides and/or markets in connection with the Business as of the date of the Closing or those which the Company provided, and/or</w:t>
      </w:r>
    </w:p>
    <w:p>
      <w:pPr>
        <w:spacing w:after="0" w:line="105" w:lineRule="exact"/>
        <w:rPr>
          <w:rFonts w:ascii="Arial" w:cs="Arial" w:eastAsia="Arial" w:hAnsi="Arial"/>
          <w:sz w:val="17"/>
          <w:szCs w:val="17"/>
          <w:color w:val="auto"/>
        </w:rPr>
      </w:pPr>
    </w:p>
    <w:p>
      <w:pPr>
        <w:ind w:left="5540" w:hanging="101"/>
        <w:spacing w:after="0"/>
        <w:tabs>
          <w:tab w:leader="none" w:pos="55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340"/>
          </w:cols>
          <w:pgMar w:left="320" w:top="274" w:right="239" w:bottom="1440" w:gutter="0" w:footer="0" w:header="0"/>
        </w:sectPr>
      </w:pPr>
    </w:p>
    <w:bookmarkStart w:id="52" w:name="page53"/>
    <w:bookmarkEnd w:id="52"/>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48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left="840" w:right="240"/>
        <w:spacing w:after="0" w:line="264" w:lineRule="auto"/>
        <w:rPr>
          <w:sz w:val="20"/>
          <w:szCs w:val="20"/>
          <w:color w:val="auto"/>
        </w:rPr>
      </w:pPr>
      <w:r>
        <w:rPr>
          <w:rFonts w:ascii="Arial" w:cs="Arial" w:eastAsia="Arial" w:hAnsi="Arial"/>
          <w:sz w:val="18"/>
          <w:szCs w:val="18"/>
          <w:color w:val="auto"/>
        </w:rPr>
        <w:t xml:space="preserve">marketed in connection with the Business at any time during the twelve (12) month period immediately preceding the date of the Closing. The geographic scope for the restriction set forth in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shall be the United States, which geographic scope Sellers represent is coextensive with the geographic scope of the Company’s Business.</w:t>
      </w:r>
    </w:p>
    <w:p>
      <w:pPr>
        <w:spacing w:after="0" w:line="73" w:lineRule="exact"/>
        <w:rPr>
          <w:sz w:val="20"/>
          <w:szCs w:val="20"/>
          <w:color w:val="auto"/>
        </w:rPr>
      </w:pPr>
    </w:p>
    <w:p>
      <w:pPr>
        <w:ind w:left="840" w:right="40" w:firstLine="421"/>
        <w:spacing w:after="0" w:line="270" w:lineRule="auto"/>
        <w:tabs>
          <w:tab w:leader="none" w:pos="1515"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Each Seller hereby acknowledges and agrees that the restrictive period of time, geographic scope and scope of restricted activity specified herein are reasonable and necessary in view of the transactions contemplated by this Agreement and the nature of the business in which the Company was engaged or is engaged as of Closing and in which Purchaser is, or shall be, engaged. Each of Sellers further acknowledge and agree that the restrictions set forth in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are reasonable and necessary to protect Purchaser’s investment under this Agreement and to safeguard the value and goodwill associated with the Shares. Each of Sellers acknowledge and agree that Purchaser would not have entered into this Agreement but for each of Sellers’ agreements and obligations pursuant to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If the scope of any stated restriction is too broad to permit enforcement of such restriction(s) to its full extent, then the Parties agree that such restriction shall be enforced and/or modified to the maximum extent permitted by law. The Parties agree that in the event of a breach of this </w:t>
      </w:r>
      <w:r>
        <w:rPr>
          <w:rFonts w:ascii="Arial" w:cs="Arial" w:eastAsia="Arial" w:hAnsi="Arial"/>
          <w:sz w:val="17"/>
          <w:szCs w:val="17"/>
          <w:u w:val="single" w:color="auto"/>
          <w:color w:val="auto"/>
        </w:rPr>
        <w:t>Section 7.02</w:t>
      </w:r>
      <w:r>
        <w:rPr>
          <w:rFonts w:ascii="Arial" w:cs="Arial" w:eastAsia="Arial" w:hAnsi="Arial"/>
          <w:sz w:val="17"/>
          <w:szCs w:val="17"/>
          <w:color w:val="auto"/>
        </w:rPr>
        <w:t>, the Restricted Period shall be extended with respect to the breaching party by the period of the breach.</w:t>
      </w:r>
    </w:p>
    <w:p>
      <w:pPr>
        <w:spacing w:after="0" w:line="178" w:lineRule="exact"/>
        <w:rPr>
          <w:sz w:val="20"/>
          <w:szCs w:val="20"/>
          <w:color w:val="auto"/>
        </w:rPr>
      </w:pPr>
    </w:p>
    <w:p>
      <w:pPr>
        <w:ind w:left="840"/>
        <w:spacing w:after="0"/>
        <w:rPr>
          <w:sz w:val="20"/>
          <w:szCs w:val="20"/>
          <w:color w:val="auto"/>
        </w:rPr>
      </w:pPr>
      <w:r>
        <w:rPr>
          <w:rFonts w:ascii="Arial" w:cs="Arial" w:eastAsia="Arial" w:hAnsi="Arial"/>
          <w:sz w:val="18"/>
          <w:szCs w:val="18"/>
          <w:b w:val="1"/>
          <w:bCs w:val="1"/>
          <w:u w:val="single" w:color="auto"/>
          <w:color w:val="auto"/>
        </w:rPr>
        <w:t>Section 7.03. Non-Solicitation</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Restricted Period, Sellers shall not, directly or indirectly:</w:t>
      </w:r>
    </w:p>
    <w:p>
      <w:pPr>
        <w:spacing w:after="0" w:line="121" w:lineRule="exact"/>
        <w:rPr>
          <w:sz w:val="20"/>
          <w:szCs w:val="20"/>
          <w:color w:val="auto"/>
        </w:rPr>
      </w:pPr>
    </w:p>
    <w:p>
      <w:pPr>
        <w:ind w:left="840" w:right="100" w:firstLine="421"/>
        <w:spacing w:after="0" w:line="255" w:lineRule="auto"/>
        <w:tabs>
          <w:tab w:leader="none" w:pos="15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call upon, solicit, accept any business of, contact or have any communication with any Person who is a customer or prospective customer of the Company or Purchaser as of the Closing, or who was a customer or prospective customer of the Company or Purchaser at any time within the twelve (12) month period immediately preceding the Closing for the purpose of: (i) diverting or attempting to divert or influence any business of such customer or prospective customer to any competitor of the Company or Purchaser; (ii) marketing, selling, distributing, leasing or providing any products or services in competition with the Business, the Company or Purchaser; or (iii) otherwise interfering in any fashion with the operations being conducted by the Company or Purchaser as of the Closing or with any operations conducted by Purchaser during the Restricted Period;</w:t>
      </w:r>
    </w:p>
    <w:p>
      <w:pPr>
        <w:spacing w:after="0" w:line="81" w:lineRule="exact"/>
        <w:rPr>
          <w:rFonts w:ascii="Arial" w:cs="Arial" w:eastAsia="Arial" w:hAnsi="Arial"/>
          <w:sz w:val="18"/>
          <w:szCs w:val="18"/>
          <w:color w:val="auto"/>
        </w:rPr>
      </w:pPr>
    </w:p>
    <w:p>
      <w:pPr>
        <w:ind w:left="840" w:right="140" w:firstLine="421"/>
        <w:spacing w:after="0" w:line="297" w:lineRule="auto"/>
        <w:tabs>
          <w:tab w:leader="none" w:pos="1515" w:val="left"/>
        </w:tabs>
        <w:numPr>
          <w:ilvl w:val="0"/>
          <w:numId w:val="70"/>
        </w:numPr>
        <w:rPr>
          <w:rFonts w:ascii="Arial" w:cs="Arial" w:eastAsia="Arial" w:hAnsi="Arial"/>
          <w:sz w:val="16"/>
          <w:szCs w:val="16"/>
          <w:color w:val="auto"/>
        </w:rPr>
      </w:pPr>
      <w:r>
        <w:rPr>
          <w:rFonts w:ascii="Arial" w:cs="Arial" w:eastAsia="Arial" w:hAnsi="Arial"/>
          <w:sz w:val="16"/>
          <w:szCs w:val="16"/>
          <w:color w:val="auto"/>
        </w:rPr>
        <w:t>cause, induce or attempt to cause or induce any customer, supplier, licensee, licensor, franchisee, employee, consultant or other Person who is a business relation of the Company or Purchaser as of the Closing or who was a customer, supplier, licensee, licensor, franchisee, employee, consultant or business relation of the Company or Purchaser within the twelve (12) month period immediately preceding the Closing to cease doing business with Purchaser, to deal with any competitor of Purchaser or the Company or in any way interfere with the relationship between any such customer, supplier, licensee, licensor, franchisee, employee, consultant or business relation and Purchaser;</w:t>
      </w:r>
    </w:p>
    <w:p>
      <w:pPr>
        <w:spacing w:after="0" w:line="90" w:lineRule="exact"/>
        <w:rPr>
          <w:rFonts w:ascii="Arial" w:cs="Arial" w:eastAsia="Arial" w:hAnsi="Arial"/>
          <w:sz w:val="16"/>
          <w:szCs w:val="16"/>
          <w:color w:val="auto"/>
        </w:rPr>
      </w:pPr>
    </w:p>
    <w:p>
      <w:pPr>
        <w:ind w:left="5540" w:hanging="101"/>
        <w:spacing w:after="0"/>
        <w:tabs>
          <w:tab w:leader="none" w:pos="55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1340"/>
          </w:cols>
          <w:pgMar w:left="320" w:top="27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920" w:right="120" w:firstLine="421"/>
        <w:spacing w:after="0" w:line="286" w:lineRule="auto"/>
        <w:tabs>
          <w:tab w:leader="none" w:pos="1585" w:val="left"/>
        </w:tabs>
        <w:numPr>
          <w:ilvl w:val="0"/>
          <w:numId w:val="71"/>
        </w:numPr>
        <w:rPr>
          <w:rFonts w:ascii="Arial" w:cs="Arial" w:eastAsia="Arial" w:hAnsi="Arial"/>
          <w:sz w:val="17"/>
          <w:szCs w:val="17"/>
          <w:color w:val="auto"/>
        </w:rPr>
      </w:pPr>
      <w:r>
        <w:rPr>
          <w:rFonts w:ascii="Arial" w:cs="Arial" w:eastAsia="Arial" w:hAnsi="Arial"/>
          <w:sz w:val="17"/>
          <w:szCs w:val="17"/>
          <w:color w:val="auto"/>
        </w:rPr>
        <w:t>solicit for employment or attempt to solicit otherwise, endeavor to entice away from Purchaser, hire or retain any Person who is an employee, independent contractor or other Personnel of Purchaser as of the Closing or during the Restricted Period, or interfere in any way with the relationship between Purchaser and any of its employees, independent contractors or other Personnel; or</w:t>
      </w:r>
    </w:p>
    <w:p>
      <w:pPr>
        <w:spacing w:after="0" w:line="57" w:lineRule="exact"/>
        <w:rPr>
          <w:rFonts w:ascii="Arial" w:cs="Arial" w:eastAsia="Arial" w:hAnsi="Arial"/>
          <w:sz w:val="17"/>
          <w:szCs w:val="17"/>
          <w:color w:val="auto"/>
        </w:rPr>
      </w:pPr>
    </w:p>
    <w:p>
      <w:pPr>
        <w:ind w:left="920" w:right="20" w:firstLine="421"/>
        <w:spacing w:after="0" w:line="264" w:lineRule="auto"/>
        <w:tabs>
          <w:tab w:leader="none" w:pos="15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solicit for employment or attempt to solicit otherwise, endeavor to entice away, hire or retain any Person who is an employee, independent contractor or other Personnel of the Company as of the Closing, or who was an employee, independent contractor or other Personnel of the Company at any time within the twelve (12) month period immediately preceding the Closing.</w:t>
      </w:r>
    </w:p>
    <w:p>
      <w:pPr>
        <w:spacing w:after="0" w:line="18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Sellers hereby acknowledge and agree that the restrictive period of time and scope of restricted activity specified herein are reasonable and necessary in view of the transactions contemplated by this Agreement and the nature of the business in which the Company was engaged or is engaged as of Closing and in which Purchaser is, or shall be, engaged. Sellers further acknowledge and agree that the restrictions set forth in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are reasonable and necessary to protect Purchaser’s investment under this Agreement and to safeguard the value and goodwill associated with the Shares. Sellers acknowledge and agree that Purchaser would not have entered into this Agreement but for each of Sellers’ agreements and obligations pursuant to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If the scope of any stated restriction is too broad to permit enforcement of such restriction(s) to its full extent, then the Parties agree that such restriction shall be enforced and/or modified to the maximum extent permitted by law. The Parties agree that, in the event of a breach of this </w:t>
      </w:r>
      <w:r>
        <w:rPr>
          <w:rFonts w:ascii="Arial" w:cs="Arial" w:eastAsia="Arial" w:hAnsi="Arial"/>
          <w:sz w:val="16"/>
          <w:szCs w:val="16"/>
          <w:u w:val="single" w:color="auto"/>
          <w:color w:val="auto"/>
        </w:rPr>
        <w:t>Section 7.03</w:t>
      </w:r>
      <w:r>
        <w:rPr>
          <w:rFonts w:ascii="Arial" w:cs="Arial" w:eastAsia="Arial" w:hAnsi="Arial"/>
          <w:sz w:val="16"/>
          <w:szCs w:val="16"/>
          <w:color w:val="auto"/>
        </w:rPr>
        <w:t>, the Restricted Period shall be extended with respect to the breaching party by the period of the breach.</w:t>
      </w:r>
    </w:p>
    <w:p>
      <w:pPr>
        <w:spacing w:after="0" w:line="162" w:lineRule="exact"/>
        <w:rPr>
          <w:sz w:val="20"/>
          <w:szCs w:val="20"/>
          <w:color w:val="auto"/>
        </w:rPr>
      </w:pPr>
    </w:p>
    <w:p>
      <w:pPr>
        <w:ind w:right="40" w:firstLine="913"/>
        <w:spacing w:after="0" w:line="277" w:lineRule="auto"/>
        <w:rPr>
          <w:sz w:val="20"/>
          <w:szCs w:val="20"/>
          <w:color w:val="auto"/>
        </w:rPr>
      </w:pPr>
      <w:r>
        <w:rPr>
          <w:rFonts w:ascii="Arial" w:cs="Arial" w:eastAsia="Arial" w:hAnsi="Arial"/>
          <w:sz w:val="17"/>
          <w:szCs w:val="17"/>
          <w:b w:val="1"/>
          <w:bCs w:val="1"/>
          <w:u w:val="single" w:color="auto"/>
          <w:color w:val="auto"/>
        </w:rPr>
        <w:t>Section 7.04. Non-Disparagement</w:t>
      </w:r>
      <w:r>
        <w:rPr>
          <w:rFonts w:ascii="Arial" w:cs="Arial" w:eastAsia="Arial" w:hAnsi="Arial"/>
          <w:sz w:val="17"/>
          <w:szCs w:val="17"/>
          <w:b w:val="1"/>
          <w:bCs w:val="1"/>
          <w:color w:val="auto"/>
        </w:rPr>
        <w:t xml:space="preserve">. </w:t>
      </w:r>
      <w:r>
        <w:rPr>
          <w:rFonts w:ascii="Arial" w:cs="Arial" w:eastAsia="Arial" w:hAnsi="Arial"/>
          <w:sz w:val="17"/>
          <w:szCs w:val="17"/>
          <w:color w:val="auto"/>
        </w:rPr>
        <w:t>After the execution of this Agreement, each of Sellers shall not, directly or indirectly, make any negative or</w:t>
      </w:r>
      <w:r>
        <w:rPr>
          <w:rFonts w:ascii="Arial" w:cs="Arial" w:eastAsia="Arial" w:hAnsi="Arial"/>
          <w:sz w:val="17"/>
          <w:szCs w:val="17"/>
          <w:b w:val="1"/>
          <w:bCs w:val="1"/>
          <w:color w:val="auto"/>
        </w:rPr>
        <w:t xml:space="preserve"> </w:t>
      </w:r>
      <w:r>
        <w:rPr>
          <w:rFonts w:ascii="Arial" w:cs="Arial" w:eastAsia="Arial" w:hAnsi="Arial"/>
          <w:sz w:val="17"/>
          <w:szCs w:val="17"/>
          <w:color w:val="auto"/>
        </w:rPr>
        <w:t>disparaging statement, or release any information, or encourage others to make any statement or release any information that has the effect of embarrassing or criticizing Purchaser or any of its Affiliates, the Business, the services and products offered or provided in the Business or the Shares, including any of Purchaser’s, or its Affiliates’, actual or prospective customers, competitors, employees or former employees, including any verbal, written, or electronic statements made to the press or other media or on social media in the United States of America or in any other country.</w:t>
      </w:r>
    </w:p>
    <w:p>
      <w:pPr>
        <w:spacing w:after="0" w:line="168" w:lineRule="exact"/>
        <w:rPr>
          <w:sz w:val="20"/>
          <w:szCs w:val="20"/>
          <w:color w:val="auto"/>
        </w:rPr>
      </w:pPr>
    </w:p>
    <w:p>
      <w:pPr>
        <w:ind w:right="140" w:firstLine="913"/>
        <w:spacing w:after="0" w:line="282" w:lineRule="auto"/>
        <w:rPr>
          <w:sz w:val="20"/>
          <w:szCs w:val="20"/>
          <w:color w:val="auto"/>
        </w:rPr>
      </w:pPr>
      <w:r>
        <w:rPr>
          <w:rFonts w:ascii="Arial" w:cs="Arial" w:eastAsia="Arial" w:hAnsi="Arial"/>
          <w:sz w:val="18"/>
          <w:szCs w:val="18"/>
          <w:b w:val="1"/>
          <w:bCs w:val="1"/>
          <w:u w:val="single" w:color="auto"/>
          <w:color w:val="auto"/>
        </w:rPr>
        <w:t>Section 7.05.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Upon any breach or alleged breach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7.01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7.03</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7.04</w:t>
      </w:r>
      <w:r>
        <w:rPr>
          <w:rFonts w:ascii="Arial" w:cs="Arial" w:eastAsia="Arial" w:hAnsi="Arial"/>
          <w:sz w:val="18"/>
          <w:szCs w:val="18"/>
          <w:b w:val="1"/>
          <w:bCs w:val="1"/>
          <w:color w:val="auto"/>
        </w:rPr>
        <w:t xml:space="preserve"> </w:t>
      </w:r>
      <w:r>
        <w:rPr>
          <w:rFonts w:ascii="Arial" w:cs="Arial" w:eastAsia="Arial" w:hAnsi="Arial"/>
          <w:sz w:val="18"/>
          <w:szCs w:val="18"/>
          <w:color w:val="auto"/>
        </w:rPr>
        <w:t>by any of Sellers, Purchaser shall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following remedies, which shall be deemed cumulative:</w:t>
      </w:r>
    </w:p>
    <w:p>
      <w:pPr>
        <w:spacing w:after="0" w:line="58" w:lineRule="exact"/>
        <w:rPr>
          <w:sz w:val="20"/>
          <w:szCs w:val="20"/>
          <w:color w:val="auto"/>
        </w:rPr>
      </w:pPr>
    </w:p>
    <w:p>
      <w:pPr>
        <w:ind w:left="920" w:firstLine="421"/>
        <w:spacing w:after="0" w:line="255" w:lineRule="auto"/>
        <w:tabs>
          <w:tab w:leader="none" w:pos="1584"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xml:space="preserve">. Each of Sellers hereby acknowledges that any breach or alleged breach of </w:t>
      </w:r>
      <w:r>
        <w:rPr>
          <w:rFonts w:ascii="Arial" w:cs="Arial" w:eastAsia="Arial" w:hAnsi="Arial"/>
          <w:sz w:val="18"/>
          <w:szCs w:val="18"/>
          <w:u w:val="single" w:color="auto"/>
          <w:color w:val="auto"/>
        </w:rPr>
        <w:t>Sections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7.03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7.04</w:t>
      </w:r>
      <w:r>
        <w:rPr>
          <w:rFonts w:ascii="Arial" w:cs="Arial" w:eastAsia="Arial" w:hAnsi="Arial"/>
          <w:sz w:val="18"/>
          <w:szCs w:val="18"/>
          <w:color w:val="auto"/>
        </w:rPr>
        <w:t xml:space="preserve"> shall cause irreparable injury to the goodwill and proprietary rights of Purchaser and its Affiliates and subsidiaries, for which Purchaser shall not have an adequate remedy at law. Accordingly, Sellers agree that Purchaser shall be able to seek and obtain immediate injunctive relief in the form of a temporary restraining order, preliminary injunction, and/or permanent injunction against any of Sellers to restrain or enjoin any actual or threatened violation of any provision of </w:t>
      </w:r>
      <w:r>
        <w:rPr>
          <w:rFonts w:ascii="Arial" w:cs="Arial" w:eastAsia="Arial" w:hAnsi="Arial"/>
          <w:sz w:val="18"/>
          <w:szCs w:val="18"/>
          <w:u w:val="single" w:color="auto"/>
          <w:color w:val="auto"/>
        </w:rPr>
        <w:t>Sections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7.03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7.04</w:t>
      </w:r>
      <w:r>
        <w:rPr>
          <w:rFonts w:ascii="Arial" w:cs="Arial" w:eastAsia="Arial" w:hAnsi="Arial"/>
          <w:sz w:val="18"/>
          <w:szCs w:val="18"/>
          <w:color w:val="auto"/>
        </w:rPr>
        <w:t xml:space="preserve"> without any requirement of posting a bond or other surety or proving damages.</w:t>
      </w:r>
    </w:p>
    <w:p>
      <w:pPr>
        <w:spacing w:after="0" w:line="125" w:lineRule="exact"/>
        <w:rPr>
          <w:rFonts w:ascii="Arial" w:cs="Arial" w:eastAsia="Arial" w:hAnsi="Arial"/>
          <w:sz w:val="18"/>
          <w:szCs w:val="18"/>
          <w:color w:val="auto"/>
        </w:rPr>
      </w:pPr>
    </w:p>
    <w:p>
      <w:pPr>
        <w:ind w:left="5620" w:hanging="101"/>
        <w:spacing w:after="0"/>
        <w:tabs>
          <w:tab w:leader="none" w:pos="56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420"/>
          </w:cols>
          <w:pgMar w:left="240" w:top="27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920" w:right="780" w:firstLine="421"/>
        <w:spacing w:after="0" w:line="312" w:lineRule="auto"/>
        <w:tabs>
          <w:tab w:leader="none" w:pos="159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Costs, Expenses and Attorneys’ Fees</w:t>
      </w:r>
      <w:r>
        <w:rPr>
          <w:rFonts w:ascii="Arial" w:cs="Arial" w:eastAsia="Arial" w:hAnsi="Arial"/>
          <w:sz w:val="16"/>
          <w:szCs w:val="16"/>
          <w:color w:val="auto"/>
        </w:rPr>
        <w:t xml:space="preserve">. Purchaser shall be entitled to recover from Sellers, as applicable all costs, expenses and reasonable attorneys’ fees incurred by Purchaser in obtaining enforcement of </w:t>
      </w:r>
      <w:r>
        <w:rPr>
          <w:rFonts w:ascii="Arial" w:cs="Arial" w:eastAsia="Arial" w:hAnsi="Arial"/>
          <w:sz w:val="16"/>
          <w:szCs w:val="16"/>
          <w:u w:val="single" w:color="auto"/>
          <w:color w:val="auto"/>
        </w:rPr>
        <w:t>Sections 7.01</w:t>
      </w:r>
      <w:r>
        <w:rPr>
          <w:rFonts w:ascii="Arial" w:cs="Arial" w:eastAsia="Arial" w:hAnsi="Arial"/>
          <w:sz w:val="16"/>
          <w:szCs w:val="16"/>
          <w:color w:val="auto"/>
        </w:rPr>
        <w:t xml:space="preserve">, </w:t>
      </w:r>
      <w:r>
        <w:rPr>
          <w:rFonts w:ascii="Arial" w:cs="Arial" w:eastAsia="Arial" w:hAnsi="Arial"/>
          <w:sz w:val="16"/>
          <w:szCs w:val="16"/>
          <w:u w:val="single" w:color="auto"/>
          <w:color w:val="auto"/>
        </w:rPr>
        <w:t>7.02</w:t>
      </w:r>
      <w:r>
        <w:rPr>
          <w:rFonts w:ascii="Arial" w:cs="Arial" w:eastAsia="Arial" w:hAnsi="Arial"/>
          <w:sz w:val="16"/>
          <w:szCs w:val="16"/>
          <w:color w:val="auto"/>
        </w:rPr>
        <w:t xml:space="preserve">, </w:t>
      </w:r>
      <w:r>
        <w:rPr>
          <w:rFonts w:ascii="Arial" w:cs="Arial" w:eastAsia="Arial" w:hAnsi="Arial"/>
          <w:sz w:val="16"/>
          <w:szCs w:val="16"/>
          <w:u w:val="single" w:color="auto"/>
          <w:color w:val="auto"/>
        </w:rPr>
        <w:t>7.03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7.04</w:t>
      </w:r>
      <w:r>
        <w:rPr>
          <w:rFonts w:ascii="Arial" w:cs="Arial" w:eastAsia="Arial" w:hAnsi="Arial"/>
          <w:sz w:val="16"/>
          <w:szCs w:val="16"/>
          <w:color w:val="auto"/>
        </w:rPr>
        <w:t xml:space="preserve"> of this Agreement or in successfully defending any action brought by Sellers to challenge or construe the terms of any of such Sections.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OTHER AGREEMENTS</w:t>
      </w:r>
    </w:p>
    <w:p>
      <w:pPr>
        <w:spacing w:after="0" w:line="207"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b w:val="1"/>
          <w:bCs w:val="1"/>
          <w:u w:val="single" w:color="auto"/>
          <w:color w:val="auto"/>
        </w:rPr>
        <w:t>Section 8.01. Taxes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hereinafter provided, Sellers shall timely pay, or cause the Company and LLC to pay, (a) all Taxes arising out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ownership or use of the Shares or Interests on or before the Closing Date, including all personal property Taxes due and payable (or assessed for periods) on or before the Closing Date and (b) all Taxes, including gross and net income Taxes, and transfer, recording, sales and use Taxes arising out of the sale or transfer of the Shares or Interests pursuant to this Agreement or any of the Related Agreements, if any. Notwithstanding the above, Purchaser agrees that any income tax assessed by the state of California on account of the transactions contemplated by this Agreement, shall remain a liability of the Company and be paid by the Company post-Closing, and shall not be considered in the calculation of the Final Working Capital, provided,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obligation shall not exceed [*], and in the event the obligation does exceed [*], any such excess amount shall be paid by the Sellers through a reduction of the principal amount then remaining on the Note. All special assessments on the Real Property, whether or not currently due and payable, shall be paid in full by Sellers on or prior to the Closing Date. Any Tax proration based upon an estimate shall be redetermined promptly after the time the bills are issued, and Purchaser and Sellers shall pay to the other any amounts due as a result of such redetermination. Sellers’ portion of the property Taxes shall be the property Taxes multiplied by a fraction, the numerator of which shall be the number of days in the applicable Taxing period on and prior to the Closing Date and the denominator of which shall be the total number of days in the applicable Taxing period. All taxes payable by Sellers after the Closing Date pursuant to any provision of this Agreement shall be treated as a Purchase Price Adjustment pursuant to </w:t>
      </w:r>
      <w:r>
        <w:rPr>
          <w:rFonts w:ascii="Arial" w:cs="Arial" w:eastAsia="Arial" w:hAnsi="Arial"/>
          <w:sz w:val="16"/>
          <w:szCs w:val="16"/>
          <w:u w:val="single" w:color="auto"/>
          <w:color w:val="auto"/>
        </w:rPr>
        <w:t>Section 1.05</w:t>
      </w:r>
      <w:r>
        <w:rPr>
          <w:rFonts w:ascii="Arial" w:cs="Arial" w:eastAsia="Arial" w:hAnsi="Arial"/>
          <w:sz w:val="16"/>
          <w:szCs w:val="16"/>
          <w:color w:val="auto"/>
        </w:rPr>
        <w: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Section 8.02. Cooperation on Tax Matters</w:t>
      </w:r>
      <w:r>
        <w:rPr>
          <w:rFonts w:ascii="Arial" w:cs="Arial" w:eastAsia="Arial" w:hAnsi="Arial"/>
          <w:sz w:val="18"/>
          <w:szCs w:val="18"/>
          <w:b w:val="1"/>
          <w:bCs w:val="1"/>
          <w:color w:val="auto"/>
        </w:rPr>
        <w:t>.</w:t>
      </w:r>
    </w:p>
    <w:p>
      <w:pPr>
        <w:spacing w:after="0" w:line="121" w:lineRule="exact"/>
        <w:rPr>
          <w:sz w:val="20"/>
          <w:szCs w:val="20"/>
          <w:color w:val="auto"/>
        </w:rPr>
      </w:pPr>
    </w:p>
    <w:p>
      <w:pPr>
        <w:ind w:left="920" w:right="80" w:firstLine="421"/>
        <w:spacing w:after="0" w:line="273" w:lineRule="auto"/>
        <w:tabs>
          <w:tab w:leader="none" w:pos="158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Parties hereto shall cooperate, and shall cause their respective representatives to cooperate, in preparing and filing all Tax Returns (including amended Tax Returns and claims for refund), in handling audits, examinations, investigations and administrative, court or other Proceedings relating to Taxes, in resolving all disputes, audits and refund claims with respect to such Tax Returns and Taxes, and any earlier Tax Returns and Taxes of the Company and LLC, and in all other appropriate Tax matters, in each case including making employees available to assist the requesting party, timely providing information reasonably requested, maintaining and making available to each other all records necessary in connection therewith, and the execution and delivery of appropriate and customary forms and</w:t>
      </w:r>
    </w:p>
    <w:p>
      <w:pPr>
        <w:spacing w:after="0" w:line="110" w:lineRule="exact"/>
        <w:rPr>
          <w:rFonts w:ascii="Arial" w:cs="Arial" w:eastAsia="Arial" w:hAnsi="Arial"/>
          <w:sz w:val="17"/>
          <w:szCs w:val="17"/>
          <w:color w:val="auto"/>
        </w:rPr>
      </w:pPr>
    </w:p>
    <w:p>
      <w:pPr>
        <w:ind w:left="5620" w:hanging="101"/>
        <w:spacing w:after="0"/>
        <w:tabs>
          <w:tab w:leader="none" w:pos="5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1420"/>
          </w:cols>
          <w:pgMar w:left="240" w:top="274" w:right="239" w:bottom="1440" w:gutter="0" w:footer="0" w:header="0"/>
        </w:sectPr>
      </w:pPr>
    </w:p>
    <w:bookmarkStart w:id="55" w:name="page56"/>
    <w:bookmarkEnd w:id="55"/>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48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left="840"/>
        <w:spacing w:after="0" w:line="271" w:lineRule="auto"/>
        <w:rPr>
          <w:sz w:val="20"/>
          <w:szCs w:val="20"/>
          <w:color w:val="auto"/>
        </w:rPr>
      </w:pPr>
      <w:r>
        <w:rPr>
          <w:rFonts w:ascii="Arial" w:cs="Arial" w:eastAsia="Arial" w:hAnsi="Arial"/>
          <w:sz w:val="17"/>
          <w:szCs w:val="17"/>
          <w:color w:val="auto"/>
        </w:rPr>
        <w:t>authorizations, including federal Form 2848, Power of Attorney and Declaration of Representative (or a successor form or forms), and comparable forms for foreign, state and local Tax purposes, as appropriate, when the requesting party reasonably requires such forms in connection with any Tax dispute or claim for refund. Any information obtained by any party or its Affiliates from another party or its Affiliates in connection with any Tax matters to which this Agreement relates shall be kept confidential, except: (i) as may be otherwise necessary in connection with the filing of Tax Returns or claims for refund or in conducting an audit or other Proceeding relating to Taxes or as may be otherwise reasonably required by applicable Law, to enforce rights under this Agreement or to pursue any claim for refund or contest any proposed Tax assessment; or (ii) for any external disclosure in audited financial statements or regulatory filings which a party reasonably believes is required by applicable Law or stock exchange or similar applicable rules.</w:t>
      </w:r>
    </w:p>
    <w:p>
      <w:pPr>
        <w:spacing w:after="0" w:line="71" w:lineRule="exact"/>
        <w:rPr>
          <w:sz w:val="20"/>
          <w:szCs w:val="20"/>
          <w:color w:val="auto"/>
        </w:rPr>
      </w:pPr>
    </w:p>
    <w:p>
      <w:pPr>
        <w:ind w:left="840" w:right="160" w:firstLine="421"/>
        <w:spacing w:after="0" w:line="255" w:lineRule="auto"/>
        <w:tabs>
          <w:tab w:leader="none" w:pos="15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Notwithstanding the foregoing, and in addition to all other obligations imposed by this </w:t>
      </w:r>
      <w:r>
        <w:rPr>
          <w:rFonts w:ascii="Arial" w:cs="Arial" w:eastAsia="Arial" w:hAnsi="Arial"/>
          <w:sz w:val="18"/>
          <w:szCs w:val="18"/>
          <w:u w:val="single" w:color="auto"/>
          <w:color w:val="auto"/>
        </w:rPr>
        <w:t>Section 8.02</w:t>
      </w:r>
      <w:r>
        <w:rPr>
          <w:rFonts w:ascii="Arial" w:cs="Arial" w:eastAsia="Arial" w:hAnsi="Arial"/>
          <w:sz w:val="18"/>
          <w:szCs w:val="18"/>
          <w:color w:val="auto"/>
        </w:rPr>
        <w:t>: (i) each of Sellers and Purchaser agree to give the other party reasonable written notice prior to transferring, destroying or discarding any Files and Records with respect to Tax matters and, if the other party so requests, shall allow the other party to take possession of such Files and Records; and (ii) each of Sellers shall retain (or cause the Company’s Affiliates or LLC to retain) all such Files and Records of the Company, LLC and the Company’s Affiliates until the expiration of any applicable statute of limitations (including any extension thereof) with respect to Tax Returns filed on behalf of the Company, LLC or its Affiliates.</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18"/>
          <w:szCs w:val="18"/>
          <w:b w:val="1"/>
          <w:bCs w:val="1"/>
          <w:u w:val="single" w:color="auto"/>
          <w:color w:val="auto"/>
        </w:rPr>
        <w:t>Section 8.03. Preparation of Tax Returns</w:t>
      </w:r>
      <w:r>
        <w:rPr>
          <w:rFonts w:ascii="Arial" w:cs="Arial" w:eastAsia="Arial" w:hAnsi="Arial"/>
          <w:sz w:val="18"/>
          <w:szCs w:val="18"/>
          <w:color w:val="auto"/>
        </w:rPr>
        <w:t>.</w:t>
      </w:r>
    </w:p>
    <w:p>
      <w:pPr>
        <w:spacing w:after="0" w:line="121" w:lineRule="exact"/>
        <w:rPr>
          <w:sz w:val="20"/>
          <w:szCs w:val="20"/>
          <w:color w:val="auto"/>
        </w:rPr>
      </w:pPr>
    </w:p>
    <w:p>
      <w:pPr>
        <w:ind w:left="840" w:right="40" w:firstLine="421"/>
        <w:spacing w:after="0" w:line="254" w:lineRule="auto"/>
        <w:tabs>
          <w:tab w:leader="none" w:pos="15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Sellers’ Representative shall prepare and timely file, or shall cause to be prepared and timely filed, all Tax Returns in respect of the Company and LLC that are required to be filed (taking into account any extension) before the Closing Date and have not been filed, and the Sellers shall pay, or cause to be paid, all Taxes of Company due before the Closing Date. Such Tax Returns shall be prepared by treating items on such Tax Returns in a manner consistent with the past practices of such Company or LLC with respect to such items, except as required by applicable Law. At least ten (10) days prior to filing any such Tax Return, including the Income Tax Returns filed by the Sellers’ Representative, the Sellers’ Representative shall submit a copy of such Tax Return to Purchaser for Purchaser’s review. Sellers’ Representative shall consider in good faith any comment that the Purchaser submits to Sellers’ Representative no less than five (5) Business Days prior to the due date of the applicable Tax Return.</w:t>
      </w:r>
    </w:p>
    <w:p>
      <w:pPr>
        <w:spacing w:after="0" w:line="84" w:lineRule="exact"/>
        <w:rPr>
          <w:rFonts w:ascii="Arial" w:cs="Arial" w:eastAsia="Arial" w:hAnsi="Arial"/>
          <w:sz w:val="18"/>
          <w:szCs w:val="18"/>
          <w:color w:val="auto"/>
        </w:rPr>
      </w:pPr>
    </w:p>
    <w:p>
      <w:pPr>
        <w:ind w:left="840" w:right="40" w:firstLine="421"/>
        <w:spacing w:after="0" w:line="259" w:lineRule="auto"/>
        <w:tabs>
          <w:tab w:leader="none" w:pos="15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Purchaser shall prepare or cause to be prepared in accordance with the past practice of such Company or LLC (except as otherwise required by applicable Law), and timely file or cause to be timely filed, all Tax Returns with respect to the Company and LLC for any Tax period ending prior to the Closing Date but that are required to be filed after the Closing Date. Purchaser shall deliver such Tax Returns at least ten (10) days prior to the due date (taking into account any extension) for the filing of such</w:t>
      </w:r>
    </w:p>
    <w:p>
      <w:pPr>
        <w:spacing w:after="0" w:line="119" w:lineRule="exact"/>
        <w:rPr>
          <w:rFonts w:ascii="Arial" w:cs="Arial" w:eastAsia="Arial" w:hAnsi="Arial"/>
          <w:sz w:val="18"/>
          <w:szCs w:val="18"/>
          <w:color w:val="auto"/>
        </w:rPr>
      </w:pPr>
    </w:p>
    <w:p>
      <w:pPr>
        <w:ind w:left="5540" w:hanging="101"/>
        <w:spacing w:after="0"/>
        <w:tabs>
          <w:tab w:leader="none" w:pos="5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46 -</w:t>
      </w:r>
    </w:p>
    <w:p>
      <w:pPr>
        <w:sectPr>
          <w:pgSz w:w="11900" w:h="16838" w:orient="portrait"/>
          <w:cols w:equalWidth="0" w:num="1">
            <w:col w:w="11340"/>
          </w:cols>
          <w:pgMar w:left="320" w:top="274" w:right="239" w:bottom="1440" w:gutter="0" w:footer="0" w:header="0"/>
        </w:sectPr>
      </w:pPr>
    </w:p>
    <w:bookmarkStart w:id="56" w:name="page57"/>
    <w:bookmarkEnd w:id="56"/>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48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left="840" w:right="160"/>
        <w:spacing w:after="0" w:line="291" w:lineRule="auto"/>
        <w:rPr>
          <w:sz w:val="20"/>
          <w:szCs w:val="20"/>
          <w:color w:val="auto"/>
        </w:rPr>
      </w:pPr>
      <w:r>
        <w:rPr>
          <w:rFonts w:ascii="Arial" w:cs="Arial" w:eastAsia="Arial" w:hAnsi="Arial"/>
          <w:sz w:val="16"/>
          <w:szCs w:val="16"/>
          <w:color w:val="auto"/>
        </w:rPr>
        <w:t xml:space="preserve">Tax Returns to the Sellers’ Representative for his review. Purchaser shall consider in good faith any comment that the Sellers’ Representative submits to Purchaser no less than five (5) Business Days prior to the due date of such Tax Returns. Notwithstanding the foregoing, the Sellers’ Representative shall prepare and file or cause to be filed all Income Tax Returns for the Company and LLC for any Tax period ending on the Closing Date. Sellers shall pay, or cause to be paid, Taxes due with respect to Tax Returns described in this </w:t>
      </w:r>
      <w:r>
        <w:rPr>
          <w:rFonts w:ascii="Arial" w:cs="Arial" w:eastAsia="Arial" w:hAnsi="Arial"/>
          <w:sz w:val="16"/>
          <w:szCs w:val="16"/>
          <w:u w:val="single" w:color="auto"/>
          <w:color w:val="auto"/>
        </w:rPr>
        <w:t>Section 8.03(b)</w:t>
      </w:r>
      <w:r>
        <w:rPr>
          <w:rFonts w:ascii="Arial" w:cs="Arial" w:eastAsia="Arial" w:hAnsi="Arial"/>
          <w:sz w:val="16"/>
          <w:szCs w:val="16"/>
          <w:color w:val="auto"/>
        </w:rPr>
        <w:t xml:space="preserve"> except to the extent such Taxes are taken into account in the determination of the Final Net Working Capital. In the event a payment described in the preceding sentence is to be remitted by the Company or LLC to a Taxing Authority, Sellers shall pay, or cause to be paid such payment to the Company at least two (2) Business Days before payment of such Taxes (including estimated Taxes, if applicable) are due to the Taxing Authority.</w:t>
      </w:r>
    </w:p>
    <w:p>
      <w:pPr>
        <w:spacing w:after="0" w:line="59" w:lineRule="exact"/>
        <w:rPr>
          <w:sz w:val="20"/>
          <w:szCs w:val="20"/>
          <w:color w:val="auto"/>
        </w:rPr>
      </w:pPr>
    </w:p>
    <w:p>
      <w:pPr>
        <w:jc w:val="both"/>
        <w:ind w:left="840" w:right="80" w:firstLine="421"/>
        <w:spacing w:after="0" w:line="257" w:lineRule="auto"/>
        <w:tabs>
          <w:tab w:leader="none" w:pos="1505" w:val="left"/>
        </w:tabs>
        <w:numPr>
          <w:ilvl w:val="1"/>
          <w:numId w:val="77"/>
        </w:numPr>
        <w:rPr>
          <w:rFonts w:ascii="Arial" w:cs="Arial" w:eastAsia="Arial" w:hAnsi="Arial"/>
          <w:sz w:val="18"/>
          <w:szCs w:val="18"/>
          <w:color w:val="auto"/>
        </w:rPr>
      </w:pPr>
      <w:r>
        <w:rPr>
          <w:rFonts w:ascii="Arial" w:cs="Arial" w:eastAsia="Arial" w:hAnsi="Arial"/>
          <w:sz w:val="18"/>
          <w:szCs w:val="18"/>
          <w:color w:val="auto"/>
        </w:rPr>
        <w:t>Purchaser shall prepare and timely file, or cause to be prepared and timely filed, any Tax Return required to be filed by the Company or LLC for a Straddle Period (a “</w:t>
      </w:r>
      <w:r>
        <w:rPr>
          <w:rFonts w:ascii="Arial" w:cs="Arial" w:eastAsia="Arial" w:hAnsi="Arial"/>
          <w:sz w:val="18"/>
          <w:szCs w:val="18"/>
          <w:u w:val="single" w:color="auto"/>
          <w:color w:val="auto"/>
        </w:rPr>
        <w:t>Straddle Period Tax Return</w:t>
      </w:r>
      <w:r>
        <w:rPr>
          <w:rFonts w:ascii="Arial" w:cs="Arial" w:eastAsia="Arial" w:hAnsi="Arial"/>
          <w:sz w:val="18"/>
          <w:szCs w:val="18"/>
          <w:color w:val="auto"/>
        </w:rPr>
        <w:t>”). Purchaser shall deliver such Straddle Period Tax Returns at least ten (10) days prior to the due date for the filing of such Straddle Period Tax Return to the Sellers’ Representative for his review a draft of such Straddle Tax Return. Purchaser shall reflect any reasonable comment that the Sellers’ Representative submits to Purchaser no less than five (5) Business Days prior to the due date of such Straddle Period Tax Return.</w:t>
      </w:r>
    </w:p>
    <w:p>
      <w:pPr>
        <w:spacing w:after="0" w:line="80" w:lineRule="exact"/>
        <w:rPr>
          <w:rFonts w:ascii="Arial" w:cs="Arial" w:eastAsia="Arial" w:hAnsi="Arial"/>
          <w:sz w:val="18"/>
          <w:szCs w:val="18"/>
          <w:color w:val="auto"/>
        </w:rPr>
      </w:pPr>
    </w:p>
    <w:p>
      <w:pPr>
        <w:ind w:left="840" w:firstLine="421"/>
        <w:spacing w:after="0" w:line="284" w:lineRule="auto"/>
        <w:tabs>
          <w:tab w:leader="none" w:pos="1515"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With respect to Taxes of the Company or LLC relating to a Straddle Period, the Sellers shall pay to Purchaser the amount of such Taxes allocable to the portion of the Straddle Period that is deemed to end as of the Closing on the Closing Date, except to the extent such Taxes are taken into account in the determination of the Final Net Working Capital. In the case of any Taxes that are imposed on a periodic basis, the portion of such Tax that relates to the portion of such Straddle Period ending as of the Closing on the Closing Date shall (i) in the case of any Taxes other than Taxes based upon or related to income or receipts, be deemed to be the amount of such Tax for the entire Straddle Period </w:t>
      </w:r>
      <w:r>
        <w:rPr>
          <w:rFonts w:ascii="Arial" w:cs="Arial" w:eastAsia="Arial" w:hAnsi="Arial"/>
          <w:sz w:val="16"/>
          <w:szCs w:val="16"/>
          <w:i w:val="1"/>
          <w:iCs w:val="1"/>
          <w:color w:val="auto"/>
        </w:rPr>
        <w:t xml:space="preserve">multiplied </w:t>
      </w:r>
      <w:r>
        <w:rPr>
          <w:rFonts w:ascii="Arial" w:cs="Arial" w:eastAsia="Arial" w:hAnsi="Arial"/>
          <w:sz w:val="16"/>
          <w:szCs w:val="16"/>
          <w:color w:val="auto"/>
        </w:rPr>
        <w:t>by a fraction (A) the numerator of which is the number of days in the Straddle Period ending as of the Closing on the Closing Date and</w:t>
      </w:r>
    </w:p>
    <w:p>
      <w:pPr>
        <w:spacing w:after="0" w:line="4" w:lineRule="exact"/>
        <w:rPr>
          <w:rFonts w:ascii="Arial" w:cs="Arial" w:eastAsia="Arial" w:hAnsi="Arial"/>
          <w:sz w:val="16"/>
          <w:szCs w:val="16"/>
          <w:color w:val="auto"/>
        </w:rPr>
      </w:pPr>
    </w:p>
    <w:p>
      <w:pPr>
        <w:jc w:val="both"/>
        <w:ind w:left="840" w:right="80" w:firstLine="1"/>
        <w:spacing w:after="0" w:line="254" w:lineRule="auto"/>
        <w:tabs>
          <w:tab w:leader="none" w:pos="112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denominator of which is the number of days in the entire Straddle Period, and (ii) in the case of any Tax based upon or related to income or receipts, be determined as though the taxable year of the Company or LLC terminated as of the Closing on the Closing Date. The Sellers shall make such payment at least two (2) Business Days before payment of Taxes (including estimated Taxes, if applicable) is due to the Taxing Authority.</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8"/>
          <w:szCs w:val="18"/>
          <w:b w:val="1"/>
          <w:bCs w:val="1"/>
          <w:u w:val="single" w:color="auto"/>
          <w:color w:val="auto"/>
        </w:rPr>
        <w:t>Section 8.04. Tax Contests</w:t>
      </w:r>
      <w:r>
        <w:rPr>
          <w:rFonts w:ascii="Arial" w:cs="Arial" w:eastAsia="Arial" w:hAnsi="Arial"/>
          <w:sz w:val="18"/>
          <w:szCs w:val="18"/>
          <w:color w:val="auto"/>
        </w:rPr>
        <w:t>.</w:t>
      </w:r>
    </w:p>
    <w:p>
      <w:pPr>
        <w:spacing w:after="0" w:line="121" w:lineRule="exact"/>
        <w:rPr>
          <w:sz w:val="20"/>
          <w:szCs w:val="20"/>
          <w:color w:val="auto"/>
        </w:rPr>
      </w:pPr>
    </w:p>
    <w:p>
      <w:pPr>
        <w:ind w:left="840" w:right="160" w:firstLine="421"/>
        <w:spacing w:after="0" w:line="312" w:lineRule="auto"/>
        <w:tabs>
          <w:tab w:leader="none" w:pos="1505" w:val="left"/>
        </w:tabs>
        <w:numPr>
          <w:ilvl w:val="0"/>
          <w:numId w:val="79"/>
        </w:numPr>
        <w:rPr>
          <w:rFonts w:ascii="Arial" w:cs="Arial" w:eastAsia="Arial" w:hAnsi="Arial"/>
          <w:sz w:val="16"/>
          <w:szCs w:val="16"/>
          <w:color w:val="auto"/>
        </w:rPr>
      </w:pPr>
      <w:r>
        <w:rPr>
          <w:rFonts w:ascii="Arial" w:cs="Arial" w:eastAsia="Arial" w:hAnsi="Arial"/>
          <w:sz w:val="16"/>
          <w:szCs w:val="16"/>
          <w:color w:val="auto"/>
        </w:rPr>
        <w:t>Purchaser and the Company, on the one hand, and the Sellers, on the other hand, shall promptly notify each other upon receipt by such party of written notice of any inquiries, claims, assessments, audits or similar events with respect to Taxes of either Company relating to a Pre-Closing Tax Period (any such inquiry, claim, assessment, audit or similar event, a “</w:t>
      </w:r>
      <w:r>
        <w:rPr>
          <w:rFonts w:ascii="Arial" w:cs="Arial" w:eastAsia="Arial" w:hAnsi="Arial"/>
          <w:sz w:val="16"/>
          <w:szCs w:val="16"/>
          <w:u w:val="single" w:color="auto"/>
          <w:color w:val="auto"/>
        </w:rPr>
        <w:t>Tax Matter</w:t>
      </w:r>
      <w:r>
        <w:rPr>
          <w:rFonts w:ascii="Arial" w:cs="Arial" w:eastAsia="Arial" w:hAnsi="Arial"/>
          <w:sz w:val="16"/>
          <w:szCs w:val="16"/>
          <w:color w:val="auto"/>
        </w:rPr>
        <w:t>”). Any failure to so notify the other</w:t>
      </w:r>
    </w:p>
    <w:p>
      <w:pPr>
        <w:spacing w:after="0" w:line="79" w:lineRule="exact"/>
        <w:rPr>
          <w:rFonts w:ascii="Arial" w:cs="Arial" w:eastAsia="Arial" w:hAnsi="Arial"/>
          <w:sz w:val="16"/>
          <w:szCs w:val="16"/>
          <w:color w:val="auto"/>
        </w:rPr>
      </w:pPr>
    </w:p>
    <w:p>
      <w:pPr>
        <w:ind w:left="5540" w:hanging="101"/>
        <w:spacing w:after="0"/>
        <w:tabs>
          <w:tab w:leader="none" w:pos="5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1340"/>
          </w:cols>
          <w:pgMar w:left="320" w:top="27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left="920" w:right="340"/>
        <w:spacing w:after="0" w:line="277" w:lineRule="auto"/>
        <w:rPr>
          <w:sz w:val="20"/>
          <w:szCs w:val="20"/>
          <w:color w:val="auto"/>
        </w:rPr>
      </w:pPr>
      <w:r>
        <w:rPr>
          <w:rFonts w:ascii="Arial" w:cs="Arial" w:eastAsia="Arial" w:hAnsi="Arial"/>
          <w:sz w:val="18"/>
          <w:szCs w:val="18"/>
          <w:color w:val="auto"/>
        </w:rPr>
        <w:t>party of any Tax Matter shall not relieve such other party of any liability with respect to such Tax Matters except to the extent such party was actually prejudiced as a result thereof.</w:t>
      </w:r>
    </w:p>
    <w:p>
      <w:pPr>
        <w:spacing w:after="0" w:line="62" w:lineRule="exact"/>
        <w:rPr>
          <w:sz w:val="20"/>
          <w:szCs w:val="20"/>
          <w:color w:val="auto"/>
        </w:rPr>
      </w:pPr>
    </w:p>
    <w:p>
      <w:pPr>
        <w:ind w:left="920" w:right="20" w:firstLine="421"/>
        <w:spacing w:after="0" w:line="273" w:lineRule="auto"/>
        <w:tabs>
          <w:tab w:leader="none" w:pos="1595"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Purchaser shall have sole control of the conduct of all Tax Matters, including any settlement or compromise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Sellers shall be liable for and shall indemnify Purchaser for any Indemnity Loss related to such Tax Matters for Holdings;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Purchaser shall (i) keep the Sellers’ Representative reasonably informed of the progress of any Tax Matter, (ii) consider in good faith any comment or position that the Sellers’ Representative submits to Purchaser, and (iii) shall not affect any such settlement or compromise with respect to which the Sellers, as the case may be, are liable without obtaining the Sellers’ Representative’s prior written consent thereto, which shall not be unreasonably withheld or delayed.</w:t>
      </w:r>
    </w:p>
    <w:p>
      <w:pPr>
        <w:spacing w:after="0" w:line="70" w:lineRule="exact"/>
        <w:rPr>
          <w:rFonts w:ascii="Arial" w:cs="Arial" w:eastAsia="Arial" w:hAnsi="Arial"/>
          <w:sz w:val="17"/>
          <w:szCs w:val="17"/>
          <w:color w:val="auto"/>
        </w:rPr>
      </w:pPr>
    </w:p>
    <w:p>
      <w:pPr>
        <w:jc w:val="both"/>
        <w:ind w:left="920" w:right="160" w:firstLine="421"/>
        <w:spacing w:after="0" w:line="312" w:lineRule="auto"/>
        <w:tabs>
          <w:tab w:leader="none" w:pos="1585" w:val="left"/>
        </w:tabs>
        <w:numPr>
          <w:ilvl w:val="0"/>
          <w:numId w:val="80"/>
        </w:numPr>
        <w:rPr>
          <w:rFonts w:ascii="Arial" w:cs="Arial" w:eastAsia="Arial" w:hAnsi="Arial"/>
          <w:sz w:val="16"/>
          <w:szCs w:val="16"/>
          <w:color w:val="auto"/>
        </w:rPr>
      </w:pPr>
      <w:r>
        <w:rPr>
          <w:rFonts w:ascii="Arial" w:cs="Arial" w:eastAsia="Arial" w:hAnsi="Arial"/>
          <w:sz w:val="16"/>
          <w:szCs w:val="16"/>
          <w:color w:val="auto"/>
        </w:rPr>
        <w:t>Neither Purchaser nor the Company shall amend the Tax Returns of the Company or LLC, or file additional Tax Returns on the behalf of the Company or LLC, in respect of Taxes paid prior to the Closing or in respect of any Pre-Closing Tax Period to the extent such amendment would result in Liability of any Seller without the prior written consent of such Seller, which consent shall not be unreasonably withheld.</w:t>
      </w:r>
    </w:p>
    <w:p>
      <w:pPr>
        <w:spacing w:after="0" w:line="38" w:lineRule="exact"/>
        <w:rPr>
          <w:rFonts w:ascii="Arial" w:cs="Arial" w:eastAsia="Arial" w:hAnsi="Arial"/>
          <w:sz w:val="16"/>
          <w:szCs w:val="16"/>
          <w:color w:val="auto"/>
        </w:rPr>
      </w:pPr>
    </w:p>
    <w:p>
      <w:pPr>
        <w:ind w:left="920" w:right="60" w:firstLine="421"/>
        <w:spacing w:after="0" w:line="259" w:lineRule="auto"/>
        <w:tabs>
          <w:tab w:leader="none" w:pos="15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w:t>
      </w:r>
      <w:r>
        <w:rPr>
          <w:rFonts w:ascii="Arial" w:cs="Arial" w:eastAsia="Arial" w:hAnsi="Arial"/>
          <w:sz w:val="18"/>
          <w:szCs w:val="18"/>
          <w:u w:val="single" w:color="auto"/>
          <w:color w:val="auto"/>
        </w:rPr>
        <w:t>Section 8.04</w:t>
      </w:r>
      <w:r>
        <w:rPr>
          <w:rFonts w:ascii="Arial" w:cs="Arial" w:eastAsia="Arial" w:hAnsi="Arial"/>
          <w:sz w:val="18"/>
          <w:szCs w:val="18"/>
          <w:color w:val="auto"/>
        </w:rPr>
        <w:t>, Purchaser shall have the sole right to control any audit or examination by any Taxing Authority, initiate any claim for refund or amend any Tax Return, and contest, resolve and defend against any assessment for additional Taxes, notice of Tax deficiency or other adjustment of Taxes of, or relating to, the income, assets or operations of the Company or LLC and for all Tax periods.</w:t>
      </w:r>
    </w:p>
    <w:p>
      <w:pPr>
        <w:spacing w:after="0" w:line="399"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ARTICLE IX.</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Agreement, the following terms have the meanings indicated below:</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Accounts Receivable</w:t>
      </w:r>
      <w:r>
        <w:rPr>
          <w:rFonts w:ascii="Arial" w:cs="Arial" w:eastAsia="Arial" w:hAnsi="Arial"/>
          <w:sz w:val="18"/>
          <w:szCs w:val="18"/>
          <w:color w:val="auto"/>
        </w:rPr>
        <w:t>” shall mean: (a) all trade accounts receivable and other rights to payment from customers of the Company and the full benefit of all security for such accounts or debts, including all trade accounts receivable representing amounts receivable in respect of goods shipped or products sold or services rendered to customers; (b) all other accounts or notes receivable and the full benefit of all security for such accounts or notes; and (c) any claims, remedies and other rights related to any of the foregoing.</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any Person that directly or indirectly controls, is controlled by or is under common control with the Company, Purchaser or Sellers, as the case may be. As used in this definition, “control” (including, its correlative meanings “controlled by” and “under common control with”) means possession, directly or indirectly, of power to direct or cause the direction of management or policies (whether through ownership of ten percent (10%) or more of outstanding voting securities or partnership or other ownership interests, by Contract or otherwise).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420"/>
          </w:cols>
          <w:pgMar w:left="240" w:top="274"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Best Efforts</w:t>
      </w:r>
      <w:r>
        <w:rPr>
          <w:rFonts w:ascii="Arial" w:cs="Arial" w:eastAsia="Arial" w:hAnsi="Arial"/>
          <w:sz w:val="18"/>
          <w:szCs w:val="18"/>
          <w:color w:val="auto"/>
        </w:rPr>
        <w:t>” shall mean the efforts that a prudent person desirous of achieving a result would use in similar circumstances to achieve that result as expeditiously as possible.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 Representations</w:t>
      </w:r>
      <w:r>
        <w:rPr>
          <w:rFonts w:ascii="Arial" w:cs="Arial" w:eastAsia="Arial" w:hAnsi="Arial"/>
          <w:sz w:val="18"/>
          <w:szCs w:val="18"/>
          <w:color w:val="auto"/>
        </w:rPr>
        <w:t xml:space="preserve">” shall mean the representations and warranties of Sellers contained in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4.29</w:t>
      </w:r>
      <w:r>
        <w:rPr>
          <w:rFonts w:ascii="Arial" w:cs="Arial" w:eastAsia="Arial" w:hAnsi="Arial"/>
          <w:sz w:val="18"/>
          <w:szCs w:val="18"/>
          <w:color w:val="auto"/>
        </w:rPr>
        <w: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Saturday, Sunday and any day on which commercial banks in New York are authorized by Law to be closed.</w:t>
      </w:r>
    </w:p>
    <w:p>
      <w:pPr>
        <w:spacing w:after="0" w:line="17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shall mean: (a) marketable direct obligations issued by, or unconditionally guaranteed by, the United States government or issued by any agency thereof and backed by the full faith and credit of the United States, in each case maturing within one (1) year from the date of acquisition;</w:t>
      </w:r>
    </w:p>
    <w:p>
      <w:pPr>
        <w:ind w:right="20" w:firstLine="8"/>
        <w:spacing w:after="0" w:line="281" w:lineRule="auto"/>
        <w:tabs>
          <w:tab w:leader="none" w:pos="255" w:val="left"/>
        </w:tabs>
        <w:numPr>
          <w:ilvl w:val="0"/>
          <w:numId w:val="81"/>
        </w:numPr>
        <w:rPr>
          <w:rFonts w:ascii="Arial" w:cs="Arial" w:eastAsia="Arial" w:hAnsi="Arial"/>
          <w:sz w:val="16"/>
          <w:szCs w:val="16"/>
          <w:color w:val="auto"/>
        </w:rPr>
      </w:pPr>
      <w:r>
        <w:rPr>
          <w:rFonts w:ascii="Arial" w:cs="Arial" w:eastAsia="Arial" w:hAnsi="Arial"/>
          <w:sz w:val="16"/>
          <w:szCs w:val="16"/>
          <w:color w:val="auto"/>
        </w:rPr>
        <w:t>certificates of deposit, time deposits, Eurodollar time deposits or overnight bank deposits or overnight back deposits having maturities of six (6) months or less from the date of acquisition issued by any commercial bank organized under the laws of the United States or any state thereof having combined capital and surplus of not less than &amp; 500,000,000; (c) commercial paper of an issuer rated at least A-1 by Standard &amp; Poor’s Ratings Services (“</w:t>
      </w:r>
      <w:r>
        <w:rPr>
          <w:rFonts w:ascii="Arial" w:cs="Arial" w:eastAsia="Arial" w:hAnsi="Arial"/>
          <w:sz w:val="16"/>
          <w:szCs w:val="16"/>
          <w:u w:val="single" w:color="auto"/>
          <w:color w:val="auto"/>
        </w:rPr>
        <w:t>S&amp;P</w:t>
      </w:r>
      <w:r>
        <w:rPr>
          <w:rFonts w:ascii="Arial" w:cs="Arial" w:eastAsia="Arial" w:hAnsi="Arial"/>
          <w:sz w:val="16"/>
          <w:szCs w:val="16"/>
          <w:color w:val="auto"/>
        </w:rPr>
        <w:t>”) or P-1 by Moody’s Investors Service, Inc. (“</w:t>
      </w:r>
      <w:r>
        <w:rPr>
          <w:rFonts w:ascii="Arial" w:cs="Arial" w:eastAsia="Arial" w:hAnsi="Arial"/>
          <w:sz w:val="16"/>
          <w:szCs w:val="16"/>
          <w:u w:val="single" w:color="auto"/>
          <w:color w:val="auto"/>
        </w:rPr>
        <w:t>Moody’s</w:t>
      </w:r>
      <w:r>
        <w:rPr>
          <w:rFonts w:ascii="Arial" w:cs="Arial" w:eastAsia="Arial" w:hAnsi="Arial"/>
          <w:sz w:val="16"/>
          <w:szCs w:val="16"/>
          <w:color w:val="auto"/>
        </w:rPr>
        <w:t>”), or carrying an equivalent rating by a nationally recognized rating agency, if both of the two named rating agencies cease publishing ratings of commercial paper issuers generally, and maturing within six (6) months from the date of acquisition; (d) repurchase obligations of any commercial bank satisfying the requirements of clause (b) of this definition, having a term of not more than thirty (30) days, with respect to securities issued or fully guaranteed or insured by the United States government; (e) securities with maturities of one (1)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six (6) months or less from the date of acquisition backed by standby letters of credit issued by any commercial bank satisfying the requirements of clause (b) of this definition;</w:t>
      </w:r>
    </w:p>
    <w:p>
      <w:pPr>
        <w:spacing w:after="0" w:line="7" w:lineRule="exact"/>
        <w:rPr>
          <w:rFonts w:ascii="Arial" w:cs="Arial" w:eastAsia="Arial" w:hAnsi="Arial"/>
          <w:sz w:val="16"/>
          <w:szCs w:val="16"/>
          <w:color w:val="auto"/>
        </w:rPr>
      </w:pPr>
    </w:p>
    <w:p>
      <w:pPr>
        <w:ind w:left="260" w:hanging="252"/>
        <w:spacing w:after="0"/>
        <w:tabs>
          <w:tab w:leader="none" w:pos="2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money market mutual or similar funds that invest exclusively in assets satisfying the requirements of clauses (a) through (f) of this definition; or</w:t>
      </w:r>
    </w:p>
    <w:p>
      <w:pPr>
        <w:spacing w:after="0" w:line="20" w:lineRule="exact"/>
        <w:rPr>
          <w:rFonts w:ascii="Arial" w:cs="Arial" w:eastAsia="Arial" w:hAnsi="Arial"/>
          <w:sz w:val="17"/>
          <w:szCs w:val="17"/>
          <w:color w:val="auto"/>
        </w:rPr>
      </w:pPr>
    </w:p>
    <w:p>
      <w:pPr>
        <w:ind w:right="300" w:firstLine="8"/>
        <w:spacing w:after="0" w:line="261" w:lineRule="auto"/>
        <w:tabs>
          <w:tab w:leader="none" w:pos="2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of 1940, as amended, (ii) are rated AAA by S&amp;P and AAA by Moody’s or (iii) have portfolio assets of at least $5,000,000,000.</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shall mean the Comprehensive Environmental Response Compensation and Liability Act of 1980, as amended.</w:t>
      </w:r>
    </w:p>
    <w:p>
      <w:pPr>
        <w:spacing w:after="0" w:line="225"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Balance Sheet</w:t>
      </w:r>
      <w:r>
        <w:rPr>
          <w:rFonts w:ascii="Arial" w:cs="Arial" w:eastAsia="Arial" w:hAnsi="Arial"/>
          <w:sz w:val="18"/>
          <w:szCs w:val="18"/>
          <w:color w:val="auto"/>
        </w:rPr>
        <w:t>” shall mean the balance sheet of the Company reflecting the financial position of the Company as of the Closing Date immediately before the Closing, prepared in conformity with the preparation of the Interim Balance Sheet, the Estimated Closing Date Balance Sheet and GAAP, consistently applied in accordance with past practices.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shall mean Title X of the Consolidated Omnibus Budget Reconciliation Act of 1985, as amended.</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420"/>
          </w:cols>
          <w:pgMar w:left="240" w:top="274"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Company’s Benefit Obligations</w:t>
      </w:r>
      <w:r>
        <w:rPr>
          <w:rFonts w:ascii="Arial" w:cs="Arial" w:eastAsia="Arial" w:hAnsi="Arial"/>
          <w:sz w:val="16"/>
          <w:szCs w:val="16"/>
          <w:color w:val="auto"/>
        </w:rPr>
        <w:t>” shall mean all obligations, arrangements, or customary practices (other than those contained in or provided under the Employee Plans), whether or not legally enforceable, to provide benefits (other than salary or wages) to present or former directors, employees, Personnel or agents of the Company. The Company’s Benefit Obligations also include consulting agreements under which the compensation paid does not depend upon the amount of service rendered, sabbatical policies, severance payment policies, and fringe benefits within the meaning of Section 132 of the Code.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Contracted Backlog</w:t>
      </w:r>
      <w:r>
        <w:rPr>
          <w:rFonts w:ascii="Arial" w:cs="Arial" w:eastAsia="Arial" w:hAnsi="Arial"/>
          <w:sz w:val="17"/>
          <w:szCs w:val="17"/>
          <w:color w:val="auto"/>
        </w:rPr>
        <w:t>” shall mean all contracts executed for projects or opportunities with start dates scheduled to begin after the Closing Date.</w:t>
      </w:r>
    </w:p>
    <w:p>
      <w:pPr>
        <w:spacing w:after="0" w:line="23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shall mean any contract, agreement, indenture, note, bond, loan, instrument, lease, conditional sale contract, mortgage, license, franchise, insurance policy, commitment or other arrangement or agreement, whether written or oral.</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Period</w:t>
      </w:r>
      <w:r>
        <w:rPr>
          <w:rFonts w:ascii="Arial" w:cs="Arial" w:eastAsia="Arial" w:hAnsi="Arial"/>
          <w:sz w:val="18"/>
          <w:szCs w:val="18"/>
          <w:color w:val="auto"/>
        </w:rPr>
        <w:t xml:space="preserve">” shall mean any period of time related to Purchase Price payments due to Sellers by Purchaser or GLDD as set forth in </w:t>
      </w:r>
      <w:r>
        <w:rPr>
          <w:rFonts w:ascii="Arial" w:cs="Arial" w:eastAsia="Arial" w:hAnsi="Arial"/>
          <w:sz w:val="18"/>
          <w:szCs w:val="18"/>
          <w:u w:val="single" w:color="auto"/>
          <w:color w:val="auto"/>
        </w:rPr>
        <w:t>Sections 1.04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w:t>
      </w:r>
      <w:r>
        <w:rPr>
          <w:rFonts w:ascii="Arial" w:cs="Arial" w:eastAsia="Arial" w:hAnsi="Arial"/>
          <w:sz w:val="18"/>
          <w:szCs w:val="18"/>
          <w:color w:val="auto"/>
        </w:rPr>
        <w:t xml:space="preserve"> of this Agreement, or pursuant to the terms of the Restricted Unit Grant Agreement.</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Plan</w:t>
      </w:r>
      <w:r>
        <w:rPr>
          <w:rFonts w:ascii="Arial" w:cs="Arial" w:eastAsia="Arial" w:hAnsi="Arial"/>
          <w:sz w:val="17"/>
          <w:szCs w:val="17"/>
          <w:color w:val="auto"/>
        </w:rPr>
        <w:t>” shall mean (i) each voluntary employees’ beneficiary association under Section 501(c)(9) of the Code, (ii) each employee benefit plan, as defined in Section 3(3) of ERISA, and (iii) each retirement, stock, stock option, welfare benefit, savings, deferred compensation, incentive compensation, paid time off, severance pay, salary continuation, disability, fringe benefit, and/or other employee benefit arrangement, policy, or practice, in each case, either maintained by the Company or an ERISA Affiliate for the benefit of any employee of either; to which the Company or an ERISA Affiliate contributes or is obligated to contribute; or under which the Company or an ERISA Affiliate has or may have any Liability; and each (iv) Multiemployer Plan to which the Company or an ERISA Affiliate has or has had an obligation to contribute.</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shall mean all liens (statutory or other), leases, mortgages, pledges, security interests, conditional sales agreements, charges, claims, options, easements, rights of way (other than easements of record) and other encumbrances of any kind or nature whatsoever, including those encumbrances set forth on any schedule hereto.</w:t>
      </w:r>
    </w:p>
    <w:p>
      <w:pPr>
        <w:spacing w:after="0" w:line="18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Requirements</w:t>
      </w:r>
      <w:r>
        <w:rPr>
          <w:rFonts w:ascii="Arial" w:cs="Arial" w:eastAsia="Arial" w:hAnsi="Arial"/>
          <w:sz w:val="18"/>
          <w:szCs w:val="18"/>
          <w:color w:val="auto"/>
        </w:rPr>
        <w:t>” shall mean all past, present and future Laws, rules, regulations, ordinances, policies, guidance documents, approvals, plans, authorizations, licenses or permits issued by any government agency, department, commission, board, bureau or instrumentality of the United States, state or political subdivision thereof, and any other Governmental Entity and all judicial, administrative, and regulatory decrees, judgments, and orders relating to human health, pollution, or protection of the environment (including ambient air, surface water, ground water, land surface or subsurface strata), including: (a) Laws relating to emissions, discharges, releases, or threatened releases of Hazardous Materials; (b) Laws relating to the identification, generation, manufacture, processing, distribution, use, treatment, storage, disposal, recovery, transport or other handling of Hazardous Materials; (c) CERCLA;</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420"/>
          </w:cols>
          <w:pgMar w:left="240" w:top="27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Toxic Substances Control Act; the Hazardous Materials Transportation Act; RCRA; the Clean Water Act; the Safe Drinking Water Act; the Clean Air Act; the Atomic Energy Act of 1954, all as amended; and the Occupational Safety and Health Act; and (d) any Law similar to those set forth above.</w:t>
      </w:r>
    </w:p>
    <w:p>
      <w:pPr>
        <w:spacing w:after="0" w:line="14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 and Machinery</w:t>
      </w:r>
      <w:r>
        <w:rPr>
          <w:rFonts w:ascii="Arial" w:cs="Arial" w:eastAsia="Arial" w:hAnsi="Arial"/>
          <w:sz w:val="18"/>
          <w:szCs w:val="18"/>
          <w:color w:val="auto"/>
        </w:rPr>
        <w:t>” shall mean: equipment, machinery, rolling stock and vehicles owned or leased by the Company in connection with the Business.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shall mean any Person controlled by, controlling or under common control with the Company (within the meaning of Section 414 of the Code or Section 4001(a)(14) or 4001(b) of ERISA).</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Date Balance Sheet</w:t>
      </w:r>
      <w:r>
        <w:rPr>
          <w:rFonts w:ascii="Arial" w:cs="Arial" w:eastAsia="Arial" w:hAnsi="Arial"/>
          <w:sz w:val="18"/>
          <w:szCs w:val="18"/>
          <w:color w:val="auto"/>
        </w:rPr>
        <w:t>” shall mean the estimated balance sheet of the Company reflecting the financial position of the Company as of the close of business on the day immediately prior to the Closing, prepared in conformity with the GAAP.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Files and Records</w:t>
      </w:r>
      <w:r>
        <w:rPr>
          <w:rFonts w:ascii="Arial" w:cs="Arial" w:eastAsia="Arial" w:hAnsi="Arial"/>
          <w:sz w:val="17"/>
          <w:szCs w:val="17"/>
          <w:color w:val="auto"/>
        </w:rPr>
        <w:t>” shall mean all files, records and other information of the Company relating to the Business or the Shares, whether in hard copy or magnetic or other format including customer lists and records, referral sources, equipment maintenance records, plant plans, equipment warranty information, research and development reports and records, specifications and drawings, sales and advertising material, Software, correspondence, manuals, studies, sales literature and promotional material, production reports and records, operating guides, copies of financial and accounting records and copies of records relating to the employees and Personnel of the Company to be employed by Purchaser following the Closing.</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shall mean the prevailing generally accepted accounting principles in the United States, in effect from time to time, consistently applied.</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GLDD Consideration Securities</w:t>
      </w:r>
      <w:r>
        <w:rPr>
          <w:rFonts w:ascii="Arial" w:cs="Arial" w:eastAsia="Arial" w:hAnsi="Arial"/>
          <w:sz w:val="18"/>
          <w:szCs w:val="18"/>
          <w:color w:val="auto"/>
        </w:rPr>
        <w:t>” shall have the meaning set out in Section 3.07.</w:t>
      </w:r>
    </w:p>
    <w:p>
      <w:pPr>
        <w:spacing w:after="0" w:line="225"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Governing Documents</w:t>
      </w:r>
      <w:r>
        <w:rPr>
          <w:rFonts w:ascii="Arial" w:cs="Arial" w:eastAsia="Arial" w:hAnsi="Arial"/>
          <w:sz w:val="17"/>
          <w:szCs w:val="17"/>
          <w:color w:val="auto"/>
        </w:rPr>
        <w:t>” shall mean, with respect to any particular entity: (a) if a corporation, the articles or certificate of incorporation and the bylaws of such entity; (b) if a general partnership, the partnership agreement and any statement of partnership; (c) if a limited partnership, the limited partnership agreement and the certificate of limited partnership; (d) if a limited liability company, the articles of organization and the operating agreement; (e) if another type of Person, any other charter or similar document adopted or filed in connection with the creation, formation or organization of the Person; (f) all equity holders’ agreements, voting agreements, voting trust agreements, joint venture agreements, registration rights agreements or other agreements or documents relating to the organization, management or operation of any Person or relating to the rights, duties and obligations of the equity holders of any Person; and (g) any amendment or supplement to any of the foregoing.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20"/>
          </w:cols>
          <w:pgMar w:left="240" w:top="274"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shall mean any court, government agency, department, commission, board, bureau or instrumentality of the United States, any local, county, state, federal or political subdivision thereof, or any foreign governmental entity of any kind.</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shall mean: (a) any substance that is or becomes defined as a “hazardous substance,” “hazardous waste,” “hazardous material,” “pollutant,” or “contaminant” under any Environmental Requirements, RCRA, and any analogous and applicable Law; (b) petroleum (including crude oil and any fraction thereof); and (c) any natural or synthetic gas (whether in liquid or gaseous state).</w:t>
      </w:r>
    </w:p>
    <w:p>
      <w:pPr>
        <w:spacing w:after="0" w:line="18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Assets</w:t>
      </w:r>
      <w:r>
        <w:rPr>
          <w:rFonts w:ascii="Arial" w:cs="Arial" w:eastAsia="Arial" w:hAnsi="Arial"/>
          <w:sz w:val="16"/>
          <w:szCs w:val="16"/>
          <w:color w:val="auto"/>
        </w:rPr>
        <w:t>” means all intellectual property owned, in whole or in part, or licensed by the Company (as licensor or licensee) in which the Company has a proprietary interest, whether arising or protected under the laws of the United States or any other jurisdiction or treaty, including, without limitation: (a) the Company’s name, all assumed fictional business names, trade names, registered and unregistered trademarks and service marks, trade dress and similar rights and applications for registration of any of the foregoing (collectively, “</w:t>
      </w:r>
      <w:r>
        <w:rPr>
          <w:rFonts w:ascii="Arial" w:cs="Arial" w:eastAsia="Arial" w:hAnsi="Arial"/>
          <w:sz w:val="16"/>
          <w:szCs w:val="16"/>
          <w:u w:val="single" w:color="auto"/>
          <w:color w:val="auto"/>
        </w:rPr>
        <w:t>Marks</w:t>
      </w:r>
      <w:r>
        <w:rPr>
          <w:rFonts w:ascii="Arial" w:cs="Arial" w:eastAsia="Arial" w:hAnsi="Arial"/>
          <w:sz w:val="16"/>
          <w:szCs w:val="16"/>
          <w:color w:val="auto"/>
        </w:rPr>
        <w:t>”); (b) all patents (including certificates of invention, industrial rights and other patent equivalents), provisional, non-provisional, divisional, continuation, continuation in-part and reissue applications and patents issuing therefrom, any revivals, renewals, extensions, inventions and discoveries that may be patentable (collectively, “</w:t>
      </w:r>
      <w:r>
        <w:rPr>
          <w:rFonts w:ascii="Arial" w:cs="Arial" w:eastAsia="Arial" w:hAnsi="Arial"/>
          <w:sz w:val="16"/>
          <w:szCs w:val="16"/>
          <w:u w:val="single" w:color="auto"/>
          <w:color w:val="auto"/>
        </w:rPr>
        <w:t>Patents</w:t>
      </w:r>
      <w:r>
        <w:rPr>
          <w:rFonts w:ascii="Arial" w:cs="Arial" w:eastAsia="Arial" w:hAnsi="Arial"/>
          <w:sz w:val="16"/>
          <w:szCs w:val="16"/>
          <w:color w:val="auto"/>
        </w:rPr>
        <w:t>”); (c) all registered and unregistered copyrights in both published works and unpublished works and applications for registration, all moral rights and all rights to register and obtain renewals and extensions of registrations (collectively, “</w:t>
      </w:r>
      <w:r>
        <w:rPr>
          <w:rFonts w:ascii="Arial" w:cs="Arial" w:eastAsia="Arial" w:hAnsi="Arial"/>
          <w:sz w:val="16"/>
          <w:szCs w:val="16"/>
          <w:u w:val="single" w:color="auto"/>
          <w:color w:val="auto"/>
        </w:rPr>
        <w:t>Copyrights</w:t>
      </w:r>
      <w:r>
        <w:rPr>
          <w:rFonts w:ascii="Arial" w:cs="Arial" w:eastAsia="Arial" w:hAnsi="Arial"/>
          <w:sz w:val="16"/>
          <w:szCs w:val="16"/>
          <w:color w:val="auto"/>
        </w:rPr>
        <w:t>”); (d) all know-how, trade secrets, concepts, processes, customer lists, technical information and other confidential or proprietary information (collectively, “</w:t>
      </w:r>
      <w:r>
        <w:rPr>
          <w:rFonts w:ascii="Arial" w:cs="Arial" w:eastAsia="Arial" w:hAnsi="Arial"/>
          <w:sz w:val="16"/>
          <w:szCs w:val="16"/>
          <w:u w:val="single" w:color="auto"/>
          <w:color w:val="auto"/>
        </w:rPr>
        <w:t>Trade Secrets</w:t>
      </w:r>
      <w:r>
        <w:rPr>
          <w:rFonts w:ascii="Arial" w:cs="Arial" w:eastAsia="Arial" w:hAnsi="Arial"/>
          <w:sz w:val="16"/>
          <w:szCs w:val="16"/>
          <w:color w:val="auto"/>
        </w:rPr>
        <w:t>”) ; (e) all user guides, manuals, instructions, forms, data, software architecture designs, layouts, programmer notes or logs, source code annotations, designs, plans, drawings, process technology, plans, blue prints, documentation or materials that relate to any aspect of the Intellectual Property Assets, whether in tangible, electronic or other intangible form (collectively, “</w:t>
      </w:r>
      <w:r>
        <w:rPr>
          <w:rFonts w:ascii="Arial" w:cs="Arial" w:eastAsia="Arial" w:hAnsi="Arial"/>
          <w:sz w:val="16"/>
          <w:szCs w:val="16"/>
          <w:u w:val="single" w:color="auto"/>
          <w:color w:val="auto"/>
        </w:rPr>
        <w:t>Documentation</w:t>
      </w:r>
      <w:r>
        <w:rPr>
          <w:rFonts w:ascii="Arial" w:cs="Arial" w:eastAsia="Arial" w:hAnsi="Arial"/>
          <w:sz w:val="16"/>
          <w:szCs w:val="16"/>
          <w:color w:val="auto"/>
        </w:rPr>
        <w:t>”); (f) all rights in internet web sites and internet domain names used by the Company as of the date of this Agreement and through the Closing Date (collectively, “</w:t>
      </w:r>
      <w:r>
        <w:rPr>
          <w:rFonts w:ascii="Arial" w:cs="Arial" w:eastAsia="Arial" w:hAnsi="Arial"/>
          <w:sz w:val="16"/>
          <w:szCs w:val="16"/>
          <w:u w:val="single" w:color="auto"/>
          <w:color w:val="auto"/>
        </w:rPr>
        <w:t>Domain</w:t>
      </w:r>
      <w:r>
        <w:rPr>
          <w:rFonts w:ascii="Arial" w:cs="Arial" w:eastAsia="Arial" w:hAnsi="Arial"/>
          <w:sz w:val="16"/>
          <w:szCs w:val="16"/>
          <w:color w:val="auto"/>
        </w:rPr>
        <w:t xml:space="preserve"> </w:t>
      </w:r>
      <w:r>
        <w:rPr>
          <w:rFonts w:ascii="Arial" w:cs="Arial" w:eastAsia="Arial" w:hAnsi="Arial"/>
          <w:sz w:val="16"/>
          <w:szCs w:val="16"/>
          <w:u w:val="single" w:color="auto"/>
          <w:color w:val="auto"/>
        </w:rPr>
        <w:t>Names</w:t>
      </w:r>
      <w:r>
        <w:rPr>
          <w:rFonts w:ascii="Arial" w:cs="Arial" w:eastAsia="Arial" w:hAnsi="Arial"/>
          <w:sz w:val="16"/>
          <w:szCs w:val="16"/>
          <w:color w:val="auto"/>
        </w:rPr>
        <w:t>”); (g) all versions of all software (including software programs, objects, modules, routines, algorithms and code, in source code, object code and executable form), machine readable databases and compilations, data structures and all data and collections of data and all derivative works of any such software (collectively, “</w:t>
      </w:r>
      <w:r>
        <w:rPr>
          <w:rFonts w:ascii="Arial" w:cs="Arial" w:eastAsia="Arial" w:hAnsi="Arial"/>
          <w:sz w:val="16"/>
          <w:szCs w:val="16"/>
          <w:u w:val="single" w:color="auto"/>
          <w:color w:val="auto"/>
        </w:rPr>
        <w:t>Software</w:t>
      </w:r>
      <w:r>
        <w:rPr>
          <w:rFonts w:ascii="Arial" w:cs="Arial" w:eastAsia="Arial" w:hAnsi="Arial"/>
          <w:sz w:val="16"/>
          <w:szCs w:val="16"/>
          <w:color w:val="auto"/>
        </w:rPr>
        <w:t>”); (h) all websites and FTP sites, including all associated scripts, information, text, graphics and other content relating to any and all of the Company’s websites or FTP and all derivative works thereof (collectively, the “</w:t>
      </w:r>
      <w:r>
        <w:rPr>
          <w:rFonts w:ascii="Arial" w:cs="Arial" w:eastAsia="Arial" w:hAnsi="Arial"/>
          <w:sz w:val="16"/>
          <w:szCs w:val="16"/>
          <w:u w:val="single" w:color="auto"/>
          <w:color w:val="auto"/>
        </w:rPr>
        <w:t>Websites</w:t>
      </w:r>
      <w:r>
        <w:rPr>
          <w:rFonts w:ascii="Arial" w:cs="Arial" w:eastAsia="Arial" w:hAnsi="Arial"/>
          <w:sz w:val="16"/>
          <w:szCs w:val="16"/>
          <w:color w:val="auto"/>
        </w:rPr>
        <w:t>”); and (i) all rights in mask works and similar rights protecting circuits and chip topographies and layouts.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Interests</w:t>
      </w:r>
      <w:r>
        <w:rPr>
          <w:rFonts w:ascii="Arial" w:cs="Arial" w:eastAsia="Arial" w:hAnsi="Arial"/>
          <w:sz w:val="18"/>
          <w:szCs w:val="18"/>
          <w:color w:val="auto"/>
        </w:rPr>
        <w:t>” shall mean membership interest in LLC.</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or “</w:t>
      </w:r>
      <w:r>
        <w:rPr>
          <w:rFonts w:ascii="Arial" w:cs="Arial" w:eastAsia="Arial" w:hAnsi="Arial"/>
          <w:sz w:val="18"/>
          <w:szCs w:val="18"/>
          <w:u w:val="single" w:color="auto"/>
          <w:color w:val="auto"/>
        </w:rPr>
        <w:t>Inventories</w:t>
      </w:r>
      <w:r>
        <w:rPr>
          <w:rFonts w:ascii="Arial" w:cs="Arial" w:eastAsia="Arial" w:hAnsi="Arial"/>
          <w:sz w:val="18"/>
          <w:szCs w:val="18"/>
          <w:color w:val="auto"/>
        </w:rPr>
        <w:t>” shall mean all inventories of the Company, wherever located, including all finished goods, work in process, raw materials, spare parts, replacement parts and all other materials, supplies and other items of personal property to be used or consumed by the Company in the operation of the Business.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420"/>
          </w:cols>
          <w:pgMar w:left="240" w:top="274"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shall mean the United States Internal Revenue Service and, to the extent relevant, the United States Department of the Treasury.</w:t>
      </w:r>
    </w:p>
    <w:p>
      <w:pPr>
        <w:spacing w:after="0" w:line="225"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phrases “</w:t>
      </w:r>
      <w:r>
        <w:rPr>
          <w:rFonts w:ascii="Arial" w:cs="Arial" w:eastAsia="Arial" w:hAnsi="Arial"/>
          <w:sz w:val="18"/>
          <w:szCs w:val="18"/>
          <w:u w:val="single" w:color="auto"/>
          <w:color w:val="auto"/>
        </w:rPr>
        <w:t>to the Knowledge of</w:t>
      </w:r>
      <w:r>
        <w:rPr>
          <w:rFonts w:ascii="Arial" w:cs="Arial" w:eastAsia="Arial" w:hAnsi="Arial"/>
          <w:sz w:val="18"/>
          <w:szCs w:val="18"/>
          <w:color w:val="auto"/>
        </w:rPr>
        <w:t>” any Person, or “</w:t>
      </w:r>
      <w:r>
        <w:rPr>
          <w:rFonts w:ascii="Arial" w:cs="Arial" w:eastAsia="Arial" w:hAnsi="Arial"/>
          <w:sz w:val="18"/>
          <w:szCs w:val="18"/>
          <w:u w:val="single" w:color="auto"/>
          <w:color w:val="auto"/>
        </w:rPr>
        <w:t>Known to</w:t>
      </w:r>
      <w:r>
        <w:rPr>
          <w:rFonts w:ascii="Arial" w:cs="Arial" w:eastAsia="Arial" w:hAnsi="Arial"/>
          <w:sz w:val="18"/>
          <w:szCs w:val="18"/>
          <w:color w:val="auto"/>
        </w:rPr>
        <w:t>” any Person, or words of similar import, shall mean the information that would be possessed by a Person who has made investigation of the subject matter of the applicable representations and warranties which is reasonable in light of the role of the Person in the applicable organization and, where appropriate, has conferred with appropriate Personnel or examined appropriate documents. The phrases “has Knowledge of” or “to the Knowledge of” or “Known to”, when used in reference to the Company, shall include the Knowledge of Louay Owaidat and Bruce Diettert.</w:t>
      </w:r>
    </w:p>
    <w:p>
      <w:pPr>
        <w:spacing w:after="0" w:line="188"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shall mean any local, county, state, federal, foreign or other law, statute, regulation, ordinance, rule, order, decree, judgment, consent decree, settlement agreement or governmental requirement enacted, promulgated, entered into, agreed or imposed by any Governmental Entity.</w:t>
      </w:r>
    </w:p>
    <w:p>
      <w:pPr>
        <w:spacing w:after="0" w:line="14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with respect to any Person, shall mean any liability or obligation of such Person of any kind, character or description, whether known or unknown, absolute or contingent, accrued or unaccrued, disputed or undisputed, liquidated or unliquidated, secured or unsecured, joint or several, due to become due, vested or unvested, executory, determined, determinable or otherwise, and whether or not the same is required to be accrued on the financial statements of such Person.</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Licenses and Permits</w:t>
      </w:r>
      <w:r>
        <w:rPr>
          <w:rFonts w:ascii="Arial" w:cs="Arial" w:eastAsia="Arial" w:hAnsi="Arial"/>
          <w:sz w:val="18"/>
          <w:szCs w:val="18"/>
          <w:color w:val="auto"/>
        </w:rPr>
        <w:t xml:space="preserve">” shall mean all governmental licenses, permits, franchises, certificates, approvals and authorizations that relate directly or indirectly to, or are necessary for, the conduct of the Business or the operation of the Shares, including, without limitation, those set forth on </w:t>
      </w:r>
      <w:r>
        <w:rPr>
          <w:rFonts w:ascii="Arial" w:cs="Arial" w:eastAsia="Arial" w:hAnsi="Arial"/>
          <w:sz w:val="18"/>
          <w:szCs w:val="18"/>
          <w:u w:val="single" w:color="auto"/>
          <w:color w:val="auto"/>
        </w:rPr>
        <w:t>Section 4.20</w:t>
      </w:r>
      <w:r>
        <w:rPr>
          <w:rFonts w:ascii="Arial" w:cs="Arial" w:eastAsia="Arial" w:hAnsi="Arial"/>
          <w:sz w:val="18"/>
          <w:szCs w:val="18"/>
          <w:color w:val="auto"/>
        </w:rPr>
        <w:t xml:space="preserve"> of the Disclosure Schedules, and all pending applications therefor or renewals thereof.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w:t>
      </w:r>
      <w:r>
        <w:rPr>
          <w:rFonts w:ascii="Arial" w:cs="Arial" w:eastAsia="Arial" w:hAnsi="Arial"/>
          <w:sz w:val="18"/>
          <w:szCs w:val="18"/>
          <w:color w:val="auto"/>
        </w:rPr>
        <w:t>” shall mean Magnus Equipment Group, LLC.</w:t>
      </w:r>
    </w:p>
    <w:p>
      <w:pPr>
        <w:spacing w:after="0" w:line="22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when used with respect to the Company and/or Sellers, shall mean any event, change, occurrence, condition or circumstance which has had or could reasonably be expected to have a material adverse impact on any of the Shares, the prospects, liabilities, capitalization, business operations or condition (financial or otherwise) or results of operations of the Company or the Business conducted by the Company immediately prior to the Closing, or the ability of any party hereto to consummate any of the transactions contemplated by this Agreement or any of the Related Agreements whether as a result of any legislative or regulatory change, revocation of any Licenses and Permits or right to do business, fire, explosion, accident, casualty, labor difficulty, flood, drought, riot, storm, act of terrorism, act of enemy, condemnation or act of God or public force, or otherwise. The Parties hereto acknowledge and agree that Sellers shall bear the burden of proving the non-existence of a Material Adverse Effect.</w:t>
      </w:r>
    </w:p>
    <w:p>
      <w:pPr>
        <w:spacing w:after="0" w:line="16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shall mean any Employee Plan that is a “multiemployer plan” within the meaning of Section 4001(a)(3) or Section 3(37) of ERISA or a “multiple employer plan” within the meaning of Section 4063 or 4064 of ERISA.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420"/>
          </w:cols>
          <w:pgMar w:left="240" w:top="27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shall mean any action taken by a Person if: (a) such action is consistent in nature, scope and magnitude with the past practices of such Person and is taken in the ordinary course of the normal day-to-day operations of such Person; (b) such action does not require authorization by the Board of Directors or shareholders of such Person (or by any Person or group of Persons exercising similar authority) and does not require any other separate or special authorization of any nature; and (c) such action is similar in nature, scope and magnitude to actions customarily taken, without any separate or special authorization, in the ordinary course of the normal day-to-day operations of other Persons that are in the same line of business as such Person.</w:t>
      </w:r>
    </w:p>
    <w:p>
      <w:pPr>
        <w:spacing w:after="0" w:line="19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Encumbrance</w:t>
      </w:r>
      <w:r>
        <w:rPr>
          <w:rFonts w:ascii="Arial" w:cs="Arial" w:eastAsia="Arial" w:hAnsi="Arial"/>
          <w:sz w:val="16"/>
          <w:szCs w:val="16"/>
          <w:color w:val="auto"/>
        </w:rPr>
        <w:t>” shall mean any of the following: (a) the provisions of all applicable zoning Laws, statutory liens of landlords, carriers, warehousemen, mechanics, materialmen and other similar Persons and other liens imposed by applicable Laws incurred in the Ordinary Course of Business;</w:t>
      </w:r>
    </w:p>
    <w:p>
      <w:pPr>
        <w:ind w:right="20" w:firstLine="8"/>
        <w:spacing w:after="0" w:line="261"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liens for current Taxes and other governmental assessments, charges or claims not yet due and payable and for which adequate reserves are set forth on the face of the Interim Balance Sheet.</w:t>
      </w:r>
    </w:p>
    <w:p>
      <w:pPr>
        <w:spacing w:after="0" w:line="184"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shall mean any individual, corporation, partnership, joint venture, association, limited liability company, joint-stock company, trust, or unincorporated organization, or any governmental agency, officer, department, commission, board, bureau, or instrumentality thereof.</w:t>
      </w:r>
    </w:p>
    <w:p>
      <w:pPr>
        <w:spacing w:after="0" w:line="14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Personnel</w:t>
      </w:r>
      <w:r>
        <w:rPr>
          <w:rFonts w:ascii="Arial" w:cs="Arial" w:eastAsia="Arial" w:hAnsi="Arial"/>
          <w:sz w:val="18"/>
          <w:szCs w:val="18"/>
          <w:color w:val="auto"/>
        </w:rPr>
        <w:t>” shall mean either any director, officer, employee, consultant, agent or other personnel of the Company or personnel of Purchaser, as applicable.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shall mean any action, arbitration, audit, hearing, investigation, litigation or suit.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Price Adjustment</w:t>
      </w:r>
      <w:r>
        <w:rPr>
          <w:rFonts w:ascii="Arial" w:cs="Arial" w:eastAsia="Arial" w:hAnsi="Arial"/>
          <w:sz w:val="17"/>
          <w:szCs w:val="17"/>
          <w:color w:val="auto"/>
        </w:rPr>
        <w:t>” shall mean any increase or decrease in the Purchase Price made pursuant to the provisions of this Agreement.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RCRA</w:t>
      </w:r>
      <w:r>
        <w:rPr>
          <w:rFonts w:ascii="Arial" w:cs="Arial" w:eastAsia="Arial" w:hAnsi="Arial"/>
          <w:sz w:val="18"/>
          <w:szCs w:val="18"/>
          <w:color w:val="auto"/>
        </w:rPr>
        <w:t>” shall mean the Resource Conservation and Recovery Act, as amended.</w:t>
      </w:r>
    </w:p>
    <w:p>
      <w:pPr>
        <w:spacing w:after="0" w:line="225"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Agreements</w:t>
      </w:r>
      <w:r>
        <w:rPr>
          <w:rFonts w:ascii="Arial" w:cs="Arial" w:eastAsia="Arial" w:hAnsi="Arial"/>
          <w:sz w:val="18"/>
          <w:szCs w:val="18"/>
          <w:color w:val="auto"/>
        </w:rPr>
        <w:t>” shall mean collectively, the Note, the Restricted Stock Unit Agreement, the Office Lease and the Yard Lease and the other agreements, documents, instruments and certificates executed at the Closing by the Parties to this Agreement pursuant to and in connection with the transactions contemplated by this Agreement.</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Person</w:t>
      </w:r>
      <w:r>
        <w:rPr>
          <w:rFonts w:ascii="Arial" w:cs="Arial" w:eastAsia="Arial" w:hAnsi="Arial"/>
          <w:sz w:val="18"/>
          <w:szCs w:val="18"/>
          <w:color w:val="auto"/>
        </w:rPr>
        <w:t>” shall mean: With respect to a particular individual: (a) each other member of such individual’s Family; (b) any Person that is directly or indirectly controlled by any one or more members of such individual’s Family; (c) any Person in which members of such individual’s Family hold (individually or in the aggregate) a Material Interest; and (d)any Person with respect to which one or more members of such individual’s Family serves as a director, officer, partner, executor or trustee (or in a similar capacity).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420"/>
          </w:cols>
          <w:pgMar w:left="240" w:top="274"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a specified Person other than an individual:</w:t>
      </w:r>
    </w:p>
    <w:p>
      <w:pPr>
        <w:spacing w:after="0" w:line="117" w:lineRule="exact"/>
        <w:rPr>
          <w:sz w:val="20"/>
          <w:szCs w:val="20"/>
          <w:color w:val="auto"/>
        </w:rPr>
      </w:pPr>
    </w:p>
    <w:p>
      <w:pPr>
        <w:ind w:left="920" w:right="280" w:firstLine="421"/>
        <w:spacing w:after="0" w:line="277" w:lineRule="auto"/>
        <w:tabs>
          <w:tab w:leader="none" w:pos="15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Person that directly or indirectly controls, is directly or indirectly controlled by or is directly or indirectly under common control with such specified Person;</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Person that holds a Material Interest in such specified Person;</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each Person that serves as a director, officer, partner, executor or trustee of such specified Person (or in a similar capacity);</w:t>
      </w:r>
    </w:p>
    <w:p>
      <w:pPr>
        <w:spacing w:after="0" w:line="128" w:lineRule="exact"/>
        <w:rPr>
          <w:rFonts w:ascii="Arial" w:cs="Arial" w:eastAsia="Arial" w:hAnsi="Arial"/>
          <w:sz w:val="17"/>
          <w:szCs w:val="17"/>
          <w:color w:val="auto"/>
        </w:rPr>
      </w:pPr>
    </w:p>
    <w:p>
      <w:pPr>
        <w:ind w:left="1600" w:hanging="259"/>
        <w:spacing w:after="0"/>
        <w:tabs>
          <w:tab w:leader="none" w:pos="1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Person in which such specified Person holds a Material Interest; and</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Person with respect to which such specified Person serves as a general partner or a trustee (or in a similar capacity).</w:t>
      </w:r>
    </w:p>
    <w:p>
      <w:pPr>
        <w:spacing w:after="0" w:line="22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For purposes of this definition: (a) “</w:t>
      </w:r>
      <w:r>
        <w:rPr>
          <w:rFonts w:ascii="Arial" w:cs="Arial" w:eastAsia="Arial" w:hAnsi="Arial"/>
          <w:sz w:val="18"/>
          <w:szCs w:val="18"/>
          <w:u w:val="single" w:color="auto"/>
          <w:color w:val="auto"/>
        </w:rPr>
        <w:t>control</w:t>
      </w:r>
      <w:r>
        <w:rPr>
          <w:rFonts w:ascii="Arial" w:cs="Arial" w:eastAsia="Arial" w:hAnsi="Arial"/>
          <w:sz w:val="18"/>
          <w:szCs w:val="18"/>
          <w:color w:val="auto"/>
        </w:rPr>
        <w:t>” (including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w:t>
      </w:r>
      <w:r>
        <w:rPr>
          <w:rFonts w:ascii="Arial" w:cs="Arial" w:eastAsia="Arial" w:hAnsi="Arial"/>
          <w:sz w:val="18"/>
          <w:szCs w:val="18"/>
          <w:color w:val="auto"/>
        </w:rPr>
        <w:t xml:space="preserve"> by,”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securities, by Contract or otherwise, and shall be construed as such term is used in the rules promulgated under the Securities Act; (b) the “</w:t>
      </w:r>
      <w:r>
        <w:rPr>
          <w:rFonts w:ascii="Arial" w:cs="Arial" w:eastAsia="Arial" w:hAnsi="Arial"/>
          <w:sz w:val="18"/>
          <w:szCs w:val="18"/>
          <w:u w:val="single" w:color="auto"/>
          <w:color w:val="auto"/>
        </w:rPr>
        <w:t>Family</w:t>
      </w:r>
      <w:r>
        <w:rPr>
          <w:rFonts w:ascii="Arial" w:cs="Arial" w:eastAsia="Arial" w:hAnsi="Arial"/>
          <w:sz w:val="18"/>
          <w:szCs w:val="18"/>
          <w:color w:val="auto"/>
        </w:rPr>
        <w:t>” of an individual includes: (i) the individual; (ii) the individual’s spouse; (iii) any other natural person who is related to the individual or the individual’s spouse within the second degree; and (iv) any other natural person who resides with such individual; and (c) “</w:t>
      </w:r>
      <w:r>
        <w:rPr>
          <w:rFonts w:ascii="Arial" w:cs="Arial" w:eastAsia="Arial" w:hAnsi="Arial"/>
          <w:sz w:val="18"/>
          <w:szCs w:val="18"/>
          <w:u w:val="single" w:color="auto"/>
          <w:color w:val="auto"/>
        </w:rPr>
        <w:t>Material Interest</w:t>
      </w:r>
      <w:r>
        <w:rPr>
          <w:rFonts w:ascii="Arial" w:cs="Arial" w:eastAsia="Arial" w:hAnsi="Arial"/>
          <w:sz w:val="18"/>
          <w:szCs w:val="18"/>
          <w:color w:val="auto"/>
        </w:rPr>
        <w:t>” means direct or indirect beneficial ownership (as defined in Rule 13d-3 under the Exchange Act) of voting securities or other voting interests representing at least ten percent (10%) of the outstanding voting power of a Person or equity securities or other equity interests representing at least ten percent (10%) of the outstanding equity securities or equity interests in a Person.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 Award Agreement</w:t>
      </w:r>
      <w:r>
        <w:rPr>
          <w:rFonts w:ascii="Arial" w:cs="Arial" w:eastAsia="Arial" w:hAnsi="Arial"/>
          <w:sz w:val="18"/>
          <w:szCs w:val="18"/>
          <w:color w:val="auto"/>
        </w:rPr>
        <w:t>” shall have the meaning specified in Section 2.02(h).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Counsel</w:t>
      </w:r>
      <w:r>
        <w:rPr>
          <w:rFonts w:ascii="Arial" w:cs="Arial" w:eastAsia="Arial" w:hAnsi="Arial"/>
          <w:sz w:val="18"/>
          <w:szCs w:val="18"/>
          <w:color w:val="auto"/>
        </w:rPr>
        <w:t>” shall mean Wilke, Fleury, Hoffelt, Gould &amp; Birney, LLP, counsel to the Company and Sellers.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u w:val="single" w:color="auto"/>
          <w:color w:val="auto"/>
        </w:rPr>
        <w:t>Sellers’ Representative</w:t>
      </w:r>
      <w:r>
        <w:rPr>
          <w:rFonts w:ascii="Arial" w:cs="Arial" w:eastAsia="Arial" w:hAnsi="Arial"/>
          <w:sz w:val="18"/>
          <w:szCs w:val="18"/>
          <w:color w:val="auto"/>
        </w:rPr>
        <w:t>” shall mean Louay Owaidat or Bruce Diettert.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 Tax period that begins on or before the Closing Date and ends thereafter.</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Working Capital</w:t>
      </w:r>
      <w:r>
        <w:rPr>
          <w:rFonts w:ascii="Arial" w:cs="Arial" w:eastAsia="Arial" w:hAnsi="Arial"/>
          <w:sz w:val="18"/>
          <w:szCs w:val="18"/>
          <w:color w:val="auto"/>
        </w:rPr>
        <w:t>” shall mean the historical twelve (12) month average net working capital as of the most recently available month end balance sheet prior to the Closing Date, which has been definitively calculated by the Parties to equal $15,470,000.00.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420"/>
          </w:cols>
          <w:pgMar w:left="240" w:top="274"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shall mean all federal, state, local and foreign taxes (including excise taxes, value added taxes, occupancy taxes, employment taxes, unemployment taxes, ad valorem taxes, custom duties, transfer taxes, and fees), levies, imposts, impositions, assessments and other governmental charges of any nature imposed upon a Person, including but not limited to all taxes and governmental charges imposed upon any of the personal properties, real properties, tangible or intangible assets, income, receipts, payrolls, transactions, stock transfers, capital stock, net worth or franchises of a Person (including all sales, use, withholding or other taxes which a Person is required to collect or pay over to any government), and all related additions to tax, penalties or interest thereon.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Representations</w:t>
      </w:r>
      <w:r>
        <w:rPr>
          <w:rFonts w:ascii="Arial" w:cs="Arial" w:eastAsia="Arial" w:hAnsi="Arial"/>
          <w:sz w:val="18"/>
          <w:szCs w:val="18"/>
          <w:color w:val="auto"/>
        </w:rPr>
        <w:t xml:space="preserve">” shall mean the representations and warranties of Sellers and the Company contained in </w:t>
      </w:r>
      <w:r>
        <w:rPr>
          <w:rFonts w:ascii="Arial" w:cs="Arial" w:eastAsia="Arial" w:hAnsi="Arial"/>
          <w:sz w:val="18"/>
          <w:szCs w:val="18"/>
          <w:u w:val="single" w:color="auto"/>
          <w:color w:val="auto"/>
        </w:rPr>
        <w:t>Section 4.08</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shall mean and include all returns, statements, declarations, estimates, forms, reports, information returns and any other documents (including all consolidated, affiliated, combined or unitary versions of the same), including all related and supporting information, filed or required to be filed with any Governmental Entity in connection with the determination, assessment, reporting, payment, collection or administration of any Taxes.</w:t>
      </w:r>
    </w:p>
    <w:p>
      <w:pPr>
        <w:spacing w:after="0" w:line="166"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Representations</w:t>
      </w:r>
      <w:r>
        <w:rPr>
          <w:rFonts w:ascii="Arial" w:cs="Arial" w:eastAsia="Arial" w:hAnsi="Arial"/>
          <w:sz w:val="18"/>
          <w:szCs w:val="18"/>
          <w:color w:val="auto"/>
        </w:rPr>
        <w:t xml:space="preserve">” shall mean the representations and warranties contained in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4.13(a)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4.16(c)</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 Act</w:t>
      </w:r>
      <w:r>
        <w:rPr>
          <w:rFonts w:ascii="Arial" w:cs="Arial" w:eastAsia="Arial" w:hAnsi="Arial"/>
          <w:sz w:val="18"/>
          <w:szCs w:val="18"/>
          <w:color w:val="auto"/>
        </w:rPr>
        <w:t>” shall mean the Worker Adjustment and Retraining Notification Act,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terms defined above, the following terms shall have the respective meanings given to them in the sections set forth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820" w:type="dxa"/>
            <w:vAlign w:val="bottom"/>
          </w:tcPr>
          <w:p>
            <w:pPr>
              <w:spacing w:after="0"/>
              <w:rPr>
                <w:sz w:val="20"/>
                <w:szCs w:val="20"/>
                <w:color w:val="auto"/>
              </w:rPr>
            </w:pPr>
            <w:r>
              <w:rPr>
                <w:rFonts w:ascii="Arial" w:cs="Arial" w:eastAsia="Arial" w:hAnsi="Arial"/>
                <w:sz w:val="14"/>
                <w:szCs w:val="14"/>
                <w:b w:val="1"/>
                <w:bCs w:val="1"/>
                <w:color w:val="auto"/>
                <w:w w:val="93"/>
              </w:rPr>
              <w:t>Defined term</w:t>
            </w:r>
          </w:p>
        </w:tc>
        <w:tc>
          <w:tcPr>
            <w:tcW w:w="2660" w:type="dxa"/>
            <w:vAlign w:val="bottom"/>
          </w:tcPr>
          <w:p>
            <w:pPr>
              <w:spacing w:after="0"/>
              <w:rPr>
                <w:sz w:val="14"/>
                <w:szCs w:val="14"/>
                <w:color w:val="auto"/>
              </w:rPr>
            </w:pPr>
          </w:p>
        </w:tc>
        <w:tc>
          <w:tcPr>
            <w:tcW w:w="2320" w:type="dxa"/>
            <w:vAlign w:val="bottom"/>
            <w:gridSpan w:val="3"/>
          </w:tcPr>
          <w:p>
            <w:pPr>
              <w:ind w:left="120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vMerge w:val="restart"/>
          </w:tcPr>
          <w:p>
            <w:pPr>
              <w:ind w:left="140"/>
              <w:spacing w:after="0"/>
              <w:rPr>
                <w:sz w:val="20"/>
                <w:szCs w:val="20"/>
                <w:color w:val="auto"/>
              </w:rPr>
            </w:pPr>
            <w:r>
              <w:rPr>
                <w:rFonts w:ascii="Arial" w:cs="Arial" w:eastAsia="Arial" w:hAnsi="Arial"/>
                <w:sz w:val="18"/>
                <w:szCs w:val="18"/>
                <w:color w:val="auto"/>
                <w:w w:val="87"/>
              </w:rPr>
              <w:t>1.05(b)</w:t>
            </w:r>
          </w:p>
        </w:tc>
        <w:tc>
          <w:tcPr>
            <w:tcW w:w="0" w:type="dxa"/>
            <w:vAlign w:val="bottom"/>
          </w:tcPr>
          <w:p>
            <w:pPr>
              <w:spacing w:after="0" w:line="20" w:lineRule="exact"/>
              <w:rPr>
                <w:sz w:val="1"/>
                <w:szCs w:val="1"/>
                <w:color w:val="auto"/>
              </w:rPr>
            </w:pPr>
          </w:p>
        </w:tc>
      </w:tr>
      <w:tr>
        <w:trPr>
          <w:trHeight w:val="195"/>
        </w:trPr>
        <w:tc>
          <w:tcPr>
            <w:tcW w:w="3480" w:type="dxa"/>
            <w:vAlign w:val="bottom"/>
            <w:gridSpan w:val="2"/>
          </w:tcPr>
          <w:p>
            <w:pPr>
              <w:spacing w:after="0" w:line="195" w:lineRule="exact"/>
              <w:rPr>
                <w:sz w:val="20"/>
                <w:szCs w:val="20"/>
                <w:color w:val="auto"/>
              </w:rPr>
            </w:pPr>
            <w:r>
              <w:rPr>
                <w:rFonts w:ascii="Arial" w:cs="Arial" w:eastAsia="Arial" w:hAnsi="Arial"/>
                <w:sz w:val="18"/>
                <w:szCs w:val="18"/>
                <w:color w:val="auto"/>
              </w:rPr>
              <w:t>2019 EBITDA Target</w:t>
            </w:r>
          </w:p>
        </w:tc>
        <w:tc>
          <w:tcPr>
            <w:tcW w:w="1220" w:type="dxa"/>
            <w:vAlign w:val="bottom"/>
            <w:vMerge w:val="continue"/>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7"/>
                <w:szCs w:val="17"/>
                <w:color w:val="auto"/>
                <w:w w:val="73"/>
              </w:rPr>
              <w:t>Section</w:t>
            </w: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2019 EBITDA of Purchaser</w:t>
            </w:r>
          </w:p>
        </w:tc>
        <w:tc>
          <w:tcPr>
            <w:tcW w:w="2320" w:type="dxa"/>
            <w:vAlign w:val="bottom"/>
            <w:gridSpan w:val="3"/>
          </w:tcPr>
          <w:p>
            <w:pPr>
              <w:ind w:left="1200"/>
              <w:spacing w:after="0"/>
              <w:rPr>
                <w:sz w:val="20"/>
                <w:szCs w:val="20"/>
                <w:color w:val="auto"/>
              </w:rPr>
            </w:pPr>
            <w:r>
              <w:rPr>
                <w:rFonts w:ascii="Arial" w:cs="Arial" w:eastAsia="Arial" w:hAnsi="Arial"/>
                <w:sz w:val="18"/>
                <w:szCs w:val="18"/>
                <w:color w:val="auto"/>
                <w:w w:val="90"/>
              </w:rPr>
              <w:t>Section 1.05(b)</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2320" w:type="dxa"/>
            <w:vAlign w:val="bottom"/>
            <w:gridSpan w:val="3"/>
          </w:tcPr>
          <w:p>
            <w:pPr>
              <w:ind w:left="120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Interim Balance Sheet Date</w:t>
            </w:r>
          </w:p>
        </w:tc>
        <w:tc>
          <w:tcPr>
            <w:tcW w:w="2320" w:type="dxa"/>
            <w:vAlign w:val="bottom"/>
            <w:gridSpan w:val="3"/>
          </w:tcPr>
          <w:p>
            <w:pPr>
              <w:ind w:left="1200"/>
              <w:spacing w:after="0"/>
              <w:rPr>
                <w:sz w:val="20"/>
                <w:szCs w:val="20"/>
                <w:color w:val="auto"/>
              </w:rPr>
            </w:pPr>
            <w:r>
              <w:rPr>
                <w:rFonts w:ascii="Arial" w:cs="Arial" w:eastAsia="Arial" w:hAnsi="Arial"/>
                <w:sz w:val="18"/>
                <w:szCs w:val="18"/>
                <w:color w:val="auto"/>
              </w:rPr>
              <w:t>Section 4.07</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Business</w:t>
            </w:r>
          </w:p>
        </w:tc>
        <w:tc>
          <w:tcPr>
            <w:tcW w:w="2320" w:type="dxa"/>
            <w:vAlign w:val="bottom"/>
            <w:gridSpan w:val="3"/>
          </w:tcPr>
          <w:p>
            <w:pPr>
              <w:ind w:left="120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Claimant</w:t>
            </w:r>
          </w:p>
        </w:tc>
        <w:tc>
          <w:tcPr>
            <w:tcW w:w="2320" w:type="dxa"/>
            <w:vAlign w:val="bottom"/>
            <w:gridSpan w:val="3"/>
          </w:tcPr>
          <w:p>
            <w:pPr>
              <w:ind w:left="1200"/>
              <w:spacing w:after="0"/>
              <w:rPr>
                <w:sz w:val="20"/>
                <w:szCs w:val="20"/>
                <w:color w:val="auto"/>
              </w:rPr>
            </w:pPr>
            <w:r>
              <w:rPr>
                <w:rFonts w:ascii="Arial" w:cs="Arial" w:eastAsia="Arial" w:hAnsi="Arial"/>
                <w:sz w:val="18"/>
                <w:szCs w:val="18"/>
                <w:color w:val="auto"/>
              </w:rPr>
              <w:t>Section 6.03</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2320" w:type="dxa"/>
            <w:vAlign w:val="bottom"/>
            <w:gridSpan w:val="3"/>
          </w:tcPr>
          <w:p>
            <w:pPr>
              <w:ind w:left="1200"/>
              <w:spacing w:after="0"/>
              <w:rPr>
                <w:sz w:val="20"/>
                <w:szCs w:val="20"/>
                <w:color w:val="auto"/>
              </w:rPr>
            </w:pPr>
            <w:r>
              <w:rPr>
                <w:rFonts w:ascii="Arial" w:cs="Arial" w:eastAsia="Arial" w:hAnsi="Arial"/>
                <w:sz w:val="18"/>
                <w:szCs w:val="18"/>
                <w:color w:val="auto"/>
              </w:rPr>
              <w:t>Section 2.01</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Closing Balance Sheet</w:t>
            </w:r>
          </w:p>
        </w:tc>
        <w:tc>
          <w:tcPr>
            <w:tcW w:w="2320" w:type="dxa"/>
            <w:vAlign w:val="bottom"/>
            <w:gridSpan w:val="3"/>
          </w:tcPr>
          <w:p>
            <w:pPr>
              <w:ind w:left="1200"/>
              <w:spacing w:after="0"/>
              <w:rPr>
                <w:sz w:val="20"/>
                <w:szCs w:val="20"/>
                <w:color w:val="auto"/>
              </w:rPr>
            </w:pPr>
            <w:r>
              <w:rPr>
                <w:rFonts w:ascii="Arial" w:cs="Arial" w:eastAsia="Arial" w:hAnsi="Arial"/>
                <w:sz w:val="18"/>
                <w:szCs w:val="18"/>
                <w:color w:val="auto"/>
                <w:w w:val="90"/>
              </w:rPr>
              <w:t>Section 1.03(a)</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2320" w:type="dxa"/>
            <w:vAlign w:val="bottom"/>
            <w:gridSpan w:val="3"/>
          </w:tcPr>
          <w:p>
            <w:pPr>
              <w:ind w:left="1200"/>
              <w:spacing w:after="0"/>
              <w:rPr>
                <w:sz w:val="20"/>
                <w:szCs w:val="20"/>
                <w:color w:val="auto"/>
              </w:rPr>
            </w:pPr>
            <w:r>
              <w:rPr>
                <w:rFonts w:ascii="Arial" w:cs="Arial" w:eastAsia="Arial" w:hAnsi="Arial"/>
                <w:sz w:val="18"/>
                <w:szCs w:val="18"/>
                <w:color w:val="auto"/>
              </w:rPr>
              <w:t>Section 2.01</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Closing Date Working</w:t>
            </w:r>
          </w:p>
        </w:tc>
        <w:tc>
          <w:tcPr>
            <w:tcW w:w="2320" w:type="dxa"/>
            <w:vAlign w:val="bottom"/>
            <w:gridSpan w:val="3"/>
          </w:tcPr>
          <w:p>
            <w:pPr>
              <w:ind w:left="1200"/>
              <w:spacing w:after="0"/>
              <w:rPr>
                <w:sz w:val="20"/>
                <w:szCs w:val="20"/>
                <w:color w:val="auto"/>
              </w:rPr>
            </w:pPr>
            <w:r>
              <w:rPr>
                <w:rFonts w:ascii="Arial" w:cs="Arial" w:eastAsia="Arial" w:hAnsi="Arial"/>
                <w:sz w:val="18"/>
                <w:szCs w:val="18"/>
                <w:color w:val="auto"/>
                <w:w w:val="90"/>
              </w:rPr>
              <w:t>Section 1.03(a)</w:t>
            </w:r>
          </w:p>
        </w:tc>
        <w:tc>
          <w:tcPr>
            <w:tcW w:w="0" w:type="dxa"/>
            <w:vAlign w:val="bottom"/>
          </w:tcPr>
          <w:p>
            <w:pPr>
              <w:spacing w:after="0"/>
              <w:rPr>
                <w:sz w:val="1"/>
                <w:szCs w:val="1"/>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Capital Statement</w:t>
            </w: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Closing Cash Payment</w:t>
            </w:r>
          </w:p>
        </w:tc>
        <w:tc>
          <w:tcPr>
            <w:tcW w:w="2320" w:type="dxa"/>
            <w:vAlign w:val="bottom"/>
            <w:gridSpan w:val="3"/>
          </w:tcPr>
          <w:p>
            <w:pPr>
              <w:ind w:left="1200"/>
              <w:spacing w:after="0"/>
              <w:rPr>
                <w:sz w:val="20"/>
                <w:szCs w:val="20"/>
                <w:color w:val="auto"/>
              </w:rPr>
            </w:pPr>
            <w:r>
              <w:rPr>
                <w:rFonts w:ascii="Arial" w:cs="Arial" w:eastAsia="Arial" w:hAnsi="Arial"/>
                <w:sz w:val="18"/>
                <w:szCs w:val="18"/>
                <w:color w:val="auto"/>
                <w:w w:val="90"/>
              </w:rPr>
              <w:t>Section 1.02(a)</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320" w:type="dxa"/>
            <w:vAlign w:val="bottom"/>
            <w:gridSpan w:val="3"/>
          </w:tcPr>
          <w:p>
            <w:pPr>
              <w:ind w:left="120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Competing Business</w:t>
            </w:r>
          </w:p>
        </w:tc>
        <w:tc>
          <w:tcPr>
            <w:tcW w:w="2320" w:type="dxa"/>
            <w:vAlign w:val="bottom"/>
            <w:gridSpan w:val="3"/>
          </w:tcPr>
          <w:p>
            <w:pPr>
              <w:ind w:left="1200"/>
              <w:spacing w:after="0"/>
              <w:rPr>
                <w:sz w:val="20"/>
                <w:szCs w:val="20"/>
                <w:color w:val="auto"/>
              </w:rPr>
            </w:pPr>
            <w:r>
              <w:rPr>
                <w:rFonts w:ascii="Arial" w:cs="Arial" w:eastAsia="Arial" w:hAnsi="Arial"/>
                <w:sz w:val="18"/>
                <w:szCs w:val="18"/>
                <w:color w:val="auto"/>
              </w:rPr>
              <w:t>Section 4.28</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Confidential Information</w:t>
            </w:r>
          </w:p>
        </w:tc>
        <w:tc>
          <w:tcPr>
            <w:tcW w:w="2320" w:type="dxa"/>
            <w:vAlign w:val="bottom"/>
            <w:gridSpan w:val="3"/>
          </w:tcPr>
          <w:p>
            <w:pPr>
              <w:ind w:left="1200"/>
              <w:spacing w:after="0"/>
              <w:rPr>
                <w:sz w:val="20"/>
                <w:szCs w:val="20"/>
                <w:color w:val="auto"/>
              </w:rPr>
            </w:pPr>
            <w:r>
              <w:rPr>
                <w:rFonts w:ascii="Arial" w:cs="Arial" w:eastAsia="Arial" w:hAnsi="Arial"/>
                <w:sz w:val="18"/>
                <w:szCs w:val="18"/>
                <w:color w:val="auto"/>
                <w:w w:val="90"/>
              </w:rPr>
              <w:t>Section 7.01(b)</w:t>
            </w:r>
          </w:p>
        </w:tc>
        <w:tc>
          <w:tcPr>
            <w:tcW w:w="0" w:type="dxa"/>
            <w:vAlign w:val="bottom"/>
          </w:tcPr>
          <w:p>
            <w:pPr>
              <w:spacing w:after="0"/>
              <w:rPr>
                <w:sz w:val="1"/>
                <w:szCs w:val="1"/>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Contribution and Exchange Agreement</w:t>
            </w:r>
          </w:p>
        </w:tc>
        <w:tc>
          <w:tcPr>
            <w:tcW w:w="2320" w:type="dxa"/>
            <w:vAlign w:val="bottom"/>
            <w:gridSpan w:val="3"/>
          </w:tcPr>
          <w:p>
            <w:pPr>
              <w:ind w:left="120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365"/>
        </w:trPr>
        <w:tc>
          <w:tcPr>
            <w:tcW w:w="8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20" w:type="dxa"/>
            <w:vAlign w:val="bottom"/>
          </w:tcPr>
          <w:p>
            <w:pPr>
              <w:ind w:left="660"/>
              <w:spacing w:after="0"/>
              <w:rPr>
                <w:sz w:val="20"/>
                <w:szCs w:val="20"/>
                <w:color w:val="auto"/>
              </w:rPr>
            </w:pPr>
            <w:r>
              <w:rPr>
                <w:rFonts w:ascii="Arial" w:cs="Arial" w:eastAsia="Arial" w:hAnsi="Arial"/>
                <w:sz w:val="18"/>
                <w:szCs w:val="18"/>
                <w:color w:val="auto"/>
              </w:rPr>
              <w:t>- 56 -</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6" w:name="page67"/>
    <w:bookmarkEnd w:id="66"/>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44"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2500" w:type="dxa"/>
            <w:vAlign w:val="bottom"/>
            <w:gridSpan w:val="3"/>
          </w:tcPr>
          <w:p>
            <w:pPr>
              <w:ind w:left="1040"/>
              <w:spacing w:after="0"/>
              <w:rPr>
                <w:sz w:val="20"/>
                <w:szCs w:val="20"/>
                <w:color w:val="auto"/>
              </w:rPr>
            </w:pPr>
            <w:r>
              <w:rPr>
                <w:rFonts w:ascii="Arial" w:cs="Arial" w:eastAsia="Arial" w:hAnsi="Arial"/>
                <w:sz w:val="14"/>
                <w:szCs w:val="14"/>
                <w:b w:val="1"/>
                <w:bCs w:val="1"/>
                <w:color w:val="auto"/>
              </w:rPr>
              <w:t>Section</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Copyrights</w:t>
            </w:r>
          </w:p>
        </w:tc>
        <w:tc>
          <w:tcPr>
            <w:tcW w:w="2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73"/>
              </w:rPr>
              <w:t>Section</w:t>
            </w:r>
          </w:p>
        </w:tc>
        <w:tc>
          <w:tcPr>
            <w:tcW w:w="100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11.01</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Disabling Code</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4.17(g)</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Disagreement Notice</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6.05</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Disclosure Schedules</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w w:val="93"/>
              </w:rPr>
              <w:t>Article IV Preamble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Dispute Notice</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1.03(c)</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Documentation</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11.01</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Domain Names</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11.01</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Earnout Payment</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1.05(a)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EBITDA of Purchaser</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1.05</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Election Notice</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6.04</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Employment Agreement</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2.02(k)</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Escrow Agent</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1.03</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Escrow Agreement</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1.03</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Final Working Capital</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1.03(c)</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Financial Statements</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4.06(a)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Former Seller</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12.01(c)</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GLDD Stock</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1.05(c)</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Government Contract</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4.31(a)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Indemnification Basket</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6.08</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Indemnification Cap</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6.08</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Indemnification Notice</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6.03</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6.03</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Indemnity Loss</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6.01</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Independent Auditor</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1.03(c)</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Interim Balance Sheet</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4.06(a)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Interim Balance Sheet Date</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4.06(a)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Invention/Intellectual Property Agreements</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3.02(n)</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Leased Real Property</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4.11</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Litigation Notice</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6.03</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Magnus Real Estate</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2.02(k)</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Marks</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11.01</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Material Contracts</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4.21</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MEG</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2.02(o)</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Minimum 2015 EBITDA</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1.04(b)</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Non-Competition Agreement</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2.02(j)</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Note</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1.04(a)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Office Lease</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2.02(k)</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Parties</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Preamble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Patents</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11.01</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Pension Plan</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4.17(b)</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Policy or Policies</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4.21(a)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Preliminary Allocation</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1.05</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Presidio/Helens Receivables</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Section 4.33</w:t>
            </w: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Purchaser</w:t>
            </w:r>
          </w:p>
        </w:tc>
        <w:tc>
          <w:tcPr>
            <w:tcW w:w="2500" w:type="dxa"/>
            <w:vAlign w:val="bottom"/>
            <w:gridSpan w:val="3"/>
          </w:tcPr>
          <w:p>
            <w:pPr>
              <w:ind w:left="1040"/>
              <w:spacing w:after="0"/>
              <w:rPr>
                <w:sz w:val="20"/>
                <w:szCs w:val="20"/>
                <w:color w:val="auto"/>
              </w:rPr>
            </w:pPr>
            <w:r>
              <w:rPr>
                <w:rFonts w:ascii="Arial" w:cs="Arial" w:eastAsia="Arial" w:hAnsi="Arial"/>
                <w:sz w:val="18"/>
                <w:szCs w:val="18"/>
                <w:color w:val="auto"/>
              </w:rPr>
              <w:t>Preamble</w:t>
            </w:r>
          </w:p>
        </w:tc>
      </w:tr>
      <w:tr>
        <w:trPr>
          <w:trHeight w:val="365"/>
        </w:trPr>
        <w:tc>
          <w:tcPr>
            <w:tcW w:w="8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60" w:type="dxa"/>
            <w:vAlign w:val="bottom"/>
          </w:tcPr>
          <w:p>
            <w:pPr>
              <w:ind w:left="500"/>
              <w:spacing w:after="0"/>
              <w:rPr>
                <w:sz w:val="20"/>
                <w:szCs w:val="20"/>
                <w:color w:val="auto"/>
              </w:rPr>
            </w:pPr>
            <w:r>
              <w:rPr>
                <w:rFonts w:ascii="Arial" w:cs="Arial" w:eastAsia="Arial" w:hAnsi="Arial"/>
                <w:sz w:val="18"/>
                <w:szCs w:val="18"/>
                <w:color w:val="auto"/>
              </w:rPr>
              <w:t>- 57 -</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340"/>
          </w:cols>
          <w:pgMar w:left="320" w:top="27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1720" w:type="dxa"/>
            <w:vAlign w:val="bottom"/>
            <w:gridSpan w:val="3"/>
          </w:tcPr>
          <w:p>
            <w:pPr>
              <w:ind w:left="560"/>
              <w:spacing w:after="0"/>
              <w:rPr>
                <w:sz w:val="20"/>
                <w:szCs w:val="20"/>
                <w:color w:val="auto"/>
              </w:rPr>
            </w:pPr>
            <w:r>
              <w:rPr>
                <w:rFonts w:ascii="Arial" w:cs="Arial" w:eastAsia="Arial" w:hAnsi="Arial"/>
                <w:sz w:val="14"/>
                <w:szCs w:val="14"/>
                <w:b w:val="1"/>
                <w:bCs w:val="1"/>
                <w:color w:val="auto"/>
              </w:rPr>
              <w:t>Section</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4"/>
              </w:rPr>
              <w:t>Purchaser’s</w:t>
            </w:r>
          </w:p>
        </w:tc>
        <w:tc>
          <w:tcPr>
            <w:tcW w:w="3300" w:type="dxa"/>
            <w:vAlign w:val="bottom"/>
          </w:tcPr>
          <w:p>
            <w:pPr>
              <w:ind w:left="60"/>
              <w:spacing w:after="0" w:line="195" w:lineRule="exact"/>
              <w:rPr>
                <w:sz w:val="20"/>
                <w:szCs w:val="20"/>
                <w:color w:val="auto"/>
              </w:rPr>
            </w:pPr>
            <w:r>
              <w:rPr>
                <w:rFonts w:ascii="Arial" w:cs="Arial" w:eastAsia="Arial" w:hAnsi="Arial"/>
                <w:sz w:val="18"/>
                <w:szCs w:val="18"/>
                <w:color w:val="auto"/>
              </w:rPr>
              <w:t>Final Working Capital Determination</w:t>
            </w:r>
          </w:p>
        </w:tc>
        <w:tc>
          <w:tcPr>
            <w:tcW w:w="580" w:type="dxa"/>
            <w:vAlign w:val="bottom"/>
          </w:tcPr>
          <w:p>
            <w:pPr>
              <w:spacing w:after="0"/>
              <w:rPr>
                <w:sz w:val="16"/>
                <w:szCs w:val="16"/>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73"/>
              </w:rPr>
              <w:t>Section</w:t>
            </w:r>
          </w:p>
        </w:tc>
        <w:tc>
          <w:tcPr>
            <w:tcW w:w="700" w:type="dxa"/>
            <w:vAlign w:val="bottom"/>
          </w:tcPr>
          <w:p>
            <w:pPr>
              <w:ind w:left="140"/>
              <w:spacing w:after="0" w:line="195" w:lineRule="exact"/>
              <w:rPr>
                <w:sz w:val="20"/>
                <w:szCs w:val="20"/>
                <w:color w:val="auto"/>
              </w:rPr>
            </w:pPr>
            <w:r>
              <w:rPr>
                <w:rFonts w:ascii="Arial" w:cs="Arial" w:eastAsia="Arial" w:hAnsi="Arial"/>
                <w:sz w:val="18"/>
                <w:szCs w:val="18"/>
                <w:color w:val="auto"/>
                <w:w w:val="94"/>
              </w:rPr>
              <w:t>1.03(a)</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Purchaser Indemnified Parties</w:t>
            </w: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Section 6.01</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Purchaser Group</w:t>
            </w: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Section 6.01</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Purchase Price</w:t>
            </w: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Section 1.02</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Real Property</w:t>
            </w: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Section 4.10</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Real Property Leases</w:t>
            </w: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Section 4.11</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Release Agreements</w:t>
            </w: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w w:val="98"/>
              </w:rPr>
              <w:t>Section 3.02(l)</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Restricted Period</w:t>
            </w: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w w:val="93"/>
              </w:rPr>
              <w:t>Section 7.02(a)</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Rule 506 Representative</w:t>
            </w: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w w:val="93"/>
              </w:rPr>
              <w:t>Section 3.07(a)</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Sellers</w:t>
            </w: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Preamble</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Set-Off Rights</w:t>
            </w: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w w:val="93"/>
              </w:rPr>
              <w:t>Section 6.06(a)</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Share Agreement</w:t>
            </w: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w w:val="89"/>
              </w:rPr>
              <w:t>Section 2.02(m)</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Preamble</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Section 11.01</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Subsequent Monthly Financial Statements</w:t>
            </w: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w w:val="98"/>
              </w:rPr>
              <w:t>Section 6.03(j)</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Tax Treatment Election</w:t>
            </w: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w w:val="93"/>
              </w:rPr>
              <w:t>Section 1.06(a)</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Terra</w:t>
            </w: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Section 1.05</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Trade Secrets</w:t>
            </w: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Section 11.01</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Websites</w:t>
            </w: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Section 11.01</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Yard Lease</w:t>
            </w: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w w:val="98"/>
              </w:rPr>
              <w:t>Section 2.02(l)</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7"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b w:val="1"/>
          <w:bCs w:val="1"/>
          <w:u w:val="single" w:color="auto"/>
          <w:color w:val="auto"/>
        </w:rPr>
        <w:t>Section 10.01. Public Announcements</w:t>
      </w:r>
      <w:r>
        <w:rPr>
          <w:rFonts w:ascii="Arial" w:cs="Arial" w:eastAsia="Arial" w:hAnsi="Arial"/>
          <w:sz w:val="16"/>
          <w:szCs w:val="16"/>
          <w:b w:val="1"/>
          <w:bCs w:val="1"/>
          <w:color w:val="auto"/>
        </w:rPr>
        <w:t xml:space="preserve">. </w:t>
      </w:r>
      <w:r>
        <w:rPr>
          <w:rFonts w:ascii="Arial" w:cs="Arial" w:eastAsia="Arial" w:hAnsi="Arial"/>
          <w:sz w:val="16"/>
          <w:szCs w:val="16"/>
          <w:color w:val="auto"/>
        </w:rPr>
        <w:t>Any public announcement, press release or similar publicity with respect to the transactions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for in or contemplated by this Agreement or any of the Related Agreements will be issued, if at all, at such time and in such manner as determined by Purchaser, unless public disclosure is necessary to comply with applicable Laws. The Company and Sellers will consult with Purchaser concerning the means by which the Company’s employees, customers, suppliers and others having dealings with the Company will be informed of the transactions provided for in or contemplated by this Agreement or any of the Related Agreements, and Purchaser will have the right to be present for any such communication.</w:t>
      </w:r>
    </w:p>
    <w:p>
      <w:pPr>
        <w:spacing w:after="0" w:line="154" w:lineRule="exact"/>
        <w:rPr>
          <w:sz w:val="20"/>
          <w:szCs w:val="20"/>
          <w:color w:val="auto"/>
        </w:rPr>
      </w:pPr>
    </w:p>
    <w:p>
      <w:pPr>
        <w:ind w:right="240" w:firstLine="913"/>
        <w:spacing w:after="0" w:line="281" w:lineRule="auto"/>
        <w:rPr>
          <w:sz w:val="20"/>
          <w:szCs w:val="20"/>
          <w:color w:val="auto"/>
        </w:rPr>
      </w:pPr>
      <w:r>
        <w:rPr>
          <w:rFonts w:ascii="Arial" w:cs="Arial" w:eastAsia="Arial" w:hAnsi="Arial"/>
          <w:sz w:val="17"/>
          <w:szCs w:val="17"/>
          <w:b w:val="1"/>
          <w:bCs w:val="1"/>
          <w:u w:val="single" w:color="auto"/>
          <w:color w:val="auto"/>
        </w:rPr>
        <w:t>Section 10.02. Costs and Expenses</w:t>
      </w:r>
      <w:r>
        <w:rPr>
          <w:rFonts w:ascii="Arial" w:cs="Arial" w:eastAsia="Arial" w:hAnsi="Arial"/>
          <w:sz w:val="17"/>
          <w:szCs w:val="17"/>
          <w:color w:val="auto"/>
        </w:rPr>
        <w:t>. Whether or not the transactions contemplated by this Agreement and the Related Agreements are</w:t>
      </w:r>
      <w:r>
        <w:rPr>
          <w:rFonts w:ascii="Arial" w:cs="Arial" w:eastAsia="Arial" w:hAnsi="Arial"/>
          <w:sz w:val="17"/>
          <w:szCs w:val="17"/>
          <w:b w:val="1"/>
          <w:bCs w:val="1"/>
          <w:color w:val="auto"/>
        </w:rPr>
        <w:t xml:space="preserve"> </w:t>
      </w:r>
      <w:r>
        <w:rPr>
          <w:rFonts w:ascii="Arial" w:cs="Arial" w:eastAsia="Arial" w:hAnsi="Arial"/>
          <w:sz w:val="17"/>
          <w:szCs w:val="17"/>
          <w:color w:val="auto"/>
        </w:rPr>
        <w:t>consummated, except as otherwise expressly provided herein, each of the Parties shall bear all expenses and costs incurred by it in connection with this Agreement and the Related Agreements and the transactions contemplated by any of them, including, without limitation, the fees and disbursements of any legal counsel, independent accountants or any other Person or representative whose services have been used by such party.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420"/>
          </w:cols>
          <w:pgMar w:left="240" w:top="274"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0" w:lineRule="exact"/>
        <w:rPr>
          <w:sz w:val="20"/>
          <w:szCs w:val="20"/>
          <w:color w:val="auto"/>
        </w:rPr>
      </w:pPr>
    </w:p>
    <w:p>
      <w:pPr>
        <w:ind w:right="500" w:firstLine="913"/>
        <w:spacing w:after="0" w:line="293" w:lineRule="auto"/>
        <w:rPr>
          <w:sz w:val="20"/>
          <w:szCs w:val="20"/>
          <w:color w:val="auto"/>
        </w:rPr>
      </w:pPr>
      <w:r>
        <w:rPr>
          <w:rFonts w:ascii="Arial" w:cs="Arial" w:eastAsia="Arial" w:hAnsi="Arial"/>
          <w:sz w:val="16"/>
          <w:szCs w:val="16"/>
          <w:b w:val="1"/>
          <w:bCs w:val="1"/>
          <w:u w:val="single" w:color="auto"/>
          <w:color w:val="auto"/>
        </w:rPr>
        <w:t>Section 10.03. Further Assurances.</w:t>
      </w:r>
      <w:r>
        <w:rPr>
          <w:rFonts w:ascii="Arial" w:cs="Arial" w:eastAsia="Arial" w:hAnsi="Arial"/>
          <w:sz w:val="16"/>
          <w:szCs w:val="16"/>
          <w:b w:val="1"/>
          <w:bCs w:val="1"/>
          <w:color w:val="auto"/>
        </w:rPr>
        <w:t xml:space="preserve"> </w:t>
      </w:r>
      <w:r>
        <w:rPr>
          <w:rFonts w:ascii="Arial" w:cs="Arial" w:eastAsia="Arial" w:hAnsi="Arial"/>
          <w:sz w:val="16"/>
          <w:szCs w:val="16"/>
          <w:color w:val="auto"/>
        </w:rPr>
        <w:t>From and after the date of this Agreement, the Parties shall cooperate reasonably with each other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steps required to be taken as part of their respective obligations under this Agreement or any of the Related Agreements, and shall:</w:t>
      </w:r>
    </w:p>
    <w:p>
      <w:pPr>
        <w:spacing w:after="0" w:line="1" w:lineRule="exact"/>
        <w:rPr>
          <w:sz w:val="20"/>
          <w:szCs w:val="20"/>
          <w:color w:val="auto"/>
        </w:rPr>
      </w:pPr>
    </w:p>
    <w:p>
      <w:pPr>
        <w:ind w:right="40" w:firstLine="8"/>
        <w:spacing w:after="0" w:line="255" w:lineRule="auto"/>
        <w:tabs>
          <w:tab w:leader="none" w:pos="245" w:val="left"/>
        </w:tabs>
        <w:numPr>
          <w:ilvl w:val="0"/>
          <w:numId w:val="85"/>
        </w:numPr>
        <w:rPr>
          <w:rFonts w:ascii="Arial" w:cs="Arial" w:eastAsia="Arial" w:hAnsi="Arial"/>
          <w:sz w:val="18"/>
          <w:szCs w:val="18"/>
          <w:color w:val="auto"/>
        </w:rPr>
      </w:pPr>
      <w:r>
        <w:rPr>
          <w:rFonts w:ascii="Arial" w:cs="Arial" w:eastAsia="Arial" w:hAnsi="Arial"/>
          <w:sz w:val="18"/>
          <w:szCs w:val="18"/>
          <w:color w:val="auto"/>
        </w:rPr>
        <w:t>furnish upon request to each other such further information; (b) execute and deliver to each other such other documents; and (c) do such other acts and things, all as the other party may reasonably request for the purpose of carrying out the intent of transactions contemplated by this Agreement and the Related Agreements.</w:t>
      </w:r>
    </w:p>
    <w:p>
      <w:pPr>
        <w:spacing w:after="0" w:line="186"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b w:val="1"/>
          <w:bCs w:val="1"/>
          <w:u w:val="single" w:color="auto"/>
          <w:color w:val="auto"/>
        </w:rPr>
        <w:t>Section 10.04. Addresses for Notices, Etc.</w:t>
      </w:r>
      <w:r>
        <w:rPr>
          <w:rFonts w:ascii="Arial" w:cs="Arial" w:eastAsia="Arial" w:hAnsi="Arial"/>
          <w:sz w:val="17"/>
          <w:szCs w:val="17"/>
          <w:b w:val="1"/>
          <w:bCs w:val="1"/>
          <w:color w:val="auto"/>
        </w:rPr>
        <w:t xml:space="preserve"> </w:t>
      </w:r>
      <w:r>
        <w:rPr>
          <w:rFonts w:ascii="Arial" w:cs="Arial" w:eastAsia="Arial" w:hAnsi="Arial"/>
          <w:sz w:val="17"/>
          <w:szCs w:val="17"/>
          <w:color w:val="auto"/>
        </w:rPr>
        <w:t>All notices, requests, demands and other communications that are required or may be given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the terms of this Agreement shall be in writing, and delivery shall be deemed sufficient in all respects and to have been duly given as follows: (a) on the actual date of service if delivered personally; (b) at the time of receipt of confirmation by the transmitting party if by facsimile transmission; (c) at the time of receipt if given by electronic mail to the e-mail addresses set forth in this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party sending notice by electronic delivery shall bear the burden of authentication and of proving transmittal, receipt and time of receipt; (d) on the third day after mailing if mailed by first-class mail return receipt requested, postage prepaid and properly addressed as set forth in this </w:t>
      </w:r>
      <w:r>
        <w:rPr>
          <w:rFonts w:ascii="Arial" w:cs="Arial" w:eastAsia="Arial" w:hAnsi="Arial"/>
          <w:sz w:val="17"/>
          <w:szCs w:val="17"/>
          <w:u w:val="single" w:color="auto"/>
          <w:color w:val="auto"/>
        </w:rPr>
        <w:t>Section 10.05</w:t>
      </w:r>
      <w:r>
        <w:rPr>
          <w:rFonts w:ascii="Arial" w:cs="Arial" w:eastAsia="Arial" w:hAnsi="Arial"/>
          <w:sz w:val="17"/>
          <w:szCs w:val="17"/>
          <w:color w:val="auto"/>
        </w:rPr>
        <w:t>; or (e) on the day after delivery to a nationally recognized overnight courier service during its business hours or the Express Mail service maintained by the United States Postal Service during its business hours for overnight delivery against receipt, and properly addressed as set forth in this Section:</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Arial" w:cs="Arial" w:eastAsia="Arial" w:hAnsi="Arial"/>
                <w:sz w:val="18"/>
                <w:szCs w:val="18"/>
                <w:i w:val="1"/>
                <w:iCs w:val="1"/>
                <w:color w:val="auto"/>
              </w:rPr>
              <w:t>If to Purchaser:</w:t>
            </w:r>
          </w:p>
        </w:tc>
        <w:tc>
          <w:tcPr>
            <w:tcW w:w="6380" w:type="dxa"/>
            <w:vAlign w:val="bottom"/>
            <w:gridSpan w:val="3"/>
          </w:tcPr>
          <w:p>
            <w:pPr>
              <w:ind w:left="1900"/>
              <w:spacing w:after="0"/>
              <w:rPr>
                <w:sz w:val="20"/>
                <w:szCs w:val="20"/>
                <w:color w:val="auto"/>
              </w:rPr>
            </w:pPr>
            <w:r>
              <w:rPr>
                <w:rFonts w:ascii="Arial" w:cs="Arial" w:eastAsia="Arial" w:hAnsi="Arial"/>
                <w:sz w:val="18"/>
                <w:szCs w:val="18"/>
                <w:color w:val="auto"/>
                <w:w w:val="91"/>
              </w:rPr>
              <w:t>Great Lakes Environmental and Infrastructure Solutions, LLC</w:t>
            </w:r>
          </w:p>
        </w:tc>
      </w:tr>
      <w:tr>
        <w:trPr>
          <w:trHeight w:val="216"/>
        </w:trPr>
        <w:tc>
          <w:tcPr>
            <w:tcW w:w="3040" w:type="dxa"/>
            <w:vAlign w:val="bottom"/>
          </w:tcPr>
          <w:p>
            <w:pPr>
              <w:spacing w:after="0"/>
              <w:rPr>
                <w:sz w:val="18"/>
                <w:szCs w:val="18"/>
                <w:color w:val="auto"/>
              </w:rPr>
            </w:pPr>
          </w:p>
        </w:tc>
        <w:tc>
          <w:tcPr>
            <w:tcW w:w="6380" w:type="dxa"/>
            <w:vAlign w:val="bottom"/>
            <w:gridSpan w:val="3"/>
          </w:tcPr>
          <w:p>
            <w:pPr>
              <w:ind w:left="1900"/>
              <w:spacing w:after="0"/>
              <w:rPr>
                <w:sz w:val="20"/>
                <w:szCs w:val="20"/>
                <w:color w:val="auto"/>
              </w:rPr>
            </w:pPr>
            <w:r>
              <w:rPr>
                <w:rFonts w:ascii="Arial" w:cs="Arial" w:eastAsia="Arial" w:hAnsi="Arial"/>
                <w:sz w:val="18"/>
                <w:szCs w:val="18"/>
                <w:color w:val="auto"/>
              </w:rPr>
              <w:t>c/o Great Lakes Dredge and Dock Corporation</w:t>
            </w:r>
          </w:p>
        </w:tc>
      </w:tr>
      <w:tr>
        <w:trPr>
          <w:trHeight w:val="216"/>
        </w:trPr>
        <w:tc>
          <w:tcPr>
            <w:tcW w:w="3040" w:type="dxa"/>
            <w:vAlign w:val="bottom"/>
          </w:tcPr>
          <w:p>
            <w:pPr>
              <w:spacing w:after="0"/>
              <w:rPr>
                <w:sz w:val="18"/>
                <w:szCs w:val="18"/>
                <w:color w:val="auto"/>
              </w:rPr>
            </w:pPr>
          </w:p>
        </w:tc>
        <w:tc>
          <w:tcPr>
            <w:tcW w:w="6380" w:type="dxa"/>
            <w:vAlign w:val="bottom"/>
            <w:gridSpan w:val="3"/>
          </w:tcPr>
          <w:p>
            <w:pPr>
              <w:ind w:left="1900"/>
              <w:spacing w:after="0"/>
              <w:rPr>
                <w:sz w:val="20"/>
                <w:szCs w:val="20"/>
                <w:color w:val="auto"/>
              </w:rPr>
            </w:pPr>
            <w:r>
              <w:rPr>
                <w:rFonts w:ascii="Arial" w:cs="Arial" w:eastAsia="Arial" w:hAnsi="Arial"/>
                <w:sz w:val="18"/>
                <w:szCs w:val="18"/>
                <w:color w:val="auto"/>
              </w:rPr>
              <w:t>2122 York Road</w:t>
            </w:r>
          </w:p>
        </w:tc>
      </w:tr>
      <w:tr>
        <w:trPr>
          <w:trHeight w:val="230"/>
        </w:trPr>
        <w:tc>
          <w:tcPr>
            <w:tcW w:w="3040" w:type="dxa"/>
            <w:vAlign w:val="bottom"/>
          </w:tcPr>
          <w:p>
            <w:pPr>
              <w:spacing w:after="0"/>
              <w:rPr>
                <w:sz w:val="19"/>
                <w:szCs w:val="19"/>
                <w:color w:val="auto"/>
              </w:rPr>
            </w:pPr>
          </w:p>
        </w:tc>
        <w:tc>
          <w:tcPr>
            <w:tcW w:w="6380" w:type="dxa"/>
            <w:vAlign w:val="bottom"/>
            <w:gridSpan w:val="3"/>
          </w:tcPr>
          <w:p>
            <w:pPr>
              <w:ind w:left="1900"/>
              <w:spacing w:after="0"/>
              <w:rPr>
                <w:sz w:val="20"/>
                <w:szCs w:val="20"/>
                <w:color w:val="auto"/>
              </w:rPr>
            </w:pPr>
            <w:r>
              <w:rPr>
                <w:rFonts w:ascii="Arial" w:cs="Arial" w:eastAsia="Arial" w:hAnsi="Arial"/>
                <w:sz w:val="18"/>
                <w:szCs w:val="18"/>
                <w:color w:val="auto"/>
              </w:rPr>
              <w:t>Oak Brook, IL 60532</w:t>
            </w:r>
          </w:p>
        </w:tc>
      </w:tr>
      <w:tr>
        <w:trPr>
          <w:trHeight w:val="216"/>
        </w:trPr>
        <w:tc>
          <w:tcPr>
            <w:tcW w:w="3040" w:type="dxa"/>
            <w:vAlign w:val="bottom"/>
          </w:tcPr>
          <w:p>
            <w:pPr>
              <w:spacing w:after="0"/>
              <w:rPr>
                <w:sz w:val="18"/>
                <w:szCs w:val="18"/>
                <w:color w:val="auto"/>
              </w:rPr>
            </w:pPr>
          </w:p>
        </w:tc>
        <w:tc>
          <w:tcPr>
            <w:tcW w:w="2860" w:type="dxa"/>
            <w:vAlign w:val="bottom"/>
          </w:tcPr>
          <w:p>
            <w:pPr>
              <w:ind w:left="1900"/>
              <w:spacing w:after="0"/>
              <w:rPr>
                <w:sz w:val="20"/>
                <w:szCs w:val="20"/>
                <w:color w:val="auto"/>
              </w:rPr>
            </w:pPr>
            <w:r>
              <w:rPr>
                <w:rFonts w:ascii="Arial" w:cs="Arial" w:eastAsia="Arial" w:hAnsi="Arial"/>
                <w:sz w:val="18"/>
                <w:szCs w:val="18"/>
                <w:color w:val="auto"/>
              </w:rPr>
              <w:t>Attention:</w:t>
            </w:r>
          </w:p>
        </w:tc>
        <w:tc>
          <w:tcPr>
            <w:tcW w:w="3520" w:type="dxa"/>
            <w:vAlign w:val="bottom"/>
            <w:gridSpan w:val="2"/>
          </w:tcPr>
          <w:p>
            <w:pPr>
              <w:spacing w:after="0"/>
              <w:rPr>
                <w:sz w:val="20"/>
                <w:szCs w:val="20"/>
                <w:color w:val="auto"/>
              </w:rPr>
            </w:pPr>
            <w:r>
              <w:rPr>
                <w:rFonts w:ascii="Arial" w:cs="Arial" w:eastAsia="Arial" w:hAnsi="Arial"/>
                <w:sz w:val="18"/>
                <w:szCs w:val="18"/>
                <w:color w:val="auto"/>
              </w:rPr>
              <w:t>Rima Franklin</w:t>
            </w:r>
          </w:p>
        </w:tc>
      </w:tr>
      <w:tr>
        <w:trPr>
          <w:trHeight w:val="216"/>
        </w:trPr>
        <w:tc>
          <w:tcPr>
            <w:tcW w:w="30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Robert Bisal</w:t>
            </w:r>
          </w:p>
        </w:tc>
      </w:tr>
      <w:tr>
        <w:trPr>
          <w:trHeight w:val="216"/>
        </w:trPr>
        <w:tc>
          <w:tcPr>
            <w:tcW w:w="3040" w:type="dxa"/>
            <w:vAlign w:val="bottom"/>
          </w:tcPr>
          <w:p>
            <w:pPr>
              <w:spacing w:after="0"/>
              <w:rPr>
                <w:sz w:val="18"/>
                <w:szCs w:val="18"/>
                <w:color w:val="auto"/>
              </w:rPr>
            </w:pPr>
          </w:p>
        </w:tc>
        <w:tc>
          <w:tcPr>
            <w:tcW w:w="2860" w:type="dxa"/>
            <w:vAlign w:val="bottom"/>
          </w:tcPr>
          <w:p>
            <w:pPr>
              <w:ind w:left="1900"/>
              <w:spacing w:after="0"/>
              <w:rPr>
                <w:sz w:val="20"/>
                <w:szCs w:val="20"/>
                <w:color w:val="auto"/>
              </w:rPr>
            </w:pPr>
            <w:r>
              <w:rPr>
                <w:rFonts w:ascii="Arial" w:cs="Arial" w:eastAsia="Arial" w:hAnsi="Arial"/>
                <w:sz w:val="18"/>
                <w:szCs w:val="18"/>
                <w:color w:val="auto"/>
              </w:rPr>
              <w:t>Facsimile:</w:t>
            </w:r>
          </w:p>
        </w:tc>
        <w:tc>
          <w:tcPr>
            <w:tcW w:w="1460" w:type="dxa"/>
            <w:vAlign w:val="bottom"/>
          </w:tcPr>
          <w:p>
            <w:pPr>
              <w:spacing w:after="0"/>
              <w:rPr>
                <w:sz w:val="20"/>
                <w:szCs w:val="20"/>
                <w:color w:val="auto"/>
              </w:rPr>
            </w:pPr>
            <w:r>
              <w:rPr>
                <w:rFonts w:ascii="Arial" w:cs="Arial" w:eastAsia="Arial" w:hAnsi="Arial"/>
                <w:sz w:val="18"/>
                <w:szCs w:val="18"/>
                <w:color w:val="auto"/>
              </w:rPr>
              <w:t>(630) 574-3007</w:t>
            </w:r>
          </w:p>
        </w:tc>
        <w:tc>
          <w:tcPr>
            <w:tcW w:w="2060" w:type="dxa"/>
            <w:vAlign w:val="bottom"/>
          </w:tcPr>
          <w:p>
            <w:pPr>
              <w:spacing w:after="0"/>
              <w:rPr>
                <w:sz w:val="18"/>
                <w:szCs w:val="18"/>
                <w:color w:val="auto"/>
              </w:rPr>
            </w:pPr>
          </w:p>
        </w:tc>
      </w:tr>
      <w:tr>
        <w:trPr>
          <w:trHeight w:val="190"/>
        </w:trPr>
        <w:tc>
          <w:tcPr>
            <w:tcW w:w="3040" w:type="dxa"/>
            <w:vAlign w:val="bottom"/>
          </w:tcPr>
          <w:p>
            <w:pPr>
              <w:spacing w:after="0"/>
              <w:rPr>
                <w:sz w:val="16"/>
                <w:szCs w:val="16"/>
                <w:color w:val="auto"/>
              </w:rPr>
            </w:pPr>
          </w:p>
        </w:tc>
        <w:tc>
          <w:tcPr>
            <w:tcW w:w="2860" w:type="dxa"/>
            <w:vAlign w:val="bottom"/>
          </w:tcPr>
          <w:p>
            <w:pPr>
              <w:ind w:left="1900"/>
              <w:spacing w:after="0" w:line="183" w:lineRule="exact"/>
              <w:rPr>
                <w:sz w:val="20"/>
                <w:szCs w:val="20"/>
                <w:color w:val="auto"/>
              </w:rPr>
            </w:pPr>
            <w:r>
              <w:rPr>
                <w:rFonts w:ascii="Arial" w:cs="Arial" w:eastAsia="Arial" w:hAnsi="Arial"/>
                <w:sz w:val="18"/>
                <w:szCs w:val="18"/>
                <w:color w:val="auto"/>
              </w:rPr>
              <w:t>E-mail:</w:t>
            </w:r>
          </w:p>
        </w:tc>
        <w:tc>
          <w:tcPr>
            <w:tcW w:w="146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92"/>
              </w:rPr>
              <w:t>rfranklin@gldd.com</w:t>
            </w:r>
          </w:p>
        </w:tc>
        <w:tc>
          <w:tcPr>
            <w:tcW w:w="2060" w:type="dxa"/>
            <w:vAlign w:val="bottom"/>
          </w:tcPr>
          <w:p>
            <w:pPr>
              <w:spacing w:after="0"/>
              <w:rPr>
                <w:sz w:val="16"/>
                <w:szCs w:val="16"/>
                <w:color w:val="auto"/>
              </w:rPr>
            </w:pPr>
          </w:p>
        </w:tc>
      </w:tr>
      <w:tr>
        <w:trPr>
          <w:trHeight w:val="237"/>
        </w:trPr>
        <w:tc>
          <w:tcPr>
            <w:tcW w:w="30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rbisal@gldd.com</w:t>
            </w:r>
          </w:p>
        </w:tc>
      </w:tr>
      <w:tr>
        <w:trPr>
          <w:trHeight w:val="485"/>
        </w:trPr>
        <w:tc>
          <w:tcPr>
            <w:tcW w:w="3040" w:type="dxa"/>
            <w:vAlign w:val="bottom"/>
          </w:tcPr>
          <w:p>
            <w:pPr>
              <w:spacing w:after="0"/>
              <w:rPr>
                <w:sz w:val="20"/>
                <w:szCs w:val="20"/>
                <w:color w:val="auto"/>
              </w:rPr>
            </w:pPr>
            <w:r>
              <w:rPr>
                <w:rFonts w:ascii="Arial" w:cs="Arial" w:eastAsia="Arial" w:hAnsi="Arial"/>
                <w:sz w:val="18"/>
                <w:szCs w:val="18"/>
                <w:i w:val="1"/>
                <w:iCs w:val="1"/>
                <w:color w:val="auto"/>
              </w:rPr>
              <w:t>With a copy to:</w:t>
            </w:r>
          </w:p>
        </w:tc>
        <w:tc>
          <w:tcPr>
            <w:tcW w:w="6380" w:type="dxa"/>
            <w:vAlign w:val="bottom"/>
            <w:gridSpan w:val="3"/>
          </w:tcPr>
          <w:p>
            <w:pPr>
              <w:ind w:left="1900"/>
              <w:spacing w:after="0"/>
              <w:rPr>
                <w:sz w:val="20"/>
                <w:szCs w:val="20"/>
                <w:color w:val="auto"/>
              </w:rPr>
            </w:pPr>
            <w:r>
              <w:rPr>
                <w:rFonts w:ascii="Arial" w:cs="Arial" w:eastAsia="Arial" w:hAnsi="Arial"/>
                <w:sz w:val="18"/>
                <w:szCs w:val="18"/>
                <w:color w:val="auto"/>
              </w:rPr>
              <w:t>Ice Miller LLP</w:t>
            </w:r>
          </w:p>
        </w:tc>
      </w:tr>
      <w:tr>
        <w:trPr>
          <w:trHeight w:val="216"/>
        </w:trPr>
        <w:tc>
          <w:tcPr>
            <w:tcW w:w="3040" w:type="dxa"/>
            <w:vAlign w:val="bottom"/>
          </w:tcPr>
          <w:p>
            <w:pPr>
              <w:spacing w:after="0"/>
              <w:rPr>
                <w:sz w:val="18"/>
                <w:szCs w:val="18"/>
                <w:color w:val="auto"/>
              </w:rPr>
            </w:pPr>
          </w:p>
        </w:tc>
        <w:tc>
          <w:tcPr>
            <w:tcW w:w="6380" w:type="dxa"/>
            <w:vAlign w:val="bottom"/>
            <w:gridSpan w:val="3"/>
          </w:tcPr>
          <w:p>
            <w:pPr>
              <w:ind w:left="1900"/>
              <w:spacing w:after="0"/>
              <w:rPr>
                <w:sz w:val="20"/>
                <w:szCs w:val="20"/>
                <w:color w:val="auto"/>
              </w:rPr>
            </w:pPr>
            <w:r>
              <w:rPr>
                <w:rFonts w:ascii="Arial" w:cs="Arial" w:eastAsia="Arial" w:hAnsi="Arial"/>
                <w:sz w:val="18"/>
                <w:szCs w:val="18"/>
                <w:color w:val="auto"/>
              </w:rPr>
              <w:t>2300 Cabot Drive, Suite 455</w:t>
            </w:r>
          </w:p>
        </w:tc>
      </w:tr>
      <w:tr>
        <w:trPr>
          <w:trHeight w:val="230"/>
        </w:trPr>
        <w:tc>
          <w:tcPr>
            <w:tcW w:w="3040" w:type="dxa"/>
            <w:vAlign w:val="bottom"/>
          </w:tcPr>
          <w:p>
            <w:pPr>
              <w:spacing w:after="0"/>
              <w:rPr>
                <w:sz w:val="19"/>
                <w:szCs w:val="19"/>
                <w:color w:val="auto"/>
              </w:rPr>
            </w:pPr>
          </w:p>
        </w:tc>
        <w:tc>
          <w:tcPr>
            <w:tcW w:w="6380" w:type="dxa"/>
            <w:vAlign w:val="bottom"/>
            <w:gridSpan w:val="3"/>
          </w:tcPr>
          <w:p>
            <w:pPr>
              <w:ind w:left="1900"/>
              <w:spacing w:after="0"/>
              <w:rPr>
                <w:sz w:val="20"/>
                <w:szCs w:val="20"/>
                <w:color w:val="auto"/>
              </w:rPr>
            </w:pPr>
            <w:r>
              <w:rPr>
                <w:rFonts w:ascii="Arial" w:cs="Arial" w:eastAsia="Arial" w:hAnsi="Arial"/>
                <w:sz w:val="18"/>
                <w:szCs w:val="18"/>
                <w:color w:val="auto"/>
              </w:rPr>
              <w:t>Lisle, IL 60532</w:t>
            </w:r>
          </w:p>
        </w:tc>
      </w:tr>
      <w:tr>
        <w:trPr>
          <w:trHeight w:val="216"/>
        </w:trPr>
        <w:tc>
          <w:tcPr>
            <w:tcW w:w="3040" w:type="dxa"/>
            <w:vAlign w:val="bottom"/>
          </w:tcPr>
          <w:p>
            <w:pPr>
              <w:spacing w:after="0"/>
              <w:rPr>
                <w:sz w:val="18"/>
                <w:szCs w:val="18"/>
                <w:color w:val="auto"/>
              </w:rPr>
            </w:pPr>
          </w:p>
        </w:tc>
        <w:tc>
          <w:tcPr>
            <w:tcW w:w="2860" w:type="dxa"/>
            <w:vAlign w:val="bottom"/>
          </w:tcPr>
          <w:p>
            <w:pPr>
              <w:ind w:left="1900"/>
              <w:spacing w:after="0"/>
              <w:rPr>
                <w:sz w:val="20"/>
                <w:szCs w:val="20"/>
                <w:color w:val="auto"/>
              </w:rPr>
            </w:pPr>
            <w:r>
              <w:rPr>
                <w:rFonts w:ascii="Arial" w:cs="Arial" w:eastAsia="Arial" w:hAnsi="Arial"/>
                <w:sz w:val="18"/>
                <w:szCs w:val="18"/>
                <w:color w:val="auto"/>
              </w:rPr>
              <w:t>Attention:</w:t>
            </w:r>
          </w:p>
        </w:tc>
        <w:tc>
          <w:tcPr>
            <w:tcW w:w="3520" w:type="dxa"/>
            <w:vAlign w:val="bottom"/>
            <w:gridSpan w:val="2"/>
          </w:tcPr>
          <w:p>
            <w:pPr>
              <w:spacing w:after="0"/>
              <w:rPr>
                <w:sz w:val="20"/>
                <w:szCs w:val="20"/>
                <w:color w:val="auto"/>
              </w:rPr>
            </w:pPr>
            <w:r>
              <w:rPr>
                <w:rFonts w:ascii="Arial" w:cs="Arial" w:eastAsia="Arial" w:hAnsi="Arial"/>
                <w:sz w:val="18"/>
                <w:szCs w:val="18"/>
                <w:color w:val="auto"/>
              </w:rPr>
              <w:t>Dean Leffelman</w:t>
            </w:r>
          </w:p>
        </w:tc>
      </w:tr>
      <w:tr>
        <w:trPr>
          <w:trHeight w:val="216"/>
        </w:trPr>
        <w:tc>
          <w:tcPr>
            <w:tcW w:w="3040" w:type="dxa"/>
            <w:vAlign w:val="bottom"/>
          </w:tcPr>
          <w:p>
            <w:pPr>
              <w:spacing w:after="0"/>
              <w:rPr>
                <w:sz w:val="18"/>
                <w:szCs w:val="18"/>
                <w:color w:val="auto"/>
              </w:rPr>
            </w:pPr>
          </w:p>
        </w:tc>
        <w:tc>
          <w:tcPr>
            <w:tcW w:w="2860" w:type="dxa"/>
            <w:vAlign w:val="bottom"/>
          </w:tcPr>
          <w:p>
            <w:pPr>
              <w:ind w:left="1900"/>
              <w:spacing w:after="0"/>
              <w:rPr>
                <w:sz w:val="20"/>
                <w:szCs w:val="20"/>
                <w:color w:val="auto"/>
              </w:rPr>
            </w:pPr>
            <w:r>
              <w:rPr>
                <w:rFonts w:ascii="Arial" w:cs="Arial" w:eastAsia="Arial" w:hAnsi="Arial"/>
                <w:sz w:val="18"/>
                <w:szCs w:val="18"/>
                <w:color w:val="auto"/>
              </w:rPr>
              <w:t>Facsimile:</w:t>
            </w:r>
          </w:p>
        </w:tc>
        <w:tc>
          <w:tcPr>
            <w:tcW w:w="1460" w:type="dxa"/>
            <w:vAlign w:val="bottom"/>
          </w:tcPr>
          <w:p>
            <w:pPr>
              <w:spacing w:after="0"/>
              <w:rPr>
                <w:sz w:val="20"/>
                <w:szCs w:val="20"/>
                <w:color w:val="auto"/>
              </w:rPr>
            </w:pPr>
            <w:r>
              <w:rPr>
                <w:rFonts w:ascii="Arial" w:cs="Arial" w:eastAsia="Arial" w:hAnsi="Arial"/>
                <w:sz w:val="18"/>
                <w:szCs w:val="18"/>
                <w:color w:val="auto"/>
              </w:rPr>
              <w:t>(630) 955-4266</w:t>
            </w:r>
          </w:p>
        </w:tc>
        <w:tc>
          <w:tcPr>
            <w:tcW w:w="206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2860" w:type="dxa"/>
            <w:vAlign w:val="bottom"/>
          </w:tcPr>
          <w:p>
            <w:pPr>
              <w:ind w:left="1900"/>
              <w:spacing w:after="0"/>
              <w:rPr>
                <w:sz w:val="20"/>
                <w:szCs w:val="20"/>
                <w:color w:val="auto"/>
              </w:rPr>
            </w:pPr>
            <w:r>
              <w:rPr>
                <w:rFonts w:ascii="Arial" w:cs="Arial" w:eastAsia="Arial" w:hAnsi="Arial"/>
                <w:sz w:val="18"/>
                <w:szCs w:val="18"/>
                <w:color w:val="auto"/>
              </w:rPr>
              <w:t>E-mail:</w:t>
            </w:r>
          </w:p>
        </w:tc>
        <w:tc>
          <w:tcPr>
            <w:tcW w:w="3520" w:type="dxa"/>
            <w:vAlign w:val="bottom"/>
            <w:gridSpan w:val="2"/>
          </w:tcPr>
          <w:p>
            <w:pPr>
              <w:spacing w:after="0"/>
              <w:rPr>
                <w:sz w:val="20"/>
                <w:szCs w:val="20"/>
                <w:color w:val="auto"/>
              </w:rPr>
            </w:pPr>
            <w:r>
              <w:rPr>
                <w:rFonts w:ascii="Arial" w:cs="Arial" w:eastAsia="Arial" w:hAnsi="Arial"/>
                <w:sz w:val="18"/>
                <w:szCs w:val="18"/>
                <w:color w:val="auto"/>
              </w:rPr>
              <w:t>dean.leffelman@icemiller.com</w:t>
            </w:r>
          </w:p>
        </w:tc>
      </w:tr>
      <w:tr>
        <w:trPr>
          <w:trHeight w:val="431"/>
        </w:trPr>
        <w:tc>
          <w:tcPr>
            <w:tcW w:w="3040" w:type="dxa"/>
            <w:vAlign w:val="bottom"/>
          </w:tcPr>
          <w:p>
            <w:pPr>
              <w:spacing w:after="0"/>
              <w:rPr>
                <w:sz w:val="20"/>
                <w:szCs w:val="20"/>
                <w:color w:val="auto"/>
              </w:rPr>
            </w:pPr>
            <w:r>
              <w:rPr>
                <w:rFonts w:ascii="Arial" w:cs="Arial" w:eastAsia="Arial" w:hAnsi="Arial"/>
                <w:sz w:val="18"/>
                <w:szCs w:val="18"/>
                <w:i w:val="1"/>
                <w:iCs w:val="1"/>
                <w:color w:val="auto"/>
              </w:rPr>
              <w:t>If to Sellers:</w:t>
            </w:r>
          </w:p>
        </w:tc>
        <w:tc>
          <w:tcPr>
            <w:tcW w:w="6380" w:type="dxa"/>
            <w:vAlign w:val="bottom"/>
            <w:gridSpan w:val="3"/>
          </w:tcPr>
          <w:p>
            <w:pPr>
              <w:ind w:left="1900"/>
              <w:spacing w:after="0"/>
              <w:rPr>
                <w:sz w:val="20"/>
                <w:szCs w:val="20"/>
                <w:color w:val="auto"/>
              </w:rPr>
            </w:pPr>
            <w:r>
              <w:rPr>
                <w:rFonts w:ascii="Arial" w:cs="Arial" w:eastAsia="Arial" w:hAnsi="Arial"/>
                <w:sz w:val="18"/>
                <w:szCs w:val="18"/>
                <w:color w:val="auto"/>
              </w:rPr>
              <w:t>Louay Owaidat</w:t>
            </w:r>
          </w:p>
        </w:tc>
      </w:tr>
      <w:tr>
        <w:trPr>
          <w:trHeight w:val="216"/>
        </w:trPr>
        <w:tc>
          <w:tcPr>
            <w:tcW w:w="3040" w:type="dxa"/>
            <w:vAlign w:val="bottom"/>
          </w:tcPr>
          <w:p>
            <w:pPr>
              <w:spacing w:after="0"/>
              <w:rPr>
                <w:sz w:val="18"/>
                <w:szCs w:val="18"/>
                <w:color w:val="auto"/>
              </w:rPr>
            </w:pPr>
          </w:p>
        </w:tc>
        <w:tc>
          <w:tcPr>
            <w:tcW w:w="6380" w:type="dxa"/>
            <w:vAlign w:val="bottom"/>
            <w:gridSpan w:val="3"/>
          </w:tcPr>
          <w:p>
            <w:pPr>
              <w:ind w:left="1900"/>
              <w:spacing w:after="0"/>
              <w:rPr>
                <w:sz w:val="20"/>
                <w:szCs w:val="20"/>
                <w:color w:val="auto"/>
              </w:rPr>
            </w:pPr>
            <w:r>
              <w:rPr>
                <w:rFonts w:ascii="Arial" w:cs="Arial" w:eastAsia="Arial" w:hAnsi="Arial"/>
                <w:sz w:val="18"/>
                <w:szCs w:val="18"/>
                <w:color w:val="auto"/>
              </w:rPr>
              <w:t>5777 Ridge Park Drive</w:t>
            </w:r>
          </w:p>
        </w:tc>
      </w:tr>
      <w:tr>
        <w:trPr>
          <w:trHeight w:val="230"/>
        </w:trPr>
        <w:tc>
          <w:tcPr>
            <w:tcW w:w="3040" w:type="dxa"/>
            <w:vAlign w:val="bottom"/>
          </w:tcPr>
          <w:p>
            <w:pPr>
              <w:spacing w:after="0"/>
              <w:rPr>
                <w:sz w:val="20"/>
                <w:szCs w:val="20"/>
                <w:color w:val="auto"/>
              </w:rPr>
            </w:pPr>
          </w:p>
        </w:tc>
        <w:tc>
          <w:tcPr>
            <w:tcW w:w="6380" w:type="dxa"/>
            <w:vAlign w:val="bottom"/>
            <w:gridSpan w:val="3"/>
          </w:tcPr>
          <w:p>
            <w:pPr>
              <w:ind w:left="1900"/>
              <w:spacing w:after="0"/>
              <w:rPr>
                <w:sz w:val="20"/>
                <w:szCs w:val="20"/>
                <w:color w:val="auto"/>
              </w:rPr>
            </w:pPr>
            <w:r>
              <w:rPr>
                <w:rFonts w:ascii="Arial" w:cs="Arial" w:eastAsia="Arial" w:hAnsi="Arial"/>
                <w:sz w:val="18"/>
                <w:szCs w:val="18"/>
                <w:color w:val="auto"/>
              </w:rPr>
              <w:t>Loomis, CA 95650</w:t>
            </w:r>
          </w:p>
        </w:tc>
      </w:tr>
    </w:tbl>
    <w:p>
      <w:pPr>
        <w:ind w:left="5860"/>
        <w:spacing w:after="0"/>
        <w:rPr>
          <w:sz w:val="20"/>
          <w:szCs w:val="20"/>
          <w:color w:val="auto"/>
        </w:rPr>
      </w:pPr>
      <w:r>
        <w:rPr>
          <w:rFonts w:ascii="Arial" w:cs="Arial" w:eastAsia="Arial" w:hAnsi="Arial"/>
          <w:sz w:val="18"/>
          <w:szCs w:val="18"/>
          <w:color w:val="auto"/>
        </w:rPr>
        <w:t>Facsimile: (916) 783-0215</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E-mail: lowaidat@magnuspacific.com</w:t>
      </w:r>
    </w:p>
    <w:p>
      <w:pPr>
        <w:spacing w:after="0" w:line="1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420"/>
          </w:cols>
          <w:pgMar w:left="240" w:top="274"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80"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ectPr>
          <w:pgSz w:w="11900" w:h="16838" w:orient="portrait"/>
          <w:cols w:equalWidth="0" w:num="1">
            <w:col w:w="11420"/>
          </w:cols>
          <w:pgMar w:left="240" w:top="274" w:right="239" w:bottom="1440" w:gutter="0" w:footer="0" w:header="0"/>
        </w:sectPr>
      </w:pP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With a copy to: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Wilke, Fleury, Hoffelt, Gould &amp; Birney LLP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400 Capitol Mall, 22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Sacramento, CA 95814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Robert R. Mirkin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(916) 442-6664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rmirkin@wilkefleury.com</w:t>
      </w:r>
    </w:p>
    <w:p>
      <w:pPr>
        <w:spacing w:after="0" w:line="200" w:lineRule="exact"/>
        <w:rPr>
          <w:sz w:val="20"/>
          <w:szCs w:val="20"/>
          <w:color w:val="auto"/>
        </w:rPr>
      </w:pPr>
    </w:p>
    <w:p>
      <w:pPr>
        <w:sectPr>
          <w:pgSz w:w="11900" w:h="16838" w:orient="portrait"/>
          <w:cols w:equalWidth="0" w:num="2">
            <w:col w:w="5220" w:space="720"/>
            <w:col w:w="5480"/>
          </w:cols>
          <w:pgMar w:left="240" w:top="274" w:right="239" w:bottom="1440" w:gutter="0" w:footer="0" w:header="0"/>
          <w:type w:val="continuous"/>
        </w:sectPr>
      </w:pPr>
    </w:p>
    <w:p>
      <w:pPr>
        <w:spacing w:after="0" w:line="24"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 xml:space="preserve">Any party may change its address or other contact information for notice by giving notice to each other party in accordance with the terms of this </w:t>
      </w:r>
      <w:r>
        <w:rPr>
          <w:rFonts w:ascii="Arial" w:cs="Arial" w:eastAsia="Arial" w:hAnsi="Arial"/>
          <w:sz w:val="17"/>
          <w:szCs w:val="17"/>
          <w:u w:val="single" w:color="auto"/>
          <w:color w:val="auto"/>
        </w:rPr>
        <w:t>Section 10.05</w:t>
      </w:r>
      <w:r>
        <w:rPr>
          <w:rFonts w:ascii="Arial" w:cs="Arial" w:eastAsia="Arial" w:hAnsi="Arial"/>
          <w:sz w:val="17"/>
          <w:szCs w:val="17"/>
          <w:color w:val="auto"/>
        </w:rPr>
        <w:t>. In no event will delivery to a copied Person alone constitute delivery to the party represented by such copied Person.</w:t>
      </w:r>
    </w:p>
    <w:p>
      <w:pPr>
        <w:spacing w:after="0" w:line="143"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b w:val="1"/>
          <w:bCs w:val="1"/>
          <w:u w:val="single" w:color="auto"/>
          <w:color w:val="auto"/>
        </w:rPr>
        <w:t>Section 10.05. 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article, section and paragraph headings in this Agreement are for reference purposes only and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or interpretation of this Agreement.</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Section 10.06. Construction</w:t>
      </w:r>
      <w:r>
        <w:rPr>
          <w:rFonts w:ascii="Arial" w:cs="Arial" w:eastAsia="Arial" w:hAnsi="Arial"/>
          <w:sz w:val="18"/>
          <w:szCs w:val="18"/>
          <w:b w:val="1"/>
          <w:bCs w:val="1"/>
          <w:color w:val="auto"/>
        </w:rPr>
        <w:t>.</w:t>
      </w:r>
    </w:p>
    <w:p>
      <w:pPr>
        <w:spacing w:after="0" w:line="121" w:lineRule="exact"/>
        <w:rPr>
          <w:sz w:val="20"/>
          <w:szCs w:val="20"/>
          <w:color w:val="auto"/>
        </w:rPr>
      </w:pPr>
    </w:p>
    <w:p>
      <w:pPr>
        <w:ind w:left="920" w:right="100" w:firstLine="421"/>
        <w:spacing w:after="0" w:line="259" w:lineRule="auto"/>
        <w:tabs>
          <w:tab w:leader="none" w:pos="158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Parties have participated jointly in the negotiation and drafting of this Agreement and the Related Agreements, and, in the event of an ambiguity or a question of intent or a need for interpretation arises, this Agreement and the Related Agreements shall be construed as if drafted jointly by the Parties and no presumption or burden of proof shall arise favoring or disfavoring any party by virtue of the authorship of any of the provisions of this Agreement or any of the Related Agreements.</w:t>
      </w:r>
    </w:p>
    <w:p>
      <w:pPr>
        <w:spacing w:after="0" w:line="78" w:lineRule="exact"/>
        <w:rPr>
          <w:rFonts w:ascii="Arial" w:cs="Arial" w:eastAsia="Arial" w:hAnsi="Arial"/>
          <w:sz w:val="18"/>
          <w:szCs w:val="18"/>
          <w:color w:val="auto"/>
        </w:rPr>
      </w:pPr>
    </w:p>
    <w:p>
      <w:pPr>
        <w:ind w:left="920" w:right="20" w:firstLine="421"/>
        <w:spacing w:after="0" w:line="312" w:lineRule="auto"/>
        <w:tabs>
          <w:tab w:leader="none" w:pos="1595" w:val="left"/>
        </w:tabs>
        <w:numPr>
          <w:ilvl w:val="0"/>
          <w:numId w:val="86"/>
        </w:numPr>
        <w:rPr>
          <w:rFonts w:ascii="Arial" w:cs="Arial" w:eastAsia="Arial" w:hAnsi="Arial"/>
          <w:sz w:val="16"/>
          <w:szCs w:val="16"/>
          <w:color w:val="auto"/>
        </w:rPr>
      </w:pPr>
      <w:r>
        <w:rPr>
          <w:rFonts w:ascii="Arial" w:cs="Arial" w:eastAsia="Arial" w:hAnsi="Arial"/>
          <w:sz w:val="16"/>
          <w:szCs w:val="16"/>
          <w:color w:val="auto"/>
        </w:rPr>
        <w:t>Except as otherwise specifically provided in this Agreement or any of the Related Agreements (such as by “sole”, “absolute discretion”, “complete discretion”, or words of similar import), if any provision of this Agreement or any of the Related Agreements requires or provides for the consent, waiver or approval of a party, such consent, waiver or approval shall not be unreasonably withheld, conditioned or delayed.</w:t>
      </w:r>
    </w:p>
    <w:p>
      <w:pPr>
        <w:spacing w:after="0" w:line="38" w:lineRule="exact"/>
        <w:rPr>
          <w:rFonts w:ascii="Arial" w:cs="Arial" w:eastAsia="Arial" w:hAnsi="Arial"/>
          <w:sz w:val="16"/>
          <w:szCs w:val="16"/>
          <w:color w:val="auto"/>
        </w:rPr>
      </w:pPr>
    </w:p>
    <w:p>
      <w:pPr>
        <w:ind w:left="920" w:right="140" w:firstLine="421"/>
        <w:spacing w:after="0" w:line="272" w:lineRule="auto"/>
        <w:tabs>
          <w:tab w:leader="none" w:pos="1585" w:val="left"/>
        </w:tabs>
        <w:numPr>
          <w:ilvl w:val="0"/>
          <w:numId w:val="86"/>
        </w:numPr>
        <w:rPr>
          <w:rFonts w:ascii="Arial" w:cs="Arial" w:eastAsia="Arial" w:hAnsi="Arial"/>
          <w:sz w:val="17"/>
          <w:szCs w:val="17"/>
          <w:color w:val="auto"/>
        </w:rPr>
      </w:pPr>
      <w:r>
        <w:rPr>
          <w:rFonts w:ascii="Arial" w:cs="Arial" w:eastAsia="Arial" w:hAnsi="Arial"/>
          <w:sz w:val="17"/>
          <w:szCs w:val="17"/>
          <w:color w:val="auto"/>
        </w:rPr>
        <w:t>Nothing in the schedules or exhibits to this Agreement or any of the Related Agreements shall be deemed adequate to disclose an exception to a representation or warranty made herein unless the schedule or exhibit identifies the exception with particularity and describes the relevant facts in reasonable detail. No investigation or review carried out by or on behalf of any party or knowledge acquired at any time, whether before or after the execution and delivery of this Agreement on the Closing Date, shall impair the rights of that party to rely upon those representations and warranties or to seek to enforce any remedies with respect to any breach or violation thereof without limiting the generality of the foregoing, any Knowledge of Purchaser of any mater relating to the Business or the Shares, whether or not disclosed in the Disclosure Schedules, shall not relieve Sellers of any liability or obligation with respect to such matter.</w:t>
      </w:r>
    </w:p>
    <w:p>
      <w:pPr>
        <w:spacing w:after="0" w:line="110" w:lineRule="exact"/>
        <w:rPr>
          <w:rFonts w:ascii="Arial" w:cs="Arial" w:eastAsia="Arial" w:hAnsi="Arial"/>
          <w:sz w:val="17"/>
          <w:szCs w:val="17"/>
          <w:color w:val="auto"/>
        </w:rPr>
      </w:pPr>
    </w:p>
    <w:p>
      <w:pPr>
        <w:ind w:left="5620" w:hanging="101"/>
        <w:spacing w:after="0"/>
        <w:tabs>
          <w:tab w:leader="none" w:pos="5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1420"/>
          </w:cols>
          <w:pgMar w:left="240" w:top="274" w:right="2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920" w:right="260" w:firstLine="421"/>
        <w:spacing w:after="0" w:line="277" w:lineRule="auto"/>
        <w:tabs>
          <w:tab w:leader="none" w:pos="15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Parties acknowledge and agree that each breach of a covenant or agreement in this Agreement or any of the Related Agreements shall have independent significance.</w:t>
      </w:r>
    </w:p>
    <w:p>
      <w:pPr>
        <w:spacing w:after="0" w:line="62" w:lineRule="exact"/>
        <w:rPr>
          <w:rFonts w:ascii="Arial" w:cs="Arial" w:eastAsia="Arial" w:hAnsi="Arial"/>
          <w:sz w:val="18"/>
          <w:szCs w:val="18"/>
          <w:color w:val="auto"/>
        </w:rPr>
      </w:pPr>
    </w:p>
    <w:p>
      <w:pPr>
        <w:jc w:val="both"/>
        <w:ind w:left="920" w:right="80" w:firstLine="421"/>
        <w:spacing w:after="0" w:line="264" w:lineRule="auto"/>
        <w:tabs>
          <w:tab w:leader="none" w:pos="15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Words of any gender used in this Agreement or any of the Related Agreements shall be held and construed to include any other gender; words in the singular shall be held to include the plural and words in the plural shall be held to include the singular, unless and only to the extent the context indicates otherwise.</w:t>
      </w:r>
    </w:p>
    <w:p>
      <w:pPr>
        <w:spacing w:after="0" w:line="73" w:lineRule="exact"/>
        <w:rPr>
          <w:rFonts w:ascii="Arial" w:cs="Arial" w:eastAsia="Arial" w:hAnsi="Arial"/>
          <w:sz w:val="18"/>
          <w:szCs w:val="18"/>
          <w:color w:val="auto"/>
        </w:rPr>
      </w:pPr>
    </w:p>
    <w:p>
      <w:pPr>
        <w:ind w:left="920" w:right="280" w:firstLine="421"/>
        <w:spacing w:after="0" w:line="259" w:lineRule="auto"/>
        <w:tabs>
          <w:tab w:leader="none" w:pos="1565"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Reference to any Law means such Law as amended, modified, codified, replaced or reenacted, in whole or in part, and in effect from time to time, including rules and regulations promulgated thereunder, and reference to any section or other provision of any Law means that provision of such Law from time to time in effect and constituting the substantive amendment, modification, codification, replacement or reenactment of such section or other provision.</w:t>
      </w:r>
    </w:p>
    <w:p>
      <w:pPr>
        <w:spacing w:after="0" w:line="78" w:lineRule="exact"/>
        <w:rPr>
          <w:rFonts w:ascii="Arial" w:cs="Arial" w:eastAsia="Arial" w:hAnsi="Arial"/>
          <w:sz w:val="18"/>
          <w:szCs w:val="18"/>
          <w:color w:val="auto"/>
        </w:rPr>
      </w:pPr>
    </w:p>
    <w:p>
      <w:pPr>
        <w:ind w:left="920" w:right="280" w:firstLine="421"/>
        <w:spacing w:after="0" w:line="277" w:lineRule="auto"/>
        <w:tabs>
          <w:tab w:leader="none" w:pos="15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“Hereunder,” “hereof,” “hereto,” “herein,” and words of similar import shall be deemed references to this Agreement as a whole and not to any particular article, section or other provision hereof.</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“Including” (and with correlative meaning “include”) means including without limiting the generality of any description preceding such</w:t>
      </w:r>
    </w:p>
    <w:p>
      <w:pPr>
        <w:spacing w:after="0" w:line="46"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term.</w:t>
      </w:r>
    </w:p>
    <w:p>
      <w:pPr>
        <w:spacing w:after="0" w:line="102" w:lineRule="exact"/>
        <w:rPr>
          <w:rFonts w:ascii="Arial" w:cs="Arial" w:eastAsia="Arial" w:hAnsi="Arial"/>
          <w:sz w:val="16"/>
          <w:szCs w:val="16"/>
          <w:color w:val="auto"/>
        </w:rPr>
      </w:pPr>
    </w:p>
    <w:p>
      <w:pPr>
        <w:ind w:left="1560" w:hanging="219"/>
        <w:spacing w:after="0"/>
        <w:tabs>
          <w:tab w:leader="none" w:pos="15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“Or” is used in the inclusive sense of “and/or.”</w:t>
      </w:r>
    </w:p>
    <w:p>
      <w:pPr>
        <w:spacing w:after="0" w:line="117" w:lineRule="exact"/>
        <w:rPr>
          <w:rFonts w:ascii="Arial" w:cs="Arial" w:eastAsia="Arial" w:hAnsi="Arial"/>
          <w:sz w:val="18"/>
          <w:szCs w:val="18"/>
          <w:color w:val="auto"/>
        </w:rPr>
      </w:pPr>
    </w:p>
    <w:p>
      <w:pPr>
        <w:ind w:left="920" w:right="160" w:firstLine="421"/>
        <w:spacing w:after="0" w:line="277" w:lineRule="auto"/>
        <w:tabs>
          <w:tab w:leader="none" w:pos="15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References to documents, instruments or agreements shall be deemed to refer as well to all addenda, appendices, exhibits, schedules or amendments thereto.</w:t>
      </w:r>
    </w:p>
    <w:p>
      <w:pPr>
        <w:spacing w:after="0" w:line="62" w:lineRule="exact"/>
        <w:rPr>
          <w:rFonts w:ascii="Arial" w:cs="Arial" w:eastAsia="Arial" w:hAnsi="Arial"/>
          <w:sz w:val="18"/>
          <w:szCs w:val="18"/>
          <w:color w:val="auto"/>
        </w:rPr>
      </w:pPr>
    </w:p>
    <w:p>
      <w:pPr>
        <w:ind w:left="920" w:right="400" w:firstLine="421"/>
        <w:spacing w:after="0" w:line="286" w:lineRule="auto"/>
        <w:tabs>
          <w:tab w:leader="none" w:pos="1595" w:val="left"/>
        </w:tabs>
        <w:numPr>
          <w:ilvl w:val="0"/>
          <w:numId w:val="87"/>
        </w:numPr>
        <w:rPr>
          <w:rFonts w:ascii="Arial" w:cs="Arial" w:eastAsia="Arial" w:hAnsi="Arial"/>
          <w:sz w:val="17"/>
          <w:szCs w:val="17"/>
          <w:color w:val="auto"/>
        </w:rPr>
      </w:pPr>
      <w:r>
        <w:rPr>
          <w:rFonts w:ascii="Arial" w:cs="Arial" w:eastAsia="Arial" w:hAnsi="Arial"/>
          <w:sz w:val="17"/>
          <w:szCs w:val="17"/>
          <w:color w:val="auto"/>
        </w:rPr>
        <w:t>Two of the Sellers are trusts, namely separate trusts for Louay Owaidat and Bruce Diettert. By signing this Agreement, both Louay Owaidat and Bruce Diettert agree that all provisions of this Agreement apply to them personally and in their capacity as trustees for their respective trusts, and that any references to “Sellers” shall apply to them individually and to their trusts.</w:t>
      </w:r>
    </w:p>
    <w:p>
      <w:pPr>
        <w:spacing w:after="0" w:line="162" w:lineRule="exact"/>
        <w:rPr>
          <w:sz w:val="20"/>
          <w:szCs w:val="20"/>
          <w:color w:val="auto"/>
        </w:rPr>
      </w:pPr>
    </w:p>
    <w:p>
      <w:pPr>
        <w:ind w:right="140" w:firstLine="913"/>
        <w:spacing w:after="0" w:line="282" w:lineRule="auto"/>
        <w:rPr>
          <w:sz w:val="20"/>
          <w:szCs w:val="20"/>
          <w:color w:val="auto"/>
        </w:rPr>
      </w:pPr>
      <w:r>
        <w:rPr>
          <w:rFonts w:ascii="Arial" w:cs="Arial" w:eastAsia="Arial" w:hAnsi="Arial"/>
          <w:sz w:val="18"/>
          <w:szCs w:val="18"/>
          <w:b w:val="1"/>
          <w:bCs w:val="1"/>
          <w:u w:val="single" w:color="auto"/>
          <w:color w:val="auto"/>
        </w:rPr>
        <w:t>Section 10.07. 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invalidity or unenforceability of any provision of this Agreement or any of the Related Agreements shall in no</w:t>
      </w:r>
      <w:r>
        <w:rPr>
          <w:rFonts w:ascii="Arial" w:cs="Arial" w:eastAsia="Arial" w:hAnsi="Arial"/>
          <w:sz w:val="18"/>
          <w:szCs w:val="18"/>
          <w:b w:val="1"/>
          <w:bCs w:val="1"/>
          <w:color w:val="auto"/>
        </w:rPr>
        <w:t xml:space="preserve"> </w:t>
      </w:r>
      <w:r>
        <w:rPr>
          <w:rFonts w:ascii="Arial" w:cs="Arial" w:eastAsia="Arial" w:hAnsi="Arial"/>
          <w:sz w:val="18"/>
          <w:szCs w:val="18"/>
          <w:color w:val="auto"/>
        </w:rPr>
        <w:t>way affect the validity or enforceability of any other provision of this Agreement or any of the Related Agreements.</w:t>
      </w:r>
    </w:p>
    <w:p>
      <w:pPr>
        <w:spacing w:after="0" w:line="162"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b w:val="1"/>
          <w:bCs w:val="1"/>
          <w:u w:val="single" w:color="auto"/>
          <w:color w:val="auto"/>
        </w:rPr>
        <w:t>Section 10.08. Entire Agreement and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Related Agreements, including the Exhibits and Schedules</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and incorporated by reference herein and therein that form a part of this Agreement and the Related Agreements, contain the entire understanding of the Parties with respect to the subject matter of this Agreement and the Related Agreements. There are no representations, promises, warranties, covenants or undertakings other than those expressly set forth in or provided for in this Agreement or the Related Agreements. This Agreement and the Related Agreements supersede all prior agreements and understandings among the Parties hereto with respect to the transactions contemplated by this Agreement and the Related Agreements. This Agreement may not be amended, supplemented, or otherwise modified except by a written agreement executed by each of the Parties hereto.</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420"/>
          </w:cols>
          <w:pgMar w:left="240" w:top="274"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b w:val="1"/>
          <w:bCs w:val="1"/>
          <w:u w:val="single" w:color="auto"/>
          <w:color w:val="auto"/>
        </w:rPr>
        <w:t>Section 10.09. No Waiver; Cumulative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specifically set forth herein, the rights and remedies of the Parties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are cumulative and not alternative. No failure or delay on the part of any party in exercising any right, power or remedy under this Agreement or any of the Related Agreements will operate as a waiver of such right, power or remedy, and no single or partial exercise of any such right, power or remedy will preclude any other or further exercise of such right, power or remedy or the exercise of any other right, power or remedy. To the maximum extent permitted by applicable law, (a) no claim or right arising out of this Agreement or any of the Related Agreements can be discharged by one party, in whole or in part, by a waiver or renunciation of the claim or right unless in writing signed by the other party; (b) no waiver that may be given by a party will be applicable except in the specific instance for which it is given; and (c) no notice to or demand on one party will be deemed to be a waiver of any obligation of that party or of the right of the party giving such notice or demand to take further action without notice or demand as provided in this Agreement or any of the Related Agreements.</w:t>
      </w:r>
    </w:p>
    <w:p>
      <w:pPr>
        <w:spacing w:after="0" w:line="189" w:lineRule="exact"/>
        <w:rPr>
          <w:sz w:val="20"/>
          <w:szCs w:val="20"/>
          <w:color w:val="auto"/>
        </w:rPr>
      </w:pPr>
    </w:p>
    <w:p>
      <w:pPr>
        <w:ind w:right="100" w:firstLine="913"/>
        <w:spacing w:after="0" w:line="282" w:lineRule="auto"/>
        <w:rPr>
          <w:sz w:val="20"/>
          <w:szCs w:val="20"/>
          <w:color w:val="auto"/>
        </w:rPr>
      </w:pPr>
      <w:r>
        <w:rPr>
          <w:rFonts w:ascii="Arial" w:cs="Arial" w:eastAsia="Arial" w:hAnsi="Arial"/>
          <w:sz w:val="18"/>
          <w:szCs w:val="18"/>
          <w:b w:val="1"/>
          <w:bCs w:val="1"/>
          <w:u w:val="single" w:color="auto"/>
          <w:color w:val="auto"/>
        </w:rPr>
        <w:t>Section 10.10. Parties in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is intended to confer any rights or remedies under or by reason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on any Person other than Purchaser and each of Sellers, and their respective successors and permitted assigns.</w:t>
      </w:r>
    </w:p>
    <w:p>
      <w:pPr>
        <w:spacing w:after="0" w:line="162"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b w:val="1"/>
          <w:bCs w:val="1"/>
          <w:u w:val="single" w:color="auto"/>
          <w:color w:val="auto"/>
        </w:rPr>
        <w:t>Section 10.11. Successors and Assigns; 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binding upon and inure to the benefit of each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and their respective successors and permitted assigns. Sellers shall not have the right to assign or delegate their rights or duties hereunder or under any of the Related Agreements, in whole or in part, without the prior written consent of Purchaser. Purchaser may, without any prior notice to or consent of any of Sellers, assign or delegate, in whole or in part, its rights and duties under this Agreement and the Related Agreements to any Affiliates or to any Person who shall acquire all or substantially all of the assets or then outstanding voting securities of Purchaser whether by purchase, merger, consolidation or otherwise. Except as expressly set forth herein, nothing in this Agreement shall confer any claim, right, interest or remedy on any Person (other than the Parties hereto) or inure to the benefit of any Person (other than the Parties hereto).</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Section 10.12. Governing Law; Dispute Resolution; Jurisdiction and Venue.</w:t>
      </w:r>
    </w:p>
    <w:p>
      <w:pPr>
        <w:spacing w:after="0" w:line="117" w:lineRule="exact"/>
        <w:rPr>
          <w:sz w:val="20"/>
          <w:szCs w:val="20"/>
          <w:color w:val="auto"/>
        </w:rPr>
      </w:pPr>
    </w:p>
    <w:p>
      <w:pPr>
        <w:ind w:left="920" w:right="60" w:firstLine="421"/>
        <w:spacing w:after="0" w:line="261" w:lineRule="auto"/>
        <w:tabs>
          <w:tab w:leader="none" w:pos="1584"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color w:val="auto"/>
        </w:rPr>
        <w:t>. The Laws of the State of Illinois shall govern the creation, interpretation, construction and enforcement of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under this Agreement and the Related Agreements and all transactions and agreements contemplated by any of them, as well as any and all claims arising out of or relating in any way to this Agreement or any of the Related Agreements, notwithstanding the choice of law rules of any other state or jurisdiction.</w:t>
      </w:r>
    </w:p>
    <w:p>
      <w:pPr>
        <w:spacing w:after="0" w:line="71" w:lineRule="exact"/>
        <w:rPr>
          <w:rFonts w:ascii="Arial" w:cs="Arial" w:eastAsia="Arial" w:hAnsi="Arial"/>
          <w:sz w:val="18"/>
          <w:szCs w:val="18"/>
          <w:color w:val="auto"/>
        </w:rPr>
      </w:pPr>
    </w:p>
    <w:p>
      <w:pPr>
        <w:ind w:left="920" w:right="740" w:firstLine="421"/>
        <w:spacing w:after="0" w:line="313" w:lineRule="auto"/>
        <w:tabs>
          <w:tab w:leader="none" w:pos="1595" w:val="left"/>
        </w:tabs>
        <w:numPr>
          <w:ilvl w:val="0"/>
          <w:numId w:val="88"/>
        </w:numPr>
        <w:rPr>
          <w:rFonts w:ascii="Arial" w:cs="Arial" w:eastAsia="Arial" w:hAnsi="Arial"/>
          <w:sz w:val="17"/>
          <w:szCs w:val="17"/>
          <w:color w:val="auto"/>
        </w:rPr>
      </w:pPr>
      <w:r>
        <w:rPr>
          <w:rFonts w:ascii="Arial" w:cs="Arial" w:eastAsia="Arial" w:hAnsi="Arial"/>
          <w:sz w:val="17"/>
          <w:szCs w:val="17"/>
          <w:b w:val="1"/>
          <w:bCs w:val="1"/>
          <w:u w:val="single" w:color="auto"/>
          <w:color w:val="auto"/>
        </w:rPr>
        <w:t>Court Proceedings</w:t>
      </w:r>
      <w:r>
        <w:rPr>
          <w:rFonts w:ascii="Arial" w:cs="Arial" w:eastAsia="Arial" w:hAnsi="Arial"/>
          <w:sz w:val="17"/>
          <w:szCs w:val="17"/>
          <w:color w:val="auto"/>
        </w:rPr>
        <w:t>. Any action or proceeding permitted by the terms of this Agreement to be filed in a court, which action or</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is brought to enforce, challenge or construe the terms or making of this Agreement or any of the Related</w:t>
      </w:r>
    </w:p>
    <w:p>
      <w:pPr>
        <w:spacing w:after="0" w:line="74" w:lineRule="exact"/>
        <w:rPr>
          <w:rFonts w:ascii="Arial" w:cs="Arial" w:eastAsia="Arial" w:hAnsi="Arial"/>
          <w:sz w:val="17"/>
          <w:szCs w:val="17"/>
          <w:color w:val="auto"/>
        </w:rPr>
      </w:pPr>
    </w:p>
    <w:p>
      <w:pPr>
        <w:ind w:left="5620" w:hanging="101"/>
        <w:spacing w:after="0"/>
        <w:tabs>
          <w:tab w:leader="none" w:pos="5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62 -</w:t>
      </w:r>
    </w:p>
    <w:p>
      <w:pPr>
        <w:sectPr>
          <w:pgSz w:w="11900" w:h="16838" w:orient="portrait"/>
          <w:cols w:equalWidth="0" w:num="1">
            <w:col w:w="11420"/>
          </w:cols>
          <w:pgMar w:left="240" w:top="274"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left="920" w:right="40"/>
        <w:spacing w:after="0" w:line="287" w:lineRule="auto"/>
        <w:rPr>
          <w:sz w:val="20"/>
          <w:szCs w:val="20"/>
          <w:color w:val="auto"/>
        </w:rPr>
      </w:pPr>
      <w:r>
        <w:rPr>
          <w:rFonts w:ascii="Arial" w:cs="Arial" w:eastAsia="Arial" w:hAnsi="Arial"/>
          <w:sz w:val="16"/>
          <w:szCs w:val="16"/>
          <w:color w:val="auto"/>
        </w:rPr>
        <w:t xml:space="preserve">Agreements, and any claims arising out of or related to this Agreement or any of the Related Agreements, shall be exclusively brought and litigated exclusively in a state or federal court having subject matter jurisdiction and located in Chicago, Illinois. For the purpose of any action or proceeding instituted with respect to any claim arising out of or related to this Agreement or any of the Related Agreements, each party hereby irrevocably submits to the exclusive jurisdiction of the state or federal courts having subject matter jurisdiction and located in Chicago, Illinois. Each party hereby irrevocably waives any objection or defense which it may now or hereafter have of improper venue, forum non conveniens, or lack of personal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Purchaser, in its sole discretion, may elect to bring any action or claim relating to or arising out of a breach by any of Seller of </w:t>
      </w:r>
      <w:r>
        <w:rPr>
          <w:rFonts w:ascii="Arial" w:cs="Arial" w:eastAsia="Arial" w:hAnsi="Arial"/>
          <w:sz w:val="16"/>
          <w:szCs w:val="16"/>
          <w:u w:val="single" w:color="auto"/>
          <w:color w:val="auto"/>
        </w:rPr>
        <w:t>Sections 7.01</w:t>
      </w:r>
      <w:r>
        <w:rPr>
          <w:rFonts w:ascii="Arial" w:cs="Arial" w:eastAsia="Arial" w:hAnsi="Arial"/>
          <w:sz w:val="16"/>
          <w:szCs w:val="16"/>
          <w:color w:val="auto"/>
        </w:rPr>
        <w:t xml:space="preserve">, </w:t>
      </w:r>
      <w:r>
        <w:rPr>
          <w:rFonts w:ascii="Arial" w:cs="Arial" w:eastAsia="Arial" w:hAnsi="Arial"/>
          <w:sz w:val="16"/>
          <w:szCs w:val="16"/>
          <w:u w:val="single" w:color="auto"/>
          <w:color w:val="auto"/>
        </w:rPr>
        <w:t>7.02</w:t>
      </w:r>
      <w:r>
        <w:rPr>
          <w:rFonts w:ascii="Arial" w:cs="Arial" w:eastAsia="Arial" w:hAnsi="Arial"/>
          <w:sz w:val="16"/>
          <w:szCs w:val="16"/>
          <w:color w:val="auto"/>
        </w:rPr>
        <w:t xml:space="preserve">, </w:t>
      </w:r>
      <w:r>
        <w:rPr>
          <w:rFonts w:ascii="Arial" w:cs="Arial" w:eastAsia="Arial" w:hAnsi="Arial"/>
          <w:sz w:val="16"/>
          <w:szCs w:val="16"/>
          <w:u w:val="single" w:color="auto"/>
          <w:color w:val="auto"/>
        </w:rPr>
        <w:t>7.03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7.04</w:t>
      </w:r>
      <w:r>
        <w:rPr>
          <w:rFonts w:ascii="Arial" w:cs="Arial" w:eastAsia="Arial" w:hAnsi="Arial"/>
          <w:sz w:val="16"/>
          <w:szCs w:val="16"/>
          <w:color w:val="auto"/>
        </w:rPr>
        <w:t xml:space="preserve"> of this Agreement in the county or state where the breach by any of Seller occurred or where breaching Seller can be found. Each party further irrevocably consents to the service of process out of such courts by the mailing of a copy thereof, by registered mail, postage prepaid, to the party and agrees that such service, to the fullest extent permitted by applicable laws, (i) shall be deemed in every respect effective service of process upon it in any suit, action or proceeding arising out of or related to this Agreement or any of the Related Agreements and (ii) shall be taken and held to be valid personal service upon and personal delivery to it. Nothing herein contained shall affect the right of each party to serve process in any other manner permitted by applicable laws.</w:t>
      </w:r>
    </w:p>
    <w:p>
      <w:pPr>
        <w:spacing w:after="0" w:line="165"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b w:val="1"/>
          <w:bCs w:val="1"/>
          <w:u w:val="single" w:color="auto"/>
          <w:color w:val="auto"/>
        </w:rPr>
        <w:t>Section 10.13. Waiver of Jury Trial.</w:t>
      </w:r>
      <w:r>
        <w:rPr>
          <w:rFonts w:ascii="Arial" w:cs="Arial" w:eastAsia="Arial" w:hAnsi="Arial"/>
          <w:sz w:val="16"/>
          <w:szCs w:val="16"/>
          <w:b w:val="1"/>
          <w:bCs w:val="1"/>
          <w:color w:val="auto"/>
        </w:rPr>
        <w:t xml:space="preserve"> </w:t>
      </w:r>
      <w:r>
        <w:rPr>
          <w:rFonts w:ascii="Arial" w:cs="Arial" w:eastAsia="Arial" w:hAnsi="Arial"/>
          <w:sz w:val="16"/>
          <w:szCs w:val="16"/>
          <w:color w:val="auto"/>
        </w:rPr>
        <w:t>For any action or proceeding which is permitted under this Agreement to be filed in a court, each party</w:t>
      </w:r>
      <w:r>
        <w:rPr>
          <w:rFonts w:ascii="Arial" w:cs="Arial" w:eastAsia="Arial" w:hAnsi="Arial"/>
          <w:sz w:val="16"/>
          <w:szCs w:val="16"/>
          <w:b w:val="1"/>
          <w:bCs w:val="1"/>
          <w:color w:val="auto"/>
        </w:rPr>
        <w:t xml:space="preserve"> </w:t>
      </w:r>
      <w:r>
        <w:rPr>
          <w:rFonts w:ascii="Arial" w:cs="Arial" w:eastAsia="Arial" w:hAnsi="Arial"/>
          <w:sz w:val="16"/>
          <w:szCs w:val="16"/>
          <w:color w:val="auto"/>
        </w:rPr>
        <w:t>hereby expressly and irrevocably waives any right to a trial by jury in such action or proceeding, including but not limited to those actions or proceedings to enforce or defend any rights under this Agreement or any of the Related Agreements or under any amendment, consent, waiver, instrument, document or agreement delivered or which may in the future be delivered in connection with any of them or arising from any relationship existing in connection with this Agreement or any of the Related Agreements. Each party agrees that in any such action or proceeding, the matters shall be tried to a court and not to a jury.</w:t>
      </w:r>
    </w:p>
    <w:p>
      <w:pPr>
        <w:spacing w:after="0" w:line="154" w:lineRule="exact"/>
        <w:rPr>
          <w:sz w:val="20"/>
          <w:szCs w:val="20"/>
          <w:color w:val="auto"/>
        </w:rPr>
      </w:pPr>
    </w:p>
    <w:p>
      <w:pPr>
        <w:ind w:right="100" w:firstLine="913"/>
        <w:spacing w:after="0" w:line="347" w:lineRule="auto"/>
        <w:rPr>
          <w:sz w:val="20"/>
          <w:szCs w:val="20"/>
          <w:color w:val="auto"/>
        </w:rPr>
      </w:pPr>
      <w:r>
        <w:rPr>
          <w:rFonts w:ascii="Arial" w:cs="Arial" w:eastAsia="Arial" w:hAnsi="Arial"/>
          <w:sz w:val="16"/>
          <w:szCs w:val="16"/>
          <w:b w:val="1"/>
          <w:bCs w:val="1"/>
          <w:u w:val="single" w:color="auto"/>
          <w:color w:val="auto"/>
        </w:rPr>
        <w:t>Section 10.14.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executed in two (2) or more counterparts, each of which shall be deemed an original, but</w:t>
      </w:r>
      <w:r>
        <w:rPr>
          <w:rFonts w:ascii="Arial" w:cs="Arial" w:eastAsia="Arial" w:hAnsi="Arial"/>
          <w:sz w:val="16"/>
          <w:szCs w:val="16"/>
          <w:b w:val="1"/>
          <w:bCs w:val="1"/>
          <w:color w:val="auto"/>
        </w:rPr>
        <w:t xml:space="preserve"> </w:t>
      </w:r>
      <w:r>
        <w:rPr>
          <w:rFonts w:ascii="Arial" w:cs="Arial" w:eastAsia="Arial" w:hAnsi="Arial"/>
          <w:sz w:val="16"/>
          <w:szCs w:val="16"/>
          <w:color w:val="auto"/>
        </w:rPr>
        <w:t>all of which shall together constitute one and the same agreement. Facsimile transmission of a counterpart hereto shall constitute an original hereof.</w:t>
      </w:r>
    </w:p>
    <w:p>
      <w:pPr>
        <w:spacing w:after="0" w:line="116" w:lineRule="exact"/>
        <w:rPr>
          <w:sz w:val="20"/>
          <w:szCs w:val="20"/>
          <w:color w:val="auto"/>
        </w:rPr>
      </w:pPr>
    </w:p>
    <w:p>
      <w:pPr>
        <w:ind w:right="120" w:firstLine="913"/>
        <w:spacing w:after="0" w:line="289" w:lineRule="auto"/>
        <w:rPr>
          <w:sz w:val="20"/>
          <w:szCs w:val="20"/>
          <w:color w:val="auto"/>
        </w:rPr>
      </w:pPr>
      <w:r>
        <w:rPr>
          <w:rFonts w:ascii="Arial" w:cs="Arial" w:eastAsia="Arial" w:hAnsi="Arial"/>
          <w:sz w:val="17"/>
          <w:szCs w:val="17"/>
          <w:b w:val="1"/>
          <w:bCs w:val="1"/>
          <w:u w:val="single" w:color="auto"/>
          <w:color w:val="auto"/>
        </w:rPr>
        <w:t>Section 10.15. Survival of Representations and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specifically set forth elsewhere in this Agreement, all representations</w:t>
      </w:r>
      <w:r>
        <w:rPr>
          <w:rFonts w:ascii="Arial" w:cs="Arial" w:eastAsia="Arial" w:hAnsi="Arial"/>
          <w:sz w:val="17"/>
          <w:szCs w:val="17"/>
          <w:b w:val="1"/>
          <w:bCs w:val="1"/>
          <w:color w:val="auto"/>
        </w:rPr>
        <w:t xml:space="preserve"> </w:t>
      </w:r>
      <w:r>
        <w:rPr>
          <w:rFonts w:ascii="Arial" w:cs="Arial" w:eastAsia="Arial" w:hAnsi="Arial"/>
          <w:sz w:val="17"/>
          <w:szCs w:val="17"/>
          <w:color w:val="auto"/>
        </w:rPr>
        <w:t>and warranties made in this Agreement or in any of the Related Agreements (or any other certificate or instrument delivered in connection with any of them) shall indefinitely survive the execution and delivery of this Agreement and the Related Agreements and the Closing.</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420"/>
          </w:cols>
          <w:pgMar w:left="240" w:top="274"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Section 10.16. Seller Representative.</w:t>
      </w:r>
    </w:p>
    <w:p>
      <w:pPr>
        <w:spacing w:after="0" w:line="121" w:lineRule="exact"/>
        <w:rPr>
          <w:sz w:val="20"/>
          <w:szCs w:val="20"/>
          <w:color w:val="auto"/>
        </w:rPr>
      </w:pPr>
    </w:p>
    <w:p>
      <w:pPr>
        <w:ind w:left="920" w:right="80" w:firstLine="421"/>
        <w:spacing w:after="0" w:line="293" w:lineRule="auto"/>
        <w:tabs>
          <w:tab w:leader="none" w:pos="1585" w:val="left"/>
        </w:tabs>
        <w:numPr>
          <w:ilvl w:val="0"/>
          <w:numId w:val="89"/>
        </w:numPr>
        <w:rPr>
          <w:rFonts w:ascii="Arial" w:cs="Arial" w:eastAsia="Arial" w:hAnsi="Arial"/>
          <w:sz w:val="16"/>
          <w:szCs w:val="16"/>
          <w:color w:val="auto"/>
        </w:rPr>
      </w:pPr>
      <w:r>
        <w:rPr>
          <w:rFonts w:ascii="Arial" w:cs="Arial" w:eastAsia="Arial" w:hAnsi="Arial"/>
          <w:sz w:val="16"/>
          <w:szCs w:val="16"/>
          <w:color w:val="auto"/>
        </w:rPr>
        <w:t>Each Seller hereby appoints Louay Owaidat or Bruce Diettert as his, her or its representative to receive and provide notices under this Agreement, whether from the Purchaser or otherwise, and including any notice relating to indemnification or payments or disputes arising hereunder. The Seller Representative shall have the authority, both prior to and after the Closing Date, to, subject to the terms of this Agreement, make all decisions regarding any and all matters related to this Agreement, including, but not limited to, resolution of claims for Indemnity Losses, receipt of any funds due Sellers and, subject to the terms of this Agreement, decisions related to the Lower Presidio/St. Helens Projects, claims and/or litigation or arbitration including, but not limited to, pursuing, settling or compromising all such clams, litigation or arbitration.</w:t>
      </w:r>
    </w:p>
    <w:p>
      <w:pPr>
        <w:spacing w:after="0" w:line="56" w:lineRule="exact"/>
        <w:rPr>
          <w:rFonts w:ascii="Arial" w:cs="Arial" w:eastAsia="Arial" w:hAnsi="Arial"/>
          <w:sz w:val="16"/>
          <w:szCs w:val="16"/>
          <w:color w:val="auto"/>
        </w:rPr>
      </w:pPr>
    </w:p>
    <w:p>
      <w:pPr>
        <w:ind w:left="920" w:right="140" w:firstLine="421"/>
        <w:spacing w:after="0" w:line="286" w:lineRule="auto"/>
        <w:tabs>
          <w:tab w:leader="none" w:pos="1595"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Seller Representative may be changed by a majority vote of the Sellers from time to time. In determining the outcome of the vote, Sellers shall have the number of votes corresponding to their percentage ownership of the Company immediately prior to the closing of this transaction. The change shall be effective upon written notice to Purchaser signed by at least a majority of the Sellers.</w:t>
      </w:r>
    </w:p>
    <w:p>
      <w:pPr>
        <w:spacing w:after="0" w:line="57" w:lineRule="exact"/>
        <w:rPr>
          <w:rFonts w:ascii="Arial" w:cs="Arial" w:eastAsia="Arial" w:hAnsi="Arial"/>
          <w:sz w:val="17"/>
          <w:szCs w:val="17"/>
          <w:color w:val="auto"/>
        </w:rPr>
      </w:pPr>
    </w:p>
    <w:p>
      <w:pPr>
        <w:ind w:left="920" w:right="60" w:firstLine="421"/>
        <w:spacing w:after="0" w:line="290" w:lineRule="auto"/>
        <w:tabs>
          <w:tab w:leader="none" w:pos="1585"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The Seller Representative has the unrestricted right, power, authority and capacity to act for and bind each Seller as their attorney-in-fact with power of attorney with respect to all matters relating to this Agreement, the Note and any Related Agreement, and any decision, act, consent or instruction of the Seller Representative, including but not limited to an amendment, extension or waiver of this Agreement, the Note or any Related Agreement, shall constitute a decision of the Sellers and shall be final, binding and conclusive upon the Sellers. Said appointment shall be considered as coupled with an interest and irrevocable until all performance and obligations under this Agreement, the Note, and the Related Agreements have been fulfilled. The Purchaser may rely upon any such decision, act, consent or instruction of the Seller Representative as being the decision, act, consent or instruction of the Sellers. Purchaser shall be obligated to communicate and negotiate with the Seller Representative with respect to all matters reserved to the Seller Representative pursuant to this </w:t>
      </w:r>
      <w:r>
        <w:rPr>
          <w:rFonts w:ascii="Arial" w:cs="Arial" w:eastAsia="Arial" w:hAnsi="Arial"/>
          <w:sz w:val="16"/>
          <w:szCs w:val="16"/>
          <w:u w:val="single" w:color="auto"/>
          <w:color w:val="auto"/>
        </w:rPr>
        <w:t>Section 10.16</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920" w:right="40" w:firstLine="421"/>
        <w:spacing w:after="0" w:line="255" w:lineRule="auto"/>
        <w:tabs>
          <w:tab w:leader="none" w:pos="15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Seller Representative shall not have any liability for any action taken or suffered by him or omitted hereunder as Seller Representative while acting in good faith in the absence of gross negligence. The Seller Representative may, in all questions arising hereunder, rely on the advice of counsel and the Seller Representative shall not be liable to the Sellers for anything done, omitted or suffered in good faith in the absence of gross negligence by the Seller Representative based on such advice. The Seller Representative undertakes to perform such duties and only such duties as are specifically set forth in this Agreement and no implied covenants or obligations shall be read into this Agreement against the Seller Representative.</w:t>
      </w:r>
    </w:p>
    <w:p>
      <w:pPr>
        <w:spacing w:after="0" w:line="189" w:lineRule="exact"/>
        <w:rPr>
          <w:sz w:val="20"/>
          <w:szCs w:val="20"/>
          <w:color w:val="auto"/>
        </w:rPr>
      </w:pPr>
    </w:p>
    <w:p>
      <w:pPr>
        <w:ind w:right="220" w:firstLine="913"/>
        <w:spacing w:after="0" w:line="313" w:lineRule="auto"/>
        <w:rPr>
          <w:sz w:val="20"/>
          <w:szCs w:val="20"/>
          <w:color w:val="auto"/>
        </w:rPr>
      </w:pPr>
      <w:r>
        <w:rPr>
          <w:rFonts w:ascii="Arial" w:cs="Arial" w:eastAsia="Arial" w:hAnsi="Arial"/>
          <w:sz w:val="17"/>
          <w:szCs w:val="17"/>
          <w:b w:val="1"/>
          <w:bCs w:val="1"/>
          <w:u w:val="single" w:color="auto"/>
          <w:color w:val="auto"/>
        </w:rPr>
        <w:t>Section 10.17. Table of Contents and Captions.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Table of Contents and captions of the Articles and Sections of this Agreement are solely</w:t>
      </w:r>
      <w:r>
        <w:rPr>
          <w:rFonts w:ascii="Arial" w:cs="Arial" w:eastAsia="Arial" w:hAnsi="Arial"/>
          <w:sz w:val="17"/>
          <w:szCs w:val="17"/>
          <w:b w:val="1"/>
          <w:bCs w:val="1"/>
          <w:color w:val="auto"/>
        </w:rPr>
        <w:t xml:space="preserve"> </w:t>
      </w:r>
      <w:r>
        <w:rPr>
          <w:rFonts w:ascii="Arial" w:cs="Arial" w:eastAsia="Arial" w:hAnsi="Arial"/>
          <w:sz w:val="17"/>
          <w:szCs w:val="17"/>
          <w:color w:val="auto"/>
        </w:rPr>
        <w:t>for convenient reference and shall not be deemed to affect the meaning or interpretation of any provision of this Agreement.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420"/>
          </w:cols>
          <w:pgMar w:left="240" w:top="274"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6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b w:val="1"/>
          <w:bCs w:val="1"/>
          <w:u w:val="single" w:color="auto"/>
          <w:color w:val="auto"/>
        </w:rPr>
        <w:t>Section 10.18. Schedules, Exhibits and Certificates; Knowledge of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All Schedules and Exhibits referred to herein form an integral</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this Agreement and shall be deemed to be part of this Agreement to the same extent as if set forth in the text of this Agreement. All statements contained in certificates and other instruments attached hereto or delivered or furnished on behalf of any party hereto shall be deemed representations and warranties of that party pursuant to this Agreement. No knowledge on the part of Purchaser or any of member of the Purchaser Group of any matter that might constitute or form the basis of a breach of any representation or warranty of Sellers shall be deemed to modify, qualify or otherwise alter in any respect any such representation or warranty, and Purchaser shall be entitled to pursue all remedies available to it under this Agreement and applicable Law in connection with any such matter.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Pages Follow]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420"/>
          </w:cols>
          <w:pgMar w:left="240" w:top="274" w:right="239" w:bottom="1440" w:gutter="0" w:footer="0" w:header="0"/>
        </w:sectPr>
      </w:pPr>
    </w:p>
    <w:bookmarkStart w:id="75" w:name="page76"/>
    <w:bookmarkEnd w:id="75"/>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as of the date first written above.</w:t>
      </w:r>
    </w:p>
    <w:p>
      <w:pPr>
        <w:spacing w:after="0" w:line="252"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“PURCHASER”</w:t>
      </w:r>
    </w:p>
    <w:p>
      <w:pPr>
        <w:spacing w:after="0" w:line="225"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GREAT LAKES ENVIRONMENTAL AND</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INFRASTRUCTURE SOLUTIONS, LLC</w:t>
      </w:r>
      <w:r>
        <w:rPr>
          <w:rFonts w:ascii="Arial" w:cs="Arial" w:eastAsia="Arial" w:hAnsi="Arial"/>
          <w:sz w:val="18"/>
          <w:szCs w:val="18"/>
          <w:color w:val="auto"/>
        </w:rPr>
        <w:t>, a Delaware</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limited liability company</w:t>
      </w:r>
    </w:p>
    <w:p>
      <w:pPr>
        <w:spacing w:after="0" w:line="211" w:lineRule="exact"/>
        <w:rPr>
          <w:sz w:val="20"/>
          <w:szCs w:val="20"/>
          <w:color w:val="auto"/>
        </w:rPr>
      </w:pPr>
    </w:p>
    <w:p>
      <w:pPr>
        <w:ind w:left="6780"/>
        <w:spacing w:after="0"/>
        <w:tabs>
          <w:tab w:leader="none" w:pos="7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4773930</wp:posOffset>
            </wp:positionH>
            <wp:positionV relativeFrom="paragraph">
              <wp:posOffset>14605</wp:posOffset>
            </wp:positionV>
            <wp:extent cx="24269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32" w:lineRule="exact"/>
        <w:rPr>
          <w:sz w:val="20"/>
          <w:szCs w:val="20"/>
          <w:color w:val="auto"/>
        </w:rPr>
      </w:pPr>
    </w:p>
    <w:p>
      <w:pPr>
        <w:ind w:left="6780"/>
        <w:spacing w:after="0"/>
        <w:tabs>
          <w:tab w:leader="none" w:pos="7580" w:val="left"/>
        </w:tabs>
        <w:rPr>
          <w:sz w:val="20"/>
          <w:szCs w:val="20"/>
          <w:color w:val="auto"/>
        </w:rPr>
      </w:pPr>
      <w:r>
        <w:rPr>
          <w:rFonts w:ascii="Arial" w:cs="Arial" w:eastAsia="Arial" w:hAnsi="Arial"/>
          <w:sz w:val="18"/>
          <w:szCs w:val="18"/>
          <w:color w:val="auto"/>
        </w:rPr>
        <w:t>Printed:</w:t>
        <w:tab/>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4773930</wp:posOffset>
            </wp:positionH>
            <wp:positionV relativeFrom="paragraph">
              <wp:posOffset>14605</wp:posOffset>
            </wp:positionV>
            <wp:extent cx="24269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32" w:lineRule="exact"/>
        <w:rPr>
          <w:sz w:val="20"/>
          <w:szCs w:val="20"/>
          <w:color w:val="auto"/>
        </w:rPr>
      </w:pPr>
    </w:p>
    <w:p>
      <w:pPr>
        <w:ind w:left="6780"/>
        <w:spacing w:after="0"/>
        <w:tabs>
          <w:tab w:leader="none" w:pos="7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4773930</wp:posOffset>
            </wp:positionH>
            <wp:positionV relativeFrom="paragraph">
              <wp:posOffset>14605</wp:posOffset>
            </wp:positionV>
            <wp:extent cx="24269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S-1</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Share Purchase Agreement</w:t>
      </w:r>
    </w:p>
    <w:p>
      <w:pPr>
        <w:sectPr>
          <w:pgSz w:w="11900" w:h="16838" w:orient="portrait"/>
          <w:cols w:equalWidth="0" w:num="1">
            <w:col w:w="11340"/>
          </w:cols>
          <w:pgMar w:left="320" w:top="274" w:right="239" w:bottom="1440" w:gutter="0" w:footer="0" w:header="0"/>
        </w:sectPr>
      </w:pPr>
    </w:p>
    <w:bookmarkStart w:id="76" w:name="page77"/>
    <w:bookmarkEnd w:id="76"/>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“SELLERS”</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Louay Owaidat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14605</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LOUAY OWAIDAT, as Co-Trustee of the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Louay and Maya Owaidat Trust</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S-2</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Share Purchase Agreement</w:t>
      </w:r>
    </w:p>
    <w:p>
      <w:pPr>
        <w:sectPr>
          <w:pgSz w:w="11900" w:h="16838" w:orient="portrait"/>
          <w:cols w:equalWidth="0" w:num="1">
            <w:col w:w="11340"/>
          </w:cols>
          <w:pgMar w:left="320" w:top="274" w:right="239" w:bottom="1440" w:gutter="0" w:footer="0" w:header="0"/>
        </w:sectPr>
      </w:pPr>
    </w:p>
    <w:bookmarkStart w:id="77" w:name="page78"/>
    <w:bookmarkEnd w:id="77"/>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Gayer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14605</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GAYER</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S-3</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Share Purchase Agreement</w:t>
      </w:r>
    </w:p>
    <w:p>
      <w:pPr>
        <w:sectPr>
          <w:pgSz w:w="11900" w:h="16838" w:orient="portrait"/>
          <w:cols w:equalWidth="0" w:num="1">
            <w:col w:w="11340"/>
          </w:cols>
          <w:pgMar w:left="320" w:top="274" w:right="239" w:bottom="1440" w:gutter="0" w:footer="0" w:header="0"/>
        </w:sectPr>
      </w:pPr>
    </w:p>
    <w:bookmarkStart w:id="78" w:name="page79"/>
    <w:bookmarkEnd w:id="78"/>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Neal M. Siller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14605</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NEAL M. SILLER</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S-4</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Share Purchase Agreement</w:t>
      </w:r>
    </w:p>
    <w:p>
      <w:pPr>
        <w:sectPr>
          <w:pgSz w:w="11900" w:h="16838" w:orient="portrait"/>
          <w:cols w:equalWidth="0" w:num="1">
            <w:col w:w="11340"/>
          </w:cols>
          <w:pgMar w:left="320" w:top="274" w:right="239" w:bottom="1440" w:gutter="0" w:footer="0" w:header="0"/>
        </w:sectPr>
      </w:pPr>
    </w:p>
    <w:bookmarkStart w:id="79" w:name="page80"/>
    <w:bookmarkEnd w:id="79"/>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Jeremy J. McKnight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14605</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JEREMY J. MCKNIGHT</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S-5</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Share Purchase Agreement</w:t>
      </w:r>
    </w:p>
    <w:p>
      <w:pPr>
        <w:sectPr>
          <w:pgSz w:w="11900" w:h="16838" w:orient="portrait"/>
          <w:cols w:equalWidth="0" w:num="1">
            <w:col w:w="11340"/>
          </w:cols>
          <w:pgMar w:left="320" w:top="274" w:right="239" w:bottom="1440" w:gutter="0" w:footer="0" w:header="0"/>
        </w:sectPr>
      </w:pPr>
    </w:p>
    <w:bookmarkStart w:id="80" w:name="page81"/>
    <w:bookmarkEnd w:id="80"/>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R.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14605</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JAMES R. BEEBE</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S-6</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Share Purchase Agreement</w:t>
      </w:r>
    </w:p>
    <w:p>
      <w:pPr>
        <w:sectPr>
          <w:pgSz w:w="11900" w:h="16838" w:orient="portrait"/>
          <w:cols w:equalWidth="0" w:num="1">
            <w:col w:w="11340"/>
          </w:cols>
          <w:pgMar w:left="320" w:top="274" w:right="239" w:bottom="1440" w:gutter="0" w:footer="0" w:header="0"/>
        </w:sectPr>
      </w:pPr>
    </w:p>
    <w:bookmarkStart w:id="81" w:name="page82"/>
    <w:bookmarkEnd w:id="81"/>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L. Councilman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14605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L. COUNCILMAN</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S-7</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Share Purchase Agreement</w:t>
      </w:r>
    </w:p>
    <w:p>
      <w:pPr>
        <w:sectPr>
          <w:pgSz w:w="11900" w:h="16838" w:orient="portrait"/>
          <w:cols w:equalWidth="0" w:num="1">
            <w:col w:w="11340"/>
          </w:cols>
          <w:pgMar w:left="320" w:top="274" w:right="239" w:bottom="1440" w:gutter="0" w:footer="0" w:header="0"/>
        </w:sectPr>
      </w:pPr>
    </w:p>
    <w:bookmarkStart w:id="82" w:name="page83"/>
    <w:bookmarkEnd w:id="82"/>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D.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14605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MATTHEW D. MARKS</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S-8</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Share Purchase Agreement</w:t>
      </w:r>
    </w:p>
    <w:p>
      <w:pPr>
        <w:sectPr>
          <w:pgSz w:w="11900" w:h="16838" w:orient="portrait"/>
          <w:cols w:equalWidth="0" w:num="1">
            <w:col w:w="11340"/>
          </w:cols>
          <w:pgMar w:left="320" w:top="274" w:right="239" w:bottom="1440" w:gutter="0" w:footer="0" w:header="0"/>
        </w:sectPr>
      </w:pPr>
    </w:p>
    <w:bookmarkStart w:id="83" w:name="page84"/>
    <w:bookmarkEnd w:id="83"/>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Sean L.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14605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SEAN L. RHODES</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S-9</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Share Purchase Agreement</w:t>
      </w:r>
    </w:p>
    <w:p>
      <w:pPr>
        <w:sectPr>
          <w:pgSz w:w="11900" w:h="16838" w:orient="portrait"/>
          <w:cols w:equalWidth="0" w:num="1">
            <w:col w:w="11340"/>
          </w:cols>
          <w:pgMar w:left="320" w:top="274" w:right="239" w:bottom="1440" w:gutter="0" w:footer="0" w:header="0"/>
        </w:sectPr>
      </w:pPr>
    </w:p>
    <w:bookmarkStart w:id="84" w:name="page85"/>
    <w:bookmarkEnd w:id="84"/>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Bruce Diettert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14605</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BRUCE DIETTERT, as Co-Trustee of the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Diettert Family Revocable Trust</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S-10</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Share Purchase Agreement</w:t>
      </w:r>
    </w:p>
    <w:p>
      <w:pPr>
        <w:sectPr>
          <w:pgSz w:w="11900" w:h="16838" w:orient="portrait"/>
          <w:cols w:equalWidth="0" w:num="1">
            <w:col w:w="11340"/>
          </w:cols>
          <w:pgMar w:left="320" w:top="274" w:right="239" w:bottom="1440" w:gutter="0" w:footer="0" w:header="0"/>
        </w:sectPr>
      </w:pPr>
    </w:p>
    <w:bookmarkStart w:id="85" w:name="page86"/>
    <w:bookmarkEnd w:id="85"/>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Gregg E. Nickel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14605</wp:posOffset>
            </wp:positionV>
            <wp:extent cx="2898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GREGG E. NICKEL</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S-11</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Share Purchase Agreement</w:t>
      </w:r>
    </w:p>
    <w:p>
      <w:pPr>
        <w:sectPr>
          <w:pgSz w:w="11900" w:h="16838" w:orient="portrait"/>
          <w:cols w:equalWidth="0" w:num="1">
            <w:col w:w="11340"/>
          </w:cols>
          <w:pgMar w:left="320" w:top="274" w:right="239" w:bottom="1440" w:gutter="0" w:footer="0" w:header="0"/>
        </w:sectPr>
      </w:pPr>
    </w:p>
    <w:bookmarkStart w:id="86" w:name="page87"/>
    <w:bookmarkEnd w:id="86"/>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A. Dodd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14605</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JAMES A. DODD</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S-12</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Share Purchase Agreement</w:t>
      </w:r>
    </w:p>
    <w:p>
      <w:pPr>
        <w:sectPr>
          <w:pgSz w:w="11900" w:h="16838" w:orient="portrait"/>
          <w:cols w:equalWidth="0" w:num="1">
            <w:col w:w="11340"/>
          </w:cols>
          <w:pgMar w:left="320" w:top="274" w:right="239" w:bottom="1440" w:gutter="0" w:footer="0" w:header="0"/>
        </w:sectPr>
      </w:pPr>
    </w:p>
    <w:bookmarkStart w:id="87" w:name="page88"/>
    <w:bookmarkEnd w:id="87"/>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Jeff H. Sallas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14605</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JEFF H. SALLAS</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S-13</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Share Purchase Agreement</w:t>
      </w:r>
    </w:p>
    <w:p>
      <w:pPr>
        <w:sectPr>
          <w:pgSz w:w="11900" w:h="16838" w:orient="portrait"/>
          <w:cols w:equalWidth="0" w:num="1">
            <w:col w:w="11340"/>
          </w:cols>
          <w:pgMar w:left="320" w:top="274" w:right="239" w:bottom="1440" w:gutter="0" w:footer="0" w:header="0"/>
        </w:sectPr>
      </w:pPr>
    </w:p>
    <w:bookmarkStart w:id="88" w:name="page89"/>
    <w:bookmarkEnd w:id="88"/>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Jasen Yardley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14605</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JASEN YARDLEY</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S-14</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Share Purchase Agreement</w:t>
      </w:r>
    </w:p>
    <w:p>
      <w:pPr>
        <w:sectPr>
          <w:pgSz w:w="11900" w:h="16838" w:orient="portrait"/>
          <w:cols w:equalWidth="0" w:num="1">
            <w:col w:w="11340"/>
          </w:cols>
          <w:pgMar w:left="320" w:top="274" w:right="239" w:bottom="1440" w:gutter="0" w:footer="0" w:header="0"/>
        </w:sectPr>
      </w:pPr>
    </w:p>
    <w:bookmarkStart w:id="89" w:name="page90"/>
    <w:bookmarkEnd w:id="89"/>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480"/>
        <w:spacing w:after="0"/>
        <w:rPr>
          <w:sz w:val="20"/>
          <w:szCs w:val="20"/>
          <w:color w:val="auto"/>
        </w:rPr>
      </w:pPr>
      <w:r>
        <w:rPr>
          <w:rFonts w:ascii="Arial" w:cs="Arial" w:eastAsia="Arial" w:hAnsi="Arial"/>
          <w:sz w:val="17"/>
          <w:szCs w:val="17"/>
          <w:color w:val="auto"/>
        </w:rPr>
        <w:t>EXECUTION VERSION</w:t>
      </w:r>
    </w:p>
    <w:p>
      <w:pPr>
        <w:spacing w:after="0" w:line="264"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Solely for purposes of Section 1.04 and Section 6.02(c) hereof:</w:t>
      </w:r>
    </w:p>
    <w:p>
      <w:pPr>
        <w:spacing w:after="0" w:line="244"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 xml:space="preserve">GREAT LAKES DREDGE &amp; DOCK CORPORATION, </w:t>
      </w:r>
      <w:r>
        <w:rPr>
          <w:rFonts w:ascii="Arial" w:cs="Arial" w:eastAsia="Arial" w:hAnsi="Arial"/>
          <w:sz w:val="18"/>
          <w:szCs w:val="18"/>
          <w:color w:val="auto"/>
        </w:rPr>
        <w:t>a</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Delaware corporation</w:t>
      </w:r>
    </w:p>
    <w:p>
      <w:pPr>
        <w:spacing w:after="0" w:line="211"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Jonathan W. Berger</w:t>
            </w:r>
          </w:p>
        </w:tc>
      </w:tr>
      <w:tr>
        <w:trPr>
          <w:trHeight w:val="331"/>
        </w:trPr>
        <w:tc>
          <w:tcPr>
            <w:tcW w:w="740" w:type="dxa"/>
            <w:vAlign w:val="bottom"/>
          </w:tcPr>
          <w:p>
            <w:pPr>
              <w:spacing w:after="0"/>
              <w:rPr>
                <w:sz w:val="20"/>
                <w:szCs w:val="20"/>
                <w:color w:val="auto"/>
              </w:rPr>
            </w:pPr>
            <w:r>
              <w:rPr>
                <w:rFonts w:ascii="Arial" w:cs="Arial" w:eastAsia="Arial" w:hAnsi="Arial"/>
                <w:sz w:val="18"/>
                <w:szCs w:val="18"/>
                <w:color w:val="auto"/>
              </w:rPr>
              <w:t>Printed:</w:t>
            </w:r>
          </w:p>
        </w:tc>
        <w:tc>
          <w:tcPr>
            <w:tcW w:w="3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Jonathan W. Berger</w:t>
            </w:r>
          </w:p>
        </w:tc>
      </w:tr>
      <w:tr>
        <w:trPr>
          <w:trHeight w:val="331"/>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CEO</w:t>
            </w:r>
          </w:p>
        </w:tc>
      </w:tr>
    </w:tbl>
    <w:p>
      <w:pPr>
        <w:spacing w:after="0" w:line="14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S-15</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Share Purchase Agreement</w:t>
      </w:r>
    </w:p>
    <w:p>
      <w:pPr>
        <w:sectPr>
          <w:pgSz w:w="11900" w:h="16838" w:orient="portrait"/>
          <w:cols w:equalWidth="0" w:num="1">
            <w:col w:w="11340"/>
          </w:cols>
          <w:pgMar w:left="320" w:top="274"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6140" w:type="dxa"/>
            <w:vAlign w:val="bottom"/>
            <w:gridSpan w:val="2"/>
          </w:tcPr>
          <w:p>
            <w:pPr>
              <w:ind w:left="2960"/>
              <w:spacing w:after="0"/>
              <w:rPr>
                <w:sz w:val="20"/>
                <w:szCs w:val="20"/>
                <w:color w:val="auto"/>
              </w:rPr>
            </w:pPr>
            <w:r>
              <w:rPr>
                <w:rFonts w:ascii="Arial" w:cs="Arial" w:eastAsia="Arial" w:hAnsi="Arial"/>
                <w:sz w:val="18"/>
                <w:szCs w:val="18"/>
                <w:b w:val="1"/>
                <w:bCs w:val="1"/>
                <w:color w:val="auto"/>
                <w:w w:val="99"/>
              </w:rPr>
              <w:t>LIST OF SCHEDULES AND EXHIBITS</w:t>
            </w:r>
          </w:p>
        </w:tc>
      </w:tr>
      <w:tr>
        <w:trPr>
          <w:trHeight w:val="480"/>
        </w:trPr>
        <w:tc>
          <w:tcPr>
            <w:tcW w:w="1160" w:type="dxa"/>
            <w:vAlign w:val="bottom"/>
          </w:tcPr>
          <w:p>
            <w:pPr>
              <w:spacing w:after="0"/>
              <w:rPr>
                <w:sz w:val="20"/>
                <w:szCs w:val="20"/>
                <w:color w:val="auto"/>
              </w:rPr>
            </w:pPr>
            <w:r>
              <w:rPr>
                <w:rFonts w:ascii="Arial" w:cs="Arial" w:eastAsia="Arial" w:hAnsi="Arial"/>
                <w:sz w:val="18"/>
                <w:szCs w:val="18"/>
                <w:color w:val="auto"/>
              </w:rPr>
              <w:t>Schedule A</w:t>
            </w:r>
          </w:p>
        </w:tc>
        <w:tc>
          <w:tcPr>
            <w:tcW w:w="2960" w:type="dxa"/>
            <w:vAlign w:val="bottom"/>
          </w:tcPr>
          <w:p>
            <w:pPr>
              <w:ind w:left="340"/>
              <w:spacing w:after="0"/>
              <w:rPr>
                <w:sz w:val="20"/>
                <w:szCs w:val="20"/>
                <w:color w:val="auto"/>
              </w:rPr>
            </w:pPr>
            <w:r>
              <w:rPr>
                <w:rFonts w:ascii="Arial" w:cs="Arial" w:eastAsia="Arial" w:hAnsi="Arial"/>
                <w:sz w:val="18"/>
                <w:szCs w:val="18"/>
                <w:color w:val="auto"/>
              </w:rPr>
              <w:t>Working Capital Calculations</w:t>
            </w:r>
          </w:p>
        </w:tc>
        <w:tc>
          <w:tcPr>
            <w:tcW w:w="3180" w:type="dxa"/>
            <w:vAlign w:val="bottom"/>
            <w:tcBorders>
              <w:top w:val="single" w:sz="8" w:color="auto"/>
            </w:tcBorders>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Schedule B</w:t>
            </w: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EBITDA Calculations</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Schedule C</w:t>
            </w: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Allocation of Purchase Price</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Schedule D</w:t>
            </w: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Employees</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Exhibit A</w:t>
            </w: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Sellers/Shares</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Exhibit B</w:t>
            </w: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Note</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Exhibit C</w:t>
            </w: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Restricted Stock Unit Award Agreements</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Exhibit D</w:t>
            </w: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Office Lease</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Exhibit E</w:t>
            </w: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Yard Lease</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Exhibit F</w:t>
            </w: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Spousal Consent</w:t>
            </w:r>
          </w:p>
        </w:tc>
      </w:tr>
    </w:tbl>
    <w:p>
      <w:pPr>
        <w:sectPr>
          <w:pgSz w:w="11900" w:h="16838" w:orient="portrait"/>
          <w:cols w:equalWidth="0" w:num="1">
            <w:col w:w="11420"/>
          </w:cols>
          <w:pgMar w:left="240" w:top="274"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LIST OF DISCLOSURE SCHEDULES</w:t>
            </w:r>
          </w:p>
        </w:tc>
      </w:tr>
      <w:tr>
        <w:trPr>
          <w:trHeight w:val="480"/>
        </w:trPr>
        <w:tc>
          <w:tcPr>
            <w:tcW w:w="800" w:type="dxa"/>
            <w:vAlign w:val="bottom"/>
          </w:tcPr>
          <w:p>
            <w:pPr>
              <w:spacing w:after="0"/>
              <w:rPr>
                <w:sz w:val="20"/>
                <w:szCs w:val="20"/>
                <w:color w:val="auto"/>
              </w:rPr>
            </w:pPr>
            <w:r>
              <w:rPr>
                <w:rFonts w:ascii="Arial" w:cs="Arial" w:eastAsia="Arial" w:hAnsi="Arial"/>
                <w:sz w:val="18"/>
                <w:szCs w:val="18"/>
                <w:color w:val="auto"/>
              </w:rPr>
              <w:t>1.06</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Allocation of Purchase Price</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3.05</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Broker’s and Finder’s Fees</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4.01</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Organization and Power</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4.03(a)</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Capital Structure of the Company and Related Matters</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4.03(b)</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Capital Structure of the Company and Related Matters</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4.04(e)</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No Conflict or Violation</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4.05</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Consents and Approvals</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4.06(a)</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Financial Statements, Books and Records</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4.06(c)</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Contracted Backlog</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4.06(d)</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Work in Process</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4.07</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Absence of Certain Changes or Events</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4.08(a)</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Tax Matters</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4.08(b)</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Tax Matters</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4.09</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Absence of Undisclosed Liabilities</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4.11</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Leased Real Property</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4.13</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Equipment and Machinery</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4.15(a)</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Products</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4.16(a)</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Intellectual Property</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4.16(b)</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Intellectual Property</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4.16(c)</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Intellectual Property</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4.17(a)</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Employee Benefit Plans</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4.18(a)</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Personnel; Labor Relations</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4.19(b)</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Environmental Compliance</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4.19(c)</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Projects and Locations of Transported Hazardous Materials</w:t>
            </w:r>
          </w:p>
        </w:tc>
      </w:tr>
    </w:tbl>
    <w:p>
      <w:pPr>
        <w:sectPr>
          <w:pgSz w:w="11900" w:h="16838" w:orient="portrait"/>
          <w:cols w:equalWidth="0" w:num="1">
            <w:col w:w="11420"/>
          </w:cols>
          <w:pgMar w:left="240" w:top="274"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4.20</w:t>
            </w:r>
          </w:p>
        </w:tc>
        <w:tc>
          <w:tcPr>
            <w:tcW w:w="2920" w:type="dxa"/>
            <w:vAlign w:val="bottom"/>
          </w:tcPr>
          <w:p>
            <w:pPr>
              <w:ind w:left="360"/>
              <w:spacing w:after="0"/>
              <w:rPr>
                <w:sz w:val="20"/>
                <w:szCs w:val="20"/>
                <w:color w:val="auto"/>
              </w:rPr>
            </w:pPr>
            <w:r>
              <w:rPr>
                <w:rFonts w:ascii="Arial" w:cs="Arial" w:eastAsia="Arial" w:hAnsi="Arial"/>
                <w:sz w:val="18"/>
                <w:szCs w:val="18"/>
                <w:color w:val="auto"/>
              </w:rPr>
              <w:t>Licenses and Permits</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4.21</w:t>
            </w:r>
          </w:p>
        </w:tc>
        <w:tc>
          <w:tcPr>
            <w:tcW w:w="2920" w:type="dxa"/>
            <w:vAlign w:val="bottom"/>
          </w:tcPr>
          <w:p>
            <w:pPr>
              <w:ind w:left="360"/>
              <w:spacing w:after="0"/>
              <w:rPr>
                <w:sz w:val="20"/>
                <w:szCs w:val="20"/>
                <w:color w:val="auto"/>
              </w:rPr>
            </w:pPr>
            <w:r>
              <w:rPr>
                <w:rFonts w:ascii="Arial" w:cs="Arial" w:eastAsia="Arial" w:hAnsi="Arial"/>
                <w:sz w:val="18"/>
                <w:szCs w:val="18"/>
                <w:color w:val="auto"/>
              </w:rPr>
              <w:t>Insurance; Bonds</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4.22</w:t>
            </w:r>
          </w:p>
        </w:tc>
        <w:tc>
          <w:tcPr>
            <w:tcW w:w="2920" w:type="dxa"/>
            <w:vAlign w:val="bottom"/>
          </w:tcPr>
          <w:p>
            <w:pPr>
              <w:ind w:left="360"/>
              <w:spacing w:after="0"/>
              <w:rPr>
                <w:sz w:val="20"/>
                <w:szCs w:val="20"/>
                <w:color w:val="auto"/>
              </w:rPr>
            </w:pPr>
            <w:r>
              <w:rPr>
                <w:rFonts w:ascii="Arial" w:cs="Arial" w:eastAsia="Arial" w:hAnsi="Arial"/>
                <w:sz w:val="18"/>
                <w:szCs w:val="18"/>
                <w:color w:val="auto"/>
              </w:rPr>
              <w:t>Contracts and Commitments</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4.23</w:t>
            </w:r>
          </w:p>
        </w:tc>
        <w:tc>
          <w:tcPr>
            <w:tcW w:w="2920" w:type="dxa"/>
            <w:vAlign w:val="bottom"/>
          </w:tcPr>
          <w:p>
            <w:pPr>
              <w:ind w:left="360"/>
              <w:spacing w:after="0"/>
              <w:rPr>
                <w:sz w:val="20"/>
                <w:szCs w:val="20"/>
                <w:color w:val="auto"/>
              </w:rPr>
            </w:pPr>
            <w:r>
              <w:rPr>
                <w:rFonts w:ascii="Arial" w:cs="Arial" w:eastAsia="Arial" w:hAnsi="Arial"/>
                <w:sz w:val="18"/>
                <w:szCs w:val="18"/>
                <w:color w:val="auto"/>
              </w:rPr>
              <w:t>Customers and Suppliers</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4.24</w:t>
            </w:r>
          </w:p>
        </w:tc>
        <w:tc>
          <w:tcPr>
            <w:tcW w:w="2920" w:type="dxa"/>
            <w:vAlign w:val="bottom"/>
          </w:tcPr>
          <w:p>
            <w:pPr>
              <w:ind w:left="360"/>
              <w:spacing w:after="0"/>
              <w:rPr>
                <w:sz w:val="20"/>
                <w:szCs w:val="20"/>
                <w:color w:val="auto"/>
              </w:rPr>
            </w:pPr>
            <w:r>
              <w:rPr>
                <w:rFonts w:ascii="Arial" w:cs="Arial" w:eastAsia="Arial" w:hAnsi="Arial"/>
                <w:sz w:val="18"/>
                <w:szCs w:val="18"/>
                <w:color w:val="auto"/>
              </w:rPr>
              <w:t>Compliance with Law</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4.25</w:t>
            </w:r>
          </w:p>
        </w:tc>
        <w:tc>
          <w:tcPr>
            <w:tcW w:w="2920" w:type="dxa"/>
            <w:vAlign w:val="bottom"/>
          </w:tcPr>
          <w:p>
            <w:pPr>
              <w:ind w:left="360"/>
              <w:spacing w:after="0"/>
              <w:rPr>
                <w:sz w:val="20"/>
                <w:szCs w:val="20"/>
                <w:color w:val="auto"/>
              </w:rPr>
            </w:pPr>
            <w:r>
              <w:rPr>
                <w:rFonts w:ascii="Arial" w:cs="Arial" w:eastAsia="Arial" w:hAnsi="Arial"/>
                <w:sz w:val="18"/>
                <w:szCs w:val="18"/>
                <w:color w:val="auto"/>
              </w:rPr>
              <w:t>Litigation</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4.28</w:t>
            </w:r>
          </w:p>
        </w:tc>
        <w:tc>
          <w:tcPr>
            <w:tcW w:w="2920" w:type="dxa"/>
            <w:vAlign w:val="bottom"/>
          </w:tcPr>
          <w:p>
            <w:pPr>
              <w:ind w:left="360"/>
              <w:spacing w:after="0"/>
              <w:rPr>
                <w:sz w:val="20"/>
                <w:szCs w:val="20"/>
                <w:color w:val="auto"/>
              </w:rPr>
            </w:pPr>
            <w:r>
              <w:rPr>
                <w:rFonts w:ascii="Arial" w:cs="Arial" w:eastAsia="Arial" w:hAnsi="Arial"/>
                <w:sz w:val="18"/>
                <w:szCs w:val="18"/>
                <w:color w:val="auto"/>
                <w:w w:val="89"/>
              </w:rPr>
              <w:t>Relationships with Related Persons</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4.29</w:t>
            </w:r>
          </w:p>
        </w:tc>
        <w:tc>
          <w:tcPr>
            <w:tcW w:w="2920" w:type="dxa"/>
            <w:vAlign w:val="bottom"/>
          </w:tcPr>
          <w:p>
            <w:pPr>
              <w:ind w:left="360"/>
              <w:spacing w:after="0"/>
              <w:rPr>
                <w:sz w:val="20"/>
                <w:szCs w:val="20"/>
                <w:color w:val="auto"/>
              </w:rPr>
            </w:pPr>
            <w:r>
              <w:rPr>
                <w:rFonts w:ascii="Arial" w:cs="Arial" w:eastAsia="Arial" w:hAnsi="Arial"/>
                <w:sz w:val="18"/>
                <w:szCs w:val="18"/>
                <w:color w:val="auto"/>
              </w:rPr>
              <w:t>Broker’s and Finder’s Fees</w:t>
            </w:r>
          </w:p>
        </w:tc>
      </w:tr>
    </w:tbl>
    <w:p>
      <w:pPr>
        <w:sectPr>
          <w:pgSz w:w="11900" w:h="16838" w:orient="portrait"/>
          <w:cols w:equalWidth="0" w:num="1">
            <w:col w:w="11420"/>
          </w:cols>
          <w:pgMar w:left="240" w:top="274"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7"/>
          <w:szCs w:val="17"/>
          <w:color w:val="auto"/>
        </w:rPr>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820" w:type="dxa"/>
            <w:vAlign w:val="bottom"/>
          </w:tcPr>
          <w:p>
            <w:pPr>
              <w:jc w:val="right"/>
              <w:spacing w:after="0"/>
              <w:rPr>
                <w:sz w:val="20"/>
                <w:szCs w:val="20"/>
                <w:color w:val="auto"/>
              </w:rPr>
            </w:pPr>
            <w:r>
              <w:rPr>
                <w:rFonts w:ascii="Arial" w:cs="Arial" w:eastAsia="Arial" w:hAnsi="Arial"/>
                <w:sz w:val="18"/>
                <w:szCs w:val="18"/>
                <w:b w:val="1"/>
                <w:bCs w:val="1"/>
                <w:color w:val="auto"/>
              </w:rPr>
              <w:t>Exhibit 10.31</w:t>
            </w:r>
          </w:p>
        </w:tc>
      </w:tr>
      <w:tr>
        <w:trPr>
          <w:trHeight w:val="392"/>
        </w:trPr>
        <w:tc>
          <w:tcPr>
            <w:tcW w:w="3900" w:type="dxa"/>
            <w:vAlign w:val="bottom"/>
          </w:tcPr>
          <w:p>
            <w:pPr>
              <w:spacing w:after="0"/>
              <w:rPr>
                <w:sz w:val="24"/>
                <w:szCs w:val="24"/>
                <w:color w:val="auto"/>
              </w:rPr>
            </w:pPr>
          </w:p>
        </w:tc>
        <w:tc>
          <w:tcPr>
            <w:tcW w:w="7520" w:type="dxa"/>
            <w:vAlign w:val="bottom"/>
            <w:gridSpan w:val="3"/>
          </w:tcPr>
          <w:p>
            <w:pPr>
              <w:jc w:val="right"/>
              <w:ind w:right="4730"/>
              <w:spacing w:after="0"/>
              <w:rPr>
                <w:sz w:val="20"/>
                <w:szCs w:val="20"/>
                <w:color w:val="auto"/>
              </w:rPr>
            </w:pPr>
            <w:r>
              <w:rPr>
                <w:rFonts w:ascii="Arial" w:cs="Arial" w:eastAsia="Arial" w:hAnsi="Arial"/>
                <w:sz w:val="18"/>
                <w:szCs w:val="18"/>
                <w:b w:val="1"/>
                <w:bCs w:val="1"/>
                <w:color w:val="auto"/>
              </w:rPr>
              <w:t>PROMISSORY NOTE</w:t>
            </w:r>
          </w:p>
        </w:tc>
      </w:tr>
      <w:tr>
        <w:trPr>
          <w:trHeight w:val="461"/>
        </w:trPr>
        <w:tc>
          <w:tcPr>
            <w:tcW w:w="3900" w:type="dxa"/>
            <w:vAlign w:val="bottom"/>
          </w:tcPr>
          <w:p>
            <w:pPr>
              <w:spacing w:after="0"/>
              <w:rPr>
                <w:sz w:val="20"/>
                <w:szCs w:val="20"/>
                <w:color w:val="auto"/>
              </w:rPr>
            </w:pPr>
            <w:r>
              <w:rPr>
                <w:rFonts w:ascii="Arial" w:cs="Arial" w:eastAsia="Arial" w:hAnsi="Arial"/>
                <w:sz w:val="18"/>
                <w:szCs w:val="18"/>
                <w:b w:val="1"/>
                <w:bCs w:val="1"/>
                <w:color w:val="auto"/>
              </w:rPr>
              <w:t>Principal Amount to be determined</w:t>
            </w:r>
          </w:p>
        </w:tc>
        <w:tc>
          <w:tcPr>
            <w:tcW w:w="92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4820" w:type="dxa"/>
            <w:vAlign w:val="bottom"/>
          </w:tcPr>
          <w:p>
            <w:pPr>
              <w:jc w:val="right"/>
              <w:spacing w:after="0"/>
              <w:rPr>
                <w:sz w:val="20"/>
                <w:szCs w:val="20"/>
                <w:color w:val="auto"/>
              </w:rPr>
            </w:pPr>
            <w:r>
              <w:rPr>
                <w:rFonts w:ascii="Arial" w:cs="Arial" w:eastAsia="Arial" w:hAnsi="Arial"/>
                <w:sz w:val="18"/>
                <w:szCs w:val="18"/>
                <w:b w:val="1"/>
                <w:bCs w:val="1"/>
                <w:color w:val="auto"/>
              </w:rPr>
              <w:t>November 4, 2014</w:t>
            </w: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in accordance with Paragraph 2 below</w:t>
            </w:r>
          </w:p>
        </w:tc>
        <w:tc>
          <w:tcPr>
            <w:tcW w:w="9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820" w:type="dxa"/>
            <w:vAlign w:val="bottom"/>
          </w:tcPr>
          <w:p>
            <w:pPr>
              <w:jc w:val="right"/>
              <w:spacing w:after="0"/>
              <w:rPr>
                <w:sz w:val="20"/>
                <w:szCs w:val="20"/>
                <w:color w:val="auto"/>
              </w:rPr>
            </w:pPr>
            <w:r>
              <w:rPr>
                <w:rFonts w:ascii="Arial" w:cs="Arial" w:eastAsia="Arial" w:hAnsi="Arial"/>
                <w:sz w:val="18"/>
                <w:szCs w:val="18"/>
                <w:b w:val="1"/>
                <w:bCs w:val="1"/>
                <w:color w:val="auto"/>
              </w:rPr>
              <w:t>Chicago, Illinois</w:t>
            </w:r>
          </w:p>
        </w:tc>
      </w:tr>
    </w:tbl>
    <w:p>
      <w:pPr>
        <w:spacing w:after="0" w:line="211"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FOR VALUE RECEIVED</w:t>
      </w:r>
      <w:r>
        <w:rPr>
          <w:rFonts w:ascii="Arial" w:cs="Arial" w:eastAsia="Arial" w:hAnsi="Arial"/>
          <w:sz w:val="18"/>
          <w:szCs w:val="18"/>
          <w:color w:val="auto"/>
        </w:rPr>
        <w:t>,</w:t>
      </w:r>
      <w:r>
        <w:rPr>
          <w:rFonts w:ascii="Arial" w:cs="Arial" w:eastAsia="Arial" w:hAnsi="Arial"/>
          <w:sz w:val="18"/>
          <w:szCs w:val="18"/>
          <w:b w:val="1"/>
          <w:bCs w:val="1"/>
          <w:color w:val="auto"/>
        </w:rPr>
        <w:t xml:space="preserve"> GREAT LAKES DREDGE &amp; DOCK COMPANY, </w:t>
      </w:r>
      <w:r>
        <w:rPr>
          <w:rFonts w:ascii="Arial" w:cs="Arial" w:eastAsia="Arial" w:hAnsi="Arial"/>
          <w:sz w:val="18"/>
          <w:szCs w:val="18"/>
          <w:color w:val="auto"/>
        </w:rPr>
        <w:t>a Delaware corporation (hereafter the “Company”), promises to pay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w:t>
      </w:r>
      <w:r>
        <w:rPr>
          <w:rFonts w:ascii="Arial" w:cs="Arial" w:eastAsia="Arial" w:hAnsi="Arial"/>
          <w:sz w:val="18"/>
          <w:szCs w:val="18"/>
          <w:b w:val="1"/>
          <w:bCs w:val="1"/>
          <w:color w:val="auto"/>
        </w:rPr>
        <w:t>THOSE SHAREHOLDERS LISTED ON EXHIBIT A HERETO</w:t>
      </w:r>
      <w:r>
        <w:rPr>
          <w:rFonts w:ascii="Arial" w:cs="Arial" w:eastAsia="Arial" w:hAnsi="Arial"/>
          <w:sz w:val="18"/>
          <w:szCs w:val="18"/>
          <w:color w:val="auto"/>
        </w:rPr>
        <w:t xml:space="preserve"> (individually, a “Holder” and collectively, the “</w:t>
      </w:r>
      <w:r>
        <w:rPr>
          <w:rFonts w:ascii="Arial" w:cs="Arial" w:eastAsia="Arial" w:hAnsi="Arial"/>
          <w:sz w:val="18"/>
          <w:szCs w:val="18"/>
          <w:u w:val="single" w:color="auto"/>
          <w:color w:val="auto"/>
        </w:rPr>
        <w:t>Holders</w:t>
      </w:r>
      <w:r>
        <w:rPr>
          <w:rFonts w:ascii="Arial" w:cs="Arial" w:eastAsia="Arial" w:hAnsi="Arial"/>
          <w:sz w:val="18"/>
          <w:szCs w:val="18"/>
          <w:color w:val="auto"/>
        </w:rPr>
        <w:t>”), a principal amount to be determined pursuant to the terms set forth in Paragraph 2 below, together with interest, as provided herein, all without relief from valuation or appraisement laws. Interest shall accrue beginning on January 1, 2015, on the unpaid principal amount at a rate equal to five percent (5%) per annum simple interest. This Promissory Note (the “</w:t>
      </w:r>
      <w:r>
        <w:rPr>
          <w:rFonts w:ascii="Arial" w:cs="Arial" w:eastAsia="Arial" w:hAnsi="Arial"/>
          <w:sz w:val="18"/>
          <w:szCs w:val="18"/>
          <w:u w:val="single" w:color="auto"/>
          <w:color w:val="auto"/>
        </w:rPr>
        <w:t>Note</w:t>
      </w:r>
      <w:r>
        <w:rPr>
          <w:rFonts w:ascii="Arial" w:cs="Arial" w:eastAsia="Arial" w:hAnsi="Arial"/>
          <w:sz w:val="18"/>
          <w:szCs w:val="18"/>
          <w:color w:val="auto"/>
        </w:rPr>
        <w:t>”) is subject to the following terms and conditions.</w:t>
      </w:r>
    </w:p>
    <w:p>
      <w:pPr>
        <w:spacing w:after="0" w:line="184" w:lineRule="exact"/>
        <w:rPr>
          <w:sz w:val="20"/>
          <w:szCs w:val="20"/>
          <w:color w:val="auto"/>
        </w:rPr>
      </w:pPr>
    </w:p>
    <w:p>
      <w:pPr>
        <w:ind w:right="20" w:firstLine="464"/>
        <w:spacing w:after="0" w:line="261" w:lineRule="auto"/>
        <w:tabs>
          <w:tab w:leader="none" w:pos="636"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Maturity</w:t>
      </w:r>
      <w:r>
        <w:rPr>
          <w:rFonts w:ascii="Arial" w:cs="Arial" w:eastAsia="Arial" w:hAnsi="Arial"/>
          <w:sz w:val="18"/>
          <w:szCs w:val="18"/>
          <w:color w:val="auto"/>
        </w:rPr>
        <w:t>. Subject to acceleration or earlier payment as provided elsewhere in this Note, the outstanding principal amount of this Note and all unpaid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accrued hereon shall be due and payable in two equal installments, the first payment to be paid on January 1, 2017 and the second and final payment to be paid on January 1, 2018. Each installment payment shall include all unpaid and accrued interest through the end of the year immediately preceding each payment date.</w:t>
      </w:r>
    </w:p>
    <w:p>
      <w:pPr>
        <w:spacing w:after="0" w:line="180" w:lineRule="exact"/>
        <w:rPr>
          <w:rFonts w:ascii="Arial" w:cs="Arial" w:eastAsia="Arial" w:hAnsi="Arial"/>
          <w:sz w:val="18"/>
          <w:szCs w:val="18"/>
          <w:color w:val="auto"/>
        </w:rPr>
      </w:pPr>
    </w:p>
    <w:p>
      <w:pPr>
        <w:ind w:right="300" w:firstLine="464"/>
        <w:spacing w:after="0" w:line="282" w:lineRule="auto"/>
        <w:tabs>
          <w:tab w:leader="none" w:pos="636"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Initial Principal</w:t>
      </w:r>
      <w:r>
        <w:rPr>
          <w:rFonts w:ascii="Arial" w:cs="Arial" w:eastAsia="Arial" w:hAnsi="Arial"/>
          <w:sz w:val="18"/>
          <w:szCs w:val="18"/>
          <w:color w:val="auto"/>
        </w:rPr>
        <w:t>. The initial principal amount of this Note shall be a sum equal to the 2014 EBITDA of Magnus Pacific Corporation (“</w:t>
      </w:r>
      <w:r>
        <w:rPr>
          <w:rFonts w:ascii="Arial" w:cs="Arial" w:eastAsia="Arial" w:hAnsi="Arial"/>
          <w:sz w:val="18"/>
          <w:szCs w:val="18"/>
          <w:u w:val="single" w:color="auto"/>
          <w:color w:val="auto"/>
        </w:rPr>
        <w:t>Magnus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reduced by TWELVE MILLION AND NO/100 dollars ($12,000,000) and multiplied by two.</w:t>
      </w:r>
    </w:p>
    <w:p>
      <w:pPr>
        <w:spacing w:after="0" w:line="161" w:lineRule="exact"/>
        <w:rPr>
          <w:rFonts w:ascii="Arial" w:cs="Arial" w:eastAsia="Arial" w:hAnsi="Arial"/>
          <w:sz w:val="18"/>
          <w:szCs w:val="18"/>
          <w:color w:val="auto"/>
        </w:rPr>
      </w:pPr>
    </w:p>
    <w:p>
      <w:pPr>
        <w:ind w:right="80" w:firstLine="464"/>
        <w:spacing w:after="0" w:line="281" w:lineRule="auto"/>
        <w:tabs>
          <w:tab w:leader="none" w:pos="636" w:val="left"/>
        </w:tabs>
        <w:numPr>
          <w:ilvl w:val="0"/>
          <w:numId w:val="90"/>
        </w:numPr>
        <w:rPr>
          <w:rFonts w:ascii="Arial" w:cs="Arial" w:eastAsia="Arial" w:hAnsi="Arial"/>
          <w:sz w:val="17"/>
          <w:szCs w:val="17"/>
          <w:color w:val="auto"/>
        </w:rPr>
      </w:pPr>
      <w:r>
        <w:rPr>
          <w:rFonts w:ascii="Arial" w:cs="Arial" w:eastAsia="Arial" w:hAnsi="Arial"/>
          <w:sz w:val="17"/>
          <w:szCs w:val="17"/>
          <w:b w:val="1"/>
          <w:bCs w:val="1"/>
          <w:u w:val="single" w:color="auto"/>
          <w:color w:val="auto"/>
        </w:rPr>
        <w:t>Adjustment</w:t>
      </w:r>
      <w:r>
        <w:rPr>
          <w:rFonts w:ascii="Arial" w:cs="Arial" w:eastAsia="Arial" w:hAnsi="Arial"/>
          <w:sz w:val="17"/>
          <w:szCs w:val="17"/>
          <w:color w:val="auto"/>
        </w:rPr>
        <w:t>. In the event Magnus’ actual 2015 EBITDA reaches a minimum of $14,720,000.00 (the “</w:t>
      </w:r>
      <w:r>
        <w:rPr>
          <w:rFonts w:ascii="Arial" w:cs="Arial" w:eastAsia="Arial" w:hAnsi="Arial"/>
          <w:sz w:val="17"/>
          <w:szCs w:val="17"/>
          <w:u w:val="single" w:color="auto"/>
          <w:color w:val="auto"/>
        </w:rPr>
        <w:t>Minimum 2015 EBITDA</w:t>
      </w:r>
      <w:r>
        <w:rPr>
          <w:rFonts w:ascii="Arial" w:cs="Arial" w:eastAsia="Arial" w:hAnsi="Arial"/>
          <w:sz w:val="17"/>
          <w:szCs w:val="17"/>
          <w:color w:val="auto"/>
        </w:rPr>
        <w:t>”), [*] (the “</w:t>
      </w:r>
      <w:r>
        <w:rPr>
          <w:rFonts w:ascii="Arial" w:cs="Arial" w:eastAsia="Arial" w:hAnsi="Arial"/>
          <w:sz w:val="17"/>
          <w:szCs w:val="17"/>
          <w:u w:val="single" w:color="auto"/>
          <w:color w:val="auto"/>
        </w:rPr>
        <w:t>Magnus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2015 Forecasted EBITDA</w:t>
      </w:r>
      <w:r>
        <w:rPr>
          <w:rFonts w:ascii="Arial" w:cs="Arial" w:eastAsia="Arial" w:hAnsi="Arial"/>
          <w:sz w:val="17"/>
          <w:szCs w:val="17"/>
          <w:color w:val="auto"/>
        </w:rPr>
        <w:t>”), the principal value of the Note will not be subject to adjustment. In the event Magnus’ actual 2015 EBITDA is below the Minimum 2015 EBITDA, the principal amount of this Note shall be reduced by the sum the following amounts: (i) $750,000.00 and (ii) an amount equal to number of dollars by which the actual 2015 EBITDA was below the Minimum 2015 EBITDA, calculated on a dollar for dollar basis.</w:t>
      </w:r>
    </w:p>
    <w:p>
      <w:pPr>
        <w:spacing w:after="0" w:line="164" w:lineRule="exact"/>
        <w:rPr>
          <w:rFonts w:ascii="Arial" w:cs="Arial" w:eastAsia="Arial" w:hAnsi="Arial"/>
          <w:sz w:val="17"/>
          <w:szCs w:val="17"/>
          <w:color w:val="auto"/>
        </w:rPr>
      </w:pPr>
    </w:p>
    <w:p>
      <w:pPr>
        <w:ind w:right="140" w:firstLine="464"/>
        <w:spacing w:after="0" w:line="261" w:lineRule="auto"/>
        <w:tabs>
          <w:tab w:leader="none" w:pos="636"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Agreement</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Note is being executed in connection with that certain Share Purchase Agreement, dated as of the date hereof, by and</w:t>
      </w:r>
      <w:r>
        <w:rPr>
          <w:rFonts w:ascii="Arial" w:cs="Arial" w:eastAsia="Arial" w:hAnsi="Arial"/>
          <w:sz w:val="18"/>
          <w:szCs w:val="18"/>
          <w:b w:val="1"/>
          <w:bCs w:val="1"/>
          <w:color w:val="auto"/>
        </w:rPr>
        <w:t xml:space="preserve"> </w:t>
      </w:r>
      <w:r>
        <w:rPr>
          <w:rFonts w:ascii="Arial" w:cs="Arial" w:eastAsia="Arial" w:hAnsi="Arial"/>
          <w:sz w:val="18"/>
          <w:szCs w:val="18"/>
          <w:color w:val="auto"/>
        </w:rPr>
        <w:t>among Great Lakes Environmental and Infrastructure Solutions, LLC (“</w:t>
      </w:r>
      <w:r>
        <w:rPr>
          <w:rFonts w:ascii="Arial" w:cs="Arial" w:eastAsia="Arial" w:hAnsi="Arial"/>
          <w:sz w:val="18"/>
          <w:szCs w:val="18"/>
          <w:u w:val="single" w:color="auto"/>
          <w:color w:val="auto"/>
        </w:rPr>
        <w:t>GLEAIS</w:t>
      </w:r>
      <w:r>
        <w:rPr>
          <w:rFonts w:ascii="Arial" w:cs="Arial" w:eastAsia="Arial" w:hAnsi="Arial"/>
          <w:sz w:val="18"/>
          <w:szCs w:val="18"/>
          <w:color w:val="auto"/>
        </w:rPr>
        <w:t>”), the Company, for purposes of Section 1.04 and 6.02(c) thereof, Magnus, and the Holders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For purposes of this Note, all capitalized terms not herein defined shall have the meanings ascribed to them in the Purchase Agreement.</w:t>
      </w:r>
    </w:p>
    <w:p>
      <w:pPr>
        <w:sectPr>
          <w:pgSz w:w="11900" w:h="16838" w:orient="portrait"/>
          <w:cols w:equalWidth="0" w:num="1">
            <w:col w:w="11420"/>
          </w:cols>
          <w:pgMar w:left="240" w:top="125"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ind w:left="640" w:hanging="176"/>
        <w:spacing w:after="0"/>
        <w:tabs>
          <w:tab w:leader="none" w:pos="640" w:val="left"/>
        </w:tabs>
        <w:numPr>
          <w:ilvl w:val="0"/>
          <w:numId w:val="91"/>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 of EBITDA</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purposes of this Note, the term EBITDA shall be defined in accordance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1</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w:t>
      </w:r>
    </w:p>
    <w:p>
      <w:pPr>
        <w:spacing w:after="0" w:line="236" w:lineRule="exact"/>
        <w:rPr>
          <w:rFonts w:ascii="Arial" w:cs="Arial" w:eastAsia="Arial" w:hAnsi="Arial"/>
          <w:sz w:val="17"/>
          <w:szCs w:val="17"/>
          <w:color w:val="auto"/>
        </w:rPr>
      </w:pPr>
    </w:p>
    <w:p>
      <w:pPr>
        <w:ind w:right="220" w:firstLine="464"/>
        <w:spacing w:after="0" w:line="277" w:lineRule="auto"/>
        <w:tabs>
          <w:tab w:leader="none" w:pos="636" w:val="left"/>
        </w:tabs>
        <w:numPr>
          <w:ilvl w:val="0"/>
          <w:numId w:val="91"/>
        </w:numPr>
        <w:rPr>
          <w:rFonts w:ascii="Arial" w:cs="Arial" w:eastAsia="Arial" w:hAnsi="Arial"/>
          <w:sz w:val="17"/>
          <w:szCs w:val="17"/>
          <w:color w:val="auto"/>
        </w:rPr>
      </w:pPr>
      <w:r>
        <w:rPr>
          <w:rFonts w:ascii="Arial" w:cs="Arial" w:eastAsia="Arial" w:hAnsi="Arial"/>
          <w:sz w:val="17"/>
          <w:szCs w:val="17"/>
          <w:b w:val="1"/>
          <w:bCs w:val="1"/>
          <w:u w:val="single" w:color="auto"/>
          <w:color w:val="auto"/>
        </w:rPr>
        <w:t>Payments; Prepayment</w:t>
      </w:r>
      <w:r>
        <w:rPr>
          <w:rFonts w:ascii="Arial" w:cs="Arial" w:eastAsia="Arial" w:hAnsi="Arial"/>
          <w:sz w:val="17"/>
          <w:szCs w:val="17"/>
          <w:b w:val="1"/>
          <w:bCs w:val="1"/>
          <w:color w:val="auto"/>
        </w:rPr>
        <w:t xml:space="preserve">. </w:t>
      </w:r>
      <w:r>
        <w:rPr>
          <w:rFonts w:ascii="Arial" w:cs="Arial" w:eastAsia="Arial" w:hAnsi="Arial"/>
          <w:sz w:val="17"/>
          <w:szCs w:val="17"/>
          <w:color w:val="auto"/>
        </w:rPr>
        <w:t>All payments shall be made in an amount in accordance with each Holder’s proportionate share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attached hereto. All payments shall be made in lawful money of the United States of America at such place as the Holder hereof may from time to time designate in writing to the Company. Payment shall be credited first to the accrued interest then due and payable and the remainder applied to principal. Prepayment of this Note may be made at any time without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prepayment, the Company shall prepay the entire outstanding principal amount of this Note, together with all accrued and unpaid interest thereon.</w:t>
      </w:r>
    </w:p>
    <w:p>
      <w:pPr>
        <w:spacing w:after="0" w:line="168" w:lineRule="exact"/>
        <w:rPr>
          <w:rFonts w:ascii="Arial" w:cs="Arial" w:eastAsia="Arial" w:hAnsi="Arial"/>
          <w:sz w:val="17"/>
          <w:szCs w:val="17"/>
          <w:color w:val="auto"/>
        </w:rPr>
      </w:pPr>
    </w:p>
    <w:p>
      <w:pPr>
        <w:ind w:right="140" w:firstLine="464"/>
        <w:spacing w:after="0" w:line="261" w:lineRule="auto"/>
        <w:tabs>
          <w:tab w:leader="none" w:pos="636"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Default</w:t>
      </w:r>
      <w:r>
        <w:rPr>
          <w:rFonts w:ascii="Arial" w:cs="Arial" w:eastAsia="Arial" w:hAnsi="Arial"/>
          <w:sz w:val="18"/>
          <w:szCs w:val="18"/>
          <w:color w:val="auto"/>
        </w:rPr>
        <w:t>. The Company shall be in default under this Note upon the occurrence of (any of the following being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(a) failure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any principal or interest payment required under this Note within thirty (30) business days of the due date of such payment and the failure to cure such non-payment within five (5) calendar days thereafter; (b) the sale or transfer by Company of the shares of Magnus, or the sale or transfer by Magnus of its assets, other than to an entity 100% owned, directly or indirectly, by Company.</w:t>
      </w:r>
    </w:p>
    <w:p>
      <w:pPr>
        <w:spacing w:after="0" w:line="180" w:lineRule="exact"/>
        <w:rPr>
          <w:rFonts w:ascii="Arial" w:cs="Arial" w:eastAsia="Arial" w:hAnsi="Arial"/>
          <w:sz w:val="18"/>
          <w:szCs w:val="18"/>
          <w:color w:val="auto"/>
        </w:rPr>
      </w:pPr>
    </w:p>
    <w:p>
      <w:pPr>
        <w:ind w:right="40" w:firstLine="464"/>
        <w:spacing w:after="0" w:line="256" w:lineRule="auto"/>
        <w:tabs>
          <w:tab w:leader="none" w:pos="636"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Remedies upon Event of Default</w:t>
      </w:r>
      <w:r>
        <w:rPr>
          <w:rFonts w:ascii="Arial" w:cs="Arial" w:eastAsia="Arial" w:hAnsi="Arial"/>
          <w:sz w:val="18"/>
          <w:szCs w:val="18"/>
          <w:color w:val="auto"/>
        </w:rPr>
        <w:t>. Upon the occurrence of an Event of Default specified in this Note, then (a) the Holder may declare the Note to be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due and payable without presentment, demand, protest or notice of any kind, all of which the Company expressly waives; and (b) the Holder shall have all rights and remedies, at law and in equity, conferred by statute or otherwise, and no remedy herein conferred upon the Holder is intended to be exclusive of any other remedy. Each remedy shall be cumulative and shall be in addition to every other remedy hereunder or now or hereafter existing at law, in equity, by statute or otherwise. Failure by a Holder to exercise this option shall not constitute a waiver of the right to exercise it in the event of any subsequent default.</w:t>
      </w:r>
    </w:p>
    <w:p>
      <w:pPr>
        <w:spacing w:after="0" w:line="187" w:lineRule="exact"/>
        <w:rPr>
          <w:rFonts w:ascii="Arial" w:cs="Arial" w:eastAsia="Arial" w:hAnsi="Arial"/>
          <w:sz w:val="18"/>
          <w:szCs w:val="18"/>
          <w:color w:val="auto"/>
        </w:rPr>
      </w:pPr>
    </w:p>
    <w:p>
      <w:pPr>
        <w:ind w:right="120" w:firstLine="464"/>
        <w:spacing w:after="0" w:line="261" w:lineRule="auto"/>
        <w:tabs>
          <w:tab w:leader="none" w:pos="636"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Set-Off Rights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set-off rights set forth in Paragraph 2 above, pursuant to Section 6.06 of the Purchase Agreement, so long as there</w:t>
      </w:r>
      <w:r>
        <w:rPr>
          <w:rFonts w:ascii="Arial" w:cs="Arial" w:eastAsia="Arial" w:hAnsi="Arial"/>
          <w:sz w:val="18"/>
          <w:szCs w:val="18"/>
          <w:b w:val="1"/>
          <w:bCs w:val="1"/>
          <w:color w:val="auto"/>
        </w:rPr>
        <w:t xml:space="preserve"> </w:t>
      </w:r>
      <w:r>
        <w:rPr>
          <w:rFonts w:ascii="Arial" w:cs="Arial" w:eastAsia="Arial" w:hAnsi="Arial"/>
          <w:sz w:val="18"/>
          <w:szCs w:val="18"/>
          <w:color w:val="auto"/>
        </w:rPr>
        <w:t>is money due and payable to the Holders under the terms of this Note, the Company, shall notify the Holders that the Company is reducing the amount of principal or accrued interest owed to the Holders under this Note, for any amounts to which GLEAIS may become entitled by the reason of the provisions contained in Article VI of the Purchase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ind w:right="420" w:firstLine="464"/>
        <w:spacing w:after="0" w:line="313" w:lineRule="auto"/>
        <w:tabs>
          <w:tab w:leader="none" w:pos="726" w:val="left"/>
        </w:tabs>
        <w:numPr>
          <w:ilvl w:val="0"/>
          <w:numId w:val="92"/>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Rights of Seller Representative</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acknowledges that Holders have delegated certain rights and powers to Louay Owaidat and Bruce</w:t>
      </w:r>
      <w:r>
        <w:rPr>
          <w:rFonts w:ascii="Arial" w:cs="Arial" w:eastAsia="Arial" w:hAnsi="Arial"/>
          <w:sz w:val="17"/>
          <w:szCs w:val="17"/>
          <w:b w:val="1"/>
          <w:bCs w:val="1"/>
          <w:color w:val="auto"/>
        </w:rPr>
        <w:t xml:space="preserve"> </w:t>
      </w:r>
      <w:r>
        <w:rPr>
          <w:rFonts w:ascii="Arial" w:cs="Arial" w:eastAsia="Arial" w:hAnsi="Arial"/>
          <w:sz w:val="17"/>
          <w:szCs w:val="17"/>
          <w:color w:val="auto"/>
        </w:rPr>
        <w:t>Diettert (each a “Seller Representative”) as set forth in the Purchase Agreement, the relevant portion of which reads as follows:</w:t>
      </w:r>
    </w:p>
    <w:p>
      <w:pPr>
        <w:spacing w:after="0" w:line="34" w:lineRule="exact"/>
        <w:rPr>
          <w:rFonts w:ascii="Arial" w:cs="Arial" w:eastAsia="Arial" w:hAnsi="Arial"/>
          <w:sz w:val="17"/>
          <w:szCs w:val="17"/>
          <w:color w:val="auto"/>
        </w:rPr>
      </w:pPr>
    </w:p>
    <w:p>
      <w:pPr>
        <w:ind w:right="20" w:firstLine="921"/>
        <w:spacing w:after="0" w:line="273" w:lineRule="auto"/>
        <w:tabs>
          <w:tab w:leader="none" w:pos="1158" w:val="left"/>
        </w:tabs>
        <w:numPr>
          <w:ilvl w:val="1"/>
          <w:numId w:val="92"/>
        </w:numPr>
        <w:rPr>
          <w:rFonts w:ascii="Arial" w:cs="Arial" w:eastAsia="Arial" w:hAnsi="Arial"/>
          <w:sz w:val="17"/>
          <w:szCs w:val="17"/>
          <w:color w:val="auto"/>
        </w:rPr>
      </w:pPr>
      <w:r>
        <w:rPr>
          <w:rFonts w:ascii="Arial" w:cs="Arial" w:eastAsia="Arial" w:hAnsi="Arial"/>
          <w:sz w:val="17"/>
          <w:szCs w:val="17"/>
          <w:color w:val="auto"/>
        </w:rPr>
        <w:t>Each Seller hereby appoints Louay Owaidat or Bruce Diettert as his, her or its representative to receive and provide notices under this Agreement, whether from the Purchaser or otherwise, and including any notice relating to indemnification or payments or disputes arising hereunder. The Seller Representative shall have the authority, both prior to and after the Closing Date, to, subject to the terms of this Agreement, make all decisions regarding any and all matters related to this Agreement, including, but not limited to, resolution of claims for Indemnity Losses, receipt of any funds due Sellers and, subject to the terms of this Agreement, decisions related to the Lower Presidio/St. Helens Projects, claims and/or litigation or arbitration including, but not limited to, pursuing, settling or compromising all such clams, litigation or arbitration.</w:t>
      </w:r>
    </w:p>
    <w:p>
      <w:pPr>
        <w:spacing w:after="0" w:line="70" w:lineRule="exact"/>
        <w:rPr>
          <w:rFonts w:ascii="Arial" w:cs="Arial" w:eastAsia="Arial" w:hAnsi="Arial"/>
          <w:sz w:val="17"/>
          <w:szCs w:val="17"/>
          <w:color w:val="auto"/>
        </w:rPr>
      </w:pPr>
    </w:p>
    <w:p>
      <w:pPr>
        <w:ind w:right="20" w:firstLine="921"/>
        <w:spacing w:after="0" w:line="264" w:lineRule="auto"/>
        <w:tabs>
          <w:tab w:leader="none" w:pos="1168"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Seller Representative may be changed by a majority vote of the Sellers from time to time. In determining the outcome of the vote, Sellers shall have the number of votes corresponding to their percentage ownership of the Company immediately prior to the closing of this transaction. The change shall be effective upon written notice to Purchaser signed by at least a majority of the Sellers.</w:t>
      </w:r>
    </w:p>
    <w:p>
      <w:pPr>
        <w:spacing w:after="0" w:line="73" w:lineRule="exact"/>
        <w:rPr>
          <w:rFonts w:ascii="Arial" w:cs="Arial" w:eastAsia="Arial" w:hAnsi="Arial"/>
          <w:sz w:val="18"/>
          <w:szCs w:val="18"/>
          <w:color w:val="auto"/>
        </w:rPr>
      </w:pPr>
    </w:p>
    <w:p>
      <w:pPr>
        <w:ind w:right="160" w:firstLine="921"/>
        <w:spacing w:after="0" w:line="273" w:lineRule="auto"/>
        <w:tabs>
          <w:tab w:leader="none" w:pos="1158" w:val="left"/>
        </w:tabs>
        <w:numPr>
          <w:ilvl w:val="1"/>
          <w:numId w:val="92"/>
        </w:numPr>
        <w:rPr>
          <w:rFonts w:ascii="Arial" w:cs="Arial" w:eastAsia="Arial" w:hAnsi="Arial"/>
          <w:sz w:val="17"/>
          <w:szCs w:val="17"/>
          <w:color w:val="auto"/>
        </w:rPr>
      </w:pPr>
      <w:r>
        <w:rPr>
          <w:rFonts w:ascii="Arial" w:cs="Arial" w:eastAsia="Arial" w:hAnsi="Arial"/>
          <w:sz w:val="17"/>
          <w:szCs w:val="17"/>
          <w:color w:val="auto"/>
        </w:rPr>
        <w:t xml:space="preserve">The Seller Representative has the unrestricted right, power, authority and capacity to act for and bind each Seller with respect to all matters relating to this Agreement, the Note and any Related Agreement, and any decision, act, consent or instruction of the Seller Representative, including but not limited to an amendment, extension or waiver of this Agreement, the Note or any Related Agreement, shall constitute a decision of the Sellers and shall be final, binding and conclusive upon the Sellers. The Purchaser may rely upon any such decision, act, consent or instruction of the Seller Representative as being the decision, act, consent or instruction of the Sellers. Purchaser shall be obligated to communicate and negotiate with the Seller Representative with respect to all matters reserved to the Seller Representative pursuant to this </w:t>
      </w:r>
      <w:r>
        <w:rPr>
          <w:rFonts w:ascii="Arial" w:cs="Arial" w:eastAsia="Arial" w:hAnsi="Arial"/>
          <w:sz w:val="17"/>
          <w:szCs w:val="17"/>
          <w:u w:val="single" w:color="auto"/>
          <w:color w:val="auto"/>
        </w:rPr>
        <w:t>Section 10.16</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right="120" w:firstLine="921"/>
        <w:spacing w:after="0" w:line="297" w:lineRule="auto"/>
        <w:tabs>
          <w:tab w:leader="none" w:pos="1168"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Seller Representative shall not have any liability for any action taken or suffered by him or omitted hereunder as Seller Representative while acting in good faith in the absence of gross negligence. The Seller Representative may, in all questions arising hereunder, rely on the advice of counsel and the Seller Representative shall not be liable to the Sellers for anything done, omitted or suffered in good faith in the absence of gross negligence by the Seller Representative based on such advice. The Seller Representative undertakes to perform such duties and only such duties as are specifically set forth in this Agreement and no implied covenants or obligations shall be read into this Agreement against the Seller Representative.</w:t>
      </w:r>
    </w:p>
    <w:p>
      <w:pPr>
        <w:spacing w:after="0" w:line="158" w:lineRule="exact"/>
        <w:rPr>
          <w:sz w:val="20"/>
          <w:szCs w:val="20"/>
          <w:color w:val="auto"/>
        </w:rPr>
      </w:pPr>
    </w:p>
    <w:p>
      <w:pPr>
        <w:jc w:val="center"/>
        <w:ind w:right="100"/>
        <w:spacing w:after="0" w:line="449" w:lineRule="auto"/>
        <w:rPr>
          <w:sz w:val="20"/>
          <w:szCs w:val="20"/>
          <w:color w:val="auto"/>
        </w:rPr>
      </w:pPr>
      <w:r>
        <w:rPr>
          <w:rFonts w:ascii="Arial" w:cs="Arial" w:eastAsia="Arial" w:hAnsi="Arial"/>
          <w:sz w:val="18"/>
          <w:szCs w:val="18"/>
          <w:color w:val="auto"/>
        </w:rPr>
        <w:t>Company consents to such delegation and recognizes the authority of Seller Representative to act on behalf of Holders with respect to this Note. 3</w:t>
      </w:r>
    </w:p>
    <w:p>
      <w:pPr>
        <w:sectPr>
          <w:pgSz w:w="11900" w:h="16838" w:orient="portrait"/>
          <w:cols w:equalWidth="0" w:num="1">
            <w:col w:w="11420"/>
          </w:cols>
          <w:pgMar w:left="240" w:top="274"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ind w:right="500" w:firstLine="464"/>
        <w:spacing w:after="0" w:line="282" w:lineRule="auto"/>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Presentment</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hereby waives presentment, demand, notice, protest and all other demands and notices of any kind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delivery, acceptance, performance, default or enforcement of this Note.</w:t>
      </w:r>
    </w:p>
    <w:p>
      <w:pPr>
        <w:spacing w:after="0" w:line="161" w:lineRule="exact"/>
        <w:rPr>
          <w:rFonts w:ascii="Arial" w:cs="Arial" w:eastAsia="Arial" w:hAnsi="Arial"/>
          <w:sz w:val="18"/>
          <w:szCs w:val="18"/>
          <w:color w:val="auto"/>
        </w:rPr>
      </w:pPr>
    </w:p>
    <w:p>
      <w:pPr>
        <w:ind w:right="160" w:firstLine="464"/>
        <w:spacing w:after="0" w:line="261" w:lineRule="auto"/>
        <w:tabs>
          <w:tab w:leader="none" w:pos="726"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of this Note shall inure to the benefit of and be binding upon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 of the parties. Notwithstanding the foregoing, (a) the Holder may not assign, pledge, or otherwise transfer this Note without the prior written consent of the Company, except for transfers to affiliates and (b) the Company may not assign or transfer its obligations or liabilities hereunder, by operation of law or otherwise, without the prior written consent of the Holder.</w:t>
      </w:r>
    </w:p>
    <w:p>
      <w:pPr>
        <w:spacing w:after="0" w:line="180" w:lineRule="exact"/>
        <w:rPr>
          <w:rFonts w:ascii="Arial" w:cs="Arial" w:eastAsia="Arial" w:hAnsi="Arial"/>
          <w:sz w:val="18"/>
          <w:szCs w:val="18"/>
          <w:color w:val="auto"/>
        </w:rPr>
      </w:pPr>
    </w:p>
    <w:p>
      <w:pPr>
        <w:ind w:right="440" w:firstLine="464"/>
        <w:spacing w:after="0" w:line="313" w:lineRule="auto"/>
        <w:tabs>
          <w:tab w:leader="none" w:pos="726" w:val="left"/>
        </w:tabs>
        <w:numPr>
          <w:ilvl w:val="0"/>
          <w:numId w:val="93"/>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Note and all acts and transactions pursuant hereto and the rights and obligations of the parties hereto shall be governed,</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and interpreted in accordance with the laws of the State of Illinois, without giving effect to principles of conflicts of law.</w:t>
      </w:r>
    </w:p>
    <w:p>
      <w:pPr>
        <w:spacing w:after="0" w:line="138" w:lineRule="exact"/>
        <w:rPr>
          <w:rFonts w:ascii="Arial" w:cs="Arial" w:eastAsia="Arial" w:hAnsi="Arial"/>
          <w:sz w:val="17"/>
          <w:szCs w:val="17"/>
          <w:color w:val="auto"/>
        </w:rPr>
      </w:pPr>
    </w:p>
    <w:p>
      <w:pPr>
        <w:ind w:right="40" w:firstLine="464"/>
        <w:spacing w:after="0" w:line="277" w:lineRule="auto"/>
        <w:tabs>
          <w:tab w:leader="none" w:pos="726" w:val="left"/>
        </w:tabs>
        <w:numPr>
          <w:ilvl w:val="0"/>
          <w:numId w:val="93"/>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required or permitted by this Note shall be in writing and shall be deemed sufficient upon delivery, (a) when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personally or by a nationally-recognized delivery service (such as Federal Express or UPS), (b) if sent by electronic mail, upon confirmation of delivery when directed to the electronic mail address provided by the Company or the Holder for such purpose, or (c) forty-eight (48) hours after being deposited in the U.S. mail, as certified or registered mail, with postage prepaid, addressed to the party to be notified at such party’s address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or as provided by written notice to the other party for such purpose from time to time.</w:t>
      </w:r>
    </w:p>
    <w:p>
      <w:pPr>
        <w:spacing w:after="0" w:line="168" w:lineRule="exact"/>
        <w:rPr>
          <w:rFonts w:ascii="Arial" w:cs="Arial" w:eastAsia="Arial" w:hAnsi="Arial"/>
          <w:sz w:val="17"/>
          <w:szCs w:val="17"/>
          <w:color w:val="auto"/>
        </w:rPr>
      </w:pPr>
    </w:p>
    <w:p>
      <w:pPr>
        <w:ind w:right="60" w:firstLine="464"/>
        <w:spacing w:after="0" w:line="266" w:lineRule="auto"/>
        <w:tabs>
          <w:tab w:leader="none" w:pos="726"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and Waivers</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this Note may be amended, modified or waived only with the written consent of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Holder. Any amendment or waiver effected in accordance with this paragraph 10 shall be binding upon the Company, the Holder and each permitted assignee or transferee of the Note.</w:t>
      </w:r>
    </w:p>
    <w:p>
      <w:pPr>
        <w:spacing w:after="0" w:line="176" w:lineRule="exact"/>
        <w:rPr>
          <w:rFonts w:ascii="Arial" w:cs="Arial" w:eastAsia="Arial" w:hAnsi="Arial"/>
          <w:sz w:val="18"/>
          <w:szCs w:val="18"/>
          <w:color w:val="auto"/>
        </w:rPr>
      </w:pPr>
    </w:p>
    <w:p>
      <w:pPr>
        <w:ind w:right="120" w:firstLine="464"/>
        <w:spacing w:after="0" w:line="281" w:lineRule="auto"/>
        <w:tabs>
          <w:tab w:leader="none" w:pos="726" w:val="left"/>
        </w:tabs>
        <w:numPr>
          <w:ilvl w:val="0"/>
          <w:numId w:val="93"/>
        </w:numPr>
        <w:rPr>
          <w:rFonts w:ascii="Arial" w:cs="Arial" w:eastAsia="Arial" w:hAnsi="Arial"/>
          <w:sz w:val="17"/>
          <w:szCs w:val="17"/>
          <w:color w:val="auto"/>
        </w:rPr>
      </w:pPr>
      <w:r>
        <w:rPr>
          <w:rFonts w:ascii="Arial" w:cs="Arial" w:eastAsia="Arial" w:hAnsi="Arial"/>
          <w:sz w:val="17"/>
          <w:szCs w:val="17"/>
          <w:b w:val="1"/>
          <w:bCs w:val="1"/>
          <w:u w:val="single" w:color="auto"/>
          <w:color w:val="auto"/>
        </w:rPr>
        <w:t>Costs and Attorneys’ Fees</w:t>
      </w:r>
      <w:r>
        <w:rPr>
          <w:rFonts w:ascii="Arial" w:cs="Arial" w:eastAsia="Arial" w:hAnsi="Arial"/>
          <w:sz w:val="17"/>
          <w:szCs w:val="17"/>
          <w:color w:val="auto"/>
        </w:rPr>
        <w:t>. In the event of a breach or default by the Company under this Note, the Company agrees that it shall pay the Holder’s</w:t>
      </w:r>
      <w:r>
        <w:rPr>
          <w:rFonts w:ascii="Arial" w:cs="Arial" w:eastAsia="Arial" w:hAnsi="Arial"/>
          <w:sz w:val="17"/>
          <w:szCs w:val="17"/>
          <w:b w:val="1"/>
          <w:bCs w:val="1"/>
          <w:color w:val="auto"/>
        </w:rPr>
        <w:t xml:space="preserve"> </w:t>
      </w:r>
      <w:r>
        <w:rPr>
          <w:rFonts w:ascii="Arial" w:cs="Arial" w:eastAsia="Arial" w:hAnsi="Arial"/>
          <w:sz w:val="17"/>
          <w:szCs w:val="17"/>
          <w:color w:val="auto"/>
        </w:rPr>
        <w:t>costs and expenses associated with any such breach or default, including, without limitation, any reasonable attorney fees and costs and other costs or expenses of collection. In the event any party to this Note should initiate a dispute regarding this Note, the prevailing party in any such dispute shall be entitled to recover from the other parties their reasonable attorneys’ fees and costs incurred in resolving such dispute.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ind w:right="600" w:firstLine="464"/>
        <w:spacing w:after="0" w:line="313" w:lineRule="auto"/>
        <w:tabs>
          <w:tab w:leader="none" w:pos="726" w:val="left"/>
        </w:tabs>
        <w:numPr>
          <w:ilvl w:val="0"/>
          <w:numId w:val="94"/>
        </w:numPr>
        <w:rPr>
          <w:rFonts w:ascii="Arial" w:cs="Arial" w:eastAsia="Arial" w:hAnsi="Arial"/>
          <w:sz w:val="17"/>
          <w:szCs w:val="17"/>
          <w:color w:val="auto"/>
        </w:rPr>
      </w:pPr>
      <w:r>
        <w:rPr>
          <w:rFonts w:ascii="Arial" w:cs="Arial" w:eastAsia="Arial" w:hAnsi="Arial"/>
          <w:sz w:val="17"/>
          <w:szCs w:val="17"/>
          <w:b w:val="1"/>
          <w:bCs w:val="1"/>
          <w:u w:val="single" w:color="auto"/>
          <w:color w:val="auto"/>
        </w:rPr>
        <w:t>Invalidity</w:t>
      </w:r>
      <w:r>
        <w:rPr>
          <w:rFonts w:ascii="Arial" w:cs="Arial" w:eastAsia="Arial" w:hAnsi="Arial"/>
          <w:sz w:val="17"/>
          <w:szCs w:val="17"/>
          <w:color w:val="auto"/>
        </w:rPr>
        <w:t>. If any provision or any word, term, clause, or part of any provision of this Note shall be invalid for any reason, the same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ineffective, but the remainder of this Note and of the provision shall not be affected and shall remain in full force and effect.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executed this Note as of the day and year set forth above in Chicago, Illinois.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Jonathan W. Berger</w:t>
            </w:r>
          </w:p>
        </w:tc>
      </w:tr>
      <w:tr>
        <w:trPr>
          <w:trHeight w:val="224"/>
        </w:trPr>
        <w:tc>
          <w:tcPr>
            <w:tcW w:w="3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Jonathan W. Berger, Chief Executive Officer</w:t>
            </w: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77"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60" w:type="dxa"/>
            <w:vAlign w:val="bottom"/>
            <w:gridSpan w:val="4"/>
          </w:tcPr>
          <w:p>
            <w:pPr>
              <w:jc w:val="right"/>
              <w:ind w:right="3330"/>
              <w:spacing w:after="0"/>
              <w:rPr>
                <w:sz w:val="20"/>
                <w:szCs w:val="20"/>
                <w:color w:val="auto"/>
              </w:rPr>
            </w:pPr>
            <w:r>
              <w:rPr>
                <w:rFonts w:ascii="Arial" w:cs="Arial" w:eastAsia="Arial" w:hAnsi="Arial"/>
                <w:sz w:val="18"/>
                <w:szCs w:val="18"/>
                <w:b w:val="1"/>
                <w:bCs w:val="1"/>
                <w:color w:val="auto"/>
              </w:rPr>
              <w:t>EXHIBIT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920" w:type="dxa"/>
            <w:vAlign w:val="bottom"/>
            <w:gridSpan w:val="5"/>
          </w:tcPr>
          <w:p>
            <w:pPr>
              <w:jc w:val="right"/>
              <w:ind w:right="3290"/>
              <w:spacing w:after="0"/>
              <w:rPr>
                <w:sz w:val="20"/>
                <w:szCs w:val="20"/>
                <w:color w:val="auto"/>
              </w:rPr>
            </w:pPr>
            <w:r>
              <w:rPr>
                <w:rFonts w:ascii="Arial" w:cs="Arial" w:eastAsia="Arial" w:hAnsi="Arial"/>
                <w:sz w:val="18"/>
                <w:szCs w:val="18"/>
                <w:b w:val="1"/>
                <w:bCs w:val="1"/>
                <w:color w:val="auto"/>
              </w:rPr>
              <w:t>Shareholders</w:t>
            </w:r>
          </w:p>
        </w:tc>
        <w:tc>
          <w:tcPr>
            <w:tcW w:w="0" w:type="dxa"/>
            <w:vAlign w:val="bottom"/>
          </w:tcPr>
          <w:p>
            <w:pPr>
              <w:spacing w:after="0"/>
              <w:rPr>
                <w:sz w:val="1"/>
                <w:szCs w:val="1"/>
                <w:color w:val="auto"/>
              </w:rPr>
            </w:pPr>
          </w:p>
        </w:tc>
      </w:tr>
      <w:tr>
        <w:trPr>
          <w:trHeight w:val="392"/>
        </w:trPr>
        <w:tc>
          <w:tcPr>
            <w:tcW w:w="2840" w:type="dxa"/>
            <w:vAlign w:val="bottom"/>
            <w:gridSpan w:val="3"/>
          </w:tcPr>
          <w:p>
            <w:pPr>
              <w:spacing w:after="0"/>
              <w:rPr>
                <w:sz w:val="20"/>
                <w:szCs w:val="20"/>
                <w:color w:val="auto"/>
              </w:rPr>
            </w:pPr>
            <w:r>
              <w:rPr>
                <w:rFonts w:ascii="Arial" w:cs="Arial" w:eastAsia="Arial" w:hAnsi="Arial"/>
                <w:sz w:val="14"/>
                <w:szCs w:val="14"/>
                <w:color w:val="auto"/>
              </w:rPr>
              <w:t>Shareholder</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20" w:type="dxa"/>
            <w:vAlign w:val="bottom"/>
            <w:gridSpan w:val="3"/>
          </w:tcPr>
          <w:p>
            <w:pPr>
              <w:jc w:val="right"/>
              <w:ind w:right="150"/>
              <w:spacing w:after="0"/>
              <w:rPr>
                <w:sz w:val="20"/>
                <w:szCs w:val="20"/>
                <w:color w:val="auto"/>
              </w:rPr>
            </w:pPr>
            <w:r>
              <w:rPr>
                <w:rFonts w:ascii="Arial" w:cs="Arial" w:eastAsia="Arial" w:hAnsi="Arial"/>
                <w:sz w:val="14"/>
                <w:szCs w:val="14"/>
                <w:color w:val="auto"/>
              </w:rPr>
              <w:t>Percentage Ownership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Louay and Maya Owaidat Trust</w:t>
            </w: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39.06250</w:t>
            </w:r>
          </w:p>
        </w:tc>
        <w:tc>
          <w:tcPr>
            <w:tcW w:w="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XXXXXXXXXXX</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XXXXXXXXXXX</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840" w:type="dxa"/>
            <w:vAlign w:val="bottom"/>
            <w:gridSpan w:val="3"/>
          </w:tcPr>
          <w:p>
            <w:pPr>
              <w:spacing w:after="0"/>
              <w:rPr>
                <w:sz w:val="20"/>
                <w:szCs w:val="20"/>
                <w:color w:val="auto"/>
              </w:rPr>
            </w:pPr>
            <w:r>
              <w:rPr>
                <w:rFonts w:ascii="Arial" w:cs="Arial" w:eastAsia="Arial" w:hAnsi="Arial"/>
                <w:sz w:val="18"/>
                <w:szCs w:val="18"/>
                <w:color w:val="auto"/>
              </w:rPr>
              <w:t>Thomas Gayer</w:t>
            </w:r>
          </w:p>
        </w:tc>
        <w:tc>
          <w:tcPr>
            <w:tcW w:w="4920" w:type="dxa"/>
            <w:vAlign w:val="bottom"/>
            <w:gridSpan w:val="5"/>
          </w:tcPr>
          <w:p>
            <w:pPr>
              <w:jc w:val="right"/>
              <w:spacing w:after="0"/>
              <w:rPr>
                <w:sz w:val="20"/>
                <w:szCs w:val="20"/>
                <w:color w:val="auto"/>
              </w:rPr>
            </w:pPr>
            <w:r>
              <w:rPr>
                <w:rFonts w:ascii="Arial" w:cs="Arial" w:eastAsia="Arial" w:hAnsi="Arial"/>
                <w:sz w:val="18"/>
                <w:szCs w:val="18"/>
                <w:color w:val="auto"/>
              </w:rPr>
              <w:t>17.08984%</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XXXXXXXXXXX</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3"/>
          </w:tcPr>
          <w:p>
            <w:pPr>
              <w:spacing w:after="0"/>
              <w:rPr>
                <w:sz w:val="20"/>
                <w:szCs w:val="20"/>
                <w:color w:val="auto"/>
              </w:rPr>
            </w:pPr>
            <w:r>
              <w:rPr>
                <w:rFonts w:ascii="Arial" w:cs="Arial" w:eastAsia="Arial" w:hAnsi="Arial"/>
                <w:sz w:val="18"/>
                <w:szCs w:val="18"/>
                <w:color w:val="auto"/>
              </w:rPr>
              <w:t>XXXXXXXXXXX</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Neal Siller</w:t>
            </w:r>
          </w:p>
        </w:tc>
        <w:tc>
          <w:tcPr>
            <w:tcW w:w="4920" w:type="dxa"/>
            <w:vAlign w:val="bottom"/>
            <w:gridSpan w:val="5"/>
            <w:shd w:val="clear" w:color="auto" w:fill="CCEEFF"/>
          </w:tcPr>
          <w:p>
            <w:pPr>
              <w:jc w:val="right"/>
              <w:spacing w:after="0" w:line="201" w:lineRule="exact"/>
              <w:rPr>
                <w:sz w:val="20"/>
                <w:szCs w:val="20"/>
                <w:color w:val="auto"/>
              </w:rPr>
            </w:pPr>
            <w:r>
              <w:rPr>
                <w:rFonts w:ascii="Arial" w:cs="Arial" w:eastAsia="Arial" w:hAnsi="Arial"/>
                <w:sz w:val="18"/>
                <w:szCs w:val="18"/>
                <w:color w:val="auto"/>
              </w:rPr>
              <w:t>13.90625%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XXXXXXXXXXX</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XXXXXXXXXXX</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840" w:type="dxa"/>
            <w:vAlign w:val="bottom"/>
            <w:gridSpan w:val="3"/>
          </w:tcPr>
          <w:p>
            <w:pPr>
              <w:spacing w:after="0"/>
              <w:rPr>
                <w:sz w:val="20"/>
                <w:szCs w:val="20"/>
                <w:color w:val="auto"/>
              </w:rPr>
            </w:pPr>
            <w:r>
              <w:rPr>
                <w:rFonts w:ascii="Arial" w:cs="Arial" w:eastAsia="Arial" w:hAnsi="Arial"/>
                <w:sz w:val="18"/>
                <w:szCs w:val="18"/>
                <w:color w:val="auto"/>
              </w:rPr>
              <w:t>Jeremy McKnight</w:t>
            </w:r>
          </w:p>
        </w:tc>
        <w:tc>
          <w:tcPr>
            <w:tcW w:w="4920" w:type="dxa"/>
            <w:vAlign w:val="bottom"/>
            <w:gridSpan w:val="5"/>
          </w:tcPr>
          <w:p>
            <w:pPr>
              <w:jc w:val="right"/>
              <w:spacing w:after="0"/>
              <w:rPr>
                <w:sz w:val="20"/>
                <w:szCs w:val="20"/>
                <w:color w:val="auto"/>
              </w:rPr>
            </w:pPr>
            <w:r>
              <w:rPr>
                <w:rFonts w:ascii="Arial" w:cs="Arial" w:eastAsia="Arial" w:hAnsi="Arial"/>
                <w:sz w:val="18"/>
                <w:szCs w:val="18"/>
                <w:color w:val="auto"/>
              </w:rPr>
              <w:t>5.03906%</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XXXXXXXXXXX</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3"/>
          </w:tcPr>
          <w:p>
            <w:pPr>
              <w:spacing w:after="0"/>
              <w:rPr>
                <w:sz w:val="20"/>
                <w:szCs w:val="20"/>
                <w:color w:val="auto"/>
              </w:rPr>
            </w:pPr>
            <w:r>
              <w:rPr>
                <w:rFonts w:ascii="Arial" w:cs="Arial" w:eastAsia="Arial" w:hAnsi="Arial"/>
                <w:sz w:val="18"/>
                <w:szCs w:val="18"/>
                <w:color w:val="auto"/>
              </w:rPr>
              <w:t>XXXXXXXXXXX</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James Beebe</w:t>
            </w:r>
          </w:p>
        </w:tc>
        <w:tc>
          <w:tcPr>
            <w:tcW w:w="4920" w:type="dxa"/>
            <w:vAlign w:val="bottom"/>
            <w:gridSpan w:val="5"/>
            <w:shd w:val="clear" w:color="auto" w:fill="CCEEFF"/>
          </w:tcPr>
          <w:p>
            <w:pPr>
              <w:jc w:val="right"/>
              <w:spacing w:after="0" w:line="201" w:lineRule="exact"/>
              <w:rPr>
                <w:sz w:val="20"/>
                <w:szCs w:val="20"/>
                <w:color w:val="auto"/>
              </w:rPr>
            </w:pPr>
            <w:r>
              <w:rPr>
                <w:rFonts w:ascii="Arial" w:cs="Arial" w:eastAsia="Arial" w:hAnsi="Arial"/>
                <w:sz w:val="18"/>
                <w:szCs w:val="18"/>
                <w:color w:val="auto"/>
              </w:rPr>
              <w:t>3.90625%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XXXXXXXXXXX</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XXXXXXXXXXX</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840" w:type="dxa"/>
            <w:vAlign w:val="bottom"/>
            <w:gridSpan w:val="3"/>
          </w:tcPr>
          <w:p>
            <w:pPr>
              <w:spacing w:after="0"/>
              <w:rPr>
                <w:sz w:val="20"/>
                <w:szCs w:val="20"/>
                <w:color w:val="auto"/>
              </w:rPr>
            </w:pPr>
            <w:r>
              <w:rPr>
                <w:rFonts w:ascii="Arial" w:cs="Arial" w:eastAsia="Arial" w:hAnsi="Arial"/>
                <w:sz w:val="18"/>
                <w:szCs w:val="18"/>
                <w:color w:val="auto"/>
              </w:rPr>
              <w:t>John Councilman</w:t>
            </w:r>
          </w:p>
        </w:tc>
        <w:tc>
          <w:tcPr>
            <w:tcW w:w="4920" w:type="dxa"/>
            <w:vAlign w:val="bottom"/>
            <w:gridSpan w:val="5"/>
          </w:tcPr>
          <w:p>
            <w:pPr>
              <w:jc w:val="right"/>
              <w:spacing w:after="0"/>
              <w:rPr>
                <w:sz w:val="20"/>
                <w:szCs w:val="20"/>
                <w:color w:val="auto"/>
              </w:rPr>
            </w:pPr>
            <w:r>
              <w:rPr>
                <w:rFonts w:ascii="Arial" w:cs="Arial" w:eastAsia="Arial" w:hAnsi="Arial"/>
                <w:sz w:val="18"/>
                <w:szCs w:val="18"/>
                <w:color w:val="auto"/>
              </w:rPr>
              <w:t>3.90625%</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XXXXXXXXXXX</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3"/>
          </w:tcPr>
          <w:p>
            <w:pPr>
              <w:spacing w:after="0"/>
              <w:rPr>
                <w:sz w:val="20"/>
                <w:szCs w:val="20"/>
                <w:color w:val="auto"/>
              </w:rPr>
            </w:pPr>
            <w:r>
              <w:rPr>
                <w:rFonts w:ascii="Arial" w:cs="Arial" w:eastAsia="Arial" w:hAnsi="Arial"/>
                <w:sz w:val="18"/>
                <w:szCs w:val="18"/>
                <w:color w:val="auto"/>
              </w:rPr>
              <w:t>XXXXXXXXXXX</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Matthew Marks</w:t>
            </w:r>
          </w:p>
        </w:tc>
        <w:tc>
          <w:tcPr>
            <w:tcW w:w="4920" w:type="dxa"/>
            <w:vAlign w:val="bottom"/>
            <w:gridSpan w:val="5"/>
            <w:shd w:val="clear" w:color="auto" w:fill="CCEEFF"/>
          </w:tcPr>
          <w:p>
            <w:pPr>
              <w:jc w:val="right"/>
              <w:spacing w:after="0" w:line="201" w:lineRule="exact"/>
              <w:rPr>
                <w:sz w:val="20"/>
                <w:szCs w:val="20"/>
                <w:color w:val="auto"/>
              </w:rPr>
            </w:pPr>
            <w:r>
              <w:rPr>
                <w:rFonts w:ascii="Arial" w:cs="Arial" w:eastAsia="Arial" w:hAnsi="Arial"/>
                <w:sz w:val="18"/>
                <w:szCs w:val="18"/>
                <w:color w:val="auto"/>
              </w:rPr>
              <w:t>3.90625%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XXXXXXXXXXX</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XXXXXXXXXXX</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840" w:type="dxa"/>
            <w:vAlign w:val="bottom"/>
            <w:gridSpan w:val="3"/>
          </w:tcPr>
          <w:p>
            <w:pPr>
              <w:spacing w:after="0"/>
              <w:rPr>
                <w:sz w:val="20"/>
                <w:szCs w:val="20"/>
                <w:color w:val="auto"/>
              </w:rPr>
            </w:pPr>
            <w:r>
              <w:rPr>
                <w:rFonts w:ascii="Arial" w:cs="Arial" w:eastAsia="Arial" w:hAnsi="Arial"/>
                <w:sz w:val="18"/>
                <w:szCs w:val="18"/>
                <w:color w:val="auto"/>
              </w:rPr>
              <w:t>Sean Rhodes</w:t>
            </w:r>
          </w:p>
        </w:tc>
        <w:tc>
          <w:tcPr>
            <w:tcW w:w="4920" w:type="dxa"/>
            <w:vAlign w:val="bottom"/>
            <w:gridSpan w:val="5"/>
          </w:tcPr>
          <w:p>
            <w:pPr>
              <w:jc w:val="right"/>
              <w:spacing w:after="0"/>
              <w:rPr>
                <w:sz w:val="20"/>
                <w:szCs w:val="20"/>
                <w:color w:val="auto"/>
              </w:rPr>
            </w:pPr>
            <w:r>
              <w:rPr>
                <w:rFonts w:ascii="Arial" w:cs="Arial" w:eastAsia="Arial" w:hAnsi="Arial"/>
                <w:sz w:val="18"/>
                <w:szCs w:val="18"/>
                <w:color w:val="auto"/>
              </w:rPr>
              <w:t>3.90625%</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XXXXXXXXXXX</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3"/>
          </w:tcPr>
          <w:p>
            <w:pPr>
              <w:spacing w:after="0"/>
              <w:rPr>
                <w:sz w:val="20"/>
                <w:szCs w:val="20"/>
                <w:color w:val="auto"/>
              </w:rPr>
            </w:pPr>
            <w:r>
              <w:rPr>
                <w:rFonts w:ascii="Arial" w:cs="Arial" w:eastAsia="Arial" w:hAnsi="Arial"/>
                <w:sz w:val="18"/>
                <w:szCs w:val="18"/>
                <w:color w:val="auto"/>
              </w:rPr>
              <w:t>XXXXXXXXXXX</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Diettert Family Revocable Trust</w:t>
            </w:r>
          </w:p>
        </w:tc>
        <w:tc>
          <w:tcPr>
            <w:tcW w:w="4920" w:type="dxa"/>
            <w:vAlign w:val="bottom"/>
            <w:gridSpan w:val="5"/>
            <w:shd w:val="clear" w:color="auto" w:fill="CCEEFF"/>
          </w:tcPr>
          <w:p>
            <w:pPr>
              <w:jc w:val="right"/>
              <w:spacing w:after="0" w:line="201" w:lineRule="exact"/>
              <w:rPr>
                <w:sz w:val="20"/>
                <w:szCs w:val="20"/>
                <w:color w:val="auto"/>
              </w:rPr>
            </w:pPr>
            <w:r>
              <w:rPr>
                <w:rFonts w:ascii="Arial" w:cs="Arial" w:eastAsia="Arial" w:hAnsi="Arial"/>
                <w:sz w:val="18"/>
                <w:szCs w:val="18"/>
                <w:color w:val="auto"/>
              </w:rPr>
              <w:t>3.41797%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XXXXXXXXXXX</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XXXXXXXXXXX</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840" w:type="dxa"/>
            <w:vAlign w:val="bottom"/>
            <w:gridSpan w:val="3"/>
          </w:tcPr>
          <w:p>
            <w:pPr>
              <w:spacing w:after="0"/>
              <w:rPr>
                <w:sz w:val="20"/>
                <w:szCs w:val="20"/>
                <w:color w:val="auto"/>
              </w:rPr>
            </w:pPr>
            <w:r>
              <w:rPr>
                <w:rFonts w:ascii="Arial" w:cs="Arial" w:eastAsia="Arial" w:hAnsi="Arial"/>
                <w:sz w:val="18"/>
                <w:szCs w:val="18"/>
                <w:color w:val="auto"/>
              </w:rPr>
              <w:t>Gregg Nickel</w:t>
            </w:r>
          </w:p>
        </w:tc>
        <w:tc>
          <w:tcPr>
            <w:tcW w:w="4920" w:type="dxa"/>
            <w:vAlign w:val="bottom"/>
            <w:gridSpan w:val="5"/>
          </w:tcPr>
          <w:p>
            <w:pPr>
              <w:jc w:val="right"/>
              <w:spacing w:after="0"/>
              <w:rPr>
                <w:sz w:val="20"/>
                <w:szCs w:val="20"/>
                <w:color w:val="auto"/>
              </w:rPr>
            </w:pPr>
            <w:r>
              <w:rPr>
                <w:rFonts w:ascii="Arial" w:cs="Arial" w:eastAsia="Arial" w:hAnsi="Arial"/>
                <w:sz w:val="18"/>
                <w:szCs w:val="18"/>
                <w:color w:val="auto"/>
              </w:rPr>
              <w:t>2.92969%</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XXXXXXXXXXX</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3"/>
          </w:tcPr>
          <w:p>
            <w:pPr>
              <w:spacing w:after="0"/>
              <w:rPr>
                <w:sz w:val="20"/>
                <w:szCs w:val="20"/>
                <w:color w:val="auto"/>
              </w:rPr>
            </w:pPr>
            <w:r>
              <w:rPr>
                <w:rFonts w:ascii="Arial" w:cs="Arial" w:eastAsia="Arial" w:hAnsi="Arial"/>
                <w:sz w:val="18"/>
                <w:szCs w:val="18"/>
                <w:color w:val="auto"/>
              </w:rPr>
              <w:t>XXXXXXXXXXX</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James Dodd</w:t>
            </w:r>
          </w:p>
        </w:tc>
        <w:tc>
          <w:tcPr>
            <w:tcW w:w="4920" w:type="dxa"/>
            <w:vAlign w:val="bottom"/>
            <w:gridSpan w:val="5"/>
            <w:shd w:val="clear" w:color="auto" w:fill="CCEEFF"/>
          </w:tcPr>
          <w:p>
            <w:pPr>
              <w:jc w:val="right"/>
              <w:spacing w:after="0" w:line="201" w:lineRule="exact"/>
              <w:rPr>
                <w:sz w:val="20"/>
                <w:szCs w:val="20"/>
                <w:color w:val="auto"/>
              </w:rPr>
            </w:pPr>
            <w:r>
              <w:rPr>
                <w:rFonts w:ascii="Arial" w:cs="Arial" w:eastAsia="Arial" w:hAnsi="Arial"/>
                <w:sz w:val="18"/>
                <w:szCs w:val="18"/>
                <w:color w:val="auto"/>
              </w:rPr>
              <w:t>0.97656%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XXXXXXXXXXX</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XXXXXXXXXXX</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840" w:type="dxa"/>
            <w:vAlign w:val="bottom"/>
            <w:gridSpan w:val="3"/>
          </w:tcPr>
          <w:p>
            <w:pPr>
              <w:spacing w:after="0"/>
              <w:rPr>
                <w:sz w:val="20"/>
                <w:szCs w:val="20"/>
                <w:color w:val="auto"/>
              </w:rPr>
            </w:pPr>
            <w:r>
              <w:rPr>
                <w:rFonts w:ascii="Arial" w:cs="Arial" w:eastAsia="Arial" w:hAnsi="Arial"/>
                <w:sz w:val="18"/>
                <w:szCs w:val="18"/>
                <w:color w:val="auto"/>
              </w:rPr>
              <w:t>Jeff Sallas</w:t>
            </w:r>
          </w:p>
        </w:tc>
        <w:tc>
          <w:tcPr>
            <w:tcW w:w="4920" w:type="dxa"/>
            <w:vAlign w:val="bottom"/>
            <w:gridSpan w:val="5"/>
          </w:tcPr>
          <w:p>
            <w:pPr>
              <w:jc w:val="right"/>
              <w:spacing w:after="0"/>
              <w:rPr>
                <w:sz w:val="20"/>
                <w:szCs w:val="20"/>
                <w:color w:val="auto"/>
              </w:rPr>
            </w:pPr>
            <w:r>
              <w:rPr>
                <w:rFonts w:ascii="Arial" w:cs="Arial" w:eastAsia="Arial" w:hAnsi="Arial"/>
                <w:sz w:val="18"/>
                <w:szCs w:val="18"/>
                <w:color w:val="auto"/>
              </w:rPr>
              <w:t>0.97656%</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XXXXXXXXXXX</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3"/>
          </w:tcPr>
          <w:p>
            <w:pPr>
              <w:spacing w:after="0"/>
              <w:rPr>
                <w:sz w:val="20"/>
                <w:szCs w:val="20"/>
                <w:color w:val="auto"/>
              </w:rPr>
            </w:pPr>
            <w:r>
              <w:rPr>
                <w:rFonts w:ascii="Arial" w:cs="Arial" w:eastAsia="Arial" w:hAnsi="Arial"/>
                <w:sz w:val="18"/>
                <w:szCs w:val="18"/>
                <w:color w:val="auto"/>
              </w:rPr>
              <w:t>XXXXXXXXXXX</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Jason Yardley</w:t>
            </w:r>
          </w:p>
        </w:tc>
        <w:tc>
          <w:tcPr>
            <w:tcW w:w="4920" w:type="dxa"/>
            <w:vAlign w:val="bottom"/>
            <w:gridSpan w:val="5"/>
            <w:shd w:val="clear" w:color="auto" w:fill="CCEEFF"/>
          </w:tcPr>
          <w:p>
            <w:pPr>
              <w:jc w:val="right"/>
              <w:spacing w:after="0" w:line="201" w:lineRule="exact"/>
              <w:rPr>
                <w:sz w:val="20"/>
                <w:szCs w:val="20"/>
                <w:color w:val="auto"/>
              </w:rPr>
            </w:pPr>
            <w:r>
              <w:rPr>
                <w:rFonts w:ascii="Arial" w:cs="Arial" w:eastAsia="Arial" w:hAnsi="Arial"/>
                <w:sz w:val="18"/>
                <w:szCs w:val="18"/>
                <w:color w:val="auto"/>
              </w:rPr>
              <w:t>0.97656%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XXXXXXXXXXX</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XXXXXXXXXXX</w:t>
            </w:r>
          </w:p>
        </w:tc>
        <w:tc>
          <w:tcPr>
            <w:tcW w:w="5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8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3380" w:type="dxa"/>
            <w:vAlign w:val="bottom"/>
            <w:gridSpan w:val="3"/>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274" w:right="319" w:bottom="1440" w:gutter="0" w:footer="0" w:header="0"/>
        </w:sectPr>
      </w:pPr>
    </w:p>
    <w:bookmarkStart w:id="100" w:name="page101"/>
    <w:bookmarkEnd w:id="100"/>
    <w:p>
      <w:pPr>
        <w:jc w:val="center"/>
        <w:ind w:right="80"/>
        <w:spacing w:after="0"/>
        <w:rPr>
          <w:sz w:val="20"/>
          <w:szCs w:val="20"/>
          <w:color w:val="auto"/>
        </w:rPr>
      </w:pPr>
      <w:r>
        <w:rPr>
          <w:rFonts w:ascii="Arial" w:cs="Arial" w:eastAsia="Arial" w:hAnsi="Arial"/>
          <w:sz w:val="17"/>
          <w:szCs w:val="17"/>
          <w:color w:val="auto"/>
        </w:rPr>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10.45</w:t>
      </w:r>
    </w:p>
    <w:p>
      <w:pPr>
        <w:spacing w:after="0" w:line="229" w:lineRule="exact"/>
        <w:rPr>
          <w:sz w:val="20"/>
          <w:szCs w:val="20"/>
          <w:color w:val="auto"/>
        </w:rPr>
      </w:pPr>
    </w:p>
    <w:p>
      <w:pPr>
        <w:ind w:left="9780"/>
        <w:spacing w:after="0"/>
        <w:rPr>
          <w:sz w:val="20"/>
          <w:szCs w:val="20"/>
          <w:color w:val="auto"/>
        </w:rPr>
      </w:pPr>
      <w:r>
        <w:rPr>
          <w:rFonts w:ascii="Arial" w:cs="Arial" w:eastAsia="Arial" w:hAnsi="Arial"/>
          <w:sz w:val="17"/>
          <w:szCs w:val="17"/>
          <w:b w:val="1"/>
          <w:bCs w:val="1"/>
          <w:i w:val="1"/>
          <w:i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2174875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dated November 4, 2014</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GREAT LAKES DREDGE &amp; DOCK CORPORATION,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as Borrower,</w:t>
      </w:r>
    </w:p>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GREAT LAKES DREDGE &amp; DOCK COMPANY, LLC,</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as Guarantor</w:t>
      </w:r>
    </w:p>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THE LENDERS FROM TIME TO TIME PARTY HERETO</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417195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101" w:name="page102"/>
    <w:bookmarkEnd w:id="101"/>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20" w:right="20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800" w:type="dxa"/>
            <w:vAlign w:val="bottom"/>
            <w:vMerge w:val="restart"/>
          </w:tcPr>
          <w:p>
            <w:pPr>
              <w:spacing w:after="0"/>
              <w:rPr>
                <w:sz w:val="20"/>
                <w:szCs w:val="20"/>
                <w:color w:val="auto"/>
              </w:rPr>
            </w:pPr>
            <w:r>
              <w:rPr>
                <w:rFonts w:ascii="Arial" w:cs="Arial" w:eastAsia="Arial" w:hAnsi="Arial"/>
                <w:sz w:val="18"/>
                <w:szCs w:val="18"/>
                <w:color w:val="auto"/>
              </w:rPr>
              <w:t>ARTICLE I DEFINITIONS AND ACCOUNTING TERMS</w:t>
            </w:r>
          </w:p>
        </w:tc>
        <w:tc>
          <w:tcPr>
            <w:tcW w:w="1820" w:type="dxa"/>
            <w:vAlign w:val="bottom"/>
            <w:tcBorders>
              <w:top w:val="single" w:sz="8" w:color="auto"/>
            </w:tcBorders>
            <w:vMerge w:val="restart"/>
          </w:tcPr>
          <w:p>
            <w:pPr>
              <w:spacing w:after="0"/>
              <w:rPr>
                <w:sz w:val="24"/>
                <w:szCs w:val="24"/>
                <w:color w:val="auto"/>
              </w:rPr>
            </w:pPr>
          </w:p>
        </w:tc>
        <w:tc>
          <w:tcPr>
            <w:tcW w:w="4420" w:type="dxa"/>
            <w:vAlign w:val="bottom"/>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1820" w:type="dxa"/>
            <w:vAlign w:val="bottom"/>
            <w:tcBorders>
              <w:top w:val="single" w:sz="8" w:color="auto"/>
            </w:tcBorders>
            <w:vMerge w:val="continue"/>
          </w:tcPr>
          <w:p>
            <w:pPr>
              <w:spacing w:after="0"/>
              <w:rPr>
                <w:sz w:val="16"/>
                <w:szCs w:val="16"/>
                <w:color w:val="auto"/>
              </w:rPr>
            </w:pPr>
          </w:p>
        </w:tc>
        <w:tc>
          <w:tcPr>
            <w:tcW w:w="442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1.01. Certain Defined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1.02. Computation of Time Periods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1.03. Accounting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40" w:type="dxa"/>
            <w:vAlign w:val="bottom"/>
            <w:gridSpan w:val="3"/>
          </w:tcPr>
          <w:p>
            <w:pPr>
              <w:spacing w:after="0"/>
              <w:rPr>
                <w:sz w:val="20"/>
                <w:szCs w:val="20"/>
                <w:color w:val="auto"/>
              </w:rPr>
            </w:pPr>
            <w:r>
              <w:rPr>
                <w:rFonts w:ascii="Arial" w:cs="Arial" w:eastAsia="Arial" w:hAnsi="Arial"/>
                <w:sz w:val="18"/>
                <w:szCs w:val="18"/>
                <w:color w:val="auto"/>
              </w:rPr>
              <w:t>ARTICLE II THE LOAN</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2.01. The Loan</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2.02. Drawdown Procedures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2.03. Advance of Loan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2.04. The Notes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2.05. Repayment of Principal</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2.06. Payments Generally; Administrative Agent’s Clawback</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2.07. Sharing of Payments by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2.08. Holdback</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40" w:type="dxa"/>
            <w:vAlign w:val="bottom"/>
            <w:gridSpan w:val="3"/>
          </w:tcPr>
          <w:p>
            <w:pPr>
              <w:spacing w:after="0"/>
              <w:rPr>
                <w:sz w:val="20"/>
                <w:szCs w:val="20"/>
                <w:color w:val="auto"/>
              </w:rPr>
            </w:pPr>
            <w:r>
              <w:rPr>
                <w:rFonts w:ascii="Arial" w:cs="Arial" w:eastAsia="Arial" w:hAnsi="Arial"/>
                <w:sz w:val="18"/>
                <w:szCs w:val="18"/>
                <w:color w:val="auto"/>
              </w:rPr>
              <w:t>ARTICLE III INTEREST AND PAYMENT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3.01. Interest Rates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3.02. Computations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3.03. Liens; Setoff</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3.04. Prepayment</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40" w:type="dxa"/>
            <w:vAlign w:val="bottom"/>
            <w:gridSpan w:val="3"/>
          </w:tcPr>
          <w:p>
            <w:pPr>
              <w:spacing w:after="0"/>
              <w:rPr>
                <w:sz w:val="20"/>
                <w:szCs w:val="20"/>
                <w:color w:val="auto"/>
              </w:rPr>
            </w:pPr>
            <w:r>
              <w:rPr>
                <w:rFonts w:ascii="Arial" w:cs="Arial" w:eastAsia="Arial" w:hAnsi="Arial"/>
                <w:sz w:val="18"/>
                <w:szCs w:val="18"/>
                <w:color w:val="auto"/>
              </w:rPr>
              <w:t>ARTICLE IV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4.01. Grant of Security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4.02. Collateral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4.03. Additional Documents, etc.</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4.04. Release of Collateral</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4.05. Exercise of Powers of Attorney</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4.06. Substitution of Collateral</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40" w:type="dxa"/>
            <w:vAlign w:val="bottom"/>
            <w:gridSpan w:val="3"/>
          </w:tcPr>
          <w:p>
            <w:pPr>
              <w:spacing w:after="0"/>
              <w:rPr>
                <w:sz w:val="20"/>
                <w:szCs w:val="20"/>
                <w:color w:val="auto"/>
              </w:rPr>
            </w:pPr>
            <w:r>
              <w:rPr>
                <w:rFonts w:ascii="Arial" w:cs="Arial" w:eastAsia="Arial" w:hAnsi="Arial"/>
                <w:sz w:val="18"/>
                <w:szCs w:val="18"/>
                <w:color w:val="auto"/>
              </w:rPr>
              <w:t>ARTICLE V CONDITIONS OF BORROWING</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5.01. Conditions Precedent to the Funding of the Loan</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40" w:type="dxa"/>
            <w:vAlign w:val="bottom"/>
            <w:gridSpan w:val="3"/>
          </w:tcPr>
          <w:p>
            <w:pPr>
              <w:spacing w:after="0"/>
              <w:rPr>
                <w:sz w:val="20"/>
                <w:szCs w:val="20"/>
                <w:color w:val="auto"/>
              </w:rPr>
            </w:pPr>
            <w:r>
              <w:rPr>
                <w:rFonts w:ascii="Arial" w:cs="Arial" w:eastAsia="Arial" w:hAnsi="Arial"/>
                <w:sz w:val="18"/>
                <w:szCs w:val="18"/>
                <w:color w:val="auto"/>
              </w:rPr>
              <w:t>ARTICLE VI REPRESENTATIONS AND WARRANTIES OF THE LOAN 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6.01.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40" w:type="dxa"/>
            <w:vAlign w:val="bottom"/>
            <w:gridSpan w:val="3"/>
          </w:tcPr>
          <w:p>
            <w:pPr>
              <w:spacing w:after="0"/>
              <w:rPr>
                <w:sz w:val="20"/>
                <w:szCs w:val="20"/>
                <w:color w:val="auto"/>
              </w:rPr>
            </w:pPr>
            <w:r>
              <w:rPr>
                <w:rFonts w:ascii="Arial" w:cs="Arial" w:eastAsia="Arial" w:hAnsi="Arial"/>
                <w:sz w:val="18"/>
                <w:szCs w:val="18"/>
                <w:color w:val="auto"/>
              </w:rPr>
              <w:t>ARTICLE VII COVENANTS OF BORROWER</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7.01. Affirmative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7.02. Negative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40" w:type="dxa"/>
            <w:vAlign w:val="bottom"/>
            <w:gridSpan w:val="3"/>
          </w:tcPr>
          <w:p>
            <w:pPr>
              <w:spacing w:after="0"/>
              <w:rPr>
                <w:sz w:val="20"/>
                <w:szCs w:val="20"/>
                <w:color w:val="auto"/>
              </w:rPr>
            </w:pPr>
            <w:r>
              <w:rPr>
                <w:rFonts w:ascii="Arial" w:cs="Arial" w:eastAsia="Arial" w:hAnsi="Arial"/>
                <w:sz w:val="18"/>
                <w:szCs w:val="18"/>
                <w:color w:val="auto"/>
              </w:rPr>
              <w:t>ARTICLE VIII EVENTS OF DEFAULT;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8.01. Events of Default; Acceleration, etc.</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8.02. Miscellaneous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8.03. Application of Moneys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40" w:type="dxa"/>
            <w:vAlign w:val="bottom"/>
            <w:gridSpan w:val="3"/>
          </w:tcPr>
          <w:p>
            <w:pPr>
              <w:ind w:left="360"/>
              <w:spacing w:after="0"/>
              <w:rPr>
                <w:sz w:val="20"/>
                <w:szCs w:val="20"/>
                <w:color w:val="auto"/>
              </w:rPr>
            </w:pPr>
            <w:r>
              <w:rPr>
                <w:rFonts w:ascii="Arial" w:cs="Arial" w:eastAsia="Arial" w:hAnsi="Arial"/>
                <w:sz w:val="18"/>
                <w:szCs w:val="18"/>
                <w:color w:val="auto"/>
              </w:rPr>
              <w:t>SECTION 8.04. Additional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274" w:right="319" w:bottom="1440" w:gutter="0" w:footer="0" w:header="0"/>
        </w:sectPr>
      </w:pPr>
    </w:p>
    <w:bookmarkStart w:id="102" w:name="page103"/>
    <w:bookmarkEnd w:id="102"/>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20" w:right="20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ARTICLE IX MISCELLANEOUS</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9.01. Amendments, etc.</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9.02. Notices, etc.</w:t>
            </w:r>
          </w:p>
        </w:tc>
        <w:tc>
          <w:tcPr>
            <w:tcW w:w="2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9.03. GOVERNING LAW</w:t>
            </w:r>
          </w:p>
        </w:tc>
        <w:tc>
          <w:tcPr>
            <w:tcW w:w="25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9.04. Service of Process and Consent to Jurisdiction; Waiver of Venue</w:t>
            </w: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9.05. No Remedy Exclusive</w:t>
            </w: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9.06. Payment of Costs</w:t>
            </w:r>
          </w:p>
        </w:tc>
        <w:tc>
          <w:tcPr>
            <w:tcW w:w="2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9.07. Further Assurances</w:t>
            </w:r>
          </w:p>
        </w:tc>
        <w:tc>
          <w:tcPr>
            <w:tcW w:w="2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9.08. Counterparts</w:t>
            </w:r>
          </w:p>
        </w:tc>
        <w:tc>
          <w:tcPr>
            <w:tcW w:w="2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9.09. Headings</w:t>
            </w:r>
          </w:p>
        </w:tc>
        <w:tc>
          <w:tcPr>
            <w:tcW w:w="2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9.10. Severability</w:t>
            </w:r>
          </w:p>
        </w:tc>
        <w:tc>
          <w:tcPr>
            <w:tcW w:w="2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9.11. Survival</w:t>
            </w:r>
          </w:p>
        </w:tc>
        <w:tc>
          <w:tcPr>
            <w:tcW w:w="2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9.12. WAIVER OF TRIAL BY JURY</w:t>
            </w:r>
          </w:p>
        </w:tc>
        <w:tc>
          <w:tcPr>
            <w:tcW w:w="2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9.13. Assignment</w:t>
            </w:r>
          </w:p>
        </w:tc>
        <w:tc>
          <w:tcPr>
            <w:tcW w:w="2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9.14. USA Patriot Act</w:t>
            </w:r>
          </w:p>
        </w:tc>
        <w:tc>
          <w:tcPr>
            <w:tcW w:w="2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9.15. Payments Set Aside</w:t>
            </w:r>
          </w:p>
        </w:tc>
        <w:tc>
          <w:tcPr>
            <w:tcW w:w="2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9.16. No Advisory or Fiduciary Responsibility</w:t>
            </w:r>
          </w:p>
        </w:tc>
        <w:tc>
          <w:tcPr>
            <w:tcW w:w="25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9.17. Electronic Execution of Assignments and Certain Other Documents</w:t>
            </w:r>
          </w:p>
        </w:tc>
        <w:tc>
          <w:tcPr>
            <w:tcW w:w="25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9.18. Treatment of Certain Information; Confidentiality</w:t>
            </w:r>
          </w:p>
        </w:tc>
        <w:tc>
          <w:tcPr>
            <w:tcW w:w="25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9.19. Accounting Matters</w:t>
            </w:r>
          </w:p>
        </w:tc>
        <w:tc>
          <w:tcPr>
            <w:tcW w:w="25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9.20. Term of Agreement</w:t>
            </w:r>
          </w:p>
        </w:tc>
        <w:tc>
          <w:tcPr>
            <w:tcW w:w="25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8800" w:type="dxa"/>
            <w:vAlign w:val="bottom"/>
          </w:tcPr>
          <w:p>
            <w:pPr>
              <w:ind w:left="360"/>
              <w:spacing w:after="0"/>
              <w:rPr>
                <w:sz w:val="20"/>
                <w:szCs w:val="20"/>
                <w:color w:val="auto"/>
              </w:rPr>
            </w:pPr>
            <w:r>
              <w:rPr>
                <w:rFonts w:ascii="Arial" w:cs="Arial" w:eastAsia="Arial" w:hAnsi="Arial"/>
                <w:sz w:val="18"/>
                <w:szCs w:val="18"/>
                <w:color w:val="auto"/>
              </w:rPr>
              <w:t>SECTION 9.21. Inconsistencies with Other Documents</w:t>
            </w:r>
          </w:p>
        </w:tc>
        <w:tc>
          <w:tcPr>
            <w:tcW w:w="25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0"/>
        </w:trPr>
        <w:tc>
          <w:tcPr>
            <w:tcW w:w="8800" w:type="dxa"/>
            <w:vAlign w:val="bottom"/>
          </w:tcPr>
          <w:p>
            <w:pPr>
              <w:spacing w:after="0"/>
              <w:rPr>
                <w:sz w:val="20"/>
                <w:szCs w:val="20"/>
                <w:color w:val="auto"/>
              </w:rPr>
            </w:pPr>
            <w:r>
              <w:rPr>
                <w:rFonts w:ascii="Arial" w:cs="Arial" w:eastAsia="Arial" w:hAnsi="Arial"/>
                <w:sz w:val="18"/>
                <w:szCs w:val="18"/>
                <w:color w:val="auto"/>
              </w:rPr>
              <w:t>ARTICLE X TAXES AND YIELD PROTECTION</w:t>
            </w:r>
          </w:p>
        </w:tc>
        <w:tc>
          <w:tcPr>
            <w:tcW w:w="25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10.01. Taxes</w:t>
            </w:r>
          </w:p>
        </w:tc>
        <w:tc>
          <w:tcPr>
            <w:tcW w:w="25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10.02. Increased Costs</w:t>
            </w:r>
          </w:p>
        </w:tc>
        <w:tc>
          <w:tcPr>
            <w:tcW w:w="25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10.03. Mitigation Obligations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800" w:type="dxa"/>
            <w:vAlign w:val="bottom"/>
          </w:tcPr>
          <w:p>
            <w:pPr>
              <w:ind w:left="360"/>
              <w:spacing w:after="0"/>
              <w:rPr>
                <w:sz w:val="20"/>
                <w:szCs w:val="20"/>
                <w:color w:val="auto"/>
              </w:rPr>
            </w:pPr>
            <w:r>
              <w:rPr>
                <w:rFonts w:ascii="Arial" w:cs="Arial" w:eastAsia="Arial" w:hAnsi="Arial"/>
                <w:sz w:val="18"/>
                <w:szCs w:val="18"/>
                <w:color w:val="auto"/>
              </w:rPr>
              <w:t>SECTION 10.04. Replacement of Lenders</w:t>
            </w:r>
          </w:p>
        </w:tc>
        <w:tc>
          <w:tcPr>
            <w:tcW w:w="2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0"/>
        </w:trPr>
        <w:tc>
          <w:tcPr>
            <w:tcW w:w="8800" w:type="dxa"/>
            <w:vAlign w:val="bottom"/>
          </w:tcPr>
          <w:p>
            <w:pPr>
              <w:spacing w:after="0"/>
              <w:rPr>
                <w:sz w:val="20"/>
                <w:szCs w:val="20"/>
                <w:color w:val="auto"/>
              </w:rPr>
            </w:pPr>
            <w:r>
              <w:rPr>
                <w:rFonts w:ascii="Arial" w:cs="Arial" w:eastAsia="Arial" w:hAnsi="Arial"/>
                <w:sz w:val="18"/>
                <w:szCs w:val="18"/>
                <w:color w:val="auto"/>
              </w:rPr>
              <w:t>ARTICLE XI ADMINISTRATIVE AGENT</w:t>
            </w:r>
          </w:p>
        </w:tc>
        <w:tc>
          <w:tcPr>
            <w:tcW w:w="2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11.01. Appointment and Authority</w:t>
            </w:r>
          </w:p>
        </w:tc>
        <w:tc>
          <w:tcPr>
            <w:tcW w:w="2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11.02. Rights as a Lender</w:t>
            </w:r>
          </w:p>
        </w:tc>
        <w:tc>
          <w:tcPr>
            <w:tcW w:w="2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11.03. Exculpatory Provisions</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11.04. Reliance by the Administrative Agent</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11.05. Delegation of Duties</w:t>
            </w:r>
          </w:p>
        </w:tc>
        <w:tc>
          <w:tcPr>
            <w:tcW w:w="25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11.06. Resignation of Administrative Agent</w:t>
            </w:r>
          </w:p>
        </w:tc>
        <w:tc>
          <w:tcPr>
            <w:tcW w:w="25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11.07. Non-Reliance on Administrative Agent and Other Lenders</w:t>
            </w:r>
          </w:p>
        </w:tc>
        <w:tc>
          <w:tcPr>
            <w:tcW w:w="2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SECTION 11.08. Administrative Agent May File Proofs of Claim; Credit Bidding</w:t>
            </w:r>
          </w:p>
        </w:tc>
        <w:tc>
          <w:tcPr>
            <w:tcW w:w="2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8800" w:type="dxa"/>
            <w:vAlign w:val="bottom"/>
          </w:tcPr>
          <w:p>
            <w:pPr>
              <w:ind w:left="360"/>
              <w:spacing w:after="0"/>
              <w:rPr>
                <w:sz w:val="20"/>
                <w:szCs w:val="20"/>
                <w:color w:val="auto"/>
              </w:rPr>
            </w:pPr>
            <w:r>
              <w:rPr>
                <w:rFonts w:ascii="Arial" w:cs="Arial" w:eastAsia="Arial" w:hAnsi="Arial"/>
                <w:sz w:val="18"/>
                <w:szCs w:val="18"/>
                <w:color w:val="auto"/>
              </w:rPr>
              <w:t>SECTION 11.09. Collateral and Guaranty Matters</w:t>
            </w:r>
          </w:p>
        </w:tc>
        <w:tc>
          <w:tcPr>
            <w:tcW w:w="252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274" w:right="31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Schedule 1</w:t>
            </w:r>
          </w:p>
        </w:tc>
        <w:tc>
          <w:tcPr>
            <w:tcW w:w="6480" w:type="dxa"/>
            <w:vAlign w:val="bottom"/>
          </w:tcPr>
          <w:p>
            <w:pPr>
              <w:ind w:left="220"/>
              <w:spacing w:after="0"/>
              <w:rPr>
                <w:sz w:val="20"/>
                <w:szCs w:val="20"/>
                <w:color w:val="auto"/>
              </w:rPr>
            </w:pPr>
            <w:r>
              <w:rPr>
                <w:rFonts w:ascii="Arial" w:cs="Arial" w:eastAsia="Arial" w:hAnsi="Arial"/>
                <w:sz w:val="18"/>
                <w:szCs w:val="18"/>
                <w:color w:val="auto"/>
              </w:rPr>
              <w:t>Allocated Percentage Values</w:t>
            </w:r>
          </w:p>
        </w:tc>
        <w:tc>
          <w:tcPr>
            <w:tcW w:w="34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Schedule 2</w:t>
            </w:r>
          </w:p>
        </w:tc>
        <w:tc>
          <w:tcPr>
            <w:tcW w:w="6480" w:type="dxa"/>
            <w:vAlign w:val="bottom"/>
          </w:tcPr>
          <w:p>
            <w:pPr>
              <w:ind w:left="220"/>
              <w:spacing w:after="0"/>
              <w:rPr>
                <w:sz w:val="20"/>
                <w:szCs w:val="20"/>
                <w:color w:val="auto"/>
              </w:rPr>
            </w:pPr>
            <w:r>
              <w:rPr>
                <w:rFonts w:ascii="Arial" w:cs="Arial" w:eastAsia="Arial" w:hAnsi="Arial"/>
                <w:sz w:val="18"/>
                <w:szCs w:val="18"/>
                <w:color w:val="auto"/>
              </w:rPr>
              <w:t>Notices</w:t>
            </w:r>
          </w:p>
        </w:tc>
        <w:tc>
          <w:tcPr>
            <w:tcW w:w="34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Schedule 3</w:t>
            </w:r>
          </w:p>
        </w:tc>
        <w:tc>
          <w:tcPr>
            <w:tcW w:w="6480" w:type="dxa"/>
            <w:vAlign w:val="bottom"/>
          </w:tcPr>
          <w:p>
            <w:pPr>
              <w:ind w:left="220"/>
              <w:spacing w:after="0"/>
              <w:rPr>
                <w:sz w:val="20"/>
                <w:szCs w:val="20"/>
                <w:color w:val="auto"/>
              </w:rPr>
            </w:pPr>
            <w:r>
              <w:rPr>
                <w:rFonts w:ascii="Arial" w:cs="Arial" w:eastAsia="Arial" w:hAnsi="Arial"/>
                <w:sz w:val="18"/>
                <w:szCs w:val="18"/>
                <w:color w:val="auto"/>
              </w:rPr>
              <w:t>Commitments</w:t>
            </w:r>
          </w:p>
        </w:tc>
        <w:tc>
          <w:tcPr>
            <w:tcW w:w="34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Schedule 4</w:t>
            </w:r>
          </w:p>
        </w:tc>
        <w:tc>
          <w:tcPr>
            <w:tcW w:w="6480" w:type="dxa"/>
            <w:vAlign w:val="bottom"/>
          </w:tcPr>
          <w:p>
            <w:pPr>
              <w:ind w:left="220"/>
              <w:spacing w:after="0"/>
              <w:rPr>
                <w:sz w:val="20"/>
                <w:szCs w:val="20"/>
                <w:color w:val="auto"/>
              </w:rPr>
            </w:pPr>
            <w:r>
              <w:rPr>
                <w:rFonts w:ascii="Arial" w:cs="Arial" w:eastAsia="Arial" w:hAnsi="Arial"/>
                <w:sz w:val="18"/>
                <w:szCs w:val="18"/>
                <w:color w:val="auto"/>
              </w:rPr>
              <w:t>Equipment</w:t>
            </w:r>
          </w:p>
        </w:tc>
        <w:tc>
          <w:tcPr>
            <w:tcW w:w="34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Schedule 5</w:t>
            </w:r>
          </w:p>
        </w:tc>
        <w:tc>
          <w:tcPr>
            <w:tcW w:w="6480" w:type="dxa"/>
            <w:vAlign w:val="bottom"/>
          </w:tcPr>
          <w:p>
            <w:pPr>
              <w:ind w:left="220"/>
              <w:spacing w:after="0"/>
              <w:rPr>
                <w:sz w:val="20"/>
                <w:szCs w:val="20"/>
                <w:color w:val="auto"/>
              </w:rPr>
            </w:pPr>
            <w:r>
              <w:rPr>
                <w:rFonts w:ascii="Arial" w:cs="Arial" w:eastAsia="Arial" w:hAnsi="Arial"/>
                <w:sz w:val="18"/>
                <w:szCs w:val="18"/>
                <w:color w:val="auto"/>
              </w:rPr>
              <w:t>Vessels</w:t>
            </w:r>
          </w:p>
        </w:tc>
        <w:tc>
          <w:tcPr>
            <w:tcW w:w="34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Schedule 6</w:t>
            </w:r>
          </w:p>
        </w:tc>
        <w:tc>
          <w:tcPr>
            <w:tcW w:w="6480" w:type="dxa"/>
            <w:vAlign w:val="bottom"/>
          </w:tcPr>
          <w:p>
            <w:pPr>
              <w:ind w:left="220"/>
              <w:spacing w:after="0"/>
              <w:rPr>
                <w:sz w:val="20"/>
                <w:szCs w:val="20"/>
                <w:color w:val="auto"/>
              </w:rPr>
            </w:pPr>
            <w:r>
              <w:rPr>
                <w:rFonts w:ascii="Arial" w:cs="Arial" w:eastAsia="Arial" w:hAnsi="Arial"/>
                <w:sz w:val="18"/>
                <w:szCs w:val="18"/>
                <w:color w:val="auto"/>
              </w:rPr>
              <w:t>Existing Liens</w:t>
            </w:r>
          </w:p>
        </w:tc>
        <w:tc>
          <w:tcPr>
            <w:tcW w:w="3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Schedule 7</w:t>
            </w:r>
          </w:p>
        </w:tc>
        <w:tc>
          <w:tcPr>
            <w:tcW w:w="6480" w:type="dxa"/>
            <w:vAlign w:val="bottom"/>
          </w:tcPr>
          <w:p>
            <w:pPr>
              <w:ind w:left="220"/>
              <w:spacing w:after="0"/>
              <w:rPr>
                <w:sz w:val="20"/>
                <w:szCs w:val="20"/>
                <w:color w:val="auto"/>
              </w:rPr>
            </w:pPr>
            <w:r>
              <w:rPr>
                <w:rFonts w:ascii="Arial" w:cs="Arial" w:eastAsia="Arial" w:hAnsi="Arial"/>
                <w:sz w:val="18"/>
                <w:szCs w:val="18"/>
                <w:color w:val="auto"/>
              </w:rPr>
              <w:t>Other Trade Names</w:t>
            </w:r>
          </w:p>
        </w:tc>
        <w:tc>
          <w:tcPr>
            <w:tcW w:w="34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Exhibit A</w:t>
            </w:r>
          </w:p>
        </w:tc>
        <w:tc>
          <w:tcPr>
            <w:tcW w:w="6480" w:type="dxa"/>
            <w:vAlign w:val="bottom"/>
          </w:tcPr>
          <w:p>
            <w:pPr>
              <w:ind w:left="220"/>
              <w:spacing w:after="0"/>
              <w:rPr>
                <w:sz w:val="20"/>
                <w:szCs w:val="20"/>
                <w:color w:val="auto"/>
              </w:rPr>
            </w:pPr>
            <w:r>
              <w:rPr>
                <w:rFonts w:ascii="Arial" w:cs="Arial" w:eastAsia="Arial" w:hAnsi="Arial"/>
                <w:sz w:val="18"/>
                <w:szCs w:val="18"/>
                <w:color w:val="auto"/>
              </w:rPr>
              <w:t>Form of Promissory Note</w:t>
            </w:r>
          </w:p>
        </w:tc>
        <w:tc>
          <w:tcPr>
            <w:tcW w:w="34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Exhibit B</w:t>
            </w:r>
          </w:p>
        </w:tc>
        <w:tc>
          <w:tcPr>
            <w:tcW w:w="6480" w:type="dxa"/>
            <w:vAlign w:val="bottom"/>
          </w:tcPr>
          <w:p>
            <w:pPr>
              <w:ind w:left="220"/>
              <w:spacing w:after="0"/>
              <w:rPr>
                <w:sz w:val="20"/>
                <w:szCs w:val="20"/>
                <w:color w:val="auto"/>
              </w:rPr>
            </w:pPr>
            <w:r>
              <w:rPr>
                <w:rFonts w:ascii="Arial" w:cs="Arial" w:eastAsia="Arial" w:hAnsi="Arial"/>
                <w:sz w:val="18"/>
                <w:szCs w:val="18"/>
                <w:color w:val="auto"/>
              </w:rPr>
              <w:t>Form of First Preferred Fleet Mortgage</w:t>
            </w:r>
          </w:p>
        </w:tc>
        <w:tc>
          <w:tcPr>
            <w:tcW w:w="34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Exhibit C</w:t>
            </w:r>
          </w:p>
        </w:tc>
        <w:tc>
          <w:tcPr>
            <w:tcW w:w="6480" w:type="dxa"/>
            <w:vAlign w:val="bottom"/>
          </w:tcPr>
          <w:p>
            <w:pPr>
              <w:ind w:left="220"/>
              <w:spacing w:after="0"/>
              <w:rPr>
                <w:sz w:val="20"/>
                <w:szCs w:val="20"/>
                <w:color w:val="auto"/>
              </w:rPr>
            </w:pPr>
            <w:r>
              <w:rPr>
                <w:rFonts w:ascii="Arial" w:cs="Arial" w:eastAsia="Arial" w:hAnsi="Arial"/>
                <w:sz w:val="18"/>
                <w:szCs w:val="18"/>
                <w:color w:val="auto"/>
              </w:rPr>
              <w:t>Form of Guaranty</w:t>
            </w:r>
          </w:p>
        </w:tc>
        <w:tc>
          <w:tcPr>
            <w:tcW w:w="34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Exhibit D</w:t>
            </w:r>
          </w:p>
        </w:tc>
        <w:tc>
          <w:tcPr>
            <w:tcW w:w="6480" w:type="dxa"/>
            <w:vAlign w:val="bottom"/>
          </w:tcPr>
          <w:p>
            <w:pPr>
              <w:ind w:left="220"/>
              <w:spacing w:after="0"/>
              <w:rPr>
                <w:sz w:val="20"/>
                <w:szCs w:val="20"/>
                <w:color w:val="auto"/>
              </w:rPr>
            </w:pPr>
            <w:r>
              <w:rPr>
                <w:rFonts w:ascii="Arial" w:cs="Arial" w:eastAsia="Arial" w:hAnsi="Arial"/>
                <w:sz w:val="18"/>
                <w:szCs w:val="18"/>
                <w:color w:val="auto"/>
              </w:rPr>
              <w:t>Form of Loan Notice</w:t>
            </w:r>
          </w:p>
        </w:tc>
        <w:tc>
          <w:tcPr>
            <w:tcW w:w="34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Exhibit E</w:t>
            </w:r>
          </w:p>
        </w:tc>
        <w:tc>
          <w:tcPr>
            <w:tcW w:w="6480" w:type="dxa"/>
            <w:vAlign w:val="bottom"/>
          </w:tcPr>
          <w:p>
            <w:pPr>
              <w:ind w:left="220"/>
              <w:spacing w:after="0"/>
              <w:rPr>
                <w:sz w:val="20"/>
                <w:szCs w:val="20"/>
                <w:color w:val="auto"/>
              </w:rPr>
            </w:pPr>
            <w:r>
              <w:rPr>
                <w:rFonts w:ascii="Arial" w:cs="Arial" w:eastAsia="Arial" w:hAnsi="Arial"/>
                <w:sz w:val="18"/>
                <w:szCs w:val="18"/>
                <w:color w:val="auto"/>
              </w:rPr>
              <w:t>Form of Administrative Questionnaire</w:t>
            </w:r>
          </w:p>
        </w:tc>
        <w:tc>
          <w:tcPr>
            <w:tcW w:w="34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Exhibit F</w:t>
            </w:r>
          </w:p>
        </w:tc>
        <w:tc>
          <w:tcPr>
            <w:tcW w:w="6480" w:type="dxa"/>
            <w:vAlign w:val="bottom"/>
          </w:tcPr>
          <w:p>
            <w:pPr>
              <w:ind w:left="220"/>
              <w:spacing w:after="0"/>
              <w:rPr>
                <w:sz w:val="20"/>
                <w:szCs w:val="20"/>
                <w:color w:val="auto"/>
              </w:rPr>
            </w:pPr>
            <w:r>
              <w:rPr>
                <w:rFonts w:ascii="Arial" w:cs="Arial" w:eastAsia="Arial" w:hAnsi="Arial"/>
                <w:sz w:val="18"/>
                <w:szCs w:val="18"/>
                <w:color w:val="auto"/>
              </w:rPr>
              <w:t>Form of Assignment and Assumption</w:t>
            </w:r>
          </w:p>
        </w:tc>
        <w:tc>
          <w:tcPr>
            <w:tcW w:w="34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Exhibit G</w:t>
            </w:r>
          </w:p>
        </w:tc>
        <w:tc>
          <w:tcPr>
            <w:tcW w:w="6480" w:type="dxa"/>
            <w:vAlign w:val="bottom"/>
          </w:tcPr>
          <w:p>
            <w:pPr>
              <w:ind w:left="220"/>
              <w:spacing w:after="0"/>
              <w:rPr>
                <w:sz w:val="20"/>
                <w:szCs w:val="20"/>
                <w:color w:val="auto"/>
              </w:rPr>
            </w:pPr>
            <w:r>
              <w:rPr>
                <w:rFonts w:ascii="Arial" w:cs="Arial" w:eastAsia="Arial" w:hAnsi="Arial"/>
                <w:sz w:val="18"/>
                <w:szCs w:val="18"/>
                <w:color w:val="auto"/>
              </w:rPr>
              <w:t>Forms of U.S. Tax Compliance Certificate</w:t>
            </w:r>
          </w:p>
        </w:tc>
        <w:tc>
          <w:tcPr>
            <w:tcW w:w="34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Exhibit H</w:t>
            </w:r>
          </w:p>
        </w:tc>
        <w:tc>
          <w:tcPr>
            <w:tcW w:w="6480" w:type="dxa"/>
            <w:vAlign w:val="bottom"/>
          </w:tcPr>
          <w:p>
            <w:pPr>
              <w:ind w:left="220"/>
              <w:spacing w:after="0"/>
              <w:rPr>
                <w:sz w:val="20"/>
                <w:szCs w:val="20"/>
                <w:color w:val="auto"/>
              </w:rPr>
            </w:pPr>
            <w:r>
              <w:rPr>
                <w:rFonts w:ascii="Arial" w:cs="Arial" w:eastAsia="Arial" w:hAnsi="Arial"/>
                <w:sz w:val="18"/>
                <w:szCs w:val="18"/>
                <w:color w:val="auto"/>
              </w:rPr>
              <w:t>Form of Notice of Loan Prepayment</w:t>
            </w:r>
          </w:p>
        </w:tc>
        <w:tc>
          <w:tcPr>
            <w:tcW w:w="3480" w:type="dxa"/>
            <w:vAlign w:val="bottom"/>
          </w:tcPr>
          <w:p>
            <w:pPr>
              <w:jc w:val="right"/>
              <w:spacing w:after="0"/>
              <w:rPr>
                <w:sz w:val="20"/>
                <w:szCs w:val="20"/>
                <w:color w:val="auto"/>
              </w:rPr>
            </w:pPr>
            <w:r>
              <w:rPr>
                <w:rFonts w:ascii="Arial" w:cs="Arial" w:eastAsia="Arial" w:hAnsi="Arial"/>
                <w:sz w:val="18"/>
                <w:szCs w:val="18"/>
                <w:color w:val="auto"/>
              </w:rPr>
              <w:t>136</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60"/>
          </w:cols>
          <w:pgMar w:left="320" w:top="274" w:right="31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LOAN AND SECURITY AGREEMENT</w:t>
      </w:r>
    </w:p>
    <w:p>
      <w:pPr>
        <w:spacing w:after="0" w:line="229" w:lineRule="exact"/>
        <w:rPr>
          <w:sz w:val="20"/>
          <w:szCs w:val="20"/>
          <w:color w:val="auto"/>
        </w:rPr>
      </w:pPr>
    </w:p>
    <w:p>
      <w:pPr>
        <w:ind w:right="520" w:firstLine="456"/>
        <w:spacing w:after="0" w:line="286" w:lineRule="auto"/>
        <w:rPr>
          <w:sz w:val="20"/>
          <w:szCs w:val="20"/>
          <w:color w:val="auto"/>
        </w:rPr>
      </w:pPr>
      <w:r>
        <w:rPr>
          <w:rFonts w:ascii="Arial" w:cs="Arial" w:eastAsia="Arial" w:hAnsi="Arial"/>
          <w:sz w:val="17"/>
          <w:szCs w:val="17"/>
          <w:color w:val="auto"/>
        </w:rPr>
        <w:t>THIS LOAN AND SECURITY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November 4, 2014, is made by and among GREAT LAKES DREDGE &amp; DOCK CORPORATION,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GREAT LAKES DREDGE &amp; DOCK COMPANY, LLC, a Delaware limited liability company (the “</w:t>
      </w:r>
      <w:r>
        <w:rPr>
          <w:rFonts w:ascii="Arial" w:cs="Arial" w:eastAsia="Arial" w:hAnsi="Arial"/>
          <w:sz w:val="17"/>
          <w:szCs w:val="17"/>
          <w:u w:val="single" w:color="auto"/>
          <w:color w:val="auto"/>
        </w:rPr>
        <w:t>Guarantor</w:t>
      </w:r>
      <w:r>
        <w:rPr>
          <w:rFonts w:ascii="Arial" w:cs="Arial" w:eastAsia="Arial" w:hAnsi="Arial"/>
          <w:sz w:val="17"/>
          <w:szCs w:val="17"/>
          <w:color w:val="auto"/>
        </w:rPr>
        <w:t>”), the Lenders from time to time party hereto and BANK OF AMERICA, N.A., as Administrative Agent.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WHEREAS, the Borrower has made application to the Lenders for a term loan in the aggregate principal amount of $50,000,000, the proceeds of which will be used for the working capital and general corporate purposes of the Borrower and its Subsidiaries, including, without limitation, to finance in part the construction of an articulated tug and dredge;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Guarantor is the sole owner of the Vessels and Equipment (each as hereinafter defined);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Lenders are willing to make such loan to the Borrower, subject to, and upon to the terms and conditions set forth in, this Agreement.</w:t>
      </w:r>
    </w:p>
    <w:p>
      <w:pPr>
        <w:spacing w:after="0" w:line="248"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NOW, THEREFORE, in consideration of the premises and mutual covenants and agreements herein contained, and for other good and valuable consideration, the receipt and sufficiency whereof are hereby acknowledged, and intending to be legally bound hereby, the parties do hereby agree as follows: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ACCOUNTING TERMS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As used in this Agreement, the following terms have the following meanings (such to be equally applicable to the singular and plural forms of the terms defined):</w:t>
      </w:r>
    </w:p>
    <w:p>
      <w:pPr>
        <w:spacing w:after="0" w:line="62"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(or any of its designated branch offices or affiliates) in its capacity as administrative agent under any of the Loan Documents, or any successor administrative agent.</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or such other address or account as the Administrative Agent may from time to time notify the Borrower and the Lenders.</w:t>
      </w:r>
    </w:p>
    <w:p>
      <w:pPr>
        <w:spacing w:after="0" w:line="17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w:t>
      </w:r>
    </w:p>
    <w:p>
      <w:pPr>
        <w:sectPr>
          <w:pgSz w:w="11900" w:h="16838" w:orient="portrait"/>
          <w:cols w:equalWidth="0" w:num="1">
            <w:col w:w="11420"/>
          </w:cols>
          <w:pgMar w:left="240" w:top="274" w:right="23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common Control with the Person specified. “Control”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8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introductory paragraph hereto, as the same may be amended, restated, supplemented or otherwise modified in writing from time to time.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Allocated Percentage Value</w:t>
      </w:r>
      <w:r>
        <w:rPr>
          <w:rFonts w:ascii="Arial" w:cs="Arial" w:eastAsia="Arial" w:hAnsi="Arial"/>
          <w:sz w:val="18"/>
          <w:szCs w:val="18"/>
          <w:color w:val="auto"/>
        </w:rPr>
        <w:t xml:space="preserve">” means the percentage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applicable to each Vessel and the Equipment.</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collectively, all applicable international, foreign, federal, state and local statutes, treaties, conventions,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and decrees of courts or any Governmental Authority.</w:t>
      </w:r>
    </w:p>
    <w:p>
      <w:pPr>
        <w:spacing w:after="0" w:line="187"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with respect to any Lender at any time, the percentage (carried out to the ninth decimal place) of the Facility represented by (i) on or prior to the Closing Date, such Lender’s Commitment at such time and (ii) thereafter, the outstanding principal amount of such Lender’s Loans at such time. The Applicable Percentage of each Lender in respect of the Facility is set forth opposite the name of such Lender on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or in the Assignment and Assumption pursuant to which such Lender becomes a party hereto, as applicable.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Appraiser</w:t>
      </w:r>
      <w:r>
        <w:rPr>
          <w:rFonts w:ascii="Arial" w:cs="Arial" w:eastAsia="Arial" w:hAnsi="Arial"/>
          <w:sz w:val="16"/>
          <w:szCs w:val="16"/>
          <w:color w:val="auto"/>
        </w:rPr>
        <w:t>” means North American Marine Consultants, LLC, or such other appraiser reasonably satisfactory to the Administrative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Eligible Assignee (with the consent of any party whose consent is required by </w:t>
      </w:r>
      <w:r>
        <w:rPr>
          <w:rFonts w:ascii="Arial" w:cs="Arial" w:eastAsia="Arial" w:hAnsi="Arial"/>
          <w:sz w:val="17"/>
          <w:szCs w:val="17"/>
          <w:u w:val="single" w:color="auto"/>
          <w:color w:val="auto"/>
        </w:rPr>
        <w:t>Section 9.13</w:t>
      </w:r>
      <w:r>
        <w:rPr>
          <w:rFonts w:ascii="Arial" w:cs="Arial" w:eastAsia="Arial" w:hAnsi="Arial"/>
          <w:sz w:val="17"/>
          <w:szCs w:val="17"/>
          <w:color w:val="auto"/>
        </w:rPr>
        <w:t xml:space="preserve">), and accepted by the Administrative Agent, in substantially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or any other form (including an electronic documentation form generated by use of an electronic platform) approved by the Administrative Agent.</w:t>
      </w:r>
    </w:p>
    <w:p>
      <w:pPr>
        <w:spacing w:after="0" w:line="166"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Auditors</w:t>
      </w:r>
      <w:r>
        <w:rPr>
          <w:rFonts w:ascii="Arial" w:cs="Arial" w:eastAsia="Arial" w:hAnsi="Arial"/>
          <w:sz w:val="18"/>
          <w:szCs w:val="18"/>
          <w:color w:val="auto"/>
        </w:rPr>
        <w:t>” means Deloitte &amp; Touche LLP or such other independent certified public accounting firm of recognized national standing reasonably acceptable to the Administrative Agent.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BAML</w:t>
      </w:r>
      <w:r>
        <w:rPr>
          <w:rFonts w:ascii="Arial" w:cs="Arial" w:eastAsia="Arial" w:hAnsi="Arial"/>
          <w:sz w:val="18"/>
          <w:szCs w:val="18"/>
          <w:color w:val="auto"/>
        </w:rPr>
        <w:t>” means Banc of America Leasing &amp; Capital, LLC and its successors.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the Bankruptcy Act of 1978, as amended or otherwise modified from time to time.</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Bonding Agreement</w:t>
      </w:r>
      <w:r>
        <w:rPr>
          <w:rFonts w:ascii="Arial" w:cs="Arial" w:eastAsia="Arial" w:hAnsi="Arial"/>
          <w:sz w:val="18"/>
          <w:szCs w:val="18"/>
          <w:color w:val="auto"/>
        </w:rPr>
        <w:t>” means, collectively, the Zurich Agreement and any supplement thereto or replacement thereof, and any similar contractual arrangement entered into by the Borrower or any of its Subsidiaries with providers of bid, performance or payment bonds.</w:t>
      </w:r>
    </w:p>
    <w:p>
      <w:pPr>
        <w:spacing w:after="0" w:line="170"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Bonding Obligations</w:t>
      </w:r>
      <w:r>
        <w:rPr>
          <w:rFonts w:ascii="Arial" w:cs="Arial" w:eastAsia="Arial" w:hAnsi="Arial"/>
          <w:sz w:val="18"/>
          <w:szCs w:val="18"/>
          <w:color w:val="auto"/>
        </w:rPr>
        <w:t>” means (a) obligations incurred by the Borrower and its Subsidiaries (including guaranties thereof) with respect to bid, payment, performance, surety, appeal or similar bonds and completion guaranties in the ordinary course of business and (b) obligations incurred by the Borrower and its Subsidiaries (including guaranties thereof) under any Bonding Agreement.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borrowing consisting of simultaneous Loans.</w:t>
      </w:r>
    </w:p>
    <w:p>
      <w:pPr>
        <w:spacing w:after="0" w:line="225" w:lineRule="exact"/>
        <w:rPr>
          <w:sz w:val="20"/>
          <w:szCs w:val="20"/>
          <w:color w:val="auto"/>
        </w:rPr>
      </w:pPr>
    </w:p>
    <w:p>
      <w:pPr>
        <w:ind w:right="66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other day on which commercial banks are authorized to close under the Applicable Law of, or are in fact closed in, Chicago, Illinois or the state where the Administrative Agent’s Office is located.</w:t>
      </w:r>
    </w:p>
    <w:p>
      <w:pPr>
        <w:spacing w:after="0" w:line="147"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the occurrence, after the Closing Date, of any of the following: (a) the adoption or taking effect of any law, rule, regulation, treaty or convention, (b) any change in any law, rule, regulation, treaty or convention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making of the Loans.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collectively, the Vessels, the Equipment and all other collateral now or hereafter granted to the Administrative Agent, for the benefit of the Secured Parties, as collateral for the Borrower’s Obligations.</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as to each Lender, its obligation to make Loans to the Borrower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in an aggregate principal amount at any one time outstanding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not to exceed the amount set forth opposite such Lender’s name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under the caption “Commitment” or opposite such caption in the Assignment and Assumption pursuant to which such Lender becomes a party hereto, as applicable, as such amount may be adjusted from time to time in accordance with this Agreement. The Commitment of all of the Lenders on the Closing Date shall be $50,000,000.</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7.01(a)</w:t>
      </w:r>
      <w:r>
        <w:rPr>
          <w:rFonts w:ascii="Arial" w:cs="Arial" w:eastAsia="Arial" w:hAnsi="Arial"/>
          <w:sz w:val="18"/>
          <w:szCs w:val="18"/>
          <w:color w:val="auto"/>
        </w:rPr>
        <w:t>.</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which with the giving of notice or lapse of time, or both, would constitute an Event of Default.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the sign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 of America.</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9.13(b)(iii)</w:t>
      </w:r>
      <w:r>
        <w:rPr>
          <w:rFonts w:ascii="Arial" w:cs="Arial" w:eastAsia="Arial" w:hAnsi="Arial"/>
          <w:sz w:val="18"/>
          <w:szCs w:val="18"/>
          <w:color w:val="auto"/>
        </w:rPr>
        <w:t>).</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means any employee benefit plan within the meaning of Section 3(2) of ERISA that is maintained for employees of any Loan Party or any ERISA Affiliate including any Pension Plan that has at any time within the preceding six (6) years been maintained, funded or administered for the employees of any Loan Party or any current or former ERISA Affiliate.</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7"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w:t>
      </w:r>
    </w:p>
    <w:p>
      <w:pPr>
        <w:spacing w:after="0"/>
        <w:rPr>
          <w:sz w:val="20"/>
          <w:szCs w:val="20"/>
          <w:color w:val="auto"/>
        </w:rPr>
      </w:pPr>
      <w:r>
        <w:rPr>
          <w:rFonts w:ascii="Arial" w:cs="Arial" w:eastAsia="Arial" w:hAnsi="Arial"/>
          <w:sz w:val="18"/>
          <w:szCs w:val="18"/>
          <w:color w:val="auto"/>
        </w:rPr>
        <w:t>(c) exposure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08" w:name="page109"/>
    <w:bookmarkEnd w:id="108"/>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20" w:right="20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0" w:lineRule="exact"/>
        <w:rPr>
          <w:sz w:val="20"/>
          <w:szCs w:val="20"/>
          <w:color w:val="auto"/>
        </w:rPr>
      </w:pPr>
    </w:p>
    <w:p>
      <w:pPr>
        <w:ind w:right="26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Equipment</w:t>
      </w:r>
      <w:r>
        <w:rPr>
          <w:rFonts w:ascii="Arial" w:cs="Arial" w:eastAsia="Arial" w:hAnsi="Arial"/>
          <w:sz w:val="17"/>
          <w:szCs w:val="17"/>
          <w:color w:val="auto"/>
        </w:rPr>
        <w:t xml:space="preserve">” means the items, units and groups of personal property, licensed materials and fixtures described in </w:t>
      </w:r>
      <w:r>
        <w:rPr>
          <w:rFonts w:ascii="Arial" w:cs="Arial" w:eastAsia="Arial" w:hAnsi="Arial"/>
          <w:sz w:val="17"/>
          <w:szCs w:val="17"/>
          <w:u w:val="single" w:color="auto"/>
          <w:color w:val="auto"/>
        </w:rPr>
        <w:t>Schedule 4</w:t>
      </w:r>
      <w:r>
        <w:rPr>
          <w:rFonts w:ascii="Arial" w:cs="Arial" w:eastAsia="Arial" w:hAnsi="Arial"/>
          <w:sz w:val="17"/>
          <w:szCs w:val="17"/>
          <w:color w:val="auto"/>
        </w:rPr>
        <w:t xml:space="preserve"> hereto, together with all replacements, parts, additions, improvements, accessories and substitutions therefor in accordance with the terms of this Agreement; and “</w:t>
      </w:r>
      <w:r>
        <w:rPr>
          <w:rFonts w:ascii="Arial" w:cs="Arial" w:eastAsia="Arial" w:hAnsi="Arial"/>
          <w:sz w:val="17"/>
          <w:szCs w:val="17"/>
          <w:u w:val="single" w:color="auto"/>
          <w:color w:val="auto"/>
        </w:rPr>
        <w:t>item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Equipment</w:t>
      </w:r>
      <w:r>
        <w:rPr>
          <w:rFonts w:ascii="Arial" w:cs="Arial" w:eastAsia="Arial" w:hAnsi="Arial"/>
          <w:sz w:val="17"/>
          <w:szCs w:val="17"/>
          <w:color w:val="auto"/>
        </w:rPr>
        <w:t>” means a commercial unit of such property which in commercial usage is treated as a single whole, division of which materially impairs its character or value on the market or in use, and includes each functionally integrated and separately marketable group or unit of Equipment and may be a single article (such as a machine) or a set of articles (such as a suite of furniture or a line of machinery).</w:t>
      </w:r>
    </w:p>
    <w:p>
      <w:pPr>
        <w:spacing w:after="0" w:line="173"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 Utilization Agreement</w:t>
      </w:r>
      <w:r>
        <w:rPr>
          <w:rFonts w:ascii="Arial" w:cs="Arial" w:eastAsia="Arial" w:hAnsi="Arial"/>
          <w:sz w:val="18"/>
          <w:szCs w:val="18"/>
          <w:color w:val="auto"/>
        </w:rPr>
        <w:t>” means the Equipment Utilization Agreement, dated as of the date hereof, among the Borrower, certain Subsidiaries of the Borrower as indemnitors, Wells Fargo Bank, National Association, as Administrative Agent under the Existing Credit Agreement and Zurich, as surety thereunder, as may be amended, restated, supplemented or otherwise modified in writing from time to time in accordance with the terms thereof.</w:t>
      </w:r>
    </w:p>
    <w:p>
      <w:pPr>
        <w:spacing w:after="0" w:line="187"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6.01(l)</w:t>
      </w:r>
      <w:r>
        <w:rPr>
          <w:rFonts w:ascii="Arial" w:cs="Arial" w:eastAsia="Arial" w:hAnsi="Arial"/>
          <w:sz w:val="18"/>
          <w:szCs w:val="18"/>
          <w:color w:val="auto"/>
        </w:rPr>
        <w:t>.</w:t>
      </w:r>
    </w:p>
    <w:p>
      <w:pPr>
        <w:spacing w:after="0" w:line="225"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Person who together with any Loan Party or any of its Subsidiaries is treated as a single employer within the meaning of Section 414(b), (c), (m) or (o) of the Code or Section 4001(b) of ERISA.</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w:t>
      </w:r>
    </w:p>
    <w:p>
      <w:pPr>
        <w:ind w:right="160" w:firstLine="8"/>
        <w:spacing w:after="0" w:line="255" w:lineRule="auto"/>
        <w:tabs>
          <w:tab w:leader="none" w:pos="2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74" w:right="319" w:bottom="1440" w:gutter="0" w:footer="0" w:header="0"/>
        </w:sectPr>
      </w:pPr>
    </w:p>
    <w:bookmarkStart w:id="109" w:name="page110"/>
    <w:bookmarkEnd w:id="109"/>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20" w:right="20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amounts payable to or for the account of such Lender with respect to an applicable interest in a Loan or Commitment pursuant to a law in effect on the date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which (i) such Lender acquires such interest in the Loan or Commitment (other than pursuant to an assignment request by the Borrower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10.01(a)(ii)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amounts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such Taxes were payable either to such Lender’s assignor immediately before such Lender became a party hereto or to such Lender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immediately before it changed its Lending Office, (c) Taxes attributable to such Recipient’s failure to comply with </w:t>
      </w:r>
      <w:r>
        <w:rPr>
          <w:rFonts w:ascii="Arial" w:cs="Arial" w:eastAsia="Arial" w:hAnsi="Arial"/>
          <w:sz w:val="16"/>
          <w:szCs w:val="16"/>
          <w:u w:val="single" w:color="auto"/>
          <w:color w:val="auto"/>
        </w:rPr>
        <w:t>Section 10.01(e)</w:t>
      </w:r>
      <w:r>
        <w:rPr>
          <w:rFonts w:ascii="Arial" w:cs="Arial" w:eastAsia="Arial" w:hAnsi="Arial"/>
          <w:sz w:val="16"/>
          <w:szCs w:val="16"/>
          <w:color w:val="auto"/>
        </w:rPr>
        <w:t xml:space="preserve"> and (d) any U.S. federal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withholding Taxes imposed pursuant to FATCA.</w:t>
      </w:r>
    </w:p>
    <w:p>
      <w:pPr>
        <w:spacing w:after="0" w:line="21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that certain Credit Agreement dated as of June 4, 2012, as amended, restated, supplemented, modified, refinanced or replaced from time to time, by and among Great Lakes Dredge &amp; Dock Corporation, as Borrower, the other Credit Parties party thereto, the financial institutions from time to time party thereto as lenders and Wells Fargo Bank, National Association, as Administrative Agent, Swingline Lender and an Issuing Lender.</w:t>
      </w:r>
    </w:p>
    <w:p>
      <w:pPr>
        <w:spacing w:after="0" w:line="18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at any time, (a) on or prior to the Closing Date, the aggregate amount of the Commitments at such time and (b) thereafter, the aggregate principal amount of the Loans of all Lenders outstanding at such time.</w:t>
      </w:r>
    </w:p>
    <w:p>
      <w:pPr>
        <w:spacing w:after="0" w:line="170" w:lineRule="exact"/>
        <w:rPr>
          <w:sz w:val="20"/>
          <w:szCs w:val="20"/>
          <w:color w:val="auto"/>
        </w:rPr>
      </w:pPr>
    </w:p>
    <w:p>
      <w:pPr>
        <w:ind w:right="5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81"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65" w:lineRule="exact"/>
        <w:rPr>
          <w:sz w:val="20"/>
          <w:szCs w:val="20"/>
          <w:color w:val="auto"/>
        </w:rPr>
      </w:pPr>
    </w:p>
    <w:p>
      <w:pPr>
        <w:jc w:val="both"/>
        <w:ind w:right="16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Lender</w:t>
      </w:r>
      <w:r>
        <w:rPr>
          <w:rFonts w:ascii="Arial" w:cs="Arial" w:eastAsia="Arial" w:hAnsi="Arial"/>
          <w:sz w:val="17"/>
          <w:szCs w:val="17"/>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66"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Fleet Mortgage</w:t>
      </w:r>
      <w:r>
        <w:rPr>
          <w:rFonts w:ascii="Arial" w:cs="Arial" w:eastAsia="Arial" w:hAnsi="Arial"/>
          <w:sz w:val="18"/>
          <w:szCs w:val="18"/>
          <w:color w:val="auto"/>
        </w:rPr>
        <w:t xml:space="preserve">” means the First Preferred Fleet Mortgage,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to be executed and delivered by the Guarantor in favor of the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110" w:name="page111"/>
    <w:bookmarkEnd w:id="110"/>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20" w:right="20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Administrative Agent, for the benefit of the Secured Parties, and recorded with NVDC, as the same may be amended, restated, supplemented or otherwise modified in writing from time to time.</w:t>
      </w:r>
    </w:p>
    <w:p>
      <w:pPr>
        <w:spacing w:after="0" w:line="170"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ind w:right="26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Generally Accepted Accounting Principles</w:t>
      </w:r>
      <w:r>
        <w:rPr>
          <w:rFonts w:ascii="Arial" w:cs="Arial" w:eastAsia="Arial" w:hAnsi="Arial"/>
          <w:sz w:val="17"/>
          <w:szCs w:val="17"/>
          <w:color w:val="auto"/>
        </w:rPr>
        <w:t>” or “</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71"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the Financial Conduct Authority, the Prudential Regulation Authority and any supra-national bodies such as the European Union or the European Central Bank).</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 that certain Guaranty, dated the date hereof, and substantially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pursuant to which the Guarantor shall unconditionally and irrevocably guarantee all Obligations of the Borrower to the Secured Parties, as the same may be amended, restated, supplemented or otherwise modified in writing from time to time.</w:t>
      </w:r>
    </w:p>
    <w:p>
      <w:pPr>
        <w:spacing w:after="0" w:line="18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2.08</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Appraisal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2.08</w:t>
      </w:r>
      <w:r>
        <w:rPr>
          <w:rFonts w:ascii="Arial" w:cs="Arial" w:eastAsia="Arial" w:hAnsi="Arial"/>
          <w:sz w:val="18"/>
          <w:szCs w:val="18"/>
          <w:color w:val="auto"/>
        </w:rPr>
        <w:t>.</w:t>
      </w:r>
    </w:p>
    <w:p>
      <w:pPr>
        <w:spacing w:after="0" w:line="225" w:lineRule="exact"/>
        <w:rPr>
          <w:sz w:val="20"/>
          <w:szCs w:val="20"/>
          <w:color w:val="auto"/>
        </w:rPr>
      </w:pPr>
    </w:p>
    <w:p>
      <w:pPr>
        <w:ind w:right="32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the Borrower under any Loan Document and (b) to the extent not otherwise described in clause (a), Other Taxes.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74" w:right="31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9.06(b)</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9.18</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Appraisal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7.01(s)</w:t>
      </w:r>
      <w:r>
        <w:rPr>
          <w:rFonts w:ascii="Arial" w:cs="Arial" w:eastAsia="Arial" w:hAnsi="Arial"/>
          <w:sz w:val="18"/>
          <w:szCs w:val="18"/>
          <w:color w:val="auto"/>
        </w:rPr>
        <w:t>.</w:t>
      </w:r>
    </w:p>
    <w:p>
      <w:pPr>
        <w:spacing w:after="0" w:line="225"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Insurances</w:t>
      </w:r>
      <w:r>
        <w:rPr>
          <w:rFonts w:ascii="Arial" w:cs="Arial" w:eastAsia="Arial" w:hAnsi="Arial"/>
          <w:sz w:val="16"/>
          <w:szCs w:val="16"/>
          <w:color w:val="auto"/>
        </w:rPr>
        <w:t>” means all policies and contracts of insurance (whether issued in the commercial market or by the United States) and all entries of the Vessels in a protection and indemnity or war risks association or club, which are from time to time taken out or entered into in respect of the Vessels.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ISM Code</w:t>
      </w:r>
      <w:r>
        <w:rPr>
          <w:rFonts w:ascii="Arial" w:cs="Arial" w:eastAsia="Arial" w:hAnsi="Arial"/>
          <w:sz w:val="17"/>
          <w:szCs w:val="17"/>
          <w:color w:val="auto"/>
        </w:rPr>
        <w:t>” means, in relation to its application to the Borrower, any Vessel and its operation, the International Safety Management Code (including the guidelines on its implementation) adopted by the International Maritime Organization (“</w:t>
      </w:r>
      <w:r>
        <w:rPr>
          <w:rFonts w:ascii="Arial" w:cs="Arial" w:eastAsia="Arial" w:hAnsi="Arial"/>
          <w:sz w:val="17"/>
          <w:szCs w:val="17"/>
          <w:u w:val="single" w:color="auto"/>
          <w:color w:val="auto"/>
        </w:rPr>
        <w:t>IMO</w:t>
      </w:r>
      <w:r>
        <w:rPr>
          <w:rFonts w:ascii="Arial" w:cs="Arial" w:eastAsia="Arial" w:hAnsi="Arial"/>
          <w:sz w:val="17"/>
          <w:szCs w:val="17"/>
          <w:color w:val="auto"/>
        </w:rPr>
        <w:t>”) as Resolution A.741(18) and Resolution A.913(22) (superseding Resolution A.788(19)), as the same may be amended, supplemented or replaced from time to time (and the terms “safety management system”, “Safety Management Certificate” and “Document of Compliance” have the meanings specified in the ISM Code).</w:t>
      </w:r>
    </w:p>
    <w:p>
      <w:pPr>
        <w:spacing w:after="0" w:line="171"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ISPS Code</w:t>
      </w:r>
      <w:r>
        <w:rPr>
          <w:rFonts w:ascii="Arial" w:cs="Arial" w:eastAsia="Arial" w:hAnsi="Arial"/>
          <w:sz w:val="18"/>
          <w:szCs w:val="18"/>
          <w:color w:val="auto"/>
        </w:rPr>
        <w:t>” means, in relation to its application to the Borrower, any Vessel and its operation, the International Ship and Port Facility Security Code constituted pursuant to resolution A.924(22) of the IMO adopted by a Diplomatic Conference of the IMO on Maritime Security on 13 December 2002 and now set out in Chapter XI-2 of the Safety of Life at Sea Convention (SOLAS) 1974 (as amended).</w:t>
      </w:r>
    </w:p>
    <w:p>
      <w:pPr>
        <w:spacing w:after="0" w:line="181"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means each of the Persons identified as a “Lender” on the signature pages hereto, each other Person that becomes a “Lender” in accordance with this Agreement and, their successors and assigns.</w:t>
      </w:r>
    </w:p>
    <w:p>
      <w:pPr>
        <w:spacing w:after="0" w:line="17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the Administrative Agent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spacing w:after="0" w:line="181"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xml:space="preserve">” means, with respect to any asset, any mortgage, leasehold mortgage, lien, pledge, charge, security interest, hypothecation or encumbrance of any kind in respect of such asset. For the purposes of this Agreement, a Person shall be deemed to own subject to a Lien any asset which it has acquired or holds subject to the interest of a vendor or lessor under any conditional sale agreement, capital lease or other title retention agreement relating to such asset;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 operating lease in and of itself be deemed a Lien regardless of GAAP treatment.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2" w:name="page113"/>
    <w:bookmarkEnd w:id="112"/>
    <w:p>
      <w:pPr>
        <w:jc w:val="center"/>
        <w:ind w:right="-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00" w:right="22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advance made by a Lender to the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25"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 collectively, this Agreement, the Notes, the Fleet Mortgage, the Guaranty, and all other documents now or hereafter executed and delivered, to evidence, secure, or guarantee, or in connection with, this Agreement.</w:t>
      </w:r>
    </w:p>
    <w:p>
      <w:pPr>
        <w:spacing w:after="0" w:line="170"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Notice</w:t>
      </w:r>
      <w:r>
        <w:rPr>
          <w:rFonts w:ascii="Arial" w:cs="Arial" w:eastAsia="Arial" w:hAnsi="Arial"/>
          <w:sz w:val="18"/>
          <w:szCs w:val="18"/>
          <w:color w:val="auto"/>
        </w:rPr>
        <w:t xml:space="preserve">” means a notice of the Borrowing, which shall be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the Guarantor.</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effect on the properties, business, operations, assets, liabilities or condition (financial or otherwise) of the Borrower and its Subsidiaries, taken as a whole, (b) a material impairment of the rights and remedies of the Administrative Agent or any Lender under any Loan Document or (c) a material impairment of the legality, validity, binding effect or enforceability against any Loan Party of any Loan Document to which it is a party.</w:t>
      </w:r>
    </w:p>
    <w:p>
      <w:pPr>
        <w:spacing w:after="0" w:line="187"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November 4, 2019,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is not a Business Day, the Maturity Date shall be the next preceding Business Day.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Orderly Liquidation Value Percentage</w:t>
      </w:r>
      <w:r>
        <w:rPr>
          <w:rFonts w:ascii="Arial" w:cs="Arial" w:eastAsia="Arial" w:hAnsi="Arial"/>
          <w:sz w:val="18"/>
          <w:szCs w:val="18"/>
          <w:color w:val="auto"/>
        </w:rPr>
        <w:t>” shall mean 125%.</w:t>
      </w:r>
    </w:p>
    <w:p>
      <w:pPr>
        <w:spacing w:after="0" w:line="225" w:lineRule="exact"/>
        <w:rPr>
          <w:sz w:val="20"/>
          <w:szCs w:val="20"/>
          <w:color w:val="auto"/>
        </w:rPr>
      </w:pPr>
    </w:p>
    <w:p>
      <w:pPr>
        <w:ind w:right="58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 “multiemployer plan” as defined in Section 4001(a)(3) of ERISA to which any Loan Party or any ERISA Affiliate is making, or is accruing an obligation to make, or has accrued an obligation to make contributions within the preceding six (6) years.</w:t>
      </w:r>
    </w:p>
    <w:p>
      <w:pPr>
        <w:spacing w:after="0" w:line="124" w:lineRule="exact"/>
        <w:rPr>
          <w:sz w:val="20"/>
          <w:szCs w:val="20"/>
          <w:color w:val="auto"/>
        </w:rPr>
      </w:pPr>
    </w:p>
    <w:p>
      <w:pPr>
        <w:ind w:right="48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and (b) has been approved by the Required Lenders.</w:t>
      </w:r>
    </w:p>
    <w:p>
      <w:pPr>
        <w:spacing w:after="0" w:line="124"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made by the Borrower in favor of a Lender evidencing Loans made by such Lender,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as the same may be amended, restated, supplemented or otherwise modified in writing from time to time.</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Loan Prepayment</w:t>
      </w:r>
      <w:r>
        <w:rPr>
          <w:rFonts w:ascii="Arial" w:cs="Arial" w:eastAsia="Arial" w:hAnsi="Arial"/>
          <w:sz w:val="18"/>
          <w:szCs w:val="18"/>
          <w:color w:val="auto"/>
        </w:rPr>
        <w:t xml:space="preserve">” means a notice of prepayment with respect to a Loan, which shall be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NVDC</w:t>
      </w:r>
      <w:r>
        <w:rPr>
          <w:rFonts w:ascii="Arial" w:cs="Arial" w:eastAsia="Arial" w:hAnsi="Arial"/>
          <w:sz w:val="18"/>
          <w:szCs w:val="18"/>
          <w:color w:val="auto"/>
        </w:rPr>
        <w:t>” means the National Vessel Documentation Center, U.S. Coast Guard, located in Falling Waters, West Virginia.</w:t>
      </w:r>
    </w:p>
    <w:p>
      <w:pPr>
        <w:spacing w:after="0" w:line="225"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w:t>
      </w:r>
      <w:r>
        <w:rPr>
          <w:rFonts w:ascii="Arial" w:cs="Arial" w:eastAsia="Arial" w:hAnsi="Arial"/>
          <w:sz w:val="17"/>
          <w:szCs w:val="17"/>
          <w:color w:val="auto"/>
        </w:rPr>
        <w:t>” means (a) all advances to, and debts, liabilities, obligations, covenants and duties of, any Loan Party arising under any Loan Document or otherwise with respect to any Loan and (b) all costs and expenses incurred in connection with the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and fees that accrue after the commencement by or against any Loan Party or any Affiliate thereof pursuant to any proceeding under any Debtor Relief Laws naming such Person as the debtor in such proceeding, regardless of whether such interest and fees are allowed claims in such proceeding. For purposes hereof, the Borrower’s Obligations under the Loan Documents include, without limitation, the timely payment of all (i) principal, interest, Prepayment Fees, late charges, certain other fees and expenses (including, without limitation, reasonable attorneys’ fees and expenses), disbursements, indemnities and any other amounts payable by the Borrower to the Lenders or the Administrative Agent, including, but not limited to, those under or pursuant to the Loan Documents; and (ii) any amount which the Lenders and the Administrative Agent, in their sole discretion, may elect to pay or advance on the behalf of any Loan Party pursuant to and in accordance with the terms of the Loan Documents.</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Orderly Liquidation Value</w:t>
      </w:r>
      <w:r>
        <w:rPr>
          <w:rFonts w:ascii="Arial" w:cs="Arial" w:eastAsia="Arial" w:hAnsi="Arial"/>
          <w:sz w:val="18"/>
          <w:szCs w:val="18"/>
          <w:color w:val="auto"/>
        </w:rPr>
        <w:t>” means the orderly liquidation value of the Collateral, as determined by an Approved Appraiser.</w:t>
      </w:r>
    </w:p>
    <w:p>
      <w:pPr>
        <w:spacing w:after="0" w:line="225" w:lineRule="exact"/>
        <w:rPr>
          <w:sz w:val="20"/>
          <w:szCs w:val="20"/>
          <w:color w:val="auto"/>
        </w:rPr>
      </w:pPr>
    </w:p>
    <w:p>
      <w:pPr>
        <w:ind w:right="42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10.04</w:t>
      </w:r>
      <w:r>
        <w:rPr>
          <w:rFonts w:ascii="Arial" w:cs="Arial" w:eastAsia="Arial" w:hAnsi="Arial"/>
          <w:sz w:val="18"/>
          <w:szCs w:val="18"/>
          <w:color w:val="auto"/>
        </w:rPr>
        <w:t>).</w:t>
      </w:r>
    </w:p>
    <w:p>
      <w:pPr>
        <w:spacing w:after="0" w:line="18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with respect to Loans, the aggregate outstanding principal amount thereof after giving effect to any borrowings and prepayments or repayments of Loans, as the case may be, occurring on such date.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9.13(d)</w:t>
      </w:r>
      <w:r>
        <w:rPr>
          <w:rFonts w:ascii="Arial" w:cs="Arial" w:eastAsia="Arial" w:hAnsi="Arial"/>
          <w:sz w:val="18"/>
          <w:szCs w:val="18"/>
          <w:color w:val="auto"/>
        </w:rPr>
        <w:t>.</w:t>
      </w:r>
    </w:p>
    <w:p>
      <w:pPr>
        <w:spacing w:after="0" w:line="225" w:lineRule="exact"/>
        <w:rPr>
          <w:sz w:val="20"/>
          <w:szCs w:val="20"/>
          <w:color w:val="auto"/>
        </w:rPr>
      </w:pPr>
    </w:p>
    <w:p>
      <w:pPr>
        <w:jc w:val="right"/>
        <w:ind w:right="5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9.13(d)</w:t>
      </w:r>
      <w:r>
        <w:rPr>
          <w:rFonts w:ascii="Arial" w:cs="Arial" w:eastAsia="Arial" w:hAnsi="Arial"/>
          <w:sz w:val="18"/>
          <w:szCs w:val="18"/>
          <w:color w:val="auto"/>
        </w:rPr>
        <w:t>.</w:t>
      </w:r>
    </w:p>
    <w:p>
      <w:pPr>
        <w:spacing w:after="0" w:line="158" w:lineRule="exact"/>
        <w:rPr>
          <w:sz w:val="20"/>
          <w:szCs w:val="20"/>
          <w:color w:val="auto"/>
        </w:rPr>
      </w:pPr>
    </w:p>
    <w:p>
      <w:pPr>
        <w:jc w:val="right"/>
        <w:ind w:righ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agency.</w:t>
      </w:r>
    </w:p>
    <w:p>
      <w:pPr>
        <w:spacing w:after="0" w:line="225"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Benefit Plan, other than a Multiemployer Plan, which is subject to the provisions of Title IV of ERISA or Section 412 of the Code and which (a) is maintained, funded or administered for the employees of any Loan Party or any ERISA Affiliate or (b) has at any time within the preceding six (6) years been maintained, funded or administered for the employees of any Loan Party or any current or former ERISA Affiliates.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117" w:lineRule="exact"/>
        <w:rPr>
          <w:sz w:val="20"/>
          <w:szCs w:val="20"/>
          <w:color w:val="auto"/>
        </w:rPr>
      </w:pPr>
    </w:p>
    <w:p>
      <w:pPr>
        <w:ind w:left="1160" w:hanging="239"/>
        <w:spacing w:after="0"/>
        <w:tabs>
          <w:tab w:leader="none" w:pos="11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Liens created pursuant to the Loan Documents;</w:t>
      </w:r>
    </w:p>
    <w:p>
      <w:pPr>
        <w:spacing w:after="0" w:line="225" w:lineRule="exact"/>
        <w:rPr>
          <w:rFonts w:ascii="Arial" w:cs="Arial" w:eastAsia="Arial" w:hAnsi="Arial"/>
          <w:sz w:val="18"/>
          <w:szCs w:val="18"/>
          <w:color w:val="auto"/>
        </w:rPr>
      </w:pPr>
    </w:p>
    <w:p>
      <w:pPr>
        <w:ind w:right="760" w:firstLine="921"/>
        <w:spacing w:after="0" w:line="277" w:lineRule="auto"/>
        <w:tabs>
          <w:tab w:leader="none" w:pos="1168"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Liens in existence on the Closing Date and described on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and any modifications, replacements, renewals, refinancings or extensions thereof;</w:t>
      </w:r>
    </w:p>
    <w:p>
      <w:pPr>
        <w:spacing w:after="0" w:line="170" w:lineRule="exact"/>
        <w:rPr>
          <w:rFonts w:ascii="Arial" w:cs="Arial" w:eastAsia="Arial" w:hAnsi="Arial"/>
          <w:sz w:val="18"/>
          <w:szCs w:val="18"/>
          <w:color w:val="auto"/>
        </w:rPr>
      </w:pPr>
    </w:p>
    <w:p>
      <w:pPr>
        <w:ind w:right="320" w:firstLine="921"/>
        <w:spacing w:after="0" w:line="291" w:lineRule="auto"/>
        <w:tabs>
          <w:tab w:leader="none" w:pos="1158" w:val="left"/>
        </w:tabs>
        <w:numPr>
          <w:ilvl w:val="1"/>
          <w:numId w:val="96"/>
        </w:numPr>
        <w:rPr>
          <w:rFonts w:ascii="Arial" w:cs="Arial" w:eastAsia="Arial" w:hAnsi="Arial"/>
          <w:sz w:val="16"/>
          <w:szCs w:val="16"/>
          <w:color w:val="auto"/>
        </w:rPr>
      </w:pPr>
      <w:r>
        <w:rPr>
          <w:rFonts w:ascii="Arial" w:cs="Arial" w:eastAsia="Arial" w:hAnsi="Arial"/>
          <w:sz w:val="16"/>
          <w:szCs w:val="16"/>
          <w:color w:val="auto"/>
        </w:rPr>
        <w:t>Liens for taxes, assessments and other governmental charges or levies (excluding any Lien imposed pursuant to any of the provisions of ERISA or Environmental Laws) (i) not yet due or as to which the period of grace (not to exceed thirty (30) days), if any, related thereto has not expired or</w:t>
      </w:r>
    </w:p>
    <w:p>
      <w:pPr>
        <w:ind w:right="20" w:firstLine="8"/>
        <w:spacing w:after="0" w:line="261" w:lineRule="auto"/>
        <w:tabs>
          <w:tab w:leader="none" w:pos="265"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which are being contested in good faith and by appropriate proceedings being diligently pursued if adequate reserves are maintained to the extent required by GAAP;</w:t>
      </w:r>
    </w:p>
    <w:p>
      <w:pPr>
        <w:spacing w:after="0" w:line="183" w:lineRule="exact"/>
        <w:rPr>
          <w:rFonts w:ascii="Arial" w:cs="Arial" w:eastAsia="Arial" w:hAnsi="Arial"/>
          <w:sz w:val="18"/>
          <w:szCs w:val="18"/>
          <w:color w:val="auto"/>
        </w:rPr>
      </w:pPr>
    </w:p>
    <w:p>
      <w:pPr>
        <w:ind w:right="260" w:firstLine="921"/>
        <w:spacing w:after="0" w:line="297" w:lineRule="auto"/>
        <w:tabs>
          <w:tab w:leader="none" w:pos="1168" w:val="left"/>
        </w:tabs>
        <w:numPr>
          <w:ilvl w:val="1"/>
          <w:numId w:val="97"/>
        </w:numPr>
        <w:rPr>
          <w:rFonts w:ascii="Arial" w:cs="Arial" w:eastAsia="Arial" w:hAnsi="Arial"/>
          <w:sz w:val="16"/>
          <w:szCs w:val="16"/>
          <w:color w:val="auto"/>
        </w:rPr>
      </w:pPr>
      <w:r>
        <w:rPr>
          <w:rFonts w:ascii="Arial" w:cs="Arial" w:eastAsia="Arial" w:hAnsi="Arial"/>
          <w:sz w:val="16"/>
          <w:szCs w:val="16"/>
          <w:color w:val="auto"/>
        </w:rPr>
        <w:t>Liens of landlords, carriers, warehousemen, mechanics, materialmen, repairmen, construction contractors or other like Liens (including, without limitation, Liens for crew’s wages, and salvage (including contract salvage) and for repairs, supplies, bunkers, services, wharfage, harbor dues and canal tolls) arising in the ordinary course of business which secure amounts not overdue for a period of more than sixty (60) days or if more than sixty (60) days overdue, are unfiled and no other action has been taken to enforce such Lien or which are being contested in good faith and by appropriate proceedings being diligently pursued, if adequate reserves with respect thereto are maintained on the books of the Borrower or its Subsidiaries;</w:t>
      </w:r>
    </w:p>
    <w:p>
      <w:pPr>
        <w:spacing w:after="0" w:line="158" w:lineRule="exact"/>
        <w:rPr>
          <w:rFonts w:ascii="Arial" w:cs="Arial" w:eastAsia="Arial" w:hAnsi="Arial"/>
          <w:sz w:val="16"/>
          <w:szCs w:val="16"/>
          <w:color w:val="auto"/>
        </w:rPr>
      </w:pPr>
    </w:p>
    <w:p>
      <w:pPr>
        <w:ind w:firstLine="921"/>
        <w:spacing w:after="0" w:line="255" w:lineRule="auto"/>
        <w:tabs>
          <w:tab w:leader="none" w:pos="1158"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deposits or pledges made in the ordinary course of business (including, without limitation, surety bonds and appeal bonds) in connection with, or to secure payment of, obligations under workers’ compensation, unemployment insurance and other types of social security or similar legislation, or to secure the performance of bids, trade contracts, government contracts, leases (other than Indebtedness), statutory obligations, surety bonds (other than bonds related to judgments or litigation), performance bonds and other obligations of a like nature or arising as a result of progress payments under government contracts (including (i) those to secure health, safety and environmental obligations and (ii) those required or requested by any Governmental Authority) incurred in the ordinary course of business;</w:t>
      </w:r>
    </w:p>
    <w:p>
      <w:pPr>
        <w:spacing w:after="0" w:line="193" w:lineRule="exact"/>
        <w:rPr>
          <w:rFonts w:ascii="Arial" w:cs="Arial" w:eastAsia="Arial" w:hAnsi="Arial"/>
          <w:sz w:val="18"/>
          <w:szCs w:val="18"/>
          <w:color w:val="auto"/>
        </w:rPr>
      </w:pPr>
    </w:p>
    <w:p>
      <w:pPr>
        <w:ind w:right="160" w:firstLine="921"/>
        <w:spacing w:after="0" w:line="264" w:lineRule="auto"/>
        <w:tabs>
          <w:tab w:leader="none" w:pos="1138" w:val="left"/>
        </w:tabs>
        <w:numPr>
          <w:ilvl w:val="1"/>
          <w:numId w:val="97"/>
        </w:numPr>
        <w:rPr>
          <w:rFonts w:ascii="Arial" w:cs="Arial" w:eastAsia="Arial" w:hAnsi="Arial"/>
          <w:sz w:val="18"/>
          <w:szCs w:val="18"/>
          <w:color w:val="auto"/>
        </w:rPr>
      </w:pPr>
      <w:r>
        <w:rPr>
          <w:rFonts w:ascii="Arial" w:cs="Arial" w:eastAsia="Arial" w:hAnsi="Arial"/>
          <w:sz w:val="18"/>
          <w:szCs w:val="18"/>
          <w:color w:val="auto"/>
        </w:rPr>
        <w:t>easements, rights-of-way, restrictions (including zoning restrictions), encroachments, protrusions and other similar encumbrances and minor title defects affecting real property which, in the aggregate, do not materially interfere with the ordinary conduct of the business of the Borrower and its Subsidiaries;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15" w:name="page116"/>
    <w:bookmarkEnd w:id="115"/>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80" w:right="24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720" w:firstLine="921"/>
        <w:spacing w:after="0" w:line="277" w:lineRule="auto"/>
        <w:tabs>
          <w:tab w:leader="none" w:pos="1168" w:val="left"/>
        </w:tabs>
        <w:numPr>
          <w:ilvl w:val="0"/>
          <w:numId w:val="98"/>
        </w:numPr>
        <w:rPr>
          <w:rFonts w:ascii="Arial" w:cs="Arial" w:eastAsia="Arial" w:hAnsi="Arial"/>
          <w:sz w:val="18"/>
          <w:szCs w:val="18"/>
          <w:color w:val="auto"/>
        </w:rPr>
      </w:pPr>
      <w:r>
        <w:rPr>
          <w:rFonts w:ascii="Arial" w:cs="Arial" w:eastAsia="Arial" w:hAnsi="Arial"/>
          <w:sz w:val="18"/>
          <w:szCs w:val="18"/>
          <w:color w:val="auto"/>
        </w:rPr>
        <w:t>Liens arising from the filing of precautionary UCC financing statements relating to leases entered into by the Borrower or any of its Subsidiaries in the ordinary course of business;</w:t>
      </w:r>
    </w:p>
    <w:p>
      <w:pPr>
        <w:spacing w:after="0" w:line="170" w:lineRule="exact"/>
        <w:rPr>
          <w:rFonts w:ascii="Arial" w:cs="Arial" w:eastAsia="Arial" w:hAnsi="Arial"/>
          <w:sz w:val="18"/>
          <w:szCs w:val="18"/>
          <w:color w:val="auto"/>
        </w:rPr>
      </w:pPr>
    </w:p>
    <w:p>
      <w:pPr>
        <w:ind w:right="260" w:firstLine="921"/>
        <w:spacing w:after="0" w:line="277" w:lineRule="auto"/>
        <w:tabs>
          <w:tab w:leader="none" w:pos="1168"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or securing appeal or other surety bonds relating to such judgments;</w:t>
      </w:r>
    </w:p>
    <w:p>
      <w:pPr>
        <w:spacing w:after="0" w:line="170" w:lineRule="exact"/>
        <w:rPr>
          <w:rFonts w:ascii="Arial" w:cs="Arial" w:eastAsia="Arial" w:hAnsi="Arial"/>
          <w:sz w:val="18"/>
          <w:szCs w:val="18"/>
          <w:color w:val="auto"/>
        </w:rPr>
      </w:pPr>
    </w:p>
    <w:p>
      <w:pPr>
        <w:ind w:right="80" w:firstLine="921"/>
        <w:spacing w:after="0" w:line="264" w:lineRule="auto"/>
        <w:tabs>
          <w:tab w:leader="none" w:pos="1128"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Liens of a collecting bank arising in the ordinary course of business under Section 4-210 of the Uniform Commercial Code in effect in the relevant jurisdiction and (ii) Liens of any depositary bank in connection with statutory, common law and contractual rights of set-off and recoupment with respect to any deposit account of any Borrower or any Subsidiary thereof;</w:t>
      </w:r>
    </w:p>
    <w:p>
      <w:pPr>
        <w:spacing w:after="0" w:line="181" w:lineRule="exact"/>
        <w:rPr>
          <w:rFonts w:ascii="Arial" w:cs="Arial" w:eastAsia="Arial" w:hAnsi="Arial"/>
          <w:sz w:val="18"/>
          <w:szCs w:val="18"/>
          <w:color w:val="auto"/>
        </w:rPr>
      </w:pPr>
    </w:p>
    <w:p>
      <w:pPr>
        <w:ind w:firstLine="921"/>
        <w:spacing w:after="0" w:line="264" w:lineRule="auto"/>
        <w:tabs>
          <w:tab w:leader="none" w:pos="1128"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contractual or statutory Liens of landlords to the extent relating to the property and assets relating to any lease agreements with such landlord, and (ii) contractual Liens of suppliers (including sellers of goods) or customers granted in the ordinary course of business to the extent limited to the property or assets relating to such contract;</w:t>
      </w:r>
    </w:p>
    <w:p>
      <w:pPr>
        <w:spacing w:after="0" w:line="181" w:lineRule="exact"/>
        <w:rPr>
          <w:rFonts w:ascii="Arial" w:cs="Arial" w:eastAsia="Arial" w:hAnsi="Arial"/>
          <w:sz w:val="18"/>
          <w:szCs w:val="18"/>
          <w:color w:val="auto"/>
        </w:rPr>
      </w:pPr>
    </w:p>
    <w:p>
      <w:pPr>
        <w:ind w:right="20" w:firstLine="921"/>
        <w:spacing w:after="0" w:line="255" w:lineRule="auto"/>
        <w:tabs>
          <w:tab w:leader="none" w:pos="1168" w:val="left"/>
        </w:tabs>
        <w:numPr>
          <w:ilvl w:val="0"/>
          <w:numId w:val="98"/>
        </w:numPr>
        <w:rPr>
          <w:rFonts w:ascii="Arial" w:cs="Arial" w:eastAsia="Arial" w:hAnsi="Arial"/>
          <w:sz w:val="18"/>
          <w:szCs w:val="18"/>
          <w:color w:val="auto"/>
        </w:rPr>
      </w:pPr>
      <w:r>
        <w:rPr>
          <w:rFonts w:ascii="Arial" w:cs="Arial" w:eastAsia="Arial" w:hAnsi="Arial"/>
          <w:sz w:val="18"/>
          <w:szCs w:val="18"/>
          <w:color w:val="auto"/>
        </w:rPr>
        <w:t>leases or subleases (including bareboat charters) of property other than Collateral, or property that would constitute Collateral, by the Borrower or any of its Subsidiaries as lessor or sublessor, provided that such leases and subleases do not interfere in any material respect with the businesses of the Borrower and its Subsidiaries, and are not otherwise prohibited under the other terms of this Agreement, and leases or subleases (including bareboat charters) of property constituting, or that would constitute, Collateral, provided that such leases and subleases do not interfere in any material respect with the businesses of the Borrower and its Subsidiaries, are not otherwise prohibited under the other terms of this Agreement and are made in the ordinary course of business;</w:t>
      </w:r>
    </w:p>
    <w:p>
      <w:pPr>
        <w:spacing w:after="0" w:line="193" w:lineRule="exact"/>
        <w:rPr>
          <w:rFonts w:ascii="Arial" w:cs="Arial" w:eastAsia="Arial" w:hAnsi="Arial"/>
          <w:sz w:val="18"/>
          <w:szCs w:val="18"/>
          <w:color w:val="auto"/>
        </w:rPr>
      </w:pPr>
    </w:p>
    <w:p>
      <w:pPr>
        <w:ind w:right="220" w:firstLine="921"/>
        <w:spacing w:after="0" w:line="264" w:lineRule="auto"/>
        <w:tabs>
          <w:tab w:leader="none" w:pos="1128" w:val="left"/>
        </w:tabs>
        <w:numPr>
          <w:ilvl w:val="0"/>
          <w:numId w:val="98"/>
        </w:numPr>
        <w:rPr>
          <w:rFonts w:ascii="Arial" w:cs="Arial" w:eastAsia="Arial" w:hAnsi="Arial"/>
          <w:sz w:val="18"/>
          <w:szCs w:val="18"/>
          <w:color w:val="auto"/>
        </w:rPr>
      </w:pPr>
      <w:r>
        <w:rPr>
          <w:rFonts w:ascii="Arial" w:cs="Arial" w:eastAsia="Arial" w:hAnsi="Arial"/>
          <w:sz w:val="18"/>
          <w:szCs w:val="18"/>
          <w:color w:val="auto"/>
        </w:rPr>
        <w:t>Liens granted to sureties under any Bonding Agreement or to secure any Bonding Obligations, or Liens that could, pursuant to the terms of any Bonding Agreement, attach as security for any Bonding Obligation upon the satisfaction of conditions or events described in the relevant Bonding Agreement;</w:t>
      </w:r>
    </w:p>
    <w:p>
      <w:pPr>
        <w:spacing w:after="0" w:line="181" w:lineRule="exact"/>
        <w:rPr>
          <w:rFonts w:ascii="Arial" w:cs="Arial" w:eastAsia="Arial" w:hAnsi="Arial"/>
          <w:sz w:val="18"/>
          <w:szCs w:val="18"/>
          <w:color w:val="auto"/>
        </w:rPr>
      </w:pPr>
    </w:p>
    <w:p>
      <w:pPr>
        <w:ind w:right="60" w:firstLine="921"/>
        <w:spacing w:after="0" w:line="277" w:lineRule="auto"/>
        <w:tabs>
          <w:tab w:leader="none" w:pos="1218" w:val="left"/>
        </w:tabs>
        <w:numPr>
          <w:ilvl w:val="0"/>
          <w:numId w:val="98"/>
        </w:numPr>
        <w:rPr>
          <w:rFonts w:ascii="Arial" w:cs="Arial" w:eastAsia="Arial" w:hAnsi="Arial"/>
          <w:sz w:val="18"/>
          <w:szCs w:val="18"/>
          <w:color w:val="auto"/>
        </w:rPr>
      </w:pPr>
      <w:r>
        <w:rPr>
          <w:rFonts w:ascii="Arial" w:cs="Arial" w:eastAsia="Arial" w:hAnsi="Arial"/>
          <w:sz w:val="18"/>
          <w:szCs w:val="18"/>
          <w:color w:val="auto"/>
        </w:rPr>
        <w:t>Liens arising by operation of law or by contract in each case encumbering insurance policies and proceeds thereof to secure the financing of premiums payable under such policies; and</w:t>
      </w:r>
    </w:p>
    <w:p>
      <w:pPr>
        <w:spacing w:after="0" w:line="170" w:lineRule="exact"/>
        <w:rPr>
          <w:rFonts w:ascii="Arial" w:cs="Arial" w:eastAsia="Arial" w:hAnsi="Arial"/>
          <w:sz w:val="18"/>
          <w:szCs w:val="18"/>
          <w:color w:val="auto"/>
        </w:rPr>
      </w:pPr>
    </w:p>
    <w:p>
      <w:pPr>
        <w:ind w:right="340" w:firstLine="921"/>
        <w:spacing w:after="0" w:line="308" w:lineRule="auto"/>
        <w:tabs>
          <w:tab w:leader="none" w:pos="1168" w:val="left"/>
        </w:tabs>
        <w:numPr>
          <w:ilvl w:val="0"/>
          <w:numId w:val="98"/>
        </w:numPr>
        <w:rPr>
          <w:rFonts w:ascii="Arial" w:cs="Arial" w:eastAsia="Arial" w:hAnsi="Arial"/>
          <w:sz w:val="17"/>
          <w:szCs w:val="17"/>
          <w:color w:val="auto"/>
        </w:rPr>
      </w:pPr>
      <w:r>
        <w:rPr>
          <w:rFonts w:ascii="Arial" w:cs="Arial" w:eastAsia="Arial" w:hAnsi="Arial"/>
          <w:sz w:val="17"/>
          <w:szCs w:val="17"/>
          <w:color w:val="auto"/>
        </w:rPr>
        <w:t>Liens pursuant to a purchase agreement or sale agreement securing the obligations under such purchase agreement or sale agreement and encumbering solely the assets that are to be sold in any asset disposition permitted or not otherwise prohibited by this Agreement.</w:t>
      </w:r>
    </w:p>
    <w:p>
      <w:pPr>
        <w:spacing w:after="0" w:line="14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natural person, partnership, corporation (including a business trust), limited liability company, joint stock company, trust, unincorporated association, joint venture or other entity, or a government or any political subdivision or agency thereof, or any other entity, whether acting in an individual, fiduciary or other capacity.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7.01(a)</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Prepayment Fee</w:t>
      </w:r>
      <w:r>
        <w:rPr>
          <w:rFonts w:ascii="Arial" w:cs="Arial" w:eastAsia="Arial" w:hAnsi="Arial"/>
          <w:sz w:val="16"/>
          <w:szCs w:val="16"/>
          <w:color w:val="auto"/>
        </w:rPr>
        <w:t xml:space="preserve">” shall be an amount equal to the aggregate principal amount of the Loans being prepaid </w:t>
      </w:r>
      <w:r>
        <w:rPr>
          <w:rFonts w:ascii="Arial" w:cs="Arial" w:eastAsia="Arial" w:hAnsi="Arial"/>
          <w:sz w:val="16"/>
          <w:szCs w:val="16"/>
          <w:u w:val="single" w:color="auto"/>
          <w:color w:val="auto"/>
        </w:rPr>
        <w:t>multiplied by</w:t>
      </w:r>
      <w:r>
        <w:rPr>
          <w:rFonts w:ascii="Arial" w:cs="Arial" w:eastAsia="Arial" w:hAnsi="Arial"/>
          <w:sz w:val="16"/>
          <w:szCs w:val="16"/>
          <w:color w:val="auto"/>
        </w:rPr>
        <w:t>: two percent (2.0 %) (for prepayments occurring prior to the first anniversary of the date hereof); one and one-half percent (1.5 %) (for prepayments occurring on and after the first anniversary of the date hereof but prior to the second anniversary of the date hereof); one percent (1.0 %) (for prepayments occurring on and after the second anniversary of the date hereof but prior to the third anniversary of the date hereof); three-quarters percent (0.75 %) (for prepayments occurring on and after the third anniversary of the date hereof but prior to the fourth anniversary of the date hereof); one-quarter percent (0.25 %) (for prepayments occurring on and after the fourth anniversary of the date hereof but prior to six months prior to the fifth anniversary of the date hereof); and zero percent (0.0%) thereafter.</w:t>
      </w:r>
    </w:p>
    <w:p>
      <w:pPr>
        <w:spacing w:after="0" w:line="165"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Protection and Indemnity Risks</w:t>
      </w:r>
      <w:r>
        <w:rPr>
          <w:rFonts w:ascii="Arial" w:cs="Arial" w:eastAsia="Arial" w:hAnsi="Arial"/>
          <w:sz w:val="18"/>
          <w:szCs w:val="18"/>
          <w:color w:val="auto"/>
        </w:rPr>
        <w:t>” means the usual risks covered by a protection and indemnity association or club including the portion not recoverable in case of collision under the ordinary running-down clause.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7.01(a)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or any Lender.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9.13(c)</w:t>
      </w:r>
      <w:r>
        <w:rPr>
          <w:rFonts w:ascii="Arial" w:cs="Arial" w:eastAsia="Arial" w:hAnsi="Arial"/>
          <w:sz w:val="18"/>
          <w:szCs w:val="18"/>
          <w:color w:val="auto"/>
        </w:rPr>
        <w:t>.</w:t>
      </w:r>
    </w:p>
    <w:p>
      <w:pPr>
        <w:spacing w:after="0" w:line="225"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at least two (2) Lenders having Total Credit Exposures representing more than 50% of the Total Credit Exposures of all Lenders.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11.06(a)</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xml:space="preserve">” means the chief executive officer, president, chief operating officer, executive vice president, senior vice president, chief financial officer, treasurer, assistant treasurer or controller of a Loan Party, and solely for purposes of the delivery of incumbency certificates pursuant to </w:t>
      </w:r>
      <w:r>
        <w:rPr>
          <w:rFonts w:ascii="Arial" w:cs="Arial" w:eastAsia="Arial" w:hAnsi="Arial"/>
          <w:sz w:val="17"/>
          <w:szCs w:val="17"/>
          <w:u w:val="single" w:color="auto"/>
          <w:color w:val="auto"/>
        </w:rPr>
        <w:t>Article V</w:t>
      </w:r>
      <w:r>
        <w:rPr>
          <w:rFonts w:ascii="Arial" w:cs="Arial" w:eastAsia="Arial" w:hAnsi="Arial"/>
          <w:sz w:val="17"/>
          <w:szCs w:val="17"/>
          <w:color w:val="auto"/>
        </w:rPr>
        <w:t>, the secretary or any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each in form and substance reasonably satisfactory to the Administrative Agent.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17" w:name="page118"/>
    <w:bookmarkEnd w:id="117"/>
    <w:p>
      <w:pPr>
        <w:jc w:val="center"/>
        <w:ind w:right="-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80" w:right="24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Securities and Exchange Commission, or any Governmental Authority succeeding to any of its principal functions.</w:t>
      </w:r>
    </w:p>
    <w:p>
      <w:pPr>
        <w:spacing w:after="0" w:line="237" w:lineRule="exact"/>
        <w:rPr>
          <w:sz w:val="20"/>
          <w:szCs w:val="20"/>
          <w:color w:val="auto"/>
        </w:rPr>
      </w:pPr>
    </w:p>
    <w:p>
      <w:pPr>
        <w:jc w:val="both"/>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Lenders, the Indemnitees and each co-agent or sub-agent appointed by the Administrative Agent from time to time pursuant to </w:t>
      </w:r>
      <w:r>
        <w:rPr>
          <w:rFonts w:ascii="Arial" w:cs="Arial" w:eastAsia="Arial" w:hAnsi="Arial"/>
          <w:sz w:val="18"/>
          <w:szCs w:val="18"/>
          <w:u w:val="single" w:color="auto"/>
          <w:color w:val="auto"/>
        </w:rPr>
        <w:t>Section 11.05</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all Obligations.</w:t>
      </w:r>
    </w:p>
    <w:p>
      <w:pPr>
        <w:spacing w:after="0" w:line="225"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means any corporation of which more than 50% of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is directly or indirectly owned or controlled by such Person, by such Person and one or more of its Subsidiaries or by one or more of such Person’s Subsidiaries.</w:t>
      </w:r>
    </w:p>
    <w:p>
      <w:pPr>
        <w:spacing w:after="0" w:line="187"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date upon which all Obligations (other than contingent obligations) arising under this Agreement or any other Loan Document shall have been paid in full in cash or other immediately available funds.</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Event</w:t>
      </w:r>
      <w:r>
        <w:rPr>
          <w:rFonts w:ascii="Arial" w:cs="Arial" w:eastAsia="Arial" w:hAnsi="Arial"/>
          <w:sz w:val="16"/>
          <w:szCs w:val="16"/>
          <w:color w:val="auto"/>
        </w:rPr>
        <w:t>” means the occurrence of any of the following which, individually or in the aggregate, has resulted or would, individually or in the aggregate, reasonably be expected to result in liability of the Borrower in an aggregate amount in excess of the Threshold Amount: (a) a “Reportable Event” described in Section 4043 of ERISA for which the thirty (30) day notice requirement has not been waived by the PBGC, or (b) the withdrawal of any Loan Party or any ERISA Affiliate from a Pension Plan during a plan year in which it was a “substantial employer” as defined in Section 4001(a)(2) of ERISA or a cessation of operations that is treated as such a withdrawal under Section 4062(e) of ERISA, or (c) the termination of a Pension Plan, the filing of a notice of intent to terminate a Pension Plan or the treatment of a Pension Plan amendment as a termination, under Section 4041 of ERISA, if the plan assets are not sufficient to pay all plan liabilities, or (d) the institution of proceedings to terminate, or the appointment of a trustee with respect to, any Pension Plan by the PBGC, or (e) any other event or condition which would constitute grounds under Section 4042(a) of ERISA for the termination of, or the appointment of a trustee to administer, any Pension Plan, or (f) the imposition of a Lien pursuant to Section 430(k) of the Code or Section 303 of ERISA, or (g) the determination that any Pension Plan or Multiemployer Plan is considered an at-risk plan or plan in endangered or critical status with the meaning of Sections 430, 431 or 432 of the Code or Sections 303, 304 or 305 of ERISA or (h) the partial or complete withdrawal of any Loan Party or any ERISA Affiliate from a Multiemployer Plan if withdrawal liability is asserted by such plan, or (i) any event or condition which results in the reorganization or insolvency of a Multiemployer Plan under Sections 4241 or 4245 of ERISA, or (j) any event or condition which results in the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termination of a Multiemployer Plan under Section 4041A of ERISA or the institution by PBGC of proceedings to terminate a Multiemployer Plan under Section 4042 of ERISA, or (k) the imposition of any liability under Title IV of ERISA, other than for PBGC premiums due but not delinquent under Section 4007 of ERISA, upon any Loan Party or any ERISA Affiliate.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$10,000,000.</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Credit Exposure</w:t>
      </w:r>
      <w:r>
        <w:rPr>
          <w:rFonts w:ascii="Arial" w:cs="Arial" w:eastAsia="Arial" w:hAnsi="Arial"/>
          <w:sz w:val="18"/>
          <w:szCs w:val="18"/>
          <w:color w:val="auto"/>
        </w:rPr>
        <w:t>” means, as to any Lender at any time, the Outstanding Amount of all Loans of such Lender at such time.</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Loss</w:t>
      </w:r>
      <w:r>
        <w:rPr>
          <w:rFonts w:ascii="Arial" w:cs="Arial" w:eastAsia="Arial" w:hAnsi="Arial"/>
          <w:sz w:val="18"/>
          <w:szCs w:val="18"/>
          <w:color w:val="auto"/>
        </w:rPr>
        <w:t>” means (A) with respect to any Vessel, any of the following and any such Total Loss shall be deemed to have occurred as of the date set forth in parenthesis after the definition of such Total Loss:</w:t>
      </w:r>
    </w:p>
    <w:p>
      <w:pPr>
        <w:spacing w:after="0" w:line="62" w:lineRule="exact"/>
        <w:rPr>
          <w:sz w:val="20"/>
          <w:szCs w:val="20"/>
          <w:color w:val="auto"/>
        </w:rPr>
      </w:pPr>
    </w:p>
    <w:p>
      <w:pPr>
        <w:ind w:left="920" w:right="100" w:firstLine="421"/>
        <w:spacing w:after="0" w:line="342" w:lineRule="auto"/>
        <w:tabs>
          <w:tab w:leader="none" w:pos="1555" w:val="left"/>
        </w:tabs>
        <w:numPr>
          <w:ilvl w:val="1"/>
          <w:numId w:val="99"/>
        </w:numPr>
        <w:rPr>
          <w:rFonts w:ascii="Arial" w:cs="Arial" w:eastAsia="Arial" w:hAnsi="Arial"/>
          <w:sz w:val="16"/>
          <w:szCs w:val="16"/>
          <w:color w:val="auto"/>
        </w:rPr>
      </w:pPr>
      <w:r>
        <w:rPr>
          <w:rFonts w:ascii="Arial" w:cs="Arial" w:eastAsia="Arial" w:hAnsi="Arial"/>
          <w:sz w:val="16"/>
          <w:szCs w:val="16"/>
          <w:color w:val="auto"/>
        </w:rPr>
        <w:t>its actual total loss or destruction, damage beyond repair, or being rendered permanently unfit for normal use (the date on which such loss, destruction, damage or rendition occurs or, if the date of loss or destruction is not known, the date on which such Vessel was last heard of);</w:t>
      </w:r>
    </w:p>
    <w:p>
      <w:pPr>
        <w:spacing w:after="0" w:line="15" w:lineRule="exact"/>
        <w:rPr>
          <w:rFonts w:ascii="Arial" w:cs="Arial" w:eastAsia="Arial" w:hAnsi="Arial"/>
          <w:sz w:val="16"/>
          <w:szCs w:val="16"/>
          <w:color w:val="auto"/>
        </w:rPr>
      </w:pPr>
    </w:p>
    <w:p>
      <w:pPr>
        <w:ind w:left="920" w:firstLine="421"/>
        <w:spacing w:after="0" w:line="255" w:lineRule="auto"/>
        <w:tabs>
          <w:tab w:leader="none" w:pos="1605" w:val="left"/>
        </w:tabs>
        <w:numPr>
          <w:ilvl w:val="1"/>
          <w:numId w:val="99"/>
        </w:numPr>
        <w:rPr>
          <w:rFonts w:ascii="Arial" w:cs="Arial" w:eastAsia="Arial" w:hAnsi="Arial"/>
          <w:sz w:val="18"/>
          <w:szCs w:val="18"/>
          <w:color w:val="auto"/>
        </w:rPr>
      </w:pPr>
      <w:r>
        <w:rPr>
          <w:rFonts w:ascii="Arial" w:cs="Arial" w:eastAsia="Arial" w:hAnsi="Arial"/>
          <w:sz w:val="18"/>
          <w:szCs w:val="18"/>
          <w:color w:val="auto"/>
        </w:rPr>
        <w:t>its constructive or, with the consent of the Borrower (so long as no Event of Default shall have occurred and be continuing) and the Required Lenders, compromised, arranged or agreed total loss (the earliest of (A) the date on which such loss is agreed or compromised or arranged by the insurers, (B) the date on which a competent court of law or arbitration tribunal issues a judgment or award against which there is no appeal to the effect that a Total Loss has occurred, (C) the date on which the insurers make payment of the full amount of the proceeds of such total loss on the basis of a total loss, and (D) ninety (90) days from the date of the event giving rise to such loss, but in each case not to extend beyond the Maturity Date);</w:t>
      </w:r>
    </w:p>
    <w:p>
      <w:pPr>
        <w:spacing w:after="0" w:line="85" w:lineRule="exact"/>
        <w:rPr>
          <w:rFonts w:ascii="Arial" w:cs="Arial" w:eastAsia="Arial" w:hAnsi="Arial"/>
          <w:sz w:val="18"/>
          <w:szCs w:val="18"/>
          <w:color w:val="auto"/>
        </w:rPr>
      </w:pPr>
    </w:p>
    <w:p>
      <w:pPr>
        <w:ind w:left="1660" w:hanging="319"/>
        <w:spacing w:after="0"/>
        <w:tabs>
          <w:tab w:leader="none" w:pos="1660" w:val="left"/>
        </w:tabs>
        <w:numPr>
          <w:ilvl w:val="1"/>
          <w:numId w:val="99"/>
        </w:numPr>
        <w:rPr>
          <w:rFonts w:ascii="Arial" w:cs="Arial" w:eastAsia="Arial" w:hAnsi="Arial"/>
          <w:sz w:val="17"/>
          <w:szCs w:val="17"/>
          <w:color w:val="auto"/>
        </w:rPr>
      </w:pPr>
      <w:r>
        <w:rPr>
          <w:rFonts w:ascii="Arial" w:cs="Arial" w:eastAsia="Arial" w:hAnsi="Arial"/>
          <w:sz w:val="17"/>
          <w:szCs w:val="17"/>
          <w:color w:val="auto"/>
        </w:rPr>
        <w:t>requisition for title or other compulsory acquisition of any Vessel (other than by requisition for hire) which shall continue for ninety</w:t>
      </w:r>
    </w:p>
    <w:p>
      <w:pPr>
        <w:spacing w:after="0" w:line="34" w:lineRule="exact"/>
        <w:rPr>
          <w:rFonts w:ascii="Arial" w:cs="Arial" w:eastAsia="Arial" w:hAnsi="Arial"/>
          <w:sz w:val="17"/>
          <w:szCs w:val="17"/>
          <w:color w:val="auto"/>
        </w:rPr>
      </w:pPr>
    </w:p>
    <w:p>
      <w:pPr>
        <w:ind w:left="1260" w:hanging="339"/>
        <w:spacing w:after="0"/>
        <w:tabs>
          <w:tab w:leader="none" w:pos="1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days (the date on which such requisition for title or other compulsory acquisition takes effect); and</w:t>
      </w:r>
    </w:p>
    <w:p>
      <w:pPr>
        <w:spacing w:after="0" w:line="102" w:lineRule="exact"/>
        <w:rPr>
          <w:rFonts w:ascii="Arial" w:cs="Arial" w:eastAsia="Arial" w:hAnsi="Arial"/>
          <w:sz w:val="18"/>
          <w:szCs w:val="18"/>
          <w:color w:val="auto"/>
        </w:rPr>
      </w:pPr>
    </w:p>
    <w:p>
      <w:pPr>
        <w:ind w:left="920" w:firstLine="421"/>
        <w:spacing w:after="0" w:line="291" w:lineRule="auto"/>
        <w:tabs>
          <w:tab w:leader="none" w:pos="164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capture, seizure, arrest, detention or confiscation of any Vessel by any Governmental Authority or by Persons acting or purporting to act on behalf of any Government Authority, unless the Vessel is released from such capture, seizure, arrest, detention or confiscation within thirty</w:t>
      </w:r>
    </w:p>
    <w:p>
      <w:pPr>
        <w:ind w:left="920" w:right="100" w:firstLine="1"/>
        <w:spacing w:after="0" w:line="255" w:lineRule="auto"/>
        <w:tabs>
          <w:tab w:leader="none" w:pos="126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days after the occurrence thereof (the earlier of (A) the date on which the insurers make payment of the full amount of the proceeds of such total loss on the basis of a total loss, and (B) ninety (90) days from the date of the event giving rise to such loss, but in each case not to extend beyond the Maturity Date).</w:t>
      </w:r>
    </w:p>
    <w:p>
      <w:pPr>
        <w:spacing w:after="0" w:line="190" w:lineRule="exact"/>
        <w:rPr>
          <w:sz w:val="20"/>
          <w:szCs w:val="20"/>
          <w:color w:val="auto"/>
        </w:rPr>
      </w:pPr>
    </w:p>
    <w:p>
      <w:pPr>
        <w:ind w:left="1200" w:hanging="279"/>
        <w:spacing w:after="0"/>
        <w:tabs>
          <w:tab w:leader="none" w:pos="12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 respect to any Equipment, a Total Loss shall be deemed to have occurred upon:</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actual or constructive total loss of such Equipment;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920" w:right="80" w:firstLine="421"/>
        <w:spacing w:after="0" w:line="277" w:lineRule="auto"/>
        <w:tabs>
          <w:tab w:leader="none" w:pos="160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loss, disappearance, theft or destruction of such Equipment, or damage to such Equipment that is uneconomical to repair or renders it unfit for normal use; or</w:t>
      </w:r>
    </w:p>
    <w:p>
      <w:pPr>
        <w:spacing w:after="0" w:line="62" w:lineRule="exact"/>
        <w:rPr>
          <w:rFonts w:ascii="Arial" w:cs="Arial" w:eastAsia="Arial" w:hAnsi="Arial"/>
          <w:sz w:val="18"/>
          <w:szCs w:val="18"/>
          <w:color w:val="auto"/>
        </w:rPr>
      </w:pPr>
    </w:p>
    <w:p>
      <w:pPr>
        <w:ind w:left="920" w:right="1040" w:firstLine="421"/>
        <w:spacing w:after="0" w:line="277" w:lineRule="auto"/>
        <w:tabs>
          <w:tab w:leader="none" w:pos="1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condemnation, confiscation, requisition, seizure, forfeiture or other taking of title to or use of such Equipment by any Governmental Authority.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the State of New York, as amended or modified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Vessels</w:t>
      </w:r>
      <w:r>
        <w:rPr>
          <w:rFonts w:ascii="Arial" w:cs="Arial" w:eastAsia="Arial" w:hAnsi="Arial"/>
          <w:sz w:val="18"/>
          <w:szCs w:val="18"/>
          <w:color w:val="auto"/>
        </w:rPr>
        <w:t xml:space="preserve">” means individually and collectively the vessels described in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hereto, together with all replacements, parts, additions, accessories and substitutions therefor in accordance with the terms of this Agreement.</w:t>
      </w:r>
    </w:p>
    <w:p>
      <w:pPr>
        <w:spacing w:after="0" w:line="170" w:lineRule="exact"/>
        <w:rPr>
          <w:sz w:val="20"/>
          <w:szCs w:val="20"/>
          <w:color w:val="auto"/>
        </w:rPr>
      </w:pPr>
    </w:p>
    <w:p>
      <w:pPr>
        <w:ind w:right="8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 Risks</w:t>
      </w:r>
      <w:r>
        <w:rPr>
          <w:rFonts w:ascii="Arial" w:cs="Arial" w:eastAsia="Arial" w:hAnsi="Arial"/>
          <w:sz w:val="18"/>
          <w:szCs w:val="18"/>
          <w:color w:val="auto"/>
        </w:rPr>
        <w:t>” the risk of mines and all risks excluded by the free of capture and seizure clause from the standard form of United States, Norwegian or English marine policy.</w:t>
      </w:r>
    </w:p>
    <w:p>
      <w:pPr>
        <w:spacing w:after="0" w:line="170"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Zurich</w:t>
      </w:r>
      <w:r>
        <w:rPr>
          <w:rFonts w:ascii="Arial" w:cs="Arial" w:eastAsia="Arial" w:hAnsi="Arial"/>
          <w:sz w:val="18"/>
          <w:szCs w:val="18"/>
          <w:color w:val="auto"/>
        </w:rPr>
        <w:t>” means, collectively, Zurich American Insurance Company and its subsidiaries and Affiliates, including, without limitation, Fidelity and Deposit Company of Maryland, Colonia American Casualty and Surety Company, and American Guarantee and Liability Insurance Company, together with their successors and assigns.</w:t>
      </w:r>
    </w:p>
    <w:p>
      <w:pPr>
        <w:spacing w:after="0" w:line="181"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Zurich Agreement</w:t>
      </w:r>
      <w:r>
        <w:rPr>
          <w:rFonts w:ascii="Arial" w:cs="Arial" w:eastAsia="Arial" w:hAnsi="Arial"/>
          <w:sz w:val="18"/>
          <w:szCs w:val="18"/>
          <w:color w:val="auto"/>
        </w:rPr>
        <w:t>” means, collectively, (i) that certain Agreement of Indemnity, dated as of September 7, 2011, executed by the Borrower and the Subsidiaries of the Borrower party there as “Contractors” and Indemnitors”, in favor of Zurich and (ii) the Equipment Utilization Agreement, each as amended, restated, supplemented or otherwise modified in writing from time to time.</w:t>
      </w:r>
    </w:p>
    <w:p>
      <w:pPr>
        <w:spacing w:after="0" w:line="18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 For purposes of this Agreement, in computing periods of time from a specified date to a later specified date, the word “from” means “from and including” and each of the words “to” and “until” means “to but excluding”. Unless otherwise specified, all references herein to times of day shall be references to Eastern time (daylight or standard, as applicable).</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Accounting Terms</w:t>
      </w:r>
      <w:r>
        <w:rPr>
          <w:rFonts w:ascii="Arial" w:cs="Arial" w:eastAsia="Arial" w:hAnsi="Arial"/>
          <w:sz w:val="18"/>
          <w:szCs w:val="18"/>
          <w:color w:val="auto"/>
        </w:rPr>
        <w:t>. All accounting terms not specifically defined or specified herein shall have the meanings generally attributed to such terms under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as in effect from time to time with respect to the financial statements referenced in Section 7.01(a) hereof, and consistently applied.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LOAN</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The Loan.</w:t>
      </w:r>
      <w:r>
        <w:rPr>
          <w:rFonts w:ascii="Arial" w:cs="Arial" w:eastAsia="Arial" w:hAnsi="Arial"/>
          <w:sz w:val="18"/>
          <w:szCs w:val="18"/>
          <w:color w:val="auto"/>
        </w:rPr>
        <w:t xml:space="preserve"> Subject to the terms and conditions of this Agreement and to the satisfaction of the conditions precedent set forth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hereof, each Lender hereby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severally agrees to a single term loan to the Borrower, in Dollars, on the Closing Date in an amount not to exceed such Lender’s Applicable Percentage of the Facility. The Borrowing shall consist of Loans made simultaneously by the Lenders in accordance with their respective Applicable Percentage of the Facility. Borrowings repaid or prepaid may not be reborrowed. The Borrowings shall be made for the purposes set forth in the Recitals, and for no other purpose. Time is of the essence. The Commitments shall automatically terminate at 5:00 PM Eastern Standard Time on the Closing Date.</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Drawdown Procedures</w:t>
      </w:r>
      <w:r>
        <w:rPr>
          <w:rFonts w:ascii="Arial" w:cs="Arial" w:eastAsia="Arial" w:hAnsi="Arial"/>
          <w:sz w:val="18"/>
          <w:szCs w:val="18"/>
          <w:color w:val="auto"/>
        </w:rPr>
        <w:t xml:space="preserve">. The Borrowing shall be made upon the Borrower’s irrevocable notice to the Administrative Agent, which may be given by: (A) telephone or (B) a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immediately by delivery to the Administrative Agent of a Loan Notice. Each such Loan Notice must be received by the Administrative Agent not later than 11:00 a.m one (1) Business Day prior to the proposed Closing Date.</w:t>
      </w:r>
    </w:p>
    <w:p>
      <w:pPr>
        <w:spacing w:after="0" w:line="18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Advance of Loan Proceeds</w:t>
      </w:r>
      <w:r>
        <w:rPr>
          <w:rFonts w:ascii="Arial" w:cs="Arial" w:eastAsia="Arial" w:hAnsi="Arial"/>
          <w:sz w:val="16"/>
          <w:szCs w:val="16"/>
          <w:color w:val="auto"/>
        </w:rPr>
        <w:t xml:space="preserve">. Following receipt of a Loan Notice, the Administrative Agent shall promptly notify each Lender of the amount of its Applicable Percentage of the Loans. Each Lender shall make the amount of its Loan available to the Administrative Agent in immediately available funds at the Administrative Agent’s Office not later than 1:00 p.m. on the Closing Date. Upon satisfaction of the applicable conditions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subject to Section 2.08 hereof,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w:t>
      </w:r>
    </w:p>
    <w:p>
      <w:pPr>
        <w:spacing w:after="0" w:line="16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The Notes.</w:t>
      </w:r>
      <w:r>
        <w:rPr>
          <w:rFonts w:ascii="Arial" w:cs="Arial" w:eastAsia="Arial" w:hAnsi="Arial"/>
          <w:sz w:val="17"/>
          <w:szCs w:val="17"/>
          <w:color w:val="auto"/>
        </w:rPr>
        <w:t xml:space="preserve"> The Loans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Loans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amount and maturity of its Loans and payments with respect thereto.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21" w:name="page122"/>
    <w:bookmarkEnd w:id="121"/>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20" w:right="20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Repayment of Principal.</w:t>
      </w:r>
      <w:r>
        <w:rPr>
          <w:rFonts w:ascii="Arial" w:cs="Arial" w:eastAsia="Arial" w:hAnsi="Arial"/>
          <w:sz w:val="18"/>
          <w:szCs w:val="18"/>
          <w:color w:val="auto"/>
        </w:rPr>
        <w:t xml:space="preserve"> The Borrower shall repay to the Lenders the aggregate principal amount of all Loans outstanding on the following dates, and in the respective amounts expressed as a percentage of the aggregate principal amount of all Loans on the date hereof set forth opposite such dates (which amounts shall be reduced as a result of the application of prepayments in accordance with the order of priority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unless accelerated sooner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200" w:type="dxa"/>
            <w:vAlign w:val="bottom"/>
            <w:gridSpan w:val="3"/>
          </w:tcPr>
          <w:p>
            <w:pPr>
              <w:jc w:val="center"/>
              <w:ind w:left="3190"/>
              <w:spacing w:after="0"/>
              <w:rPr>
                <w:sz w:val="20"/>
                <w:szCs w:val="20"/>
                <w:color w:val="auto"/>
              </w:rPr>
            </w:pPr>
            <w:r>
              <w:rPr>
                <w:rFonts w:ascii="Arial" w:cs="Arial" w:eastAsia="Arial" w:hAnsi="Arial"/>
                <w:sz w:val="14"/>
                <w:szCs w:val="14"/>
                <w:b w:val="1"/>
                <w:bCs w:val="1"/>
                <w:color w:val="auto"/>
                <w:w w:val="89"/>
              </w:rPr>
              <w:t>Percentage of Aggregate</w:t>
            </w:r>
          </w:p>
        </w:tc>
        <w:tc>
          <w:tcPr>
            <w:tcW w:w="0" w:type="dxa"/>
            <w:vAlign w:val="bottom"/>
          </w:tcPr>
          <w:p>
            <w:pPr>
              <w:spacing w:after="0"/>
              <w:rPr>
                <w:sz w:val="1"/>
                <w:szCs w:val="1"/>
                <w:color w:val="auto"/>
              </w:rPr>
            </w:pPr>
          </w:p>
        </w:tc>
      </w:tr>
      <w:tr>
        <w:trPr>
          <w:trHeight w:val="149"/>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350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Principal Amount of all</w:t>
            </w:r>
          </w:p>
        </w:tc>
        <w:tc>
          <w:tcPr>
            <w:tcW w:w="0" w:type="dxa"/>
            <w:vAlign w:val="bottom"/>
          </w:tcPr>
          <w:p>
            <w:pPr>
              <w:spacing w:after="0"/>
              <w:rPr>
                <w:sz w:val="1"/>
                <w:szCs w:val="1"/>
                <w:color w:val="auto"/>
              </w:rPr>
            </w:pPr>
          </w:p>
        </w:tc>
      </w:tr>
      <w:tr>
        <w:trPr>
          <w:trHeight w:val="158"/>
        </w:trPr>
        <w:tc>
          <w:tcPr>
            <w:tcW w:w="2560" w:type="dxa"/>
            <w:vAlign w:val="bottom"/>
            <w:gridSpan w:val="2"/>
            <w:vMerge w:val="continue"/>
          </w:tcPr>
          <w:p>
            <w:pPr>
              <w:spacing w:after="0"/>
              <w:rPr>
                <w:sz w:val="13"/>
                <w:szCs w:val="13"/>
                <w:color w:val="auto"/>
              </w:rPr>
            </w:pPr>
          </w:p>
        </w:tc>
        <w:tc>
          <w:tcPr>
            <w:tcW w:w="3500" w:type="dxa"/>
            <w:vAlign w:val="bottom"/>
          </w:tcPr>
          <w:p>
            <w:pPr>
              <w:spacing w:after="0"/>
              <w:rPr>
                <w:sz w:val="13"/>
                <w:szCs w:val="13"/>
                <w:color w:val="auto"/>
              </w:rPr>
            </w:pPr>
          </w:p>
        </w:tc>
        <w:tc>
          <w:tcPr>
            <w:tcW w:w="17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December 4, 2014</w:t>
            </w:r>
          </w:p>
        </w:tc>
        <w:tc>
          <w:tcPr>
            <w:tcW w:w="3500" w:type="dxa"/>
            <w:vAlign w:val="bottom"/>
            <w:shd w:val="clear" w:color="auto" w:fill="CCEEFF"/>
          </w:tcPr>
          <w:p>
            <w:pPr>
              <w:spacing w:after="0"/>
              <w:rPr>
                <w:sz w:val="17"/>
                <w:szCs w:val="17"/>
                <w:color w:val="auto"/>
              </w:rPr>
            </w:pPr>
          </w:p>
        </w:tc>
        <w:tc>
          <w:tcPr>
            <w:tcW w:w="150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w w:val="75"/>
              </w:rPr>
              <w:t>0.8333333%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January 4, 2015</w:t>
            </w:r>
          </w:p>
        </w:tc>
        <w:tc>
          <w:tcPr>
            <w:tcW w:w="5200" w:type="dxa"/>
            <w:vAlign w:val="bottom"/>
            <w:gridSpan w:val="3"/>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4, 2015</w:t>
            </w:r>
          </w:p>
        </w:tc>
        <w:tc>
          <w:tcPr>
            <w:tcW w:w="5200" w:type="dxa"/>
            <w:vAlign w:val="bottom"/>
            <w:gridSpan w:val="3"/>
            <w:shd w:val="clear" w:color="auto" w:fill="CCEEFF"/>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March 4, 2015</w:t>
            </w:r>
          </w:p>
        </w:tc>
        <w:tc>
          <w:tcPr>
            <w:tcW w:w="5200" w:type="dxa"/>
            <w:vAlign w:val="bottom"/>
            <w:gridSpan w:val="3"/>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4, 2015</w:t>
            </w:r>
          </w:p>
        </w:tc>
        <w:tc>
          <w:tcPr>
            <w:tcW w:w="5200" w:type="dxa"/>
            <w:vAlign w:val="bottom"/>
            <w:gridSpan w:val="3"/>
            <w:shd w:val="clear" w:color="auto" w:fill="CCEEFF"/>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May 4, 2015</w:t>
            </w:r>
          </w:p>
        </w:tc>
        <w:tc>
          <w:tcPr>
            <w:tcW w:w="5200" w:type="dxa"/>
            <w:vAlign w:val="bottom"/>
            <w:gridSpan w:val="3"/>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4, 2015</w:t>
            </w:r>
          </w:p>
        </w:tc>
        <w:tc>
          <w:tcPr>
            <w:tcW w:w="5200" w:type="dxa"/>
            <w:vAlign w:val="bottom"/>
            <w:gridSpan w:val="3"/>
            <w:shd w:val="clear" w:color="auto" w:fill="CCEEFF"/>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July 4, 2015</w:t>
            </w:r>
          </w:p>
        </w:tc>
        <w:tc>
          <w:tcPr>
            <w:tcW w:w="5200" w:type="dxa"/>
            <w:vAlign w:val="bottom"/>
            <w:gridSpan w:val="3"/>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4, 2015</w:t>
            </w:r>
          </w:p>
        </w:tc>
        <w:tc>
          <w:tcPr>
            <w:tcW w:w="5200" w:type="dxa"/>
            <w:vAlign w:val="bottom"/>
            <w:gridSpan w:val="3"/>
            <w:shd w:val="clear" w:color="auto" w:fill="CCEEFF"/>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September 4, 2015</w:t>
            </w:r>
          </w:p>
        </w:tc>
        <w:tc>
          <w:tcPr>
            <w:tcW w:w="5200" w:type="dxa"/>
            <w:vAlign w:val="bottom"/>
            <w:gridSpan w:val="3"/>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4, 2015</w:t>
            </w:r>
          </w:p>
        </w:tc>
        <w:tc>
          <w:tcPr>
            <w:tcW w:w="5200" w:type="dxa"/>
            <w:vAlign w:val="bottom"/>
            <w:gridSpan w:val="3"/>
            <w:shd w:val="clear" w:color="auto" w:fill="CCEEFF"/>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November 4, 2015</w:t>
            </w:r>
          </w:p>
        </w:tc>
        <w:tc>
          <w:tcPr>
            <w:tcW w:w="5200" w:type="dxa"/>
            <w:vAlign w:val="bottom"/>
            <w:gridSpan w:val="3"/>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4, 2015</w:t>
            </w:r>
          </w:p>
        </w:tc>
        <w:tc>
          <w:tcPr>
            <w:tcW w:w="5200" w:type="dxa"/>
            <w:vAlign w:val="bottom"/>
            <w:gridSpan w:val="3"/>
            <w:shd w:val="clear" w:color="auto" w:fill="CCEEFF"/>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January 4, 2016</w:t>
            </w:r>
          </w:p>
        </w:tc>
        <w:tc>
          <w:tcPr>
            <w:tcW w:w="5200" w:type="dxa"/>
            <w:vAlign w:val="bottom"/>
            <w:gridSpan w:val="3"/>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4, 2016</w:t>
            </w:r>
          </w:p>
        </w:tc>
        <w:tc>
          <w:tcPr>
            <w:tcW w:w="5200" w:type="dxa"/>
            <w:vAlign w:val="bottom"/>
            <w:gridSpan w:val="3"/>
            <w:shd w:val="clear" w:color="auto" w:fill="CCEEFF"/>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March 4, 2016</w:t>
            </w:r>
          </w:p>
        </w:tc>
        <w:tc>
          <w:tcPr>
            <w:tcW w:w="5200" w:type="dxa"/>
            <w:vAlign w:val="bottom"/>
            <w:gridSpan w:val="3"/>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4, 2016</w:t>
            </w:r>
          </w:p>
        </w:tc>
        <w:tc>
          <w:tcPr>
            <w:tcW w:w="5200" w:type="dxa"/>
            <w:vAlign w:val="bottom"/>
            <w:gridSpan w:val="3"/>
            <w:shd w:val="clear" w:color="auto" w:fill="CCEEFF"/>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May 4, 2016</w:t>
            </w:r>
          </w:p>
        </w:tc>
        <w:tc>
          <w:tcPr>
            <w:tcW w:w="5200" w:type="dxa"/>
            <w:vAlign w:val="bottom"/>
            <w:gridSpan w:val="3"/>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4, 2016</w:t>
            </w:r>
          </w:p>
        </w:tc>
        <w:tc>
          <w:tcPr>
            <w:tcW w:w="5200" w:type="dxa"/>
            <w:vAlign w:val="bottom"/>
            <w:gridSpan w:val="3"/>
            <w:shd w:val="clear" w:color="auto" w:fill="CCEEFF"/>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July 4, 2016</w:t>
            </w:r>
          </w:p>
        </w:tc>
        <w:tc>
          <w:tcPr>
            <w:tcW w:w="5200" w:type="dxa"/>
            <w:vAlign w:val="bottom"/>
            <w:gridSpan w:val="3"/>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4, 2016</w:t>
            </w:r>
          </w:p>
        </w:tc>
        <w:tc>
          <w:tcPr>
            <w:tcW w:w="5200" w:type="dxa"/>
            <w:vAlign w:val="bottom"/>
            <w:gridSpan w:val="3"/>
            <w:shd w:val="clear" w:color="auto" w:fill="CCEEFF"/>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September 4, 2016</w:t>
            </w:r>
          </w:p>
        </w:tc>
        <w:tc>
          <w:tcPr>
            <w:tcW w:w="5200" w:type="dxa"/>
            <w:vAlign w:val="bottom"/>
            <w:gridSpan w:val="3"/>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4, 2016</w:t>
            </w:r>
          </w:p>
        </w:tc>
        <w:tc>
          <w:tcPr>
            <w:tcW w:w="5200" w:type="dxa"/>
            <w:vAlign w:val="bottom"/>
            <w:gridSpan w:val="3"/>
            <w:shd w:val="clear" w:color="auto" w:fill="CCEEFF"/>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November 4, 2016</w:t>
            </w:r>
          </w:p>
        </w:tc>
        <w:tc>
          <w:tcPr>
            <w:tcW w:w="5200" w:type="dxa"/>
            <w:vAlign w:val="bottom"/>
            <w:gridSpan w:val="3"/>
          </w:tcPr>
          <w:p>
            <w:pPr>
              <w:ind w:left="4220"/>
              <w:spacing w:after="0"/>
              <w:rPr>
                <w:sz w:val="20"/>
                <w:szCs w:val="20"/>
                <w:color w:val="auto"/>
              </w:rPr>
            </w:pPr>
            <w:r>
              <w:rPr>
                <w:rFonts w:ascii="Arial" w:cs="Arial" w:eastAsia="Arial" w:hAnsi="Arial"/>
                <w:sz w:val="18"/>
                <w:szCs w:val="18"/>
                <w:color w:val="auto"/>
                <w:w w:val="94"/>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4, 2016</w:t>
            </w:r>
          </w:p>
        </w:tc>
        <w:tc>
          <w:tcPr>
            <w:tcW w:w="5200" w:type="dxa"/>
            <w:vAlign w:val="bottom"/>
            <w:gridSpan w:val="3"/>
            <w:shd w:val="clear" w:color="auto" w:fill="CCEEFF"/>
          </w:tcPr>
          <w:p>
            <w:pPr>
              <w:ind w:left="4220"/>
              <w:spacing w:after="0"/>
              <w:rPr>
                <w:sz w:val="20"/>
                <w:szCs w:val="20"/>
                <w:color w:val="auto"/>
              </w:rPr>
            </w:pPr>
            <w:r>
              <w:rPr>
                <w:rFonts w:ascii="Arial" w:cs="Arial" w:eastAsia="Arial" w:hAnsi="Arial"/>
                <w:sz w:val="18"/>
                <w:szCs w:val="18"/>
                <w:color w:val="auto"/>
                <w:w w:val="94"/>
              </w:rPr>
              <w:t>1.6666667%</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January 4, 2017</w:t>
            </w:r>
          </w:p>
        </w:tc>
        <w:tc>
          <w:tcPr>
            <w:tcW w:w="5200" w:type="dxa"/>
            <w:vAlign w:val="bottom"/>
            <w:gridSpan w:val="3"/>
          </w:tcPr>
          <w:p>
            <w:pPr>
              <w:ind w:left="4220"/>
              <w:spacing w:after="0"/>
              <w:rPr>
                <w:sz w:val="20"/>
                <w:szCs w:val="20"/>
                <w:color w:val="auto"/>
              </w:rPr>
            </w:pPr>
            <w:r>
              <w:rPr>
                <w:rFonts w:ascii="Arial" w:cs="Arial" w:eastAsia="Arial" w:hAnsi="Arial"/>
                <w:sz w:val="18"/>
                <w:szCs w:val="18"/>
                <w:color w:val="auto"/>
                <w:w w:val="94"/>
              </w:rPr>
              <w:t>1.6666667%</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4, 2017</w:t>
            </w:r>
          </w:p>
        </w:tc>
        <w:tc>
          <w:tcPr>
            <w:tcW w:w="5200" w:type="dxa"/>
            <w:vAlign w:val="bottom"/>
            <w:gridSpan w:val="3"/>
            <w:shd w:val="clear" w:color="auto" w:fill="CCEEFF"/>
          </w:tcPr>
          <w:p>
            <w:pPr>
              <w:ind w:left="4220"/>
              <w:spacing w:after="0"/>
              <w:rPr>
                <w:sz w:val="20"/>
                <w:szCs w:val="20"/>
                <w:color w:val="auto"/>
              </w:rPr>
            </w:pPr>
            <w:r>
              <w:rPr>
                <w:rFonts w:ascii="Arial" w:cs="Arial" w:eastAsia="Arial" w:hAnsi="Arial"/>
                <w:sz w:val="18"/>
                <w:szCs w:val="18"/>
                <w:color w:val="auto"/>
                <w:w w:val="94"/>
              </w:rPr>
              <w:t>1.6666667%</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March 4, 2017</w:t>
            </w:r>
          </w:p>
        </w:tc>
        <w:tc>
          <w:tcPr>
            <w:tcW w:w="5200" w:type="dxa"/>
            <w:vAlign w:val="bottom"/>
            <w:gridSpan w:val="3"/>
          </w:tcPr>
          <w:p>
            <w:pPr>
              <w:ind w:left="4220"/>
              <w:spacing w:after="0"/>
              <w:rPr>
                <w:sz w:val="20"/>
                <w:szCs w:val="20"/>
                <w:color w:val="auto"/>
              </w:rPr>
            </w:pPr>
            <w:r>
              <w:rPr>
                <w:rFonts w:ascii="Arial" w:cs="Arial" w:eastAsia="Arial" w:hAnsi="Arial"/>
                <w:sz w:val="18"/>
                <w:szCs w:val="18"/>
                <w:color w:val="auto"/>
                <w:w w:val="94"/>
              </w:rPr>
              <w:t>1.6666667%</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4, 2017</w:t>
            </w:r>
          </w:p>
        </w:tc>
        <w:tc>
          <w:tcPr>
            <w:tcW w:w="5200" w:type="dxa"/>
            <w:vAlign w:val="bottom"/>
            <w:gridSpan w:val="3"/>
            <w:shd w:val="clear" w:color="auto" w:fill="CCEEFF"/>
          </w:tcPr>
          <w:p>
            <w:pPr>
              <w:ind w:left="4220"/>
              <w:spacing w:after="0"/>
              <w:rPr>
                <w:sz w:val="20"/>
                <w:szCs w:val="20"/>
                <w:color w:val="auto"/>
              </w:rPr>
            </w:pPr>
            <w:r>
              <w:rPr>
                <w:rFonts w:ascii="Arial" w:cs="Arial" w:eastAsia="Arial" w:hAnsi="Arial"/>
                <w:sz w:val="18"/>
                <w:szCs w:val="18"/>
                <w:color w:val="auto"/>
                <w:w w:val="94"/>
              </w:rPr>
              <w:t>1.6666667%</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May 4, 2017</w:t>
            </w:r>
          </w:p>
        </w:tc>
        <w:tc>
          <w:tcPr>
            <w:tcW w:w="5200" w:type="dxa"/>
            <w:vAlign w:val="bottom"/>
            <w:gridSpan w:val="3"/>
          </w:tcPr>
          <w:p>
            <w:pPr>
              <w:ind w:left="4220"/>
              <w:spacing w:after="0"/>
              <w:rPr>
                <w:sz w:val="20"/>
                <w:szCs w:val="20"/>
                <w:color w:val="auto"/>
              </w:rPr>
            </w:pPr>
            <w:r>
              <w:rPr>
                <w:rFonts w:ascii="Arial" w:cs="Arial" w:eastAsia="Arial" w:hAnsi="Arial"/>
                <w:sz w:val="18"/>
                <w:szCs w:val="18"/>
                <w:color w:val="auto"/>
                <w:w w:val="94"/>
              </w:rPr>
              <w:t>1.6666667%</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4, 2017</w:t>
            </w:r>
          </w:p>
        </w:tc>
        <w:tc>
          <w:tcPr>
            <w:tcW w:w="5200" w:type="dxa"/>
            <w:vAlign w:val="bottom"/>
            <w:gridSpan w:val="3"/>
            <w:shd w:val="clear" w:color="auto" w:fill="CCEEFF"/>
          </w:tcPr>
          <w:p>
            <w:pPr>
              <w:ind w:left="4220"/>
              <w:spacing w:after="0"/>
              <w:rPr>
                <w:sz w:val="20"/>
                <w:szCs w:val="20"/>
                <w:color w:val="auto"/>
              </w:rPr>
            </w:pPr>
            <w:r>
              <w:rPr>
                <w:rFonts w:ascii="Arial" w:cs="Arial" w:eastAsia="Arial" w:hAnsi="Arial"/>
                <w:sz w:val="18"/>
                <w:szCs w:val="18"/>
                <w:color w:val="auto"/>
                <w:w w:val="94"/>
              </w:rPr>
              <w:t>1.6666667%</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July 4, 2017</w:t>
            </w:r>
          </w:p>
        </w:tc>
        <w:tc>
          <w:tcPr>
            <w:tcW w:w="5200" w:type="dxa"/>
            <w:vAlign w:val="bottom"/>
            <w:gridSpan w:val="3"/>
          </w:tcPr>
          <w:p>
            <w:pPr>
              <w:ind w:left="4220"/>
              <w:spacing w:after="0"/>
              <w:rPr>
                <w:sz w:val="20"/>
                <w:szCs w:val="20"/>
                <w:color w:val="auto"/>
              </w:rPr>
            </w:pPr>
            <w:r>
              <w:rPr>
                <w:rFonts w:ascii="Arial" w:cs="Arial" w:eastAsia="Arial" w:hAnsi="Arial"/>
                <w:sz w:val="18"/>
                <w:szCs w:val="18"/>
                <w:color w:val="auto"/>
                <w:w w:val="94"/>
              </w:rPr>
              <w:t>1.6666667%</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4, 2017</w:t>
            </w:r>
          </w:p>
        </w:tc>
        <w:tc>
          <w:tcPr>
            <w:tcW w:w="5200" w:type="dxa"/>
            <w:vAlign w:val="bottom"/>
            <w:gridSpan w:val="3"/>
            <w:shd w:val="clear" w:color="auto" w:fill="CCEEFF"/>
          </w:tcPr>
          <w:p>
            <w:pPr>
              <w:ind w:left="4220"/>
              <w:spacing w:after="0"/>
              <w:rPr>
                <w:sz w:val="20"/>
                <w:szCs w:val="20"/>
                <w:color w:val="auto"/>
              </w:rPr>
            </w:pPr>
            <w:r>
              <w:rPr>
                <w:rFonts w:ascii="Arial" w:cs="Arial" w:eastAsia="Arial" w:hAnsi="Arial"/>
                <w:sz w:val="18"/>
                <w:szCs w:val="18"/>
                <w:color w:val="auto"/>
                <w:w w:val="94"/>
              </w:rPr>
              <w:t>1.6666667%</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September 4, 2017</w:t>
            </w:r>
          </w:p>
        </w:tc>
        <w:tc>
          <w:tcPr>
            <w:tcW w:w="5200" w:type="dxa"/>
            <w:vAlign w:val="bottom"/>
            <w:gridSpan w:val="3"/>
          </w:tcPr>
          <w:p>
            <w:pPr>
              <w:ind w:left="4220"/>
              <w:spacing w:after="0"/>
              <w:rPr>
                <w:sz w:val="20"/>
                <w:szCs w:val="20"/>
                <w:color w:val="auto"/>
              </w:rPr>
            </w:pPr>
            <w:r>
              <w:rPr>
                <w:rFonts w:ascii="Arial" w:cs="Arial" w:eastAsia="Arial" w:hAnsi="Arial"/>
                <w:sz w:val="18"/>
                <w:szCs w:val="18"/>
                <w:color w:val="auto"/>
                <w:w w:val="94"/>
              </w:rPr>
              <w:t>1.6666667%</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4, 2017</w:t>
            </w:r>
          </w:p>
        </w:tc>
        <w:tc>
          <w:tcPr>
            <w:tcW w:w="5200" w:type="dxa"/>
            <w:vAlign w:val="bottom"/>
            <w:gridSpan w:val="3"/>
            <w:shd w:val="clear" w:color="auto" w:fill="CCEEFF"/>
          </w:tcPr>
          <w:p>
            <w:pPr>
              <w:ind w:left="4220"/>
              <w:spacing w:after="0"/>
              <w:rPr>
                <w:sz w:val="20"/>
                <w:szCs w:val="20"/>
                <w:color w:val="auto"/>
              </w:rPr>
            </w:pPr>
            <w:r>
              <w:rPr>
                <w:rFonts w:ascii="Arial" w:cs="Arial" w:eastAsia="Arial" w:hAnsi="Arial"/>
                <w:sz w:val="18"/>
                <w:szCs w:val="18"/>
                <w:color w:val="auto"/>
                <w:w w:val="94"/>
              </w:rPr>
              <w:t>1.6666667%</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November 4, 2017</w:t>
            </w:r>
          </w:p>
        </w:tc>
        <w:tc>
          <w:tcPr>
            <w:tcW w:w="5200" w:type="dxa"/>
            <w:vAlign w:val="bottom"/>
            <w:gridSpan w:val="3"/>
          </w:tcPr>
          <w:p>
            <w:pPr>
              <w:ind w:left="4220"/>
              <w:spacing w:after="0"/>
              <w:rPr>
                <w:sz w:val="20"/>
                <w:szCs w:val="20"/>
                <w:color w:val="auto"/>
              </w:rPr>
            </w:pPr>
            <w:r>
              <w:rPr>
                <w:rFonts w:ascii="Arial" w:cs="Arial" w:eastAsia="Arial" w:hAnsi="Arial"/>
                <w:sz w:val="18"/>
                <w:szCs w:val="18"/>
                <w:color w:val="auto"/>
                <w:w w:val="94"/>
              </w:rPr>
              <w:t>1.6666667%</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4, 2017</w:t>
            </w:r>
          </w:p>
        </w:tc>
        <w:tc>
          <w:tcPr>
            <w:tcW w:w="5200" w:type="dxa"/>
            <w:vAlign w:val="bottom"/>
            <w:gridSpan w:val="3"/>
            <w:shd w:val="clear" w:color="auto" w:fill="CCEEFF"/>
          </w:tcPr>
          <w:p>
            <w:pPr>
              <w:ind w:left="4220"/>
              <w:spacing w:after="0"/>
              <w:rPr>
                <w:sz w:val="20"/>
                <w:szCs w:val="20"/>
                <w:color w:val="auto"/>
              </w:rPr>
            </w:pPr>
            <w:r>
              <w:rPr>
                <w:rFonts w:ascii="Arial" w:cs="Arial" w:eastAsia="Arial" w:hAnsi="Arial"/>
                <w:sz w:val="18"/>
                <w:szCs w:val="18"/>
                <w:color w:val="auto"/>
                <w:w w:val="94"/>
              </w:rPr>
              <w:t>1.6666667%</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January 4, 2018</w:t>
            </w:r>
          </w:p>
        </w:tc>
        <w:tc>
          <w:tcPr>
            <w:tcW w:w="5200" w:type="dxa"/>
            <w:vAlign w:val="bottom"/>
            <w:gridSpan w:val="3"/>
          </w:tcPr>
          <w:p>
            <w:pPr>
              <w:ind w:left="4220"/>
              <w:spacing w:after="0"/>
              <w:rPr>
                <w:sz w:val="20"/>
                <w:szCs w:val="20"/>
                <w:color w:val="auto"/>
              </w:rPr>
            </w:pPr>
            <w:r>
              <w:rPr>
                <w:rFonts w:ascii="Arial" w:cs="Arial" w:eastAsia="Arial" w:hAnsi="Arial"/>
                <w:sz w:val="18"/>
                <w:szCs w:val="18"/>
                <w:color w:val="auto"/>
                <w:w w:val="94"/>
              </w:rPr>
              <w:t>1.6666667%</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4, 2018</w:t>
            </w:r>
          </w:p>
        </w:tc>
        <w:tc>
          <w:tcPr>
            <w:tcW w:w="5200" w:type="dxa"/>
            <w:vAlign w:val="bottom"/>
            <w:gridSpan w:val="3"/>
            <w:shd w:val="clear" w:color="auto" w:fill="CCEEFF"/>
          </w:tcPr>
          <w:p>
            <w:pPr>
              <w:ind w:left="4220"/>
              <w:spacing w:after="0"/>
              <w:rPr>
                <w:sz w:val="20"/>
                <w:szCs w:val="20"/>
                <w:color w:val="auto"/>
              </w:rPr>
            </w:pPr>
            <w:r>
              <w:rPr>
                <w:rFonts w:ascii="Arial" w:cs="Arial" w:eastAsia="Arial" w:hAnsi="Arial"/>
                <w:sz w:val="18"/>
                <w:szCs w:val="18"/>
                <w:color w:val="auto"/>
                <w:w w:val="94"/>
              </w:rPr>
              <w:t>1.6666667%</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500" w:type="dxa"/>
            <w:vAlign w:val="bottom"/>
          </w:tcPr>
          <w:p>
            <w:pPr>
              <w:jc w:val="right"/>
              <w:ind w:right="2010"/>
              <w:spacing w:after="0"/>
              <w:rPr>
                <w:sz w:val="20"/>
                <w:szCs w:val="20"/>
                <w:color w:val="auto"/>
              </w:rPr>
            </w:pPr>
            <w:r>
              <w:rPr>
                <w:rFonts w:ascii="Arial" w:cs="Arial" w:eastAsia="Arial" w:hAnsi="Arial"/>
                <w:sz w:val="18"/>
                <w:szCs w:val="18"/>
                <w:color w:val="auto"/>
              </w:rPr>
              <w:t>18</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74" w:right="31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7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060" w:type="dxa"/>
            <w:vAlign w:val="bottom"/>
            <w:gridSpan w:val="3"/>
          </w:tcPr>
          <w:p>
            <w:pPr>
              <w:jc w:val="center"/>
              <w:ind w:left="2051"/>
              <w:spacing w:after="0"/>
              <w:rPr>
                <w:sz w:val="20"/>
                <w:szCs w:val="20"/>
                <w:color w:val="auto"/>
              </w:rPr>
            </w:pPr>
            <w:r>
              <w:rPr>
                <w:rFonts w:ascii="Arial" w:cs="Arial" w:eastAsia="Arial" w:hAnsi="Arial"/>
                <w:sz w:val="14"/>
                <w:szCs w:val="14"/>
                <w:b w:val="1"/>
                <w:bCs w:val="1"/>
                <w:color w:val="auto"/>
                <w:w w:val="89"/>
              </w:rPr>
              <w:t>Percentage of Aggregate</w:t>
            </w:r>
          </w:p>
        </w:tc>
        <w:tc>
          <w:tcPr>
            <w:tcW w:w="0" w:type="dxa"/>
            <w:vAlign w:val="bottom"/>
          </w:tcPr>
          <w:p>
            <w:pPr>
              <w:spacing w:after="0"/>
              <w:rPr>
                <w:sz w:val="1"/>
                <w:szCs w:val="1"/>
                <w:color w:val="auto"/>
              </w:rPr>
            </w:pPr>
          </w:p>
        </w:tc>
      </w:tr>
      <w:tr>
        <w:trPr>
          <w:trHeight w:val="149"/>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236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Principal Amount of all</w:t>
            </w:r>
          </w:p>
        </w:tc>
        <w:tc>
          <w:tcPr>
            <w:tcW w:w="0" w:type="dxa"/>
            <w:vAlign w:val="bottom"/>
          </w:tcPr>
          <w:p>
            <w:pPr>
              <w:spacing w:after="0"/>
              <w:rPr>
                <w:sz w:val="1"/>
                <w:szCs w:val="1"/>
                <w:color w:val="auto"/>
              </w:rPr>
            </w:pPr>
          </w:p>
        </w:tc>
      </w:tr>
      <w:tr>
        <w:trPr>
          <w:trHeight w:val="158"/>
        </w:trPr>
        <w:tc>
          <w:tcPr>
            <w:tcW w:w="3700" w:type="dxa"/>
            <w:vAlign w:val="bottom"/>
            <w:gridSpan w:val="2"/>
            <w:vMerge w:val="continue"/>
          </w:tcPr>
          <w:p>
            <w:pPr>
              <w:spacing w:after="0"/>
              <w:rPr>
                <w:sz w:val="13"/>
                <w:szCs w:val="13"/>
                <w:color w:val="auto"/>
              </w:rPr>
            </w:pPr>
          </w:p>
        </w:tc>
        <w:tc>
          <w:tcPr>
            <w:tcW w:w="2360" w:type="dxa"/>
            <w:vAlign w:val="bottom"/>
          </w:tcPr>
          <w:p>
            <w:pPr>
              <w:spacing w:after="0"/>
              <w:rPr>
                <w:sz w:val="13"/>
                <w:szCs w:val="13"/>
                <w:color w:val="auto"/>
              </w:rPr>
            </w:pPr>
          </w:p>
        </w:tc>
        <w:tc>
          <w:tcPr>
            <w:tcW w:w="17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4, 2018</w:t>
            </w:r>
          </w:p>
        </w:tc>
        <w:tc>
          <w:tcPr>
            <w:tcW w:w="23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1.6666667%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April 4, 2018</w:t>
            </w:r>
          </w:p>
        </w:tc>
        <w:tc>
          <w:tcPr>
            <w:tcW w:w="4060" w:type="dxa"/>
            <w:vAlign w:val="bottom"/>
            <w:gridSpan w:val="3"/>
          </w:tcPr>
          <w:p>
            <w:pPr>
              <w:jc w:val="right"/>
              <w:ind w:right="60"/>
              <w:spacing w:after="0"/>
              <w:rPr>
                <w:sz w:val="20"/>
                <w:szCs w:val="20"/>
                <w:color w:val="auto"/>
              </w:rPr>
            </w:pPr>
            <w:r>
              <w:rPr>
                <w:rFonts w:ascii="Arial" w:cs="Arial" w:eastAsia="Arial" w:hAnsi="Arial"/>
                <w:sz w:val="18"/>
                <w:szCs w:val="18"/>
                <w:color w:val="auto"/>
              </w:rPr>
              <w:t>1.6666667%</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4, 2018</w:t>
            </w:r>
          </w:p>
        </w:tc>
        <w:tc>
          <w:tcPr>
            <w:tcW w:w="4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1.6666667%</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June 4, 2018</w:t>
            </w:r>
          </w:p>
        </w:tc>
        <w:tc>
          <w:tcPr>
            <w:tcW w:w="4060" w:type="dxa"/>
            <w:vAlign w:val="bottom"/>
            <w:gridSpan w:val="3"/>
          </w:tcPr>
          <w:p>
            <w:pPr>
              <w:jc w:val="right"/>
              <w:ind w:right="60"/>
              <w:spacing w:after="0"/>
              <w:rPr>
                <w:sz w:val="20"/>
                <w:szCs w:val="20"/>
                <w:color w:val="auto"/>
              </w:rPr>
            </w:pPr>
            <w:r>
              <w:rPr>
                <w:rFonts w:ascii="Arial" w:cs="Arial" w:eastAsia="Arial" w:hAnsi="Arial"/>
                <w:sz w:val="18"/>
                <w:szCs w:val="18"/>
                <w:color w:val="auto"/>
              </w:rPr>
              <w:t>1.6666667%</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4, 2018</w:t>
            </w:r>
          </w:p>
        </w:tc>
        <w:tc>
          <w:tcPr>
            <w:tcW w:w="4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1.6666667%</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August 4, 2018</w:t>
            </w:r>
          </w:p>
        </w:tc>
        <w:tc>
          <w:tcPr>
            <w:tcW w:w="4060" w:type="dxa"/>
            <w:vAlign w:val="bottom"/>
            <w:gridSpan w:val="3"/>
          </w:tcPr>
          <w:p>
            <w:pPr>
              <w:jc w:val="right"/>
              <w:ind w:right="60"/>
              <w:spacing w:after="0"/>
              <w:rPr>
                <w:sz w:val="20"/>
                <w:szCs w:val="20"/>
                <w:color w:val="auto"/>
              </w:rPr>
            </w:pPr>
            <w:r>
              <w:rPr>
                <w:rFonts w:ascii="Arial" w:cs="Arial" w:eastAsia="Arial" w:hAnsi="Arial"/>
                <w:sz w:val="18"/>
                <w:szCs w:val="18"/>
                <w:color w:val="auto"/>
              </w:rPr>
              <w:t>1.6666667%</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4, 2018</w:t>
            </w:r>
          </w:p>
        </w:tc>
        <w:tc>
          <w:tcPr>
            <w:tcW w:w="4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1.6666667%</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October 4, 2018</w:t>
            </w:r>
          </w:p>
        </w:tc>
        <w:tc>
          <w:tcPr>
            <w:tcW w:w="4060" w:type="dxa"/>
            <w:vAlign w:val="bottom"/>
            <w:gridSpan w:val="3"/>
          </w:tcPr>
          <w:p>
            <w:pPr>
              <w:jc w:val="right"/>
              <w:ind w:right="60"/>
              <w:spacing w:after="0"/>
              <w:rPr>
                <w:sz w:val="20"/>
                <w:szCs w:val="20"/>
                <w:color w:val="auto"/>
              </w:rPr>
            </w:pPr>
            <w:r>
              <w:rPr>
                <w:rFonts w:ascii="Arial" w:cs="Arial" w:eastAsia="Arial" w:hAnsi="Arial"/>
                <w:sz w:val="18"/>
                <w:szCs w:val="18"/>
                <w:color w:val="auto"/>
              </w:rPr>
              <w:t>1.6666667%</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4, 2018</w:t>
            </w:r>
          </w:p>
        </w:tc>
        <w:tc>
          <w:tcPr>
            <w:tcW w:w="4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1.6666667%</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December 4, 2018</w:t>
            </w:r>
          </w:p>
        </w:tc>
        <w:tc>
          <w:tcPr>
            <w:tcW w:w="4060" w:type="dxa"/>
            <w:vAlign w:val="bottom"/>
            <w:gridSpan w:val="3"/>
          </w:tcPr>
          <w:p>
            <w:pPr>
              <w:jc w:val="right"/>
              <w:ind w:right="60"/>
              <w:spacing w:after="0"/>
              <w:rPr>
                <w:sz w:val="20"/>
                <w:szCs w:val="20"/>
                <w:color w:val="auto"/>
              </w:rPr>
            </w:pPr>
            <w:r>
              <w:rPr>
                <w:rFonts w:ascii="Arial" w:cs="Arial" w:eastAsia="Arial" w:hAnsi="Arial"/>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4, 2019</w:t>
            </w:r>
          </w:p>
        </w:tc>
        <w:tc>
          <w:tcPr>
            <w:tcW w:w="4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February 4, 2019</w:t>
            </w:r>
          </w:p>
        </w:tc>
        <w:tc>
          <w:tcPr>
            <w:tcW w:w="4060" w:type="dxa"/>
            <w:vAlign w:val="bottom"/>
            <w:gridSpan w:val="3"/>
          </w:tcPr>
          <w:p>
            <w:pPr>
              <w:jc w:val="right"/>
              <w:ind w:right="60"/>
              <w:spacing w:after="0"/>
              <w:rPr>
                <w:sz w:val="20"/>
                <w:szCs w:val="20"/>
                <w:color w:val="auto"/>
              </w:rPr>
            </w:pPr>
            <w:r>
              <w:rPr>
                <w:rFonts w:ascii="Arial" w:cs="Arial" w:eastAsia="Arial" w:hAnsi="Arial"/>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4, 2019</w:t>
            </w:r>
          </w:p>
        </w:tc>
        <w:tc>
          <w:tcPr>
            <w:tcW w:w="4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April 4, 2019</w:t>
            </w:r>
          </w:p>
        </w:tc>
        <w:tc>
          <w:tcPr>
            <w:tcW w:w="4060" w:type="dxa"/>
            <w:vAlign w:val="bottom"/>
            <w:gridSpan w:val="3"/>
          </w:tcPr>
          <w:p>
            <w:pPr>
              <w:jc w:val="right"/>
              <w:ind w:right="60"/>
              <w:spacing w:after="0"/>
              <w:rPr>
                <w:sz w:val="20"/>
                <w:szCs w:val="20"/>
                <w:color w:val="auto"/>
              </w:rPr>
            </w:pPr>
            <w:r>
              <w:rPr>
                <w:rFonts w:ascii="Arial" w:cs="Arial" w:eastAsia="Arial" w:hAnsi="Arial"/>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4, 2019</w:t>
            </w:r>
          </w:p>
        </w:tc>
        <w:tc>
          <w:tcPr>
            <w:tcW w:w="4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June 4, 2019</w:t>
            </w:r>
          </w:p>
        </w:tc>
        <w:tc>
          <w:tcPr>
            <w:tcW w:w="4060" w:type="dxa"/>
            <w:vAlign w:val="bottom"/>
            <w:gridSpan w:val="3"/>
          </w:tcPr>
          <w:p>
            <w:pPr>
              <w:jc w:val="right"/>
              <w:ind w:right="60"/>
              <w:spacing w:after="0"/>
              <w:rPr>
                <w:sz w:val="20"/>
                <w:szCs w:val="20"/>
                <w:color w:val="auto"/>
              </w:rPr>
            </w:pPr>
            <w:r>
              <w:rPr>
                <w:rFonts w:ascii="Arial" w:cs="Arial" w:eastAsia="Arial" w:hAnsi="Arial"/>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4, 2019</w:t>
            </w:r>
          </w:p>
        </w:tc>
        <w:tc>
          <w:tcPr>
            <w:tcW w:w="4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August 4, 2019</w:t>
            </w:r>
          </w:p>
        </w:tc>
        <w:tc>
          <w:tcPr>
            <w:tcW w:w="4060" w:type="dxa"/>
            <w:vAlign w:val="bottom"/>
            <w:gridSpan w:val="3"/>
          </w:tcPr>
          <w:p>
            <w:pPr>
              <w:jc w:val="right"/>
              <w:ind w:right="60"/>
              <w:spacing w:after="0"/>
              <w:rPr>
                <w:sz w:val="20"/>
                <w:szCs w:val="20"/>
                <w:color w:val="auto"/>
              </w:rPr>
            </w:pPr>
            <w:r>
              <w:rPr>
                <w:rFonts w:ascii="Arial" w:cs="Arial" w:eastAsia="Arial" w:hAnsi="Arial"/>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4, 2019</w:t>
            </w:r>
          </w:p>
        </w:tc>
        <w:tc>
          <w:tcPr>
            <w:tcW w:w="4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October 4, 2019</w:t>
            </w:r>
          </w:p>
        </w:tc>
        <w:tc>
          <w:tcPr>
            <w:tcW w:w="4060" w:type="dxa"/>
            <w:vAlign w:val="bottom"/>
            <w:gridSpan w:val="3"/>
          </w:tcPr>
          <w:p>
            <w:pPr>
              <w:jc w:val="right"/>
              <w:ind w:right="60"/>
              <w:spacing w:after="0"/>
              <w:rPr>
                <w:sz w:val="20"/>
                <w:szCs w:val="20"/>
                <w:color w:val="auto"/>
              </w:rPr>
            </w:pPr>
            <w:r>
              <w:rPr>
                <w:rFonts w:ascii="Arial" w:cs="Arial" w:eastAsia="Arial" w:hAnsi="Arial"/>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4, 2019</w:t>
            </w:r>
          </w:p>
        </w:tc>
        <w:tc>
          <w:tcPr>
            <w:tcW w:w="4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17.0833333%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the final principal repayment installment of the Loans shall be repaid on the Maturity Date and in any event shall be in an amount equal to the aggregate principal amount of all Loans outstanding on such date and (ii) if any principal repayment installment to be made by the Borrower shall come due on a day other than a Business Day, such principal repayment installment shall be due on the next following Business Day, and such extension of time shall be reflected in computing interest or fees, as the case may be.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Payments Generally; Administrative Agent’s Clawback</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72" w:lineRule="auto"/>
        <w:tabs>
          <w:tab w:leader="none" w:pos="70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Except as otherwise specifically provided for in this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Agreement,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70" w:lineRule="exact"/>
        <w:rPr>
          <w:sz w:val="20"/>
          <w:szCs w:val="20"/>
          <w:color w:val="auto"/>
        </w:rPr>
      </w:pPr>
    </w:p>
    <w:p>
      <w:pPr>
        <w:ind w:firstLine="464"/>
        <w:spacing w:after="0" w:line="284" w:lineRule="auto"/>
        <w:tabs>
          <w:tab w:leader="none" w:pos="71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Unless the Administrative Agent shall have received notice from a Lender prior to the proposed date of the Borrowing that such Lender will not make available to the Administrative Agent such Lender’s share of the Borrowing, the Administrative Agent may assume that such Lender has made such share available on such date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and may, in reliance upon such assumption, make available to the Borrower a corresponding amount. In such event, if a Lender has not in fact made its share of the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the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actually received by it but excluding the date of payment to the Administrative Agent, at the greater of the Federal Funds Rate and a rate determined by the Administrative Agent in accordance with banking industry rules on interbank compensation. A notice of the Administrative Agent to any Lender or the Borrower with respect to any amount owing under this subsection (b) shall be conclusive, absent manifest error.</w:t>
      </w:r>
    </w:p>
    <w:p>
      <w:pPr>
        <w:spacing w:after="0" w:line="181" w:lineRule="exact"/>
        <w:rPr>
          <w:rFonts w:ascii="Arial" w:cs="Arial" w:eastAsia="Arial" w:hAnsi="Arial"/>
          <w:sz w:val="16"/>
          <w:szCs w:val="16"/>
          <w:color w:val="auto"/>
        </w:rPr>
      </w:pPr>
    </w:p>
    <w:p>
      <w:pPr>
        <w:ind w:right="20" w:firstLine="464"/>
        <w:spacing w:after="0" w:line="259" w:lineRule="auto"/>
        <w:tabs>
          <w:tab w:leader="none" w:pos="70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any Lender makes available to the Administrative Agent funds for any Loan to be made by such Lender as provided in the foregoing provisions of this Article II, and such funds are not made available to the Borrower by the Administrative Agent because the conditions set forth in Article V are not satisfied or waived in accordance with the terms hereof, the Administrative Agent shall return such funds (in like funds as received from such Lender) to such Lender, without interest.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124" w:name="page125"/>
    <w:bookmarkEnd w:id="124"/>
    <w:p>
      <w:pPr>
        <w:jc w:val="center"/>
        <w:ind w:right="-71"/>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20" w:right="20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both"/>
        <w:ind w:left="-8" w:right="40" w:firstLine="464"/>
        <w:spacing w:after="0" w:line="259" w:lineRule="auto"/>
        <w:tabs>
          <w:tab w:leader="none" w:pos="70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obligations of the Lenders hereunder to make Loans and to make payments pursuant to Section 9.06(c) are several and not joint. The failure of any Lender to make any Loan, to fund any such participation or to make any payment under Section 9.06(c)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9.06(c).</w:t>
      </w:r>
    </w:p>
    <w:p>
      <w:pPr>
        <w:spacing w:after="0" w:line="186" w:lineRule="exact"/>
        <w:rPr>
          <w:rFonts w:ascii="Arial" w:cs="Arial" w:eastAsia="Arial" w:hAnsi="Arial"/>
          <w:sz w:val="18"/>
          <w:szCs w:val="18"/>
          <w:color w:val="auto"/>
        </w:rPr>
      </w:pPr>
    </w:p>
    <w:p>
      <w:pPr>
        <w:ind w:left="-8" w:right="620" w:firstLine="464"/>
        <w:spacing w:after="0" w:line="277" w:lineRule="auto"/>
        <w:tabs>
          <w:tab w:leader="none" w:pos="69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0" w:lineRule="exact"/>
        <w:rPr>
          <w:rFonts w:ascii="Arial" w:cs="Arial" w:eastAsia="Arial" w:hAnsi="Arial"/>
          <w:sz w:val="18"/>
          <w:szCs w:val="18"/>
          <w:color w:val="auto"/>
        </w:rPr>
      </w:pPr>
    </w:p>
    <w:p>
      <w:pPr>
        <w:jc w:val="both"/>
        <w:ind w:left="-8" w:right="500" w:firstLine="464"/>
        <w:spacing w:after="0" w:line="291" w:lineRule="auto"/>
        <w:tabs>
          <w:tab w:leader="none" w:pos="673"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Except to the extent otherwise provided herein: (i) the Borrowing shall be made from the Lenders, pro rata according to the amounts of their respective Commitments; (ii) the Borrowing shall be allocated pro rata among the Lenders according to the amounts of their respective Commitments;</w:t>
      </w:r>
    </w:p>
    <w:p>
      <w:pPr>
        <w:ind w:left="-8" w:right="120" w:firstLine="8"/>
        <w:spacing w:after="0" w:line="255" w:lineRule="auto"/>
        <w:tabs>
          <w:tab w:leader="none" w:pos="30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payment or prepayment of principal of Loans by the Borrower shall be made for account of the Lenders pro rata in accordance with the respective unpaid principal amounts of the Loans held by them; and (iv) each payment of interest on Loans by the Borrower shall be made for account of the Lenders pro rata in accordance with the amounts of interest on such Loans then due and payable to the Lenders.</w:t>
      </w:r>
    </w:p>
    <w:p>
      <w:pPr>
        <w:spacing w:after="0" w:line="12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32"/>
          </w:cols>
          <w:pgMar w:left="248" w:top="274" w:right="31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 If any Lender shall, by exercising any right of setoff or counterclaim or otherwise, obtain payment in respect of (a) Obligations in respect of the Facility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Facility due and payable to all Lenders hereunder and under the other Loan Documents at such time) of payments on account of the Obligations in respect of the Facility due and payable to all Lenders hereunder and under the other Loan Documents at such time obtained by all the Lenders at such time or (b) Obligations in respect of the Facility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Facility owing (but not due and payable) to all Lenders hereunder and under the other Loan Documents at such time) of payments on account of the Obligations in respect of the Facility owing (but not due and payable) to all Lenders hereunder and under the other Loan Documents at such time obtained by all of the Lenders at such time, then, in each case under clauses (a) and</w:t>
      </w:r>
    </w:p>
    <w:p>
      <w:pPr>
        <w:spacing w:after="0" w:line="6" w:lineRule="exact"/>
        <w:rPr>
          <w:sz w:val="20"/>
          <w:szCs w:val="20"/>
          <w:color w:val="auto"/>
        </w:rPr>
      </w:pPr>
    </w:p>
    <w:p>
      <w:pPr>
        <w:jc w:val="both"/>
        <w:ind w:right="460" w:firstLine="8"/>
        <w:spacing w:after="0" w:line="254" w:lineRule="auto"/>
        <w:tabs>
          <w:tab w:leader="none" w:pos="2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above, the Lender receiving such greater proportion shall (A) notify the Administrative Agent of such fact, and (B) purchase (for cash at face value) participations in the Loans, or make such other adjustments as shall be equitable, so that the benefit of all such payments shall be shared by the Lenders ratably in accordance with the aggregate amount of Obligations in respect of the Facility then due and payable to the Lenders or owing (but not due and payable) to the Lenders, as the case may be, provided that:</w:t>
      </w:r>
    </w:p>
    <w:p>
      <w:pPr>
        <w:spacing w:after="0" w:line="95" w:lineRule="exact"/>
        <w:rPr>
          <w:rFonts w:ascii="Arial" w:cs="Arial" w:eastAsia="Arial" w:hAnsi="Arial"/>
          <w:sz w:val="18"/>
          <w:szCs w:val="18"/>
          <w:color w:val="auto"/>
        </w:rPr>
      </w:pPr>
    </w:p>
    <w:p>
      <w:pPr>
        <w:ind w:left="900" w:right="700" w:hanging="446"/>
        <w:spacing w:after="0" w:line="342" w:lineRule="auto"/>
        <w:tabs>
          <w:tab w:leader="none" w:pos="9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29" w:lineRule="exact"/>
        <w:rPr>
          <w:rFonts w:ascii="Arial" w:cs="Arial" w:eastAsia="Arial" w:hAnsi="Arial"/>
          <w:sz w:val="16"/>
          <w:szCs w:val="16"/>
          <w:color w:val="auto"/>
        </w:rPr>
      </w:pPr>
    </w:p>
    <w:p>
      <w:pPr>
        <w:ind w:left="900" w:right="80" w:hanging="446"/>
        <w:spacing w:after="0" w:line="259" w:lineRule="auto"/>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provisions of this Section shall not be construed to apply to (x) any payment made by or on behalf of the Borrower pursuant to and in accordance with the express terms of this Agreement or (y) any payment obtained by a Lender as consideration for the assignment of or sale of a participation in any of its Loans to any assignee or participant, other than an assignment to the Borrower, the Guarantor or any Affiliate thereof (as to which the provisions of this Section shall apply).</w:t>
      </w:r>
    </w:p>
    <w:p>
      <w:pPr>
        <w:spacing w:after="0" w:line="18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Holdback</w:t>
      </w:r>
      <w:r>
        <w:rPr>
          <w:rFonts w:ascii="Arial" w:cs="Arial" w:eastAsia="Arial" w:hAnsi="Arial"/>
          <w:sz w:val="17"/>
          <w:szCs w:val="17"/>
          <w:color w:val="auto"/>
        </w:rPr>
        <w:t>. The Administrative Agent shall retain an amount equal to [*] (the “</w:t>
      </w:r>
      <w:r>
        <w:rPr>
          <w:rFonts w:ascii="Arial" w:cs="Arial" w:eastAsia="Arial" w:hAnsi="Arial"/>
          <w:sz w:val="17"/>
          <w:szCs w:val="17"/>
          <w:u w:val="single" w:color="auto"/>
          <w:color w:val="auto"/>
        </w:rPr>
        <w:t>Holdback Amount</w:t>
      </w:r>
      <w:r>
        <w:rPr>
          <w:rFonts w:ascii="Arial" w:cs="Arial" w:eastAsia="Arial" w:hAnsi="Arial"/>
          <w:sz w:val="17"/>
          <w:szCs w:val="17"/>
          <w:color w:val="auto"/>
        </w:rPr>
        <w:t>”) for the item of Equipment named</w:t>
      </w:r>
    </w:p>
    <w:p>
      <w:pPr>
        <w:spacing w:after="0" w:line="35" w:lineRule="exact"/>
        <w:rPr>
          <w:sz w:val="20"/>
          <w:szCs w:val="20"/>
          <w:color w:val="auto"/>
        </w:rPr>
      </w:pPr>
    </w:p>
    <w:p>
      <w:pPr>
        <w:ind w:right="20" w:firstLine="8"/>
        <w:spacing w:after="0" w:line="288" w:lineRule="auto"/>
        <w:tabs>
          <w:tab w:leader="none" w:pos="25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as set forth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hereof until such time as the Borrower, at the Borrower’s sole expense, causes to be furnished to Administrative Agent and each Lender an appraisal of such item of Equipment by an Approved Appraiser confirming that such item of Equipment is refurbished, reclaimed and in good operating condition and satisfies the conditions set forth in Section 7.01(q) hereof (the “</w:t>
      </w:r>
      <w:r>
        <w:rPr>
          <w:rFonts w:ascii="Arial" w:cs="Arial" w:eastAsia="Arial" w:hAnsi="Arial"/>
          <w:sz w:val="16"/>
          <w:szCs w:val="16"/>
          <w:u w:val="single" w:color="auto"/>
          <w:color w:val="auto"/>
        </w:rPr>
        <w:t>Holdback Appraisal</w:t>
      </w:r>
      <w:r>
        <w:rPr>
          <w:rFonts w:ascii="Arial" w:cs="Arial" w:eastAsia="Arial" w:hAnsi="Arial"/>
          <w:sz w:val="16"/>
          <w:szCs w:val="16"/>
          <w:color w:val="auto"/>
        </w:rPr>
        <w:t>”). Upon receipt of the Holdback Appraisal, the Administrative Agent shall make the Holdback Amount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For the avoidance of doubt, Borrower and Guarantor acknowledge and agree a Holdback Appraisal of such item of Equipment cannot be obtained on or prior to the date hereof.</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INTEREST AND PAYMENT PROVISIONS</w:t>
      </w:r>
    </w:p>
    <w:p>
      <w:pPr>
        <w:spacing w:after="0" w:line="22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Interest Rates</w:t>
      </w:r>
      <w:r>
        <w:rPr>
          <w:rFonts w:ascii="Arial" w:cs="Arial" w:eastAsia="Arial" w:hAnsi="Arial"/>
          <w:sz w:val="17"/>
          <w:szCs w:val="17"/>
          <w:color w:val="auto"/>
        </w:rPr>
        <w:t>. The Borrower shall pay interest on the unpaid principal balance of the Loans for the period commencing on the date the Loans are made until the Loans are repaid in full, and on the dates set forth in Section 2.05 hereof, at the following rate of interest: 4.655% per annum (the “</w:t>
      </w:r>
      <w:r>
        <w:rPr>
          <w:rFonts w:ascii="Arial" w:cs="Arial" w:eastAsia="Arial" w:hAnsi="Arial"/>
          <w:sz w:val="17"/>
          <w:szCs w:val="17"/>
          <w:u w:val="single" w:color="auto"/>
          <w:color w:val="auto"/>
        </w:rPr>
        <w:t>Applicable Rate</w:t>
      </w:r>
      <w:r>
        <w:rPr>
          <w:rFonts w:ascii="Arial" w:cs="Arial" w:eastAsia="Arial" w:hAnsi="Arial"/>
          <w:sz w:val="17"/>
          <w:szCs w:val="17"/>
          <w:color w:val="auto"/>
        </w:rPr>
        <w:t>”). Notwithstanding the foregoing, in the event that any payment is not made when due (whether at maturity, by acceleration, on demand or otherwise), the Borrower shall pay to the Administrative Agent, for the benefit of the Lenders in accordance with their Applicable Percentages, on demand interest on such late payment from the date such payment was due until such payment is actually received, at a rate per annum equal to 2% plus the Applicable Rate or the highest rate not prohibited by Applicable Law (the “</w:t>
      </w:r>
      <w:r>
        <w:rPr>
          <w:rFonts w:ascii="Arial" w:cs="Arial" w:eastAsia="Arial" w:hAnsi="Arial"/>
          <w:sz w:val="17"/>
          <w:szCs w:val="17"/>
          <w:u w:val="single" w:color="auto"/>
          <w:color w:val="auto"/>
        </w:rPr>
        <w:t>Default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Rate</w:t>
      </w:r>
      <w:r>
        <w:rPr>
          <w:rFonts w:ascii="Arial" w:cs="Arial" w:eastAsia="Arial" w:hAnsi="Arial"/>
          <w:sz w:val="18"/>
          <w:szCs w:val="18"/>
          <w:color w:val="auto"/>
        </w:rPr>
        <w:t>”). Interest hereunder shall be due and payable in accordance with the terms hereof before and after judgment, and before and after the commencement of any proceeding under any Debtor Relief Law.</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Computations</w:t>
      </w:r>
      <w:r>
        <w:rPr>
          <w:rFonts w:ascii="Arial" w:cs="Arial" w:eastAsia="Arial" w:hAnsi="Arial"/>
          <w:sz w:val="18"/>
          <w:szCs w:val="18"/>
          <w:color w:val="auto"/>
        </w:rPr>
        <w:t>. All computations of interest shall be made by the Administrative Agent on the basis of a 365-day year (366 in any leap year). Each determination by the Administrative Agent of the interest due from time to time hereunder shall be conclusive and binding for all purposes, absent manifest error.</w:t>
      </w:r>
    </w:p>
    <w:p>
      <w:pPr>
        <w:spacing w:after="0" w:line="18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Liens; Setoff</w:t>
      </w:r>
      <w:r>
        <w:rPr>
          <w:rFonts w:ascii="Arial" w:cs="Arial" w:eastAsia="Arial" w:hAnsi="Arial"/>
          <w:sz w:val="16"/>
          <w:szCs w:val="16"/>
          <w:color w:val="auto"/>
        </w:rPr>
        <w:t>. 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Loan Document to such Lender or its Affiliates, irrespective of whether or not such Lender or Affiliate shall have made any demand under this Agreement or any other Loan Document and although such obligations of the Borrower may be contingent or unmatured, secured or unsecured, or are owed to a branch, office or Affiliate of such Lender different from the branch, office or Affiliate holding such deposit or obligated on such indebtedness. The rights of each Lender and its Affiliates under this Section are in addition to other rights and remedies (including other rights of setoff) that such Lender or its Affiliates may have. Each Lender agrees to notify the Borrower and the Administrative Agent promptly after any such setoff and application, provided that the failure to give such notice shall not affect the validity of such setoff and application.</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Prepayment</w:t>
      </w:r>
      <w:r>
        <w:rPr>
          <w:rFonts w:ascii="Arial" w:cs="Arial" w:eastAsia="Arial" w:hAnsi="Arial"/>
          <w:sz w:val="18"/>
          <w:szCs w:val="18"/>
          <w:color w:val="auto"/>
        </w:rPr>
        <w:t>.</w:t>
      </w:r>
    </w:p>
    <w:p>
      <w:pPr>
        <w:spacing w:after="0" w:line="225" w:lineRule="exact"/>
        <w:rPr>
          <w:sz w:val="20"/>
          <w:szCs w:val="20"/>
          <w:color w:val="auto"/>
        </w:rPr>
      </w:pPr>
    </w:p>
    <w:p>
      <w:pPr>
        <w:ind w:right="100" w:firstLine="921"/>
        <w:spacing w:after="0" w:line="269" w:lineRule="auto"/>
        <w:tabs>
          <w:tab w:leader="none" w:pos="1157"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Optional Prepayments.</w:t>
      </w:r>
      <w:r>
        <w:rPr>
          <w:rFonts w:ascii="Arial" w:cs="Arial" w:eastAsia="Arial" w:hAnsi="Arial"/>
          <w:sz w:val="17"/>
          <w:szCs w:val="17"/>
          <w:color w:val="auto"/>
        </w:rPr>
        <w:t xml:space="preserve"> Subject to the terms and conditions hereinafter set forth, the Borrower may, upon notice to the Administrative Agent pursuant to delivery to the Administrative Agent of a Notice of Loan Prepayment, prepay the Loans, and in part (subject to a minimum amount of Seven Million Five Hundred Thousand Dollars ($7,500,000)); </w:t>
      </w:r>
      <w:r>
        <w:rPr>
          <w:rFonts w:ascii="Arial" w:cs="Arial" w:eastAsia="Arial" w:hAnsi="Arial"/>
          <w:sz w:val="17"/>
          <w:szCs w:val="17"/>
          <w:u w:val="single" w:color="auto"/>
          <w:color w:val="auto"/>
        </w:rPr>
        <w:t>provided that</w:t>
      </w:r>
      <w:r>
        <w:rPr>
          <w:rFonts w:ascii="Arial" w:cs="Arial" w:eastAsia="Arial" w:hAnsi="Arial"/>
          <w:sz w:val="17"/>
          <w:szCs w:val="17"/>
          <w:color w:val="auto"/>
        </w:rPr>
        <w:t>, unless otherwise agreed by the Administrative Agent, such notice must be received by the Administrative Agent not later than 11:00 a.m. on the date of prepayment. Each such notice shall specify the date and amount of such prepayment. The Administrative Agent will promptly notify each Lender of its receipt of each such notice, and of the amount of such Lender’s ratable portion of such prepayment (based on such Lender’s Applicable Percentage in respect of the Facility). If such notice is given by the Borrower, the Borrower shall make such prepayment and the payment amount specified in such notice shall be due and payable on the date specified therein. On such date, the Borrower shall pay to the Administrative Agent, in addition to the principal amount being prepaid (the “</w:t>
      </w:r>
      <w:r>
        <w:rPr>
          <w:rFonts w:ascii="Arial" w:cs="Arial" w:eastAsia="Arial" w:hAnsi="Arial"/>
          <w:sz w:val="17"/>
          <w:szCs w:val="17"/>
          <w:u w:val="single" w:color="auto"/>
          <w:color w:val="auto"/>
        </w:rPr>
        <w:t>Principal Prepayment Amount</w:t>
      </w:r>
      <w:r>
        <w:rPr>
          <w:rFonts w:ascii="Arial" w:cs="Arial" w:eastAsia="Arial" w:hAnsi="Arial"/>
          <w:sz w:val="17"/>
          <w:szCs w:val="17"/>
          <w:color w:val="auto"/>
        </w:rPr>
        <w:t xml:space="preserve">”), all accrued but unpaid interest then due thereon together with all other sums due hereunder and the applicable Prepayment Fee (if any). Each prepayment of the outstanding Loans pursuant to this </w:t>
      </w:r>
      <w:r>
        <w:rPr>
          <w:rFonts w:ascii="Arial" w:cs="Arial" w:eastAsia="Arial" w:hAnsi="Arial"/>
          <w:sz w:val="17"/>
          <w:szCs w:val="17"/>
          <w:u w:val="single" w:color="auto"/>
          <w:color w:val="auto"/>
        </w:rPr>
        <w:t>Section 3.04(a)</w:t>
      </w:r>
      <w:r>
        <w:rPr>
          <w:rFonts w:ascii="Arial" w:cs="Arial" w:eastAsia="Arial" w:hAnsi="Arial"/>
          <w:sz w:val="17"/>
          <w:szCs w:val="17"/>
          <w:color w:val="auto"/>
        </w:rPr>
        <w:t xml:space="preserve"> shall be applied to the principal repayment installments thereof on a pro-rata basis. Such prepayments shall be paid to the Lenders in accordance with their respective Applicable Percentages of the Facility.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1180" w:hanging="259"/>
        <w:spacing w:after="0"/>
        <w:tabs>
          <w:tab w:leader="none" w:pos="1180"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 If, at any time prior to repayment in full of the Loan,</w:t>
      </w:r>
    </w:p>
    <w:p>
      <w:pPr>
        <w:spacing w:after="0" w:line="225" w:lineRule="exact"/>
        <w:rPr>
          <w:rFonts w:ascii="Arial" w:cs="Arial" w:eastAsia="Arial" w:hAnsi="Arial"/>
          <w:sz w:val="18"/>
          <w:szCs w:val="18"/>
          <w:color w:val="auto"/>
        </w:rPr>
      </w:pPr>
    </w:p>
    <w:p>
      <w:pPr>
        <w:ind w:right="20" w:firstLine="1492"/>
        <w:spacing w:after="0" w:line="293" w:lineRule="auto"/>
        <w:tabs>
          <w:tab w:leader="none" w:pos="1698" w:val="left"/>
        </w:tabs>
        <w:numPr>
          <w:ilvl w:val="2"/>
          <w:numId w:val="111"/>
        </w:numPr>
        <w:rPr>
          <w:rFonts w:ascii="Arial" w:cs="Arial" w:eastAsia="Arial" w:hAnsi="Arial"/>
          <w:sz w:val="16"/>
          <w:szCs w:val="16"/>
          <w:color w:val="auto"/>
        </w:rPr>
      </w:pPr>
      <w:r>
        <w:rPr>
          <w:rFonts w:ascii="Arial" w:cs="Arial" w:eastAsia="Arial" w:hAnsi="Arial"/>
          <w:sz w:val="16"/>
          <w:szCs w:val="16"/>
          <w:color w:val="auto"/>
        </w:rPr>
        <w:t>one or more of the Vessels or any Equipment is sold (other than in conjunction with the Borrower’s election to substitute in a similar item of Collateral in compliance with the provisions of Section 4.06 hereof), the Borrower shall pay to the Administrative Agent, upon the date such Vessel or Equipment (as applicable) is sold, an amount equal to the greater of (x) the net proceeds of sale up to but not to exceed the amount then outstanding under the Loans, or (y) the product obtained by multiplying the outstanding principal balance of the Loans by a fraction, the numerator of which is the Allocated Percentage Value(s) of the Vessel(s) or Equipment sold, and the denominator of which is the Allocated Percentage Value of all Vessels and the Equipment then securing the Borrower’s Obligations immediately prior to such sale, plus all accrued interest then due thereon and the Prepayment Fee;</w:t>
      </w:r>
    </w:p>
    <w:p>
      <w:pPr>
        <w:spacing w:after="0" w:line="164" w:lineRule="exact"/>
        <w:rPr>
          <w:rFonts w:ascii="Arial" w:cs="Arial" w:eastAsia="Arial" w:hAnsi="Arial"/>
          <w:sz w:val="16"/>
          <w:szCs w:val="16"/>
          <w:color w:val="auto"/>
        </w:rPr>
      </w:pPr>
    </w:p>
    <w:p>
      <w:pPr>
        <w:ind w:left="1760" w:hanging="268"/>
        <w:spacing w:after="0"/>
        <w:tabs>
          <w:tab w:leader="none" w:pos="1760" w:val="left"/>
        </w:tabs>
        <w:numPr>
          <w:ilvl w:val="2"/>
          <w:numId w:val="111"/>
        </w:numPr>
        <w:rPr>
          <w:rFonts w:ascii="Arial" w:cs="Arial" w:eastAsia="Arial" w:hAnsi="Arial"/>
          <w:sz w:val="16"/>
          <w:szCs w:val="16"/>
          <w:color w:val="auto"/>
        </w:rPr>
      </w:pPr>
      <w:r>
        <w:rPr>
          <w:rFonts w:ascii="Arial" w:cs="Arial" w:eastAsia="Arial" w:hAnsi="Arial"/>
          <w:sz w:val="16"/>
          <w:szCs w:val="16"/>
          <w:color w:val="auto"/>
        </w:rPr>
        <w:t>one or more of the Vessels or any Equipment sustains a Total Loss, the Borrower shall pay to the Administrative Agent, within ninety</w:t>
      </w:r>
    </w:p>
    <w:p>
      <w:pPr>
        <w:spacing w:after="0" w:line="46" w:lineRule="exact"/>
        <w:rPr>
          <w:rFonts w:ascii="Arial" w:cs="Arial" w:eastAsia="Arial" w:hAnsi="Arial"/>
          <w:sz w:val="16"/>
          <w:szCs w:val="16"/>
          <w:color w:val="auto"/>
        </w:rPr>
      </w:pPr>
    </w:p>
    <w:p>
      <w:pPr>
        <w:ind w:firstLine="8"/>
        <w:spacing w:after="0" w:line="253" w:lineRule="auto"/>
        <w:tabs>
          <w:tab w:leader="none" w:pos="34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days thereafter (unless the Borrower substitutes in a similar item of Collateral in compliance with the provisions of Section 4.06 hereof prior to the end of such 90 day period) an amount equal to the product obtained by multiplying the outstanding principal balance of the Loans by a fraction, the numerator of which is the Allocated Percentage Value(s) of the Vessel(s) and/or Equipment lost, and the denominator of which is the Allocated Percentage Value of all Vessels and all Equipment then securing the Borrower’s Obligations immediately prior to such Total Loss, plus all accrued interest then due thereon and the Prepayment Fee, if any; or</w:t>
      </w:r>
    </w:p>
    <w:p>
      <w:pPr>
        <w:spacing w:after="0" w:line="191" w:lineRule="exact"/>
        <w:rPr>
          <w:rFonts w:ascii="Arial" w:cs="Arial" w:eastAsia="Arial" w:hAnsi="Arial"/>
          <w:sz w:val="18"/>
          <w:szCs w:val="18"/>
          <w:color w:val="auto"/>
        </w:rPr>
      </w:pPr>
    </w:p>
    <w:p>
      <w:pPr>
        <w:jc w:val="both"/>
        <w:ind w:right="60" w:firstLine="1492"/>
        <w:spacing w:after="0" w:line="286" w:lineRule="auto"/>
        <w:tabs>
          <w:tab w:leader="none" w:pos="1798" w:val="left"/>
        </w:tabs>
        <w:numPr>
          <w:ilvl w:val="2"/>
          <w:numId w:val="112"/>
        </w:numPr>
        <w:rPr>
          <w:rFonts w:ascii="Arial" w:cs="Arial" w:eastAsia="Arial" w:hAnsi="Arial"/>
          <w:sz w:val="17"/>
          <w:szCs w:val="17"/>
          <w:color w:val="auto"/>
        </w:rPr>
      </w:pPr>
      <w:r>
        <w:rPr>
          <w:rFonts w:ascii="Arial" w:cs="Arial" w:eastAsia="Arial" w:hAnsi="Arial"/>
          <w:sz w:val="17"/>
          <w:szCs w:val="17"/>
          <w:color w:val="auto"/>
        </w:rPr>
        <w:t xml:space="preserve">it becomes unlawful or impossible for any Lender to continue to maintain its Loan, such Lender shall notify the Borrower, in writing thereof and, within sixty (60) days thereafter, the Borrower shall pay to such Lender the principal amount then outstanding under such Loan, together with all accrued but unpaid interest due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may replace such Lender in accordance with Section 10.03(b).</w:t>
      </w:r>
    </w:p>
    <w:p>
      <w:pPr>
        <w:spacing w:after="0" w:line="16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Each prepayment of Loans pursuant to the foregoing provisions of Section 3.04(b) except Section 3.04(b)(iii) above shall be applied, on a pro-rata basis for all such principal repayment installments, including, without limitation, the final principal repayment installment on the Maturity Date. Such prepayments shall be paid to the Lenders in accordance with their respective Applicable Percentages in respect of the Facility.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SECURITY</w:t>
      </w:r>
    </w:p>
    <w:p>
      <w:pPr>
        <w:spacing w:after="0" w:line="22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To secure payment of the Secured Obligations, including without limitation the Guarantor’s Obligations under the Guaranty and the other Loan Documents and the performance and observance of and compliance with the covenants, terms and conditions contained in this Agreement and the other Loan Documents, the Guarantor hereby grants and conveys to the Administrative Agent, for the benefit of the Secured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128" w:name="page129"/>
    <w:bookmarkEnd w:id="128"/>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20" w:right="20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Parties, a continuing, first priority security interest in and lien on, and/or first preferred mortgage lien over, all rights, title and interests of the Guarantor in and to:</w:t>
      </w:r>
    </w:p>
    <w:p>
      <w:pPr>
        <w:spacing w:after="0" w:line="62" w:lineRule="exact"/>
        <w:rPr>
          <w:sz w:val="20"/>
          <w:szCs w:val="20"/>
          <w:color w:val="auto"/>
        </w:rPr>
      </w:pPr>
    </w:p>
    <w:p>
      <w:pPr>
        <w:ind w:firstLine="1492"/>
        <w:spacing w:after="0" w:line="257" w:lineRule="auto"/>
        <w:tabs>
          <w:tab w:leader="none" w:pos="169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Vessels, together with all of their boilers, engines, machinery, masts, rigging, boats, anchors, chains, cables, tackle, apparel, spare gear, fuel, consumable or other stores, equipment and all other appurtenances thereto appertaining or belonging to the Vessels, whether now owned or hereafter acquired, whether on board or not, and all additions, improvements and replacements hereafter made in or to the Vessels, or any part thereof, except such equipment and stores which, when placed aboard the Vessels, do not become the property of the Borrower and leased equipment not belonging to the Borrower;</w:t>
      </w:r>
    </w:p>
    <w:p>
      <w:pPr>
        <w:spacing w:after="0" w:line="188" w:lineRule="exact"/>
        <w:rPr>
          <w:rFonts w:ascii="Arial" w:cs="Arial" w:eastAsia="Arial" w:hAnsi="Arial"/>
          <w:sz w:val="18"/>
          <w:szCs w:val="18"/>
          <w:color w:val="auto"/>
        </w:rPr>
      </w:pPr>
    </w:p>
    <w:p>
      <w:pPr>
        <w:ind w:left="1760" w:hanging="268"/>
        <w:spacing w:after="0"/>
        <w:tabs>
          <w:tab w:leader="none" w:pos="17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Equipment, together with all parts, attachments, accessories and accessions to, substitutions and replacements for, each item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Equipment;</w:t>
      </w:r>
    </w:p>
    <w:p>
      <w:pPr>
        <w:spacing w:after="0" w:line="210" w:lineRule="exact"/>
        <w:rPr>
          <w:rFonts w:ascii="Arial" w:cs="Arial" w:eastAsia="Arial" w:hAnsi="Arial"/>
          <w:sz w:val="16"/>
          <w:szCs w:val="16"/>
          <w:color w:val="auto"/>
        </w:rPr>
      </w:pPr>
    </w:p>
    <w:p>
      <w:pPr>
        <w:ind w:right="300" w:firstLine="1492"/>
        <w:spacing w:after="0" w:line="277" w:lineRule="auto"/>
        <w:tabs>
          <w:tab w:leader="none" w:pos="179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software and other intellectual property rights, if any, necessary for the operation of the Equipment and all books and records regarding the Equipment, in each case, now existing or hereafter arising; and</w:t>
      </w:r>
    </w:p>
    <w:p>
      <w:pPr>
        <w:spacing w:after="0" w:line="170" w:lineRule="exact"/>
        <w:rPr>
          <w:rFonts w:ascii="Arial" w:cs="Arial" w:eastAsia="Arial" w:hAnsi="Arial"/>
          <w:sz w:val="18"/>
          <w:szCs w:val="18"/>
          <w:color w:val="auto"/>
        </w:rPr>
      </w:pPr>
    </w:p>
    <w:p>
      <w:pPr>
        <w:ind w:left="1800" w:hanging="308"/>
        <w:spacing w:after="0"/>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proceeds and products of any of the foregoing in clauses (i)-(iii) above, including insurance proceeds.</w:t>
      </w:r>
    </w:p>
    <w:p>
      <w:pPr>
        <w:spacing w:after="0" w:line="225"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xml:space="preserve"> In order to secure the prompt payment and performance of the Secured Obligations and perfect the Administrative Agent’s lien on the foregoing Collateral, including without limitation its Obligations hereunder, under the Note and other Loan Documents, the Guarantor shall execute and/or deliver, or cause to be executed and delivered, to the Administrative Agent on the Closing Date the following documents, each in form and substance satisfactory to the Administrative Agent and each Lender (collectively, the “</w:t>
      </w:r>
      <w:r>
        <w:rPr>
          <w:rFonts w:ascii="Arial" w:cs="Arial" w:eastAsia="Arial" w:hAnsi="Arial"/>
          <w:sz w:val="17"/>
          <w:szCs w:val="17"/>
          <w:u w:val="single" w:color="auto"/>
          <w:color w:val="auto"/>
        </w:rPr>
        <w:t>Collateral Documents</w:t>
      </w:r>
      <w:r>
        <w:rPr>
          <w:rFonts w:ascii="Arial" w:cs="Arial" w:eastAsia="Arial" w:hAnsi="Arial"/>
          <w:sz w:val="17"/>
          <w:szCs w:val="17"/>
          <w:color w:val="auto"/>
        </w:rPr>
        <w:t>”):</w:t>
      </w:r>
    </w:p>
    <w:p>
      <w:pPr>
        <w:spacing w:after="0" w:line="63" w:lineRule="exact"/>
        <w:rPr>
          <w:sz w:val="20"/>
          <w:szCs w:val="20"/>
          <w:color w:val="auto"/>
        </w:rPr>
      </w:pPr>
    </w:p>
    <w:p>
      <w:pPr>
        <w:ind w:left="1700" w:hanging="208"/>
        <w:spacing w:after="0"/>
        <w:tabs>
          <w:tab w:leader="none" w:pos="17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Fleet Mortgage; and</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appropriate UCC-1 financing statements as may be required to perfect certain of the security interests created pursuant hereto.</w:t>
      </w:r>
    </w:p>
    <w:p>
      <w:pPr>
        <w:spacing w:after="0" w:line="248"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Additional Documents, etc.</w:t>
      </w:r>
      <w:r>
        <w:rPr>
          <w:rFonts w:ascii="Arial" w:cs="Arial" w:eastAsia="Arial" w:hAnsi="Arial"/>
          <w:sz w:val="18"/>
          <w:szCs w:val="18"/>
          <w:color w:val="auto"/>
        </w:rPr>
        <w:t xml:space="preserve"> On the Closing Date, the Borrower shall also deliver, or cause the Guarantor to deliver, to the Administrative Agent and each Lender the following additional documents and instruments: a copy of the Certificate of Documentation and, if applicable, Certificate of Inspection for each Vessel. To the extent applicable, promptly after the Closing Date, the Borrower shall deliver, or cause the Guarantor to deliver, to the Administrative Agent and each Lender an updated Confirmation of Class for each Vessel that is classed, issued by the American Bureau of Shipping or other internationally recognized classification society.</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Release of Collateral</w:t>
      </w:r>
      <w:r>
        <w:rPr>
          <w:rFonts w:ascii="Arial" w:cs="Arial" w:eastAsia="Arial" w:hAnsi="Arial"/>
          <w:sz w:val="18"/>
          <w:szCs w:val="18"/>
          <w:color w:val="auto"/>
        </w:rPr>
        <w:t>. Upon payment in full of all sums due under the Notes and satisfaction of all of the other Secured Obligations, the Administrative Agent, 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74" w:right="319" w:bottom="1440" w:gutter="0" w:footer="0" w:header="0"/>
        </w:sectPr>
      </w:pPr>
    </w:p>
    <w:bookmarkStart w:id="129" w:name="page130"/>
    <w:bookmarkEnd w:id="129"/>
    <w:p>
      <w:pPr>
        <w:jc w:val="center"/>
        <w:ind w:right="-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80" w:right="24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behalf of the Secured Parties, shall, at the Borrower’s sole cost and expense, discharge the Fleet Mortgage of record and terminate its security interests in all other Collateral. Upon the sale or Total Loss of any Collateral and the receipt, in full, by the Administrative Agent of any mandatory prepayment required pursuant to Section 3.04(b), the Administrative Agent, on behalf of the Lenders, shall at the Borrower’s sole cost and expense, release such Collateral from the lien of the Fleet Mortgage and otherwise terminate its security interest in such Collateral.</w:t>
      </w:r>
    </w:p>
    <w:p>
      <w:pPr>
        <w:spacing w:after="0" w:line="17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Exercise of Powers of Attorney</w:t>
      </w:r>
      <w:r>
        <w:rPr>
          <w:rFonts w:ascii="Arial" w:cs="Arial" w:eastAsia="Arial" w:hAnsi="Arial"/>
          <w:sz w:val="18"/>
          <w:szCs w:val="18"/>
          <w:color w:val="auto"/>
        </w:rPr>
        <w:t>. The Administrative Agent shall not exercise any rights or powers pursuant to any power of attorney granted to the Administrative Agent pursuant to the Fleet Mortgage or the other Loan Documents until the occurrence, and only then during the continuance, of an Event of Default.</w:t>
      </w:r>
    </w:p>
    <w:p>
      <w:pPr>
        <w:spacing w:after="0" w:line="18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Substitution of Collateral</w:t>
      </w:r>
      <w:r>
        <w:rPr>
          <w:rFonts w:ascii="Arial" w:cs="Arial" w:eastAsia="Arial" w:hAnsi="Arial"/>
          <w:sz w:val="16"/>
          <w:szCs w:val="16"/>
          <w:color w:val="auto"/>
        </w:rPr>
        <w:t xml:space="preserve">. Provided that no Default or Event of Default shall then have occurred and be continuing, the Borrower may elect, at its sole cost and expense, to replace (i) certain Equipment with equipment of same or better type and value, or (ii) a Vessel with a vessel, of same or better type and value,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with respect to any replacement vessel or equipment, such replacement vessel or equipment, as applicable, shall (a) be free and clear of all Liens (other than Permitted Encumbrances), (b) have, in the opinion of an Approved Appraiser, at least the value as the substituted Vessel or Equipment, as applicable (in each case assuming that the substituted Vessel or Equipment has been used and maintained in accordance with the terms of the Loan Documents), (c) be reasonably acceptable to the Administrative Agent and Lenders, and (d) in the case of a replacement vessel, such vessel shall</w:t>
      </w:r>
    </w:p>
    <w:p>
      <w:pPr>
        <w:spacing w:after="0" w:line="5" w:lineRule="exact"/>
        <w:rPr>
          <w:sz w:val="20"/>
          <w:szCs w:val="20"/>
          <w:color w:val="auto"/>
        </w:rPr>
      </w:pPr>
    </w:p>
    <w:p>
      <w:pPr>
        <w:jc w:val="both"/>
        <w:ind w:right="280" w:firstLine="8"/>
        <w:spacing w:after="0" w:line="255" w:lineRule="auto"/>
        <w:tabs>
          <w:tab w:leader="none" w:pos="2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be duly documented in the name of the Guarantor under the laws and flag of the United States qualified to engage in the coastwise trade of the United States, and (y) be subject to a first preferred mortgage in favor of the Administrative Agent,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Borrower shall comply with the following terms and conditions:</w:t>
      </w:r>
    </w:p>
    <w:p>
      <w:pPr>
        <w:spacing w:after="0" w:line="82" w:lineRule="exact"/>
        <w:rPr>
          <w:rFonts w:ascii="Arial" w:cs="Arial" w:eastAsia="Arial" w:hAnsi="Arial"/>
          <w:sz w:val="18"/>
          <w:szCs w:val="18"/>
          <w:color w:val="auto"/>
        </w:rPr>
      </w:pPr>
    </w:p>
    <w:p>
      <w:pPr>
        <w:ind w:right="100" w:firstLine="1492"/>
        <w:spacing w:after="0" w:line="264" w:lineRule="auto"/>
        <w:tabs>
          <w:tab w:leader="none" w:pos="169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Borrower shall deliver to the Administrative Agent such surveys, certificates, abstracts and other due diligence items as the Administrative Agent may reasonably request which are similar to those requested in connection with the satisfaction of the initial conditions on the Closing Date;</w:t>
      </w:r>
    </w:p>
    <w:p>
      <w:pPr>
        <w:spacing w:after="0" w:line="181" w:lineRule="exact"/>
        <w:rPr>
          <w:rFonts w:ascii="Arial" w:cs="Arial" w:eastAsia="Arial" w:hAnsi="Arial"/>
          <w:sz w:val="18"/>
          <w:szCs w:val="18"/>
          <w:color w:val="auto"/>
        </w:rPr>
      </w:pPr>
    </w:p>
    <w:p>
      <w:pPr>
        <w:ind w:left="1760" w:hanging="268"/>
        <w:spacing w:after="0"/>
        <w:tabs>
          <w:tab w:leader="none" w:pos="176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such substitution shall be completed pursuant to documentation in form and substance reasonably satisfactory to the Administrative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Agent; and</w:t>
      </w:r>
    </w:p>
    <w:p>
      <w:pPr>
        <w:spacing w:after="0" w:line="210" w:lineRule="exact"/>
        <w:rPr>
          <w:rFonts w:ascii="Arial" w:cs="Arial" w:eastAsia="Arial" w:hAnsi="Arial"/>
          <w:sz w:val="16"/>
          <w:szCs w:val="16"/>
          <w:color w:val="auto"/>
        </w:rPr>
      </w:pPr>
    </w:p>
    <w:p>
      <w:pPr>
        <w:ind w:right="580" w:firstLine="1492"/>
        <w:spacing w:after="0" w:line="308" w:lineRule="auto"/>
        <w:tabs>
          <w:tab w:leader="none" w:pos="1798" w:val="left"/>
        </w:tabs>
        <w:numPr>
          <w:ilvl w:val="1"/>
          <w:numId w:val="115"/>
        </w:numPr>
        <w:rPr>
          <w:rFonts w:ascii="Arial" w:cs="Arial" w:eastAsia="Arial" w:hAnsi="Arial"/>
          <w:sz w:val="17"/>
          <w:szCs w:val="17"/>
          <w:color w:val="auto"/>
        </w:rPr>
      </w:pPr>
      <w:r>
        <w:rPr>
          <w:rFonts w:ascii="Arial" w:cs="Arial" w:eastAsia="Arial" w:hAnsi="Arial"/>
          <w:sz w:val="17"/>
          <w:szCs w:val="17"/>
          <w:color w:val="auto"/>
        </w:rPr>
        <w:t>all reasonable and documented out-of-pocket expenses incurred by Administrative Agent in connection with any substitution (including, without limitation, all search fees, legal fees and recordation costs) shall be borne by Borrower and paid upon demand.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OF BORROWING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Conditions Precedent to the Funding of the Loan</w:t>
      </w:r>
      <w:r>
        <w:rPr>
          <w:rFonts w:ascii="Arial" w:cs="Arial" w:eastAsia="Arial" w:hAnsi="Arial"/>
          <w:sz w:val="16"/>
          <w:szCs w:val="16"/>
          <w:color w:val="auto"/>
        </w:rPr>
        <w:t>. Each Lender’s obligation to proceed forward with this transaction and to fund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 is subject to satisfaction of the following conditions precedent:</w:t>
      </w:r>
    </w:p>
    <w:p>
      <w:pPr>
        <w:spacing w:after="0" w:line="103" w:lineRule="exact"/>
        <w:rPr>
          <w:sz w:val="20"/>
          <w:szCs w:val="20"/>
          <w:color w:val="auto"/>
        </w:rPr>
      </w:pPr>
    </w:p>
    <w:p>
      <w:pPr>
        <w:ind w:right="280" w:firstLine="921"/>
        <w:spacing w:after="0" w:line="259" w:lineRule="auto"/>
        <w:tabs>
          <w:tab w:leader="none" w:pos="115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action, suit, investigation, litigation or proceeding to which the Borrower and/or the Guarantor is a party shall be pending or threatened before any court, governmental agency or arbitrator which could reasonably be expected to have a Material Adverse Effect or that purports to affect the legality, validity or enforceability of this Agreement, any Note, any of the other Loan Documents or the consummation of the transactions contemplated hereby or thereby;</w:t>
      </w:r>
    </w:p>
    <w:p>
      <w:pPr>
        <w:spacing w:after="0" w:line="186" w:lineRule="exact"/>
        <w:rPr>
          <w:rFonts w:ascii="Arial" w:cs="Arial" w:eastAsia="Arial" w:hAnsi="Arial"/>
          <w:sz w:val="18"/>
          <w:szCs w:val="18"/>
          <w:color w:val="auto"/>
        </w:rPr>
      </w:pPr>
    </w:p>
    <w:p>
      <w:pPr>
        <w:ind w:firstLine="921"/>
        <w:spacing w:after="0" w:line="288" w:lineRule="auto"/>
        <w:tabs>
          <w:tab w:leader="none" w:pos="116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Administrative Agent and each Lender shall have received on or before the Closing Date the following, each dated such day (unless otherwise specified), in form and substance satisfactory to the Administrative Agent (unless otherwise specified): (i) certified copies of the Articles of Incorporation and Bylaws of the Borrower and the authorizations of the Borrower’s Board of Directors approving this Agreement, the Notes and the other Loan Documents and the incumbency (including specimen signatures) of the Responsible Officers of the Borrower and evidence of other necessary third party consents and governmental approvals, if any, which are required by this Agreement, the Notes or the other Loan Documents or any other agreement to which the Borrower is a party and evidence of the Borrower’s date of incorporation and good standing, and (ii) certified copies of the Certificate of Formation and Operating Agreement of the Guarantor and the authorizations of the Guarantor’s Board of Managers approving this Agreement, the Guaranty and the other Loan Documents and the incumbency (including specimen signatures) of the Responsible Officers of the Guarantor and evidence of other necessary third party consents and governmental approvals, if any, which are required by this Agreement, the Guaranty or the other Loan Documents or any other agreement to which the Guaranty is a party and evidence of the Guarantor’s date of formation and good standing;</w:t>
      </w:r>
    </w:p>
    <w:p>
      <w:pPr>
        <w:spacing w:after="0" w:line="169" w:lineRule="exact"/>
        <w:rPr>
          <w:rFonts w:ascii="Arial" w:cs="Arial" w:eastAsia="Arial" w:hAnsi="Arial"/>
          <w:sz w:val="16"/>
          <w:szCs w:val="16"/>
          <w:color w:val="auto"/>
        </w:rPr>
      </w:pPr>
    </w:p>
    <w:p>
      <w:pPr>
        <w:ind w:right="60" w:firstLine="921"/>
        <w:spacing w:after="0" w:line="277" w:lineRule="auto"/>
        <w:tabs>
          <w:tab w:leader="none" w:pos="115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Borrower shall have executed by a Responsible Officer and delivered, or caused the Guarantor to have executed by a Responsible Officer and delivered, to the Administrative Agent and each Lender, the following documents to which it is a party:</w:t>
      </w:r>
    </w:p>
    <w:p>
      <w:pPr>
        <w:spacing w:after="0" w:line="62" w:lineRule="exact"/>
        <w:rPr>
          <w:rFonts w:ascii="Arial" w:cs="Arial" w:eastAsia="Arial" w:hAnsi="Arial"/>
          <w:sz w:val="18"/>
          <w:szCs w:val="18"/>
          <w:color w:val="auto"/>
        </w:rPr>
      </w:pPr>
    </w:p>
    <w:p>
      <w:pPr>
        <w:ind w:right="340" w:firstLine="1492"/>
        <w:spacing w:after="0" w:line="277" w:lineRule="auto"/>
        <w:tabs>
          <w:tab w:leader="none" w:pos="169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Loan Notice, properly addressed to the Administrative Agent, requesting the Lenders to fund the Loan and specifying how the proceeds of the Loan are to be disbursed;</w:t>
      </w:r>
    </w:p>
    <w:p>
      <w:pPr>
        <w:spacing w:after="0" w:line="170" w:lineRule="exact"/>
        <w:rPr>
          <w:rFonts w:ascii="Arial" w:cs="Arial" w:eastAsia="Arial" w:hAnsi="Arial"/>
          <w:sz w:val="18"/>
          <w:szCs w:val="18"/>
          <w:color w:val="auto"/>
        </w:rPr>
      </w:pPr>
    </w:p>
    <w:p>
      <w:pPr>
        <w:ind w:left="1760" w:hanging="268"/>
        <w:spacing w:after="0"/>
        <w:tabs>
          <w:tab w:leader="none" w:pos="17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Notes;</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Fleet Mortgage</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Guaranty;</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UCC-1 financing statement to be filed with the Secretary of the State of Delaware;</w:t>
      </w:r>
    </w:p>
    <w:p>
      <w:pPr>
        <w:spacing w:after="0" w:line="225" w:lineRule="exact"/>
        <w:rPr>
          <w:rFonts w:ascii="Arial" w:cs="Arial" w:eastAsia="Arial" w:hAnsi="Arial"/>
          <w:sz w:val="18"/>
          <w:szCs w:val="18"/>
          <w:color w:val="auto"/>
        </w:rPr>
      </w:pPr>
    </w:p>
    <w:p>
      <w:pPr>
        <w:ind w:right="180" w:firstLine="1492"/>
        <w:spacing w:after="0" w:line="308" w:lineRule="auto"/>
        <w:tabs>
          <w:tab w:leader="none" w:pos="1788" w:val="left"/>
        </w:tabs>
        <w:numPr>
          <w:ilvl w:val="1"/>
          <w:numId w:val="116"/>
        </w:numPr>
        <w:rPr>
          <w:rFonts w:ascii="Arial" w:cs="Arial" w:eastAsia="Arial" w:hAnsi="Arial"/>
          <w:sz w:val="17"/>
          <w:szCs w:val="17"/>
          <w:color w:val="auto"/>
        </w:rPr>
      </w:pPr>
      <w:r>
        <w:rPr>
          <w:rFonts w:ascii="Arial" w:cs="Arial" w:eastAsia="Arial" w:hAnsi="Arial"/>
          <w:sz w:val="17"/>
          <w:szCs w:val="17"/>
          <w:color w:val="auto"/>
        </w:rPr>
        <w:t>satisfaction of mortgages or releases of claims, duly executed by each Person having a preferred ship mortgage or Lien over any of the Vessels, in form acceptable for filing with NVDC, releasing its various mortgages or Liens on the Vessels, as applicable;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131" w:name="page132"/>
    <w:bookmarkEnd w:id="131"/>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(vii) UCC-3 termination statements executed and delivered by any Person currently holding an interest, if any, in and to any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Collateral.</w:t>
      </w:r>
    </w:p>
    <w:p>
      <w:pPr>
        <w:spacing w:after="0" w:line="211" w:lineRule="exact"/>
        <w:rPr>
          <w:sz w:val="20"/>
          <w:szCs w:val="20"/>
          <w:color w:val="auto"/>
        </w:rPr>
      </w:pPr>
    </w:p>
    <w:p>
      <w:pPr>
        <w:ind w:right="700" w:firstLine="921"/>
        <w:spacing w:after="0" w:line="277" w:lineRule="auto"/>
        <w:tabs>
          <w:tab w:leader="none" w:pos="116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Administrative Agent and each Lender shall have received copies of all consents and approvals necessary in connection with the Borrower’s execution and delivery of this Agreement and each of the other Loan Documents to which it is a party;</w:t>
      </w:r>
    </w:p>
    <w:p>
      <w:pPr>
        <w:spacing w:after="0" w:line="170" w:lineRule="exact"/>
        <w:rPr>
          <w:rFonts w:ascii="Arial" w:cs="Arial" w:eastAsia="Arial" w:hAnsi="Arial"/>
          <w:sz w:val="18"/>
          <w:szCs w:val="18"/>
          <w:color w:val="auto"/>
        </w:rPr>
      </w:pPr>
    </w:p>
    <w:p>
      <w:pPr>
        <w:ind w:right="60" w:firstLine="921"/>
        <w:spacing w:after="0" w:line="264" w:lineRule="auto"/>
        <w:tabs>
          <w:tab w:leader="none" w:pos="115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Administrative Agent shall have received payment in full of all fees and expenses due the Administrative Agent, including payment of its documentation fee in the amount of $10,000, and reimbursement of the Administrative Agent’s reasonable and documented out-of-pocket legal fees and expenses, appraisal fees and other processing costs;</w:t>
      </w:r>
    </w:p>
    <w:p>
      <w:pPr>
        <w:spacing w:after="0" w:line="181" w:lineRule="exact"/>
        <w:rPr>
          <w:rFonts w:ascii="Arial" w:cs="Arial" w:eastAsia="Arial" w:hAnsi="Arial"/>
          <w:sz w:val="18"/>
          <w:szCs w:val="18"/>
          <w:color w:val="auto"/>
        </w:rPr>
      </w:pPr>
    </w:p>
    <w:p>
      <w:pPr>
        <w:ind w:right="480" w:firstLine="921"/>
        <w:spacing w:after="0" w:line="277" w:lineRule="auto"/>
        <w:tabs>
          <w:tab w:leader="none" w:pos="113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Administrative Agent shall have received evidence satisfactory to it and its counsel that each Vessel and the Equipment is insured in accordance with the provisions hereof, and all requirements in respect of such Insurances have been fulfilled;</w:t>
      </w:r>
    </w:p>
    <w:p>
      <w:pPr>
        <w:spacing w:after="0" w:line="170" w:lineRule="exact"/>
        <w:rPr>
          <w:rFonts w:ascii="Arial" w:cs="Arial" w:eastAsia="Arial" w:hAnsi="Arial"/>
          <w:sz w:val="18"/>
          <w:szCs w:val="18"/>
          <w:color w:val="auto"/>
        </w:rPr>
      </w:pPr>
    </w:p>
    <w:p>
      <w:pPr>
        <w:ind w:right="100" w:firstLine="921"/>
        <w:spacing w:after="0" w:line="277" w:lineRule="auto"/>
        <w:tabs>
          <w:tab w:leader="none" w:pos="116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other certificates, documents and instruments relating to the transactions contemplated by this Agreement as may have been reasonably requested by the Administrative Agent;</w:t>
      </w:r>
    </w:p>
    <w:p>
      <w:pPr>
        <w:spacing w:after="0" w:line="170" w:lineRule="exact"/>
        <w:rPr>
          <w:rFonts w:ascii="Arial" w:cs="Arial" w:eastAsia="Arial" w:hAnsi="Arial"/>
          <w:sz w:val="18"/>
          <w:szCs w:val="18"/>
          <w:color w:val="auto"/>
        </w:rPr>
      </w:pPr>
    </w:p>
    <w:p>
      <w:pPr>
        <w:ind w:firstLine="921"/>
        <w:spacing w:after="0" w:line="264" w:lineRule="auto"/>
        <w:tabs>
          <w:tab w:leader="none" w:pos="116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law, regulation or ruling (including, without limitation, any trade sanction laws and regulations applicable to any Lender) shall prevent any Lender from entering into the transactions contemplated hereby or shall affect the ability of the Borrower to perform any of its obligations under the Loan Documents; and</w:t>
      </w:r>
    </w:p>
    <w:p>
      <w:pPr>
        <w:spacing w:after="0" w:line="181" w:lineRule="exact"/>
        <w:rPr>
          <w:rFonts w:ascii="Arial" w:cs="Arial" w:eastAsia="Arial" w:hAnsi="Arial"/>
          <w:sz w:val="18"/>
          <w:szCs w:val="18"/>
          <w:color w:val="auto"/>
        </w:rPr>
      </w:pPr>
    </w:p>
    <w:p>
      <w:pPr>
        <w:ind w:left="1140" w:hanging="219"/>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Without limiting the generality of the provisions of the last paragraph of </w:t>
      </w:r>
      <w:r>
        <w:rPr>
          <w:rFonts w:ascii="Arial" w:cs="Arial" w:eastAsia="Arial" w:hAnsi="Arial"/>
          <w:sz w:val="16"/>
          <w:szCs w:val="16"/>
          <w:u w:val="single" w:color="auto"/>
          <w:color w:val="auto"/>
        </w:rPr>
        <w:t>Section 11.03</w:t>
      </w:r>
      <w:r>
        <w:rPr>
          <w:rFonts w:ascii="Arial" w:cs="Arial" w:eastAsia="Arial" w:hAnsi="Arial"/>
          <w:sz w:val="16"/>
          <w:szCs w:val="16"/>
          <w:color w:val="auto"/>
        </w:rPr>
        <w:t>, for purposes of determining compliance with the conditions specified in this Article,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The Loan Notice submitted by the Borrower shall be deemed to be a representation and warranty that the conditions specified in this Article have been satisfied on and as of the date of the Loans.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THE LOAN PARTIES</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Loan Parties hereby represent and warrant to the Administrative Agent and each Lender as follows:</w:t>
      </w:r>
    </w:p>
    <w:p>
      <w:pPr>
        <w:spacing w:after="0" w:line="170" w:lineRule="exact"/>
        <w:rPr>
          <w:sz w:val="20"/>
          <w:szCs w:val="20"/>
          <w:color w:val="auto"/>
        </w:rPr>
      </w:pPr>
    </w:p>
    <w:p>
      <w:pPr>
        <w:ind w:firstLine="921"/>
        <w:spacing w:after="0" w:line="271" w:lineRule="auto"/>
        <w:tabs>
          <w:tab w:leader="none" w:pos="1157"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Organization and Powers.</w:t>
      </w:r>
      <w:r>
        <w:rPr>
          <w:rFonts w:ascii="Arial" w:cs="Arial" w:eastAsia="Arial" w:hAnsi="Arial"/>
          <w:sz w:val="17"/>
          <w:szCs w:val="17"/>
          <w:color w:val="auto"/>
        </w:rPr>
        <w:t xml:space="preserve"> The Borrower is a corporation duly organized, validly existing and in good standing under the laws of Delaware and is duly qualified and authorized to transact business as a foreign corporation in good standing wherever necessary to carry on its present business and operations, except in jurisdictions where the failure to be so qualified or in good standing could not reasonably be expected to have a Material Adverse Effect. The Guarantor is a limited liability company duly organized, validly existing and in good standing under the laws of Delaware and is duly qualified and authorized to transact business as a foreign limited liability company in good standing wherever necessary to carry on its present business and operations except in jurisdictions where the failure to be so qualified or in good standing could not reasonably be expected to have a Material Adverse Effect. Each Loan Party has the full power and authority to enter into and to perform its obligations under this Agreement and the other Loan Documents to which it is a party and the Guarantor has the requisite power and authority to own, operate, and mortgage the Vessels.</w:t>
      </w:r>
    </w:p>
    <w:p>
      <w:pPr>
        <w:spacing w:after="0" w:line="178" w:lineRule="exact"/>
        <w:rPr>
          <w:rFonts w:ascii="Arial" w:cs="Arial" w:eastAsia="Arial" w:hAnsi="Arial"/>
          <w:sz w:val="17"/>
          <w:szCs w:val="17"/>
          <w:color w:val="auto"/>
        </w:rPr>
      </w:pPr>
    </w:p>
    <w:p>
      <w:pPr>
        <w:ind w:firstLine="921"/>
        <w:spacing w:after="0" w:line="270" w:lineRule="auto"/>
        <w:tabs>
          <w:tab w:leader="none" w:pos="1168"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Authorization.</w:t>
      </w:r>
      <w:r>
        <w:rPr>
          <w:rFonts w:ascii="Arial" w:cs="Arial" w:eastAsia="Arial" w:hAnsi="Arial"/>
          <w:sz w:val="17"/>
          <w:szCs w:val="17"/>
          <w:color w:val="auto"/>
        </w:rPr>
        <w:t xml:space="preserve"> Each Loan Party has duly authorized by all requisite action the execution, delivery and performance of each of the Loan Documents to which it is a party, and the execution, delivery and performance by it of such Loan Documents will not violate any provision of Applicable Law, its articles of incorporation or bylaws or articles of formation or operating agreement (as applicable), or any indenture, agreement or other instrument to which it is a party, or by which it or any of its property or assets is bound, or be in conflict with, result in a breach of, or constitute (with due notice or lapse of time, or both) a default under any such indenture, agreement or other instrument, or result in the creation or imposition of any Lien upon any of its property or assets except as otherwise permitted, required or contemplated by the Loan Documents. The Loan Documents constitute the legal, valid and binding obligations of each Loan Party, enforceable against it, in accordance with the respective terms thereof, except as may be limited by bankruptcy, insolvency, reorganization, moratorium or similar state and federal debtor relief laws from time to time in effect which effect the enforcement of creditors’ rights in general and the availability of equitable remedies.</w:t>
      </w:r>
    </w:p>
    <w:p>
      <w:pPr>
        <w:spacing w:after="0" w:line="181" w:lineRule="exact"/>
        <w:rPr>
          <w:rFonts w:ascii="Arial" w:cs="Arial" w:eastAsia="Arial" w:hAnsi="Arial"/>
          <w:sz w:val="17"/>
          <w:szCs w:val="17"/>
          <w:color w:val="auto"/>
        </w:rPr>
      </w:pPr>
    </w:p>
    <w:p>
      <w:pPr>
        <w:ind w:firstLine="921"/>
        <w:spacing w:after="0" w:line="279" w:lineRule="auto"/>
        <w:tabs>
          <w:tab w:leader="none" w:pos="1157"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There are no actions, suits or proceedings pending or threatened against or affecting any Loan Party or its property at law, in equity or in admiralty, or before or by any Governmental Authority, domestic or foreign, which either individually or in the aggregate could reasonably be expected to have a Material Adverse Effect. No Loan Party is in default with respect to any order, writ, injunction, decree or demand of any court or Governmental Authority, domestic or foreign, except where the default could not reasonably be expected to have a Material Adverse Effect.</w:t>
      </w:r>
    </w:p>
    <w:p>
      <w:pPr>
        <w:spacing w:after="0" w:line="171" w:lineRule="exact"/>
        <w:rPr>
          <w:rFonts w:ascii="Arial" w:cs="Arial" w:eastAsia="Arial" w:hAnsi="Arial"/>
          <w:sz w:val="17"/>
          <w:szCs w:val="17"/>
          <w:color w:val="auto"/>
        </w:rPr>
      </w:pPr>
    </w:p>
    <w:p>
      <w:pPr>
        <w:ind w:firstLine="921"/>
        <w:spacing w:after="0" w:line="273" w:lineRule="auto"/>
        <w:tabs>
          <w:tab w:leader="none" w:pos="1168"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Financial Condition.</w:t>
      </w:r>
      <w:r>
        <w:rPr>
          <w:rFonts w:ascii="Arial" w:cs="Arial" w:eastAsia="Arial" w:hAnsi="Arial"/>
          <w:sz w:val="17"/>
          <w:szCs w:val="17"/>
          <w:color w:val="auto"/>
        </w:rPr>
        <w:t xml:space="preserve"> Since December 31, 2013, there has been no event that has occurred or condition arisen, either individually or in the aggregate, that could reasonably be expected to have a Material Adverse Effect on any Loan Party. The audited and unaudited financial statements of Borrower delivered to the Administrative Agent are complete and accurate in all material respects and fairly present in all material respects the consolidated financial position of the Borrower and its Subsidiaries as at such dates, and the consolidated results of the operations and cash flows for the periods then ended (other than customary year-end adjustments for unaudited financial statements). All such financial statements, including the related schedules and notes thereto, have been prepared in accordance with GAAP consistently applied.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2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80" w:right="20" w:firstLine="921"/>
        <w:spacing w:after="0" w:line="297" w:lineRule="auto"/>
        <w:tabs>
          <w:tab w:leader="none" w:pos="1077"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Tax Returns.</w:t>
      </w:r>
      <w:r>
        <w:rPr>
          <w:rFonts w:ascii="Arial" w:cs="Arial" w:eastAsia="Arial" w:hAnsi="Arial"/>
          <w:sz w:val="16"/>
          <w:szCs w:val="16"/>
          <w:color w:val="auto"/>
        </w:rPr>
        <w:t xml:space="preserve"> Each Loan Party has duly filed or caused to be filed all federal, state, local and other tax and information returns required by Applicable Law to be filed, and has paid, or made adequate provision for the payment of, all federal, state, local and other taxes and other similar charges which are due and payable, after giving effect to any extension therefor, except (i) any amount the validity of which is currently being contested in good faith by appropriate proceedings and with respect to which reserves in conformity with GAAP have been provided for on the books of the Borrower or (ii) any such returns, taxes, or charges the nonfiling or nonpayment of which could not reasonably be expected to have a Material Adverse Effect.</w:t>
      </w:r>
    </w:p>
    <w:p>
      <w:pPr>
        <w:spacing w:after="0" w:line="158" w:lineRule="exact"/>
        <w:rPr>
          <w:rFonts w:ascii="Arial" w:cs="Arial" w:eastAsia="Arial" w:hAnsi="Arial"/>
          <w:sz w:val="16"/>
          <w:szCs w:val="16"/>
          <w:color w:val="auto"/>
        </w:rPr>
      </w:pPr>
    </w:p>
    <w:p>
      <w:pPr>
        <w:ind w:left="-80" w:firstLine="921"/>
        <w:spacing w:after="0" w:line="255" w:lineRule="auto"/>
        <w:tabs>
          <w:tab w:leader="none" w:pos="1058"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Compliance with Law; Licenses and Permits.</w:t>
      </w:r>
      <w:r>
        <w:rPr>
          <w:rFonts w:ascii="Arial" w:cs="Arial" w:eastAsia="Arial" w:hAnsi="Arial"/>
          <w:sz w:val="18"/>
          <w:szCs w:val="18"/>
          <w:color w:val="auto"/>
        </w:rPr>
        <w:t xml:space="preserve"> No Loan Party is in violation of any Applicable Law to which it is subject, and each Loan Party has obtained any and all licenses, permits, franchises or other governmental authorizations necessary for the ownership of its properties and the conduct of its business, except where such violation or failure to obtain could not reasonably be expected to have a Material Adverse Effect. The Guarantor has been issued all required permits, licenses, certificates and approvals of all Governmental Authorities under all Applicable Law that is material and necessary for the ownership or operation of the Vessels, and all such permits, licenses, certificates and approvals are in full force and effect, except where the failure could not reasonably be expected to have a Material Adverse Effect.</w:t>
      </w:r>
    </w:p>
    <w:p>
      <w:pPr>
        <w:spacing w:after="0" w:line="193" w:lineRule="exact"/>
        <w:rPr>
          <w:rFonts w:ascii="Arial" w:cs="Arial" w:eastAsia="Arial" w:hAnsi="Arial"/>
          <w:sz w:val="18"/>
          <w:szCs w:val="18"/>
          <w:color w:val="auto"/>
        </w:rPr>
      </w:pPr>
    </w:p>
    <w:p>
      <w:pPr>
        <w:ind w:left="-80" w:right="40" w:firstLine="921"/>
        <w:spacing w:after="0" w:line="272" w:lineRule="auto"/>
        <w:tabs>
          <w:tab w:leader="none" w:pos="1088"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Government Consents.</w:t>
      </w:r>
      <w:r>
        <w:rPr>
          <w:rFonts w:ascii="Arial" w:cs="Arial" w:eastAsia="Arial" w:hAnsi="Arial"/>
          <w:sz w:val="17"/>
          <w:szCs w:val="17"/>
          <w:color w:val="auto"/>
        </w:rPr>
        <w:t xml:space="preserve"> Neither the execution and delivery by any Loan Party of this Agreement, the Notes and any of the other Loan Documents to which it is a party, nor the consummation by any Loan Party of any of the transactions contemplated hereby or thereby, requires the consent or approval of, the giving of notice to, the registration with, or the taking of any other action in respect of, any Governmental Authority or agency, domestic or foreign, other than (i) consents, authorizations, filings or other acts or consents for which the failure to obtain or make could not, individually or in the aggregate, reasonably be expected to have a Material Adverse Effect, (ii) with respect to the validity and enforceability of the Fleet Mortgage under the laws of the United States, filing under the UCC, or the United States federal Ship Mortgage Act of 1920, as applicable and (iii) filings and recordings necessary to perfect and maintain the Liens created under the Loan Documents.</w:t>
      </w:r>
    </w:p>
    <w:p>
      <w:pPr>
        <w:spacing w:after="0" w:line="177" w:lineRule="exact"/>
        <w:rPr>
          <w:rFonts w:ascii="Arial" w:cs="Arial" w:eastAsia="Arial" w:hAnsi="Arial"/>
          <w:sz w:val="17"/>
          <w:szCs w:val="17"/>
          <w:color w:val="auto"/>
        </w:rPr>
      </w:pPr>
    </w:p>
    <w:p>
      <w:pPr>
        <w:ind w:left="-80" w:right="20" w:firstLine="921"/>
        <w:spacing w:after="0" w:line="255" w:lineRule="auto"/>
        <w:tabs>
          <w:tab w:leader="none" w:pos="1088"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Title to Collateral.</w:t>
      </w:r>
      <w:r>
        <w:rPr>
          <w:rFonts w:ascii="Arial" w:cs="Arial" w:eastAsia="Arial" w:hAnsi="Arial"/>
          <w:sz w:val="18"/>
          <w:szCs w:val="18"/>
          <w:color w:val="auto"/>
        </w:rPr>
        <w:t xml:space="preserve"> The Guarantor has good and marketable title to each of the Vessels, free and clear of all Liens (other than Permitted Encumbrances), and upon filing and recording of the Fleet Mortgage with NVDC, the Administrative Agent will have a duly recorded, first preferred ship mortgage lien over the whole of each Vessel. The Guarantor has good and marketable title to the Equipment, free and clear of all Liens (other than Permitted Encumbrances), and upon filing and recording of a UCC-1 financing statement with the Secretary of State of Delaware, the Administrative Agent will have a duly recorded, first priority security interest and lien on the Equipment. On the Closing Date, the Vessels are not subject to demise charters that have a remaining term (including any renewals) in excess of ninety (90) days.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320" w:top="274" w:right="29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2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20" w:firstLine="921"/>
        <w:spacing w:after="0" w:line="342" w:lineRule="auto"/>
        <w:tabs>
          <w:tab w:leader="none" w:pos="1108"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Principal Place of Business; Tradenames.</w:t>
      </w:r>
      <w:r>
        <w:rPr>
          <w:rFonts w:ascii="Arial" w:cs="Arial" w:eastAsia="Arial" w:hAnsi="Arial"/>
          <w:sz w:val="16"/>
          <w:szCs w:val="16"/>
          <w:color w:val="auto"/>
        </w:rPr>
        <w:t xml:space="preserve"> The address stated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hereof is the principal place of business and chief executive office of each Loan Party; and, except as set forth on </w:t>
      </w:r>
      <w:r>
        <w:rPr>
          <w:rFonts w:ascii="Arial" w:cs="Arial" w:eastAsia="Arial" w:hAnsi="Arial"/>
          <w:sz w:val="16"/>
          <w:szCs w:val="16"/>
          <w:u w:val="single" w:color="auto"/>
          <w:color w:val="auto"/>
        </w:rPr>
        <w:t>Schedule 7</w:t>
      </w:r>
      <w:r>
        <w:rPr>
          <w:rFonts w:ascii="Arial" w:cs="Arial" w:eastAsia="Arial" w:hAnsi="Arial"/>
          <w:sz w:val="16"/>
          <w:szCs w:val="16"/>
          <w:color w:val="auto"/>
        </w:rPr>
        <w:t xml:space="preserve"> hereto, neither Loan Party conducts business under any trade, assumed or fictitious names.</w:t>
      </w:r>
    </w:p>
    <w:p>
      <w:pPr>
        <w:spacing w:after="0" w:line="123" w:lineRule="exact"/>
        <w:rPr>
          <w:rFonts w:ascii="Arial" w:cs="Arial" w:eastAsia="Arial" w:hAnsi="Arial"/>
          <w:sz w:val="16"/>
          <w:szCs w:val="16"/>
          <w:color w:val="auto"/>
        </w:rPr>
      </w:pPr>
    </w:p>
    <w:p>
      <w:pPr>
        <w:ind w:left="-20" w:right="100" w:firstLine="921"/>
        <w:spacing w:after="0" w:line="273" w:lineRule="auto"/>
        <w:tabs>
          <w:tab w:leader="none" w:pos="1108"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Margin Stock.</w:t>
      </w:r>
      <w:r>
        <w:rPr>
          <w:rFonts w:ascii="Arial" w:cs="Arial" w:eastAsia="Arial" w:hAnsi="Arial"/>
          <w:sz w:val="17"/>
          <w:szCs w:val="17"/>
          <w:color w:val="auto"/>
        </w:rPr>
        <w:t xml:space="preserve"> None of the proceeds from the Loans will be used, directly or indirectly, by the Loan Parties for the purpose of purchasing or carrying, or for the purpose of reducing or retiring any indebtedness that was originally incurred to purchase or carry, any “margin stock” within the meaning of Regulation U (12 C.F.R. Part 221), of the Board of Governors of the Federal Reserve System (the “</w:t>
      </w:r>
      <w:r>
        <w:rPr>
          <w:rFonts w:ascii="Arial" w:cs="Arial" w:eastAsia="Arial" w:hAnsi="Arial"/>
          <w:sz w:val="17"/>
          <w:szCs w:val="17"/>
          <w:u w:val="single" w:color="auto"/>
          <w:color w:val="auto"/>
        </w:rPr>
        <w:t>margin stock</w:t>
      </w:r>
      <w:r>
        <w:rPr>
          <w:rFonts w:ascii="Arial" w:cs="Arial" w:eastAsia="Arial" w:hAnsi="Arial"/>
          <w:sz w:val="17"/>
          <w:szCs w:val="17"/>
          <w:color w:val="auto"/>
        </w:rPr>
        <w:t>”), or for any other purpose that might make the transactions contemplated herein a “purpose credit” within the meaning of said Regulation U, or cause this Agreement to violate any other regulation of the Board of Governors of the Federal Reserve System or the Securities Exchange Act of 1934, as amended, or the Small Business Investment Act of 1958, as amended, or any rules or regulations promulgated under any of such statutes.</w:t>
      </w:r>
    </w:p>
    <w:p>
      <w:pPr>
        <w:spacing w:after="0" w:line="178" w:lineRule="exact"/>
        <w:rPr>
          <w:rFonts w:ascii="Arial" w:cs="Arial" w:eastAsia="Arial" w:hAnsi="Arial"/>
          <w:sz w:val="17"/>
          <w:szCs w:val="17"/>
          <w:color w:val="auto"/>
        </w:rPr>
      </w:pPr>
    </w:p>
    <w:p>
      <w:pPr>
        <w:ind w:left="1160" w:hanging="259"/>
        <w:spacing w:after="0"/>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ERISA.</w:t>
      </w:r>
    </w:p>
    <w:p>
      <w:pPr>
        <w:spacing w:after="0" w:line="225" w:lineRule="exact"/>
        <w:rPr>
          <w:rFonts w:ascii="Arial" w:cs="Arial" w:eastAsia="Arial" w:hAnsi="Arial"/>
          <w:sz w:val="18"/>
          <w:szCs w:val="18"/>
          <w:color w:val="auto"/>
        </w:rPr>
      </w:pPr>
    </w:p>
    <w:p>
      <w:pPr>
        <w:ind w:left="-20" w:firstLine="1492"/>
        <w:spacing w:after="0" w:line="290" w:lineRule="auto"/>
        <w:tabs>
          <w:tab w:leader="none" w:pos="1678"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Each Loan Party and each ERISA Affiliate is in compliance with all applicable provisions of ERISA, the Code and the regulations and published interpretations thereunder with respect to all Employee Benefit Plans except for any required amendments for which the remedial amendment period as defined in Section 401(b) of the Code has not yet expired and except where a failure to so comply could not reasonably be expected to have a Material Adverse Effect. Each Employee Benefit Plan that is intended to be qualified under Section 401(a) of the Code has been determined by the IRS to be so qualified, and each trust related to such plan has been determined to be exempt under Section 501(a) of the Code except for such plans that have not yet received determination letters but for which the remedial amendment period for submitting a determination letter has not yet expired. No liability has been incurred by any Loan Party or any ERISA Affiliate which remains unsatisfied for any taxes or penalties assessed with respect to any Employee Benefit Plan or any Multiemployer Plan except for a liability that could not reasonably be expected to have a Material Adverse Effect.</w:t>
      </w:r>
    </w:p>
    <w:p>
      <w:pPr>
        <w:spacing w:after="0" w:line="166" w:lineRule="exact"/>
        <w:rPr>
          <w:rFonts w:ascii="Arial" w:cs="Arial" w:eastAsia="Arial" w:hAnsi="Arial"/>
          <w:sz w:val="16"/>
          <w:szCs w:val="16"/>
          <w:color w:val="auto"/>
        </w:rPr>
      </w:pPr>
    </w:p>
    <w:p>
      <w:pPr>
        <w:jc w:val="both"/>
        <w:ind w:left="-20" w:right="180" w:firstLine="1492"/>
        <w:spacing w:after="0" w:line="302" w:lineRule="auto"/>
        <w:tabs>
          <w:tab w:leader="none" w:pos="1728"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As of the Closing Date, no funding waiver from the IRS been received or requested with respect to any Pension Plan, nor has any Loan Party or any ERISA Affiliate failed to make any contributions or to pay any amounts due and owing as required by Sections 412 or 430 of the Code, Section 302 of ERISA or the terms of any Pension Plan prior to the due dates of such contributions under Sections 412 or 430 of the Code or Section 302 of ERISA, nor has there been any event requiring any disclosure under Section 4041(c)(3)(C) or 4063(a) of ERISA with respect to any Pension Plan.</w:t>
      </w:r>
    </w:p>
    <w:p>
      <w:pPr>
        <w:spacing w:after="0" w:line="154" w:lineRule="exact"/>
        <w:rPr>
          <w:rFonts w:ascii="Arial" w:cs="Arial" w:eastAsia="Arial" w:hAnsi="Arial"/>
          <w:sz w:val="16"/>
          <w:szCs w:val="16"/>
          <w:color w:val="auto"/>
        </w:rPr>
      </w:pPr>
    </w:p>
    <w:p>
      <w:pPr>
        <w:ind w:left="-20" w:right="220" w:firstLine="1492"/>
        <w:spacing w:after="0" w:line="257" w:lineRule="auto"/>
        <w:tabs>
          <w:tab w:leader="none" w:pos="177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Except where the failure of any of the following representations to be correct could not reasonably be expected to have a Material Adverse Effect, no Loan Party nor any ERISA Affiliate has: (i) engaged in a nonexempt prohibited transaction described in Section 406 of the ERISA or Section 4975 of the Code, (ii) incurred any liability to the PBGC which remains outstanding other than the payment of premiums and there are no premium payments which are due and unpaid, (iii) failed to make a required contribution or payment to a Multiemployer Plan, or (iv) failed to make a required installment or other required payment under Sections 412 or 430 of the Code.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60" w:top="274" w:right="23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(iv) No Termination Event has occurred or is reasonably expected to occur.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COVENANTS OF BORROWER</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Affirmative Covenants</w:t>
      </w:r>
      <w:r>
        <w:rPr>
          <w:rFonts w:ascii="Arial" w:cs="Arial" w:eastAsia="Arial" w:hAnsi="Arial"/>
          <w:sz w:val="18"/>
          <w:szCs w:val="18"/>
          <w:color w:val="auto"/>
        </w:rPr>
        <w:t>. Until all Obligations (other than contingent obligations) hereunder have been paid in full or otherwise satisfied in full, the Borrower hereby agrees that:</w:t>
      </w:r>
    </w:p>
    <w:p>
      <w:pPr>
        <w:spacing w:after="0" w:line="62" w:lineRule="exact"/>
        <w:rPr>
          <w:sz w:val="20"/>
          <w:szCs w:val="20"/>
          <w:color w:val="auto"/>
        </w:rPr>
      </w:pPr>
    </w:p>
    <w:p>
      <w:pPr>
        <w:ind w:left="1160" w:hanging="239"/>
        <w:spacing w:after="0"/>
        <w:tabs>
          <w:tab w:leader="none" w:pos="1160" w:val="left"/>
        </w:tabs>
        <w:numPr>
          <w:ilvl w:val="1"/>
          <w:numId w:val="121"/>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The Borrower shall furnish, or cause to be furnished, to the Administrative Agent: (i) within one hundred twenty</w:t>
      </w:r>
    </w:p>
    <w:p>
      <w:pPr>
        <w:spacing w:after="0" w:line="34" w:lineRule="exact"/>
        <w:rPr>
          <w:rFonts w:ascii="Arial" w:cs="Arial" w:eastAsia="Arial" w:hAnsi="Arial"/>
          <w:sz w:val="17"/>
          <w:szCs w:val="17"/>
          <w:color w:val="auto"/>
        </w:rPr>
      </w:pPr>
    </w:p>
    <w:p>
      <w:pPr>
        <w:jc w:val="both"/>
        <w:ind w:right="120" w:firstLine="8"/>
        <w:spacing w:after="0" w:line="281" w:lineRule="auto"/>
        <w:tabs>
          <w:tab w:leader="none" w:pos="43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days after the close of each fiscal year, the consolidated audited year-end financial statements of Borrower and its Subsidiaries prepared by Borrower’s outside Auditors as of the end of such fiscal year, including a balance sheet and related statements of operations, equity and cash flows; (ii) within forty-five</w:t>
      </w:r>
    </w:p>
    <w:p>
      <w:pPr>
        <w:spacing w:after="0" w:line="1" w:lineRule="exact"/>
        <w:rPr>
          <w:rFonts w:ascii="Arial" w:cs="Arial" w:eastAsia="Arial" w:hAnsi="Arial"/>
          <w:sz w:val="16"/>
          <w:szCs w:val="16"/>
          <w:color w:val="auto"/>
        </w:rPr>
      </w:pPr>
    </w:p>
    <w:p>
      <w:pPr>
        <w:ind w:right="40" w:firstLine="8"/>
        <w:spacing w:after="0" w:line="281" w:lineRule="auto"/>
        <w:tabs>
          <w:tab w:leader="none" w:pos="34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days after the first three fiscal quarters of each fiscal year, the internally-prepared, consolidated unaudited quarterly financial statements of Borrower and its Subsidiaries containing substantially the same information required in (i) above; (iii) with the financial statements provided pursuant to subparagraphs</w:t>
      </w:r>
    </w:p>
    <w:p>
      <w:pPr>
        <w:spacing w:after="0" w:line="1" w:lineRule="exact"/>
        <w:rPr>
          <w:rFonts w:ascii="Arial" w:cs="Arial" w:eastAsia="Arial" w:hAnsi="Arial"/>
          <w:sz w:val="16"/>
          <w:szCs w:val="16"/>
          <w:color w:val="auto"/>
        </w:rPr>
      </w:pPr>
    </w:p>
    <w:p>
      <w:pPr>
        <w:ind w:right="540"/>
        <w:spacing w:after="0" w:line="281" w:lineRule="auto"/>
        <w:rPr>
          <w:rFonts w:ascii="Arial" w:cs="Arial" w:eastAsia="Arial" w:hAnsi="Arial"/>
          <w:sz w:val="16"/>
          <w:szCs w:val="16"/>
          <w:color w:val="auto"/>
        </w:rPr>
      </w:pPr>
      <w:r>
        <w:rPr>
          <w:rFonts w:ascii="Arial" w:cs="Arial" w:eastAsia="Arial" w:hAnsi="Arial"/>
          <w:sz w:val="16"/>
          <w:szCs w:val="16"/>
          <w:color w:val="auto"/>
        </w:rPr>
        <w:t>(i) and (ii) above, a statement in reasonable detail (each a “</w:t>
      </w:r>
      <w:r>
        <w:rPr>
          <w:rFonts w:ascii="Arial" w:cs="Arial" w:eastAsia="Arial" w:hAnsi="Arial"/>
          <w:sz w:val="16"/>
          <w:szCs w:val="16"/>
          <w:u w:val="single" w:color="auto"/>
          <w:color w:val="auto"/>
        </w:rPr>
        <w:t>Compliance Certificate</w:t>
      </w:r>
      <w:r>
        <w:rPr>
          <w:rFonts w:ascii="Arial" w:cs="Arial" w:eastAsia="Arial" w:hAnsi="Arial"/>
          <w:sz w:val="16"/>
          <w:szCs w:val="16"/>
          <w:color w:val="auto"/>
        </w:rPr>
        <w:t xml:space="preserve">”), signed by a Responsible Officer of the Borrower (A) showing the calculations used in determining the Borrower’s compliance with each of the financial covenants contained in </w:t>
      </w:r>
      <w:r>
        <w:rPr>
          <w:rFonts w:ascii="Arial" w:cs="Arial" w:eastAsia="Arial" w:hAnsi="Arial"/>
          <w:sz w:val="16"/>
          <w:szCs w:val="16"/>
          <w:u w:val="single" w:color="auto"/>
          <w:color w:val="auto"/>
        </w:rPr>
        <w:t>Section 7.01(q)</w:t>
      </w:r>
      <w:r>
        <w:rPr>
          <w:rFonts w:ascii="Arial" w:cs="Arial" w:eastAsia="Arial" w:hAnsi="Arial"/>
          <w:sz w:val="16"/>
          <w:szCs w:val="16"/>
          <w:color w:val="auto"/>
        </w:rPr>
        <w:t xml:space="preserve"> of this Agreement and</w:t>
      </w:r>
    </w:p>
    <w:p>
      <w:pPr>
        <w:spacing w:after="0" w:line="1" w:lineRule="exact"/>
        <w:rPr>
          <w:rFonts w:ascii="Arial" w:cs="Arial" w:eastAsia="Arial" w:hAnsi="Arial"/>
          <w:sz w:val="16"/>
          <w:szCs w:val="16"/>
          <w:color w:val="auto"/>
        </w:rPr>
      </w:pPr>
    </w:p>
    <w:p>
      <w:pPr>
        <w:ind w:right="20"/>
        <w:spacing w:after="0" w:line="254" w:lineRule="auto"/>
        <w:rPr>
          <w:rFonts w:ascii="Arial" w:cs="Arial" w:eastAsia="Arial" w:hAnsi="Arial"/>
          <w:sz w:val="16"/>
          <w:szCs w:val="16"/>
          <w:color w:val="auto"/>
        </w:rPr>
      </w:pPr>
      <w:r>
        <w:rPr>
          <w:rFonts w:ascii="Arial" w:cs="Arial" w:eastAsia="Arial" w:hAnsi="Arial"/>
          <w:sz w:val="18"/>
          <w:szCs w:val="18"/>
          <w:color w:val="auto"/>
        </w:rPr>
        <w:t>(B) stating that there occurred no Default or Event of Default as of such period or, if a Default or Event of Default has occurred and is continuing, describing the nature thereof and all efforts undertaken to cure such Default or Event of Default; and (iv) such other information regarding the operations, business affairs and financial condition of any Loan Party as the Administrative Agent, or any Lender through the Administrative Agent, may reasonably request. Such financial statements shall be prepared in accordance with GAAP consistently applied.</w:t>
      </w:r>
    </w:p>
    <w:p>
      <w:pPr>
        <w:spacing w:after="0" w:line="1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Documents required to be delivered pursuant to this Section 7.01(a) (to the extent any such documents are included in materials otherwise filed with the SEC) may be delivered electronically and if so delivered, shall be deemed to have been delivered on the date (a) on which the Borrower posts such documents, or provides a link thereto on the Borrower’s website on the Internet at the website address listed on </w:t>
      </w:r>
      <w:r>
        <w:rPr>
          <w:rFonts w:ascii="Arial" w:cs="Arial" w:eastAsia="Arial" w:hAnsi="Arial"/>
          <w:sz w:val="16"/>
          <w:szCs w:val="16"/>
          <w:u w:val="single" w:color="auto"/>
          <w:color w:val="auto"/>
        </w:rPr>
        <w:t>Schedule 2</w:t>
      </w:r>
      <w:r>
        <w:rPr>
          <w:rFonts w:ascii="Arial" w:cs="Arial" w:eastAsia="Arial" w:hAnsi="Arial"/>
          <w:sz w:val="16"/>
          <w:szCs w:val="16"/>
          <w:color w:val="auto"/>
        </w:rPr>
        <w:t>; or (b) on which such documents are posted on the Borrower’s behalf on an Internet or intranet website, if any, to which each Lender and the Administrative Agent have access (whether a commercial, third-party website or whether sponsored by the Administrative Agent); provided that the Borrower shall notify the Administrative Agent of the posting of any such documents and the Administrative Agent shall be able to confirm receipt.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Borrower hereby acknowledges that (A) the Administrative Agent and/or an Affiliate thereof may, but shall not be obligated to, make available to the Lenders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Debt Domain, IntraLinks, Syndtrak, ClearPar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(1) all such Borrower Materials shall be clearly and conspicuously marked “PUBLIC” which, at a minimum, shall mean that the word “PUBLIC” shall appear prominently on the first page thereof; (2) by marking Borrower Materials “PUBLIC,” the Borrower shall be deemed to have authorized the Administrative Agent, any Affiliate thereof, any arranger and the Lenders to treat such Borrower Materials as not containing any material non-public information (although it may be sensitive and proprietary) with respect to the Borrower or its securities for purposes of United States federal and state securities laws; (3) all Borrower Materials marked “PUBLIC” are permitted to be made available through a portion of the Platform designated “Public Side Information;” and (4) the Administrative Agent and any Affiliate thereof and any arranger shall be entitled to treat any Borrower Materials that are not marked “PUBLIC” as being suitable only for posting on a portion of the Platform not designated “Public Side Information.”</w:t>
      </w:r>
    </w:p>
    <w:p>
      <w:pPr>
        <w:spacing w:after="0" w:line="175" w:lineRule="exact"/>
        <w:rPr>
          <w:sz w:val="20"/>
          <w:szCs w:val="20"/>
          <w:color w:val="auto"/>
        </w:rPr>
      </w:pPr>
    </w:p>
    <w:p>
      <w:pPr>
        <w:ind w:right="220" w:firstLine="921"/>
        <w:spacing w:after="0" w:line="277" w:lineRule="auto"/>
        <w:tabs>
          <w:tab w:leader="none" w:pos="116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Existence.</w:t>
      </w:r>
      <w:r>
        <w:rPr>
          <w:rFonts w:ascii="Arial" w:cs="Arial" w:eastAsia="Arial" w:hAnsi="Arial"/>
          <w:sz w:val="18"/>
          <w:szCs w:val="18"/>
          <w:color w:val="auto"/>
        </w:rPr>
        <w:t xml:space="preserve"> Each of the Borrower and the Guarantor shall continue to maintain its existence, good standing and qualifications to do business where required, except where the failure could not reasonably be expected to have a Material Adverse Effect.</w:t>
      </w:r>
    </w:p>
    <w:p>
      <w:pPr>
        <w:spacing w:after="0" w:line="170" w:lineRule="exact"/>
        <w:rPr>
          <w:rFonts w:ascii="Arial" w:cs="Arial" w:eastAsia="Arial" w:hAnsi="Arial"/>
          <w:sz w:val="18"/>
          <w:szCs w:val="18"/>
          <w:color w:val="auto"/>
        </w:rPr>
      </w:pPr>
    </w:p>
    <w:p>
      <w:pPr>
        <w:ind w:firstLine="921"/>
        <w:spacing w:after="0" w:line="264" w:lineRule="auto"/>
        <w:tabs>
          <w:tab w:leader="none" w:pos="1157"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Notice of Default.</w:t>
      </w:r>
      <w:r>
        <w:rPr>
          <w:rFonts w:ascii="Arial" w:cs="Arial" w:eastAsia="Arial" w:hAnsi="Arial"/>
          <w:sz w:val="18"/>
          <w:szCs w:val="18"/>
          <w:color w:val="auto"/>
        </w:rPr>
        <w:t xml:space="preserve"> The Borrower shall notify the Administrative Agent and each Lender promptly in writing of the occurrence of an event described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hereof which with notice or lapse of time, or both, would constitute an Event of Default described therein and of the action which the Borrower is taking or proposes to take with respect thereto.</w:t>
      </w:r>
    </w:p>
    <w:p>
      <w:pPr>
        <w:spacing w:after="0" w:line="181" w:lineRule="exact"/>
        <w:rPr>
          <w:rFonts w:ascii="Arial" w:cs="Arial" w:eastAsia="Arial" w:hAnsi="Arial"/>
          <w:sz w:val="18"/>
          <w:szCs w:val="18"/>
          <w:color w:val="auto"/>
        </w:rPr>
      </w:pPr>
    </w:p>
    <w:p>
      <w:pPr>
        <w:ind w:right="200" w:firstLine="921"/>
        <w:spacing w:after="0" w:line="308" w:lineRule="auto"/>
        <w:tabs>
          <w:tab w:leader="none" w:pos="1168"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Citizenship</w:t>
      </w:r>
      <w:r>
        <w:rPr>
          <w:rFonts w:ascii="Arial" w:cs="Arial" w:eastAsia="Arial" w:hAnsi="Arial"/>
          <w:sz w:val="17"/>
          <w:szCs w:val="17"/>
          <w:color w:val="auto"/>
        </w:rPr>
        <w:t>. Each of the Borrower and the Guarantor, is, and at all times during the term hereof, will remain a “citizen of the United States” within the meaning of 46 U.S.C. §50501, qualified to operate the Vessels in the coastwise trade of the United States of America.</w:t>
      </w:r>
    </w:p>
    <w:p>
      <w:pPr>
        <w:spacing w:after="0" w:line="146" w:lineRule="exact"/>
        <w:rPr>
          <w:rFonts w:ascii="Arial" w:cs="Arial" w:eastAsia="Arial" w:hAnsi="Arial"/>
          <w:sz w:val="17"/>
          <w:szCs w:val="17"/>
          <w:color w:val="auto"/>
        </w:rPr>
      </w:pPr>
    </w:p>
    <w:p>
      <w:pPr>
        <w:ind w:left="1160" w:hanging="239"/>
        <w:spacing w:after="0"/>
        <w:tabs>
          <w:tab w:leader="none" w:pos="1160"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Use of Proceeds.</w:t>
      </w:r>
      <w:r>
        <w:rPr>
          <w:rFonts w:ascii="Arial" w:cs="Arial" w:eastAsia="Arial" w:hAnsi="Arial"/>
          <w:sz w:val="17"/>
          <w:szCs w:val="17"/>
          <w:color w:val="auto"/>
        </w:rPr>
        <w:t xml:space="preserve"> The Borrower shall use the proceeds from the Loans solely for the purposes specified in the Recitals, and for no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purposes.</w:t>
      </w:r>
    </w:p>
    <w:p>
      <w:pPr>
        <w:spacing w:after="0" w:line="210" w:lineRule="exact"/>
        <w:rPr>
          <w:rFonts w:ascii="Arial" w:cs="Arial" w:eastAsia="Arial" w:hAnsi="Arial"/>
          <w:sz w:val="17"/>
          <w:szCs w:val="17"/>
          <w:color w:val="auto"/>
        </w:rPr>
      </w:pPr>
    </w:p>
    <w:p>
      <w:pPr>
        <w:ind w:right="340" w:firstLine="921"/>
        <w:spacing w:after="0" w:line="277" w:lineRule="auto"/>
        <w:tabs>
          <w:tab w:leader="none" w:pos="113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 xml:space="preserve"> Each of the Borrower and the Guarantor shall pay and discharge, or cause to be paid and discharged, all material taxes, assessments and governmental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137" w:name="page138"/>
    <w:bookmarkEnd w:id="137"/>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00" w:right="22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charges or levies imposed on it or on its income or profits or on any of its property; </w:t>
      </w:r>
      <w:r>
        <w:rPr>
          <w:rFonts w:ascii="Arial" w:cs="Arial" w:eastAsia="Arial" w:hAnsi="Arial"/>
          <w:sz w:val="18"/>
          <w:szCs w:val="18"/>
          <w:u w:val="single" w:color="auto"/>
          <w:color w:val="auto"/>
        </w:rPr>
        <w:t>provided</w:t>
      </w:r>
      <w:r>
        <w:rPr>
          <w:rFonts w:ascii="Arial" w:cs="Arial" w:eastAsia="Arial" w:hAnsi="Arial"/>
          <w:sz w:val="18"/>
          <w:szCs w:val="18"/>
          <w:color w:val="auto"/>
        </w:rPr>
        <w:t>, that neither the Borrower nor the Guarantor shall be required to pay or perform any such tax, assessment or other governmental charge (i) which is being contested in good faith, so long as adequate reserves are maintained with respect thereto in accordance with GAAP or (ii) where the failure to pay or perform such items could not reasonably be expected to have a Material Adverse Effect.</w:t>
      </w:r>
    </w:p>
    <w:p>
      <w:pPr>
        <w:spacing w:after="0" w:line="187" w:lineRule="exact"/>
        <w:rPr>
          <w:sz w:val="20"/>
          <w:szCs w:val="20"/>
          <w:color w:val="auto"/>
        </w:rPr>
      </w:pPr>
    </w:p>
    <w:p>
      <w:pPr>
        <w:ind w:right="300" w:firstLine="921"/>
        <w:spacing w:after="0" w:line="259" w:lineRule="auto"/>
        <w:tabs>
          <w:tab w:leader="none" w:pos="1168"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Compliance with Laws Generally.</w:t>
      </w:r>
      <w:r>
        <w:rPr>
          <w:rFonts w:ascii="Arial" w:cs="Arial" w:eastAsia="Arial" w:hAnsi="Arial"/>
          <w:sz w:val="18"/>
          <w:szCs w:val="18"/>
          <w:color w:val="auto"/>
        </w:rPr>
        <w:t xml:space="preserve"> Each of the Borrower and the Guarantor shall comply with the requirements of all Applicable Law (including, but not limited to, the Bank Secrecy Act and, to the extent applicable, the ISM Code and the ISPS Code), rules, regulations including, without limitation, all requirements and orders of any court, governmental body or regulatory agency having jurisdiction over it or its property, except where the failure to comply could not reasonably be expected to have a Material Adverse Effect.</w:t>
      </w:r>
    </w:p>
    <w:p>
      <w:pPr>
        <w:spacing w:after="0" w:line="186" w:lineRule="exact"/>
        <w:rPr>
          <w:rFonts w:ascii="Arial" w:cs="Arial" w:eastAsia="Arial" w:hAnsi="Arial"/>
          <w:sz w:val="18"/>
          <w:szCs w:val="18"/>
          <w:color w:val="auto"/>
        </w:rPr>
      </w:pPr>
    </w:p>
    <w:p>
      <w:pPr>
        <w:ind w:right="100" w:firstLine="921"/>
        <w:spacing w:after="0" w:line="277" w:lineRule="auto"/>
        <w:tabs>
          <w:tab w:leader="none" w:pos="1168"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The Borrower shall promptly inform the Administrative Agent and each Lender of any pending or threatened litigation involving the Borrower or Guarantor that could reasonably be expect to have a Material Adverse Effect.</w:t>
      </w:r>
    </w:p>
    <w:p>
      <w:pPr>
        <w:spacing w:after="0" w:line="170" w:lineRule="exact"/>
        <w:rPr>
          <w:rFonts w:ascii="Arial" w:cs="Arial" w:eastAsia="Arial" w:hAnsi="Arial"/>
          <w:sz w:val="18"/>
          <w:szCs w:val="18"/>
          <w:color w:val="auto"/>
        </w:rPr>
      </w:pPr>
    </w:p>
    <w:p>
      <w:pPr>
        <w:ind w:firstLine="921"/>
        <w:spacing w:after="0" w:line="273" w:lineRule="auto"/>
        <w:tabs>
          <w:tab w:leader="none" w:pos="1128"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Financial Responsibility.</w:t>
      </w:r>
      <w:r>
        <w:rPr>
          <w:rFonts w:ascii="Arial" w:cs="Arial" w:eastAsia="Arial" w:hAnsi="Arial"/>
          <w:sz w:val="17"/>
          <w:szCs w:val="17"/>
          <w:color w:val="auto"/>
        </w:rPr>
        <w:t xml:space="preserve"> The Guarantor shall comply with and satisfy all of the provisions of any Applicable Law concerning financial responsibility for liabilities imposed on it or the Vessels with respect to pollution including, without limitation, the International Convention of Maritime Pollution of 1973, the International Convention for the Safety of Life at Sea of 1974, the U.S. Water Pollution Act, as amended by the Water Pollution Control Act Amendment of 1972, the U.S. Oil Pollution Act of 1990, as each of the same may be amended from time to time, and will maintain all certificates or other evidence of financial responsibility as may be required by any Applicable Law with respect to the trade in which the Vessels from time to time engage, in each case except where the failure to comply or maintain could not reasonably be expected to have a Material Adverse Effect.</w:t>
      </w:r>
    </w:p>
    <w:p>
      <w:pPr>
        <w:spacing w:after="0" w:line="178" w:lineRule="exact"/>
        <w:rPr>
          <w:rFonts w:ascii="Arial" w:cs="Arial" w:eastAsia="Arial" w:hAnsi="Arial"/>
          <w:sz w:val="17"/>
          <w:szCs w:val="17"/>
          <w:color w:val="auto"/>
        </w:rPr>
      </w:pPr>
    </w:p>
    <w:p>
      <w:pPr>
        <w:ind w:right="100" w:firstLine="921"/>
        <w:spacing w:after="0" w:line="277" w:lineRule="auto"/>
        <w:tabs>
          <w:tab w:leader="none" w:pos="1128"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Insolvency.</w:t>
      </w:r>
      <w:r>
        <w:rPr>
          <w:rFonts w:ascii="Arial" w:cs="Arial" w:eastAsia="Arial" w:hAnsi="Arial"/>
          <w:sz w:val="18"/>
          <w:szCs w:val="18"/>
          <w:color w:val="auto"/>
        </w:rPr>
        <w:t xml:space="preserve"> The Borrower shall provide the Administrative Agent and each Lender with written notice of the commencement of proceedings by or against it and/or the Guarantor under Debtor Relief Laws involving the Borrower.</w:t>
      </w:r>
    </w:p>
    <w:p>
      <w:pPr>
        <w:spacing w:after="0" w:line="170" w:lineRule="exact"/>
        <w:rPr>
          <w:rFonts w:ascii="Arial" w:cs="Arial" w:eastAsia="Arial" w:hAnsi="Arial"/>
          <w:sz w:val="18"/>
          <w:szCs w:val="18"/>
          <w:color w:val="auto"/>
        </w:rPr>
      </w:pPr>
    </w:p>
    <w:p>
      <w:pPr>
        <w:ind w:right="60" w:firstLine="921"/>
        <w:spacing w:after="0" w:line="259" w:lineRule="auto"/>
        <w:tabs>
          <w:tab w:leader="none" w:pos="1168"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Request for Information.</w:t>
      </w:r>
      <w:r>
        <w:rPr>
          <w:rFonts w:ascii="Arial" w:cs="Arial" w:eastAsia="Arial" w:hAnsi="Arial"/>
          <w:sz w:val="18"/>
          <w:szCs w:val="18"/>
          <w:color w:val="auto"/>
        </w:rPr>
        <w:t xml:space="preserve"> The Borrower shall (i) keep and maintain adequate books and records in accordance with GAAP, (ii) make entries on its books and records in form reasonably satisfactory to the Administrative Agent disclosing the Administrative Agent’s security interest in the Collateral, and (iii) furnish to the Administrative Agent promptly upon request such information, reports, contracts, invoices (showing names, addresses and amounts owing) and other data relating to all charters entered into with respect to the Vessels.</w:t>
      </w:r>
    </w:p>
    <w:p>
      <w:pPr>
        <w:spacing w:after="0" w:line="186" w:lineRule="exact"/>
        <w:rPr>
          <w:rFonts w:ascii="Arial" w:cs="Arial" w:eastAsia="Arial" w:hAnsi="Arial"/>
          <w:sz w:val="18"/>
          <w:szCs w:val="18"/>
          <w:color w:val="auto"/>
        </w:rPr>
      </w:pPr>
    </w:p>
    <w:p>
      <w:pPr>
        <w:ind w:right="60" w:firstLine="921"/>
        <w:spacing w:after="0" w:line="259" w:lineRule="auto"/>
        <w:tabs>
          <w:tab w:leader="none" w:pos="1128"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Compliance with ERISA.</w:t>
      </w:r>
      <w:r>
        <w:rPr>
          <w:rFonts w:ascii="Arial" w:cs="Arial" w:eastAsia="Arial" w:hAnsi="Arial"/>
          <w:sz w:val="18"/>
          <w:szCs w:val="18"/>
          <w:color w:val="auto"/>
        </w:rPr>
        <w:t xml:space="preserve"> As soon as practicable and in any event within fifteen (15) days after a Responsible Officer of the Borrower knows or has reason to know of (i) all notices received by the Borrower or any ERISA Affiliate of the PBGC’s intent to terminate any Pension Plan or to have a trustee appointed to administer any Pension Plan, (ii) all notices received by the Borrower or any ERISA Affiliate from a Multiemployer Plan sponsor concerning the imposition or amount of withdrawal liability pursuant to Section 4202 of ERISA which in</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74" w:right="29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any such case could reasonably be expected to result in liabilities to the Borrower in excess of the Threshold Amount and (iii) the Borrower obtaining knowledge or reason to know that the Borrower or any ERISA Affiliate has filed or intends to file a notice of intent to terminate any Pension Plan under a distress termination within the meaning of Section 4041(c) of ERISA.</w:t>
      </w:r>
    </w:p>
    <w:p>
      <w:pPr>
        <w:spacing w:after="0" w:line="181" w:lineRule="exact"/>
        <w:rPr>
          <w:sz w:val="20"/>
          <w:szCs w:val="20"/>
          <w:color w:val="auto"/>
        </w:rPr>
      </w:pPr>
    </w:p>
    <w:p>
      <w:pPr>
        <w:ind w:right="120" w:firstLine="921"/>
        <w:spacing w:after="0" w:line="297" w:lineRule="auto"/>
        <w:tabs>
          <w:tab w:leader="none" w:pos="1218"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Environmental</w:t>
      </w:r>
      <w:r>
        <w:rPr>
          <w:rFonts w:ascii="Arial" w:cs="Arial" w:eastAsia="Arial" w:hAnsi="Arial"/>
          <w:sz w:val="16"/>
          <w:szCs w:val="16"/>
          <w:color w:val="auto"/>
        </w:rPr>
        <w:t>. The Borrower shall promptly advise the Administrative Agent and each Lender in writing of (i) any and all enforcement, cleanup, remedial, removal or other governmental or regulatory actions instituted, completed or threatened pursuant to any applicable federal, state or local laws, ordinances or regulations relating to any Hazardous Materials affecting the Borrower’s or the Guarantor’s business operations that could reasonably be expected to have a Material Adverse Effect; and (ii) all claims made or threatened by any third party against the Borrower relating to damages, contribution, cost recovery, compensation, loss or injury resulting from any Hazardous Materials that could reasonably be expected to have a Material Adverse Effect.</w:t>
      </w:r>
    </w:p>
    <w:p>
      <w:pPr>
        <w:spacing w:after="0" w:line="158" w:lineRule="exact"/>
        <w:rPr>
          <w:rFonts w:ascii="Arial" w:cs="Arial" w:eastAsia="Arial" w:hAnsi="Arial"/>
          <w:sz w:val="16"/>
          <w:szCs w:val="16"/>
          <w:color w:val="auto"/>
        </w:rPr>
      </w:pPr>
    </w:p>
    <w:p>
      <w:pPr>
        <w:ind w:left="1180" w:hanging="259"/>
        <w:spacing w:after="0"/>
        <w:tabs>
          <w:tab w:leader="none" w:pos="118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Reserved</w:t>
      </w:r>
      <w:r>
        <w:rPr>
          <w:rFonts w:ascii="Arial" w:cs="Arial" w:eastAsia="Arial" w:hAnsi="Arial"/>
          <w:sz w:val="18"/>
          <w:szCs w:val="18"/>
          <w:u w:val="single" w:color="auto"/>
          <w:color w:val="auto"/>
        </w:rPr>
        <w: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492"/>
        <w:spacing w:after="0" w:line="270" w:lineRule="auto"/>
        <w:tabs>
          <w:tab w:leader="none" w:pos="1698"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Borrower shall, or shall cause the Guarantor, at its own expense, keep the Collateral insured against such risks which would be covered by a prudent and responsible owner of similar vessels and equipment engaged in dredging operations in the places and under conditions comparable to those in which the Collateral employed from time to time with reputable and financially secure underwriters or insurers having a minimum A.M. Best rating of A- (or an equivalent rating from Standard &amp; Poor’s insurance rating service) or underwriters or insurers of reasonably equivalent recognized responsibility and financial strength which have been approved by the Administrative Agent (such approval not to be unreasonably withheld or delayed) in conformance with good marine practice, including, without limiting the generality of the foregoing, marine hull and machinery, protection and indemnity insurance, workers’ compensation and employer’s insurance, commercial general liability insurance and, if not covered in the policies referred to above, pollution liability insurance. All insurance coverage shall be placed through independent brokers of recognized standing. The limits specified below shall be minimum limits with respect to the Collateral:</w:t>
      </w:r>
    </w:p>
    <w:p>
      <w:pPr>
        <w:spacing w:after="0" w:line="73" w:lineRule="exact"/>
        <w:rPr>
          <w:rFonts w:ascii="Arial" w:cs="Arial" w:eastAsia="Arial" w:hAnsi="Arial"/>
          <w:sz w:val="17"/>
          <w:szCs w:val="17"/>
          <w:color w:val="auto"/>
        </w:rPr>
      </w:pPr>
    </w:p>
    <w:p>
      <w:pPr>
        <w:ind w:left="1500" w:firstLine="389"/>
        <w:spacing w:after="0" w:line="257" w:lineRule="auto"/>
        <w:tabs>
          <w:tab w:leader="none" w:pos="219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Marine full form hull and machinery extended to insure against risks of loss or damage to each Vessel and each item of Equipment for the protection of the interests of the Borrower and the Administrative Agent in an aggregate amount not less than $50,000,000.00 on the Closing Date and, thereafter, not less than the Outstanding Amount from time to time. The deductible or self-insured retention under such policies may be up to $750,000 per occurrence provided the Borrower establishes and maintains reserves for such deductibles or retentions reasonably acceptable to the Administrative Agent.</w:t>
      </w:r>
    </w:p>
    <w:p>
      <w:pPr>
        <w:spacing w:after="0" w:line="80" w:lineRule="exact"/>
        <w:rPr>
          <w:rFonts w:ascii="Arial" w:cs="Arial" w:eastAsia="Arial" w:hAnsi="Arial"/>
          <w:sz w:val="18"/>
          <w:szCs w:val="18"/>
          <w:color w:val="auto"/>
        </w:rPr>
      </w:pPr>
    </w:p>
    <w:p>
      <w:pPr>
        <w:ind w:left="1500" w:right="380" w:firstLine="389"/>
        <w:spacing w:after="0" w:line="277" w:lineRule="auto"/>
        <w:tabs>
          <w:tab w:leader="none" w:pos="218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Marine full form protection and indemnity insurance which shall be maintained in the United States or London markets, or other major insurance market approved by the Administrative Agent, and shall be in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139" w:name="page140"/>
    <w:bookmarkEnd w:id="139"/>
    <w:p>
      <w:pPr>
        <w:jc w:val="center"/>
        <w:ind w:right="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1420" w:right="120"/>
        <w:spacing w:after="0" w:line="255" w:lineRule="auto"/>
        <w:rPr>
          <w:sz w:val="20"/>
          <w:szCs w:val="20"/>
          <w:color w:val="auto"/>
        </w:rPr>
      </w:pPr>
      <w:r>
        <w:rPr>
          <w:rFonts w:ascii="Arial" w:cs="Arial" w:eastAsia="Arial" w:hAnsi="Arial"/>
          <w:sz w:val="18"/>
          <w:szCs w:val="18"/>
          <w:color w:val="auto"/>
        </w:rPr>
        <w:t>amount of not less than $1,000,000 per occurrence with excess coverage of not less than $50,000,000 per occurrence. Such insurance shall include, but not be limited to, coverage for injuries to or death of masters, mates and crew; unless insured elsewhere, pollution liabilities imposed by any applicable Governmental Authority and third party pollution liabilities; and any loss, damage or injury whatsoever in connection with anything done or not done by each Vessel or item of Equipment. Said policy may include a deductible or self-insured retention of up to $900,000 per occurrence if the Borrower establishes and maintains reserves for such deductibles or retention’s reasonably acceptable to the Administrative Agent.</w:t>
      </w:r>
    </w:p>
    <w:p>
      <w:pPr>
        <w:spacing w:after="0" w:line="85" w:lineRule="exact"/>
        <w:rPr>
          <w:sz w:val="20"/>
          <w:szCs w:val="20"/>
          <w:color w:val="auto"/>
        </w:rPr>
      </w:pPr>
    </w:p>
    <w:p>
      <w:pPr>
        <w:ind w:left="1420" w:right="40" w:firstLine="389"/>
        <w:spacing w:after="0" w:line="277" w:lineRule="auto"/>
        <w:tabs>
          <w:tab w:leader="none" w:pos="210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Commercial general liability insurance in a primary amount of not less than $1,000,000 per occurrence with excess coverage of not less than $49,000,000 per occurrence.</w:t>
      </w:r>
    </w:p>
    <w:p>
      <w:pPr>
        <w:spacing w:after="0" w:line="62" w:lineRule="exact"/>
        <w:rPr>
          <w:rFonts w:ascii="Arial" w:cs="Arial" w:eastAsia="Arial" w:hAnsi="Arial"/>
          <w:sz w:val="18"/>
          <w:szCs w:val="18"/>
          <w:color w:val="auto"/>
        </w:rPr>
      </w:pPr>
    </w:p>
    <w:p>
      <w:pPr>
        <w:ind w:left="1420" w:right="240" w:firstLine="389"/>
        <w:spacing w:after="0" w:line="308" w:lineRule="auto"/>
        <w:tabs>
          <w:tab w:leader="none" w:pos="2112"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If applicable for each Vessel’s and each item of Equipment’s operations, cargo legal liability insurance coverage sufficient to protect against physical loss or damage to equipment and cargo onboard, in transit, in store and/or overboard.</w:t>
      </w:r>
    </w:p>
    <w:p>
      <w:pPr>
        <w:spacing w:after="0" w:line="38" w:lineRule="exact"/>
        <w:rPr>
          <w:rFonts w:ascii="Arial" w:cs="Arial" w:eastAsia="Arial" w:hAnsi="Arial"/>
          <w:sz w:val="17"/>
          <w:szCs w:val="17"/>
          <w:color w:val="auto"/>
        </w:rPr>
      </w:pPr>
    </w:p>
    <w:p>
      <w:pPr>
        <w:ind w:left="1420" w:right="100" w:firstLine="389"/>
        <w:spacing w:after="0" w:line="290" w:lineRule="auto"/>
        <w:tabs>
          <w:tab w:leader="none" w:pos="209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At all times during which a Vessel or an item of Equipment is within the jurisdiction of the United States of America, maintain insurance or post bond or maintain evidence of financial responsibility with respect to such Vessel or item of Equipment to cover the actual cost of removal of discharged oil for which the Loan Parties or such Vessel or such Equipment may be held strictly liable (or held liable due to the negligence of any Loan Party or any other person) under any Environmental Law, or under any other international, federal, state or local law, rule, regulation or ordinance applicable where such Vessel or Equipment is located which may apply to such Vessel or Equipment or to the Loan Parties; and the Borrower shall maintain insurance covering similar pollution risks or liabilities incident thereto under any law, rule, regulation or judicial decision of any foreign jurisdiction or jurisdictions or political subdivision thereof applicable to the Loan Parties, each Vessel, each Item of Equipment, or their operations.</w:t>
      </w:r>
    </w:p>
    <w:p>
      <w:pPr>
        <w:spacing w:after="0" w:line="58" w:lineRule="exact"/>
        <w:rPr>
          <w:rFonts w:ascii="Arial" w:cs="Arial" w:eastAsia="Arial" w:hAnsi="Arial"/>
          <w:sz w:val="16"/>
          <w:szCs w:val="16"/>
          <w:color w:val="auto"/>
        </w:rPr>
      </w:pPr>
    </w:p>
    <w:p>
      <w:pPr>
        <w:ind w:left="1420" w:right="180" w:firstLine="389"/>
        <w:spacing w:after="0" w:line="277" w:lineRule="auto"/>
        <w:tabs>
          <w:tab w:leader="none" w:pos="208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Such worker’s compensation insurance, including, without limitation, longshoremen’s and harbor workers’ insurance, as shall be required by Applicable Law.</w:t>
      </w:r>
    </w:p>
    <w:p>
      <w:pPr>
        <w:spacing w:after="0" w:line="62" w:lineRule="exact"/>
        <w:rPr>
          <w:rFonts w:ascii="Arial" w:cs="Arial" w:eastAsia="Arial" w:hAnsi="Arial"/>
          <w:sz w:val="18"/>
          <w:szCs w:val="18"/>
          <w:color w:val="auto"/>
        </w:rPr>
      </w:pPr>
    </w:p>
    <w:p>
      <w:pPr>
        <w:ind w:left="1420" w:firstLine="389"/>
        <w:spacing w:after="0" w:line="257" w:lineRule="auto"/>
        <w:tabs>
          <w:tab w:leader="none" w:pos="211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War Risk and Confiscation insurance with respect to each Vessel and each Item of Equipment in a country outside of the United States of America, in an amount equal to the value of the assets as agreed to from time to time between the Borrower and/or the Guarantor and the relevant insurer under the hull and machinery policy unless (i) the Borrower shall have notified the Administrative Agent that it has determined, in good faith, that such insurance with respect to such contract is not available at a reasonable economic cost or not</w:t>
      </w:r>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320" w:top="274" w:right="25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2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both"/>
        <w:ind w:left="1480" w:right="80"/>
        <w:spacing w:after="0" w:line="264" w:lineRule="auto"/>
        <w:rPr>
          <w:sz w:val="20"/>
          <w:szCs w:val="20"/>
          <w:color w:val="auto"/>
        </w:rPr>
      </w:pPr>
      <w:r>
        <w:rPr>
          <w:rFonts w:ascii="Arial" w:cs="Arial" w:eastAsia="Arial" w:hAnsi="Arial"/>
          <w:sz w:val="18"/>
          <w:szCs w:val="18"/>
          <w:color w:val="auto"/>
        </w:rPr>
        <w:t>available from a reputable insurer, or the property or assets to be used in connection with such contract is not subject to a material risk of asset seizure in such country and (ii) the Administrative Agent shall have concurred with such conclusion in writing (which concurrence shall not be unreasonably withheld or delayed);</w:t>
      </w:r>
    </w:p>
    <w:p>
      <w:pPr>
        <w:spacing w:after="0" w:line="73" w:lineRule="exact"/>
        <w:rPr>
          <w:sz w:val="20"/>
          <w:szCs w:val="20"/>
          <w:color w:val="auto"/>
        </w:rPr>
      </w:pPr>
    </w:p>
    <w:p>
      <w:pPr>
        <w:jc w:val="both"/>
        <w:ind w:left="1480" w:right="380" w:firstLine="389"/>
        <w:spacing w:after="0" w:line="264" w:lineRule="auto"/>
        <w:tabs>
          <w:tab w:leader="none" w:pos="2172"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Borrower shall, at its own expense, cause the insurance set out in clause (A) above to be endorsed to include breach of warranty coverage for the benefit of the Administrative Agent, its successors and assigns. Alternatively, the Borrower may arrange a separate policy to cover such risks.</w:t>
      </w:r>
    </w:p>
    <w:p>
      <w:pPr>
        <w:spacing w:after="0" w:line="181" w:lineRule="exact"/>
        <w:rPr>
          <w:rFonts w:ascii="Arial" w:cs="Arial" w:eastAsia="Arial" w:hAnsi="Arial"/>
          <w:sz w:val="18"/>
          <w:szCs w:val="18"/>
          <w:color w:val="auto"/>
        </w:rPr>
      </w:pPr>
    </w:p>
    <w:p>
      <w:pPr>
        <w:ind w:left="-20" w:right="220" w:firstLine="1492"/>
        <w:spacing w:after="0" w:line="277" w:lineRule="auto"/>
        <w:tabs>
          <w:tab w:leader="none" w:pos="1728"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Loss Payable and Notice of Cancellation</w:t>
      </w:r>
      <w:r>
        <w:rPr>
          <w:rFonts w:ascii="Arial" w:cs="Arial" w:eastAsia="Arial" w:hAnsi="Arial"/>
          <w:sz w:val="18"/>
          <w:szCs w:val="18"/>
          <w:color w:val="auto"/>
        </w:rPr>
        <w:t>. Unless the Administrative Agent shall have given its prior written consent, all Insurances effected pursuant to clause (i)(A) above shall contain a loss payable and notice of cancellation clause in the following form:</w:t>
      </w:r>
    </w:p>
    <w:p>
      <w:pPr>
        <w:spacing w:after="0" w:line="6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“LOSS PAYABLE AND NOTICE OF CANCELLATION CLAUSE</w:t>
      </w:r>
    </w:p>
    <w:p>
      <w:pPr>
        <w:spacing w:after="0" w:line="117" w:lineRule="exact"/>
        <w:rPr>
          <w:sz w:val="20"/>
          <w:szCs w:val="20"/>
          <w:color w:val="auto"/>
        </w:rPr>
      </w:pPr>
    </w:p>
    <w:p>
      <w:pPr>
        <w:ind w:left="1760" w:hanging="288"/>
        <w:spacing w:after="0"/>
        <w:tabs>
          <w:tab w:leader="none" w:pos="17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Until Bank of America, N.A. (the “Administrative Agent”) shall have notified insurers,</w:t>
      </w:r>
    </w:p>
    <w:p>
      <w:pPr>
        <w:spacing w:after="0" w:line="117" w:lineRule="exact"/>
        <w:rPr>
          <w:rFonts w:ascii="Arial" w:cs="Arial" w:eastAsia="Arial" w:hAnsi="Arial"/>
          <w:sz w:val="18"/>
          <w:szCs w:val="18"/>
          <w:color w:val="auto"/>
        </w:rPr>
      </w:pPr>
    </w:p>
    <w:p>
      <w:pPr>
        <w:jc w:val="both"/>
        <w:ind w:left="1480" w:right="140" w:firstLine="389"/>
        <w:spacing w:after="0" w:line="264" w:lineRule="auto"/>
        <w:tabs>
          <w:tab w:leader="none" w:pos="2132"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that an Event of Default has occurred and is continuing, any claim under any such insurance policy up to an aggregate amount per occurrence equal to or less than $500,000 in respect of any Vessel or Equipment (other than in respect of a Total Loss), shall be paid directly to the Guarantor;</w:t>
      </w:r>
    </w:p>
    <w:p>
      <w:pPr>
        <w:spacing w:after="0" w:line="73" w:lineRule="exact"/>
        <w:rPr>
          <w:rFonts w:ascii="Arial" w:cs="Arial" w:eastAsia="Arial" w:hAnsi="Arial"/>
          <w:sz w:val="18"/>
          <w:szCs w:val="18"/>
          <w:color w:val="auto"/>
        </w:rPr>
      </w:pPr>
    </w:p>
    <w:p>
      <w:pPr>
        <w:ind w:left="1480" w:firstLine="389"/>
        <w:spacing w:after="0" w:line="273" w:lineRule="auto"/>
        <w:tabs>
          <w:tab w:leader="none" w:pos="2132" w:val="left"/>
        </w:tabs>
        <w:numPr>
          <w:ilvl w:val="1"/>
          <w:numId w:val="130"/>
        </w:numPr>
        <w:rPr>
          <w:rFonts w:ascii="Arial" w:cs="Arial" w:eastAsia="Arial" w:hAnsi="Arial"/>
          <w:sz w:val="17"/>
          <w:szCs w:val="17"/>
          <w:color w:val="auto"/>
        </w:rPr>
      </w:pPr>
      <w:r>
        <w:rPr>
          <w:rFonts w:ascii="Arial" w:cs="Arial" w:eastAsia="Arial" w:hAnsi="Arial"/>
          <w:sz w:val="17"/>
          <w:szCs w:val="17"/>
          <w:color w:val="auto"/>
        </w:rPr>
        <w:t xml:space="preserve">any claim under any such insurance policy in an amount per occurrence in excess of $500,000 in respect of any Vessel or Equipment (other than in respect of a Total Loss), shall be paid directly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no Event of Default has occurred and is continuing, the insurers, after receiving the prior written approval of the Administrative Agent, shall be permitted to directly pay the Guarantor if the Guarantor certifies in writing to the Administrative Agent and such insurer that the damages have been or will be repaired with such insurance proceeds and/or such insurer may pay directly the vendor and/or shiprepairers the amounts that have been actually expended to repair and restore such Vessel or Equipment; and</w:t>
      </w:r>
    </w:p>
    <w:p>
      <w:pPr>
        <w:spacing w:after="0" w:line="70" w:lineRule="exact"/>
        <w:rPr>
          <w:rFonts w:ascii="Arial" w:cs="Arial" w:eastAsia="Arial" w:hAnsi="Arial"/>
          <w:sz w:val="17"/>
          <w:szCs w:val="17"/>
          <w:color w:val="auto"/>
        </w:rPr>
      </w:pPr>
    </w:p>
    <w:p>
      <w:pPr>
        <w:ind w:left="1480" w:right="360" w:firstLine="389"/>
        <w:spacing w:after="0" w:line="277" w:lineRule="auto"/>
        <w:tabs>
          <w:tab w:leader="none" w:pos="2132"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claim in respect of a Total Loss and any claim of any nature during the continuance of an Event of Default shall be paid directly to the Administrative Agent.</w:t>
      </w:r>
    </w:p>
    <w:p>
      <w:pPr>
        <w:spacing w:after="0" w:line="62" w:lineRule="exact"/>
        <w:rPr>
          <w:rFonts w:ascii="Arial" w:cs="Arial" w:eastAsia="Arial" w:hAnsi="Arial"/>
          <w:sz w:val="18"/>
          <w:szCs w:val="18"/>
          <w:color w:val="auto"/>
        </w:rPr>
      </w:pPr>
    </w:p>
    <w:p>
      <w:pPr>
        <w:ind w:left="1760" w:hanging="288"/>
        <w:spacing w:after="0"/>
        <w:tabs>
          <w:tab w:leader="none" w:pos="17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Administrative Agent shall be advised:</w:t>
      </w:r>
    </w:p>
    <w:p>
      <w:pPr>
        <w:spacing w:after="0" w:line="117" w:lineRule="exact"/>
        <w:rPr>
          <w:sz w:val="20"/>
          <w:szCs w:val="20"/>
          <w:color w:val="auto"/>
        </w:rPr>
      </w:pPr>
    </w:p>
    <w:p>
      <w:pPr>
        <w:ind w:left="1480" w:right="60" w:hanging="8"/>
        <w:spacing w:after="0" w:line="286" w:lineRule="auto"/>
        <w:tabs>
          <w:tab w:leader="none" w:pos="173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if any hull and machinery insurer cancels or gives notice of cancellation of any insurance or entry at least thirty (30) days before such cancellation is to take effect, unless the insurer cancels insurance because of non-payment of premium, in which cause the insurer shall give the Administrative Agent at least ten (10) days’ notice before such cancellation is to take effect;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60" w:top="274" w:right="239" w:bottom="1440" w:gutter="0" w:footer="0" w:header="0"/>
        </w:sectPr>
      </w:pPr>
    </w:p>
    <w:bookmarkStart w:id="141" w:name="page142"/>
    <w:bookmarkEnd w:id="141"/>
    <w:p>
      <w:pPr>
        <w:jc w:val="center"/>
        <w:ind w:right="-31"/>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80" w:right="24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1732" w:hanging="248"/>
        <w:spacing w:after="0"/>
        <w:tabs>
          <w:tab w:leader="none" w:pos="173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of the non-renewal of any insurance at least thirty (30) days before such non-renewal is to take effect; and</w:t>
      </w:r>
    </w:p>
    <w:p>
      <w:pPr>
        <w:spacing w:after="0" w:line="117" w:lineRule="exact"/>
        <w:rPr>
          <w:rFonts w:ascii="Arial" w:cs="Arial" w:eastAsia="Arial" w:hAnsi="Arial"/>
          <w:sz w:val="18"/>
          <w:szCs w:val="18"/>
          <w:color w:val="auto"/>
        </w:rPr>
      </w:pPr>
    </w:p>
    <w:p>
      <w:pPr>
        <w:ind w:left="1492" w:hanging="8"/>
        <w:spacing w:after="0" w:line="277" w:lineRule="auto"/>
        <w:tabs>
          <w:tab w:leader="none" w:pos="17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of any material change in the terms and conditions of the aforesaid insurance policies at least thirty (30) days before such change is to take effect.”</w:t>
      </w:r>
    </w:p>
    <w:p>
      <w:pPr>
        <w:spacing w:after="0" w:line="170" w:lineRule="exact"/>
        <w:rPr>
          <w:sz w:val="20"/>
          <w:szCs w:val="20"/>
          <w:color w:val="auto"/>
        </w:rPr>
      </w:pPr>
    </w:p>
    <w:p>
      <w:pPr>
        <w:ind w:left="-8" w:firstLine="1492"/>
        <w:spacing w:after="0" w:line="297" w:lineRule="auto"/>
        <w:tabs>
          <w:tab w:leader="none" w:pos="1790"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Information as to Insurances</w:t>
      </w:r>
      <w:r>
        <w:rPr>
          <w:rFonts w:ascii="Arial" w:cs="Arial" w:eastAsia="Arial" w:hAnsi="Arial"/>
          <w:sz w:val="16"/>
          <w:szCs w:val="16"/>
          <w:color w:val="auto"/>
        </w:rPr>
        <w:t xml:space="preserve">. The Borrower shall give the Administrative Agent and its insurance advisers such information as to the Insurances obtained or being or to be obtained in compliance with the Borrower’s and the Guarantor’s obligations under the provisions of this Section or as to any other matter that may be relevant to such Insurances as the Administrative Agent or its advisers may reasonably request. Without limiting the generality of the foregoing, the Borrower will cause to be furnished to the Administrative Agent on the date hereof and, thereafter annually no later than each anniversary of the Closing Date, copies of certificates of insurance with respect to the Insurances required to be maintained pursuant to this </w:t>
      </w:r>
      <w:r>
        <w:rPr>
          <w:rFonts w:ascii="Arial" w:cs="Arial" w:eastAsia="Arial" w:hAnsi="Arial"/>
          <w:sz w:val="16"/>
          <w:szCs w:val="16"/>
          <w:u w:val="single" w:color="auto"/>
          <w:color w:val="auto"/>
        </w:rPr>
        <w:t>Section 7.01(o)</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left="1172" w:hanging="259"/>
        <w:spacing w:after="0"/>
        <w:tabs>
          <w:tab w:leader="none" w:pos="1172"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Special Vessel Covenants</w:t>
      </w:r>
      <w:r>
        <w:rPr>
          <w:rFonts w:ascii="Arial" w:cs="Arial" w:eastAsia="Arial" w:hAnsi="Arial"/>
          <w:sz w:val="18"/>
          <w:szCs w:val="18"/>
          <w:color w:val="auto"/>
        </w:rPr>
        <w:t>. With respect to the Vessels, the Guarantor hereby covenants and agrees:</w:t>
      </w:r>
    </w:p>
    <w:p>
      <w:pPr>
        <w:spacing w:after="0" w:line="117" w:lineRule="exact"/>
        <w:rPr>
          <w:rFonts w:ascii="Arial" w:cs="Arial" w:eastAsia="Arial" w:hAnsi="Arial"/>
          <w:sz w:val="18"/>
          <w:szCs w:val="18"/>
          <w:color w:val="auto"/>
        </w:rPr>
      </w:pPr>
    </w:p>
    <w:p>
      <w:pPr>
        <w:ind w:left="-8" w:right="60" w:firstLine="1492"/>
        <w:spacing w:after="0" w:line="264" w:lineRule="auto"/>
        <w:tabs>
          <w:tab w:leader="none" w:pos="169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to promptly provide to the Administrative Agent copies of all material notices and information received by it from any Governmental Authority in relation to the Vessels and their operation unless such notices or information state that they have been provided directly to the Administrative Agent;</w:t>
      </w:r>
    </w:p>
    <w:p>
      <w:pPr>
        <w:spacing w:after="0" w:line="181" w:lineRule="exact"/>
        <w:rPr>
          <w:sz w:val="20"/>
          <w:szCs w:val="20"/>
          <w:color w:val="auto"/>
        </w:rPr>
      </w:pPr>
    </w:p>
    <w:p>
      <w:pPr>
        <w:ind w:left="-8" w:right="260" w:firstLine="1492"/>
        <w:spacing w:after="0" w:line="308" w:lineRule="auto"/>
        <w:tabs>
          <w:tab w:leader="none" w:pos="174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to keep each Vessel duly documented under the laws and flag of the United States qualified to engage in the coastwise trade of the United States and to do or suffer to be done nothing whereby such documentation or qualification may be forfeited or canceled;</w:t>
      </w:r>
    </w:p>
    <w:p>
      <w:pPr>
        <w:spacing w:after="0" w:line="146" w:lineRule="exact"/>
        <w:rPr>
          <w:rFonts w:ascii="Arial" w:cs="Arial" w:eastAsia="Arial" w:hAnsi="Arial"/>
          <w:sz w:val="17"/>
          <w:szCs w:val="17"/>
          <w:color w:val="auto"/>
        </w:rPr>
      </w:pPr>
    </w:p>
    <w:p>
      <w:pPr>
        <w:ind w:left="1792" w:hanging="308"/>
        <w:spacing w:after="0"/>
        <w:tabs>
          <w:tab w:leader="none" w:pos="1792"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to keep and to cause each Vessel to be kept free and clear of all Liens (other than Permitted Encumbrances);</w:t>
      </w:r>
    </w:p>
    <w:p>
      <w:pPr>
        <w:spacing w:after="0" w:line="225" w:lineRule="exact"/>
        <w:rPr>
          <w:rFonts w:ascii="Arial" w:cs="Arial" w:eastAsia="Arial" w:hAnsi="Arial"/>
          <w:sz w:val="18"/>
          <w:szCs w:val="18"/>
          <w:color w:val="auto"/>
        </w:rPr>
      </w:pPr>
    </w:p>
    <w:p>
      <w:pPr>
        <w:ind w:left="-8" w:right="260" w:firstLine="1492"/>
        <w:spacing w:after="0" w:line="288" w:lineRule="auto"/>
        <w:tabs>
          <w:tab w:leader="none" w:pos="178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 xml:space="preserve">not to (x) sell any Vessel (unless within five (5) Business Days thereof the Lenders shall have been paid all amounts specified in </w:t>
      </w:r>
      <w:r>
        <w:rPr>
          <w:rFonts w:ascii="Arial" w:cs="Arial" w:eastAsia="Arial" w:hAnsi="Arial"/>
          <w:sz w:val="16"/>
          <w:szCs w:val="16"/>
          <w:u w:val="single" w:color="auto"/>
          <w:color w:val="auto"/>
        </w:rPr>
        <w:t>Section 3.04(b)</w:t>
      </w:r>
      <w:r>
        <w:rPr>
          <w:rFonts w:ascii="Arial" w:cs="Arial" w:eastAsia="Arial" w:hAnsi="Arial"/>
          <w:sz w:val="16"/>
          <w:szCs w:val="16"/>
          <w:color w:val="auto"/>
        </w:rPr>
        <w:t xml:space="preserve"> of this Agreement, in which case no consent shall be required so long as the Orderly Liquidation Value of such sold Vessel(s) is $2,000,000.00 or less in the aggregate based on the last Annual Appraisal and such sales do not occur more frequently than twice in any calendar year), or</w:t>
      </w:r>
    </w:p>
    <w:p>
      <w:pPr>
        <w:ind w:left="252" w:hanging="252"/>
        <w:spacing w:after="0"/>
        <w:tabs>
          <w:tab w:leader="none" w:pos="25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demise charter any Vessel (except as provided in subsection (vii) below);</w:t>
      </w:r>
    </w:p>
    <w:p>
      <w:pPr>
        <w:spacing w:after="0" w:line="210" w:lineRule="exact"/>
        <w:rPr>
          <w:rFonts w:ascii="Arial" w:cs="Arial" w:eastAsia="Arial" w:hAnsi="Arial"/>
          <w:sz w:val="18"/>
          <w:szCs w:val="18"/>
          <w:color w:val="auto"/>
        </w:rPr>
      </w:pPr>
    </w:p>
    <w:p>
      <w:pPr>
        <w:ind w:left="-8" w:right="340" w:firstLine="1492"/>
        <w:spacing w:after="0" w:line="264" w:lineRule="auto"/>
        <w:tabs>
          <w:tab w:leader="none" w:pos="173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to pay to the Administrative Agent on demand all moneys, with interest thereon at the Default Rate, whatsoever which the Administrative Agent reasonably expends for the protection or enforcement of the security created by this Agreement and the Mortgage or arise from the reasonable exercise by the Administrative Agent of any of the powers vested in it hereunder or thereunder;</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72"/>
          </w:cols>
          <w:pgMar w:left="248" w:top="274" w:right="27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20" w:right="160" w:firstLine="1492"/>
        <w:spacing w:after="0" w:line="264" w:lineRule="auto"/>
        <w:tabs>
          <w:tab w:leader="none" w:pos="176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comply with and satisfy all the provisions of Chapter 313 of Title 46 of the United States Code, as at any time amended, in order to establish and maintain the Mortgage as a first preferred mortgage lien thereunder upon each of the Vessels and upon all renewals, improvements and replacements made in or to the same;</w:t>
      </w:r>
    </w:p>
    <w:p>
      <w:pPr>
        <w:spacing w:after="0" w:line="181" w:lineRule="exact"/>
        <w:rPr>
          <w:rFonts w:ascii="Arial" w:cs="Arial" w:eastAsia="Arial" w:hAnsi="Arial"/>
          <w:sz w:val="18"/>
          <w:szCs w:val="18"/>
          <w:color w:val="auto"/>
        </w:rPr>
      </w:pPr>
    </w:p>
    <w:p>
      <w:pPr>
        <w:ind w:left="-20" w:right="40" w:firstLine="1492"/>
        <w:spacing w:after="0" w:line="287" w:lineRule="auto"/>
        <w:tabs>
          <w:tab w:leader="none" w:pos="181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not to cause or permit any Vessel to be operated outside the territorial waters of the United States of America, the Gulf of Mexico and the Caribbean Sea (other than for passage from time to time through the Panama Canal in order to reach said waters) without the prior written consent of the Administrative Agent (not to be unreasonably withheld or delayed) , not abandon any Vessel, not to engage in any unlawful trade or violate any law or carry any cargo that will expose any Vessel to penalty, expropriation, nationalization, confiscation, forfeiture or capture, and will not do, or suffer or permit to be done, anything which can or may injuriously affect the registration or enrollment of any Vessel or its qualification to be documented under the laws and regulations of the United States of America, and the Guarantor shall at all times keep each Vessel duly documented thereunder. The Guarantor will not enter into any demise charter (having a duration of six (6) months or more, including all renewals which, in any event, shall not extend past the Termination Date) respecting any Vessel without the prior written consent of the Administrative Agent, which consent shall not be withheld or delayed unreasonably and which consent shall be contingent upon (A) a review of existing insurance and additional insurance to be carried to cover attendant risks, and the Borrower shall carry or cause to be carried such insurance as may be reasonably satisfactory to the Administrative Agent and (B) any such charter or contract being subject and subordinate to the provisions of the Mortgage,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Guarantor may charter any Vessel to an Affiliate of the Borrower without the consent of the Administrative Agent so long as such charter is subject and subordinate to the provisions of the Mortgage;</w:t>
      </w:r>
    </w:p>
    <w:p>
      <w:pPr>
        <w:spacing w:after="0" w:line="168" w:lineRule="exact"/>
        <w:rPr>
          <w:rFonts w:ascii="Arial" w:cs="Arial" w:eastAsia="Arial" w:hAnsi="Arial"/>
          <w:sz w:val="16"/>
          <w:szCs w:val="16"/>
          <w:color w:val="auto"/>
        </w:rPr>
      </w:pPr>
    </w:p>
    <w:p>
      <w:pPr>
        <w:ind w:left="-20" w:firstLine="1492"/>
        <w:spacing w:after="0" w:line="259" w:lineRule="auto"/>
        <w:tabs>
          <w:tab w:leader="none" w:pos="186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comply with and satisfy all the requisites and formalities established by the laws of the United States to perfect the Mortgage as a legal, valid, binding and enforceable first preferred mortgage lien upon each of the Vessels and to furnish to the Administrative Agent and the Lenders from time to time such proofs as the Administrative Agent may reasonably request so that it may be satisfied with respect to the compliance by the Borrower with the provisions of this subsection;</w:t>
      </w:r>
    </w:p>
    <w:p>
      <w:pPr>
        <w:spacing w:after="0" w:line="186" w:lineRule="exact"/>
        <w:rPr>
          <w:rFonts w:ascii="Arial" w:cs="Arial" w:eastAsia="Arial" w:hAnsi="Arial"/>
          <w:sz w:val="18"/>
          <w:szCs w:val="18"/>
          <w:color w:val="auto"/>
        </w:rPr>
      </w:pPr>
    </w:p>
    <w:p>
      <w:pPr>
        <w:ind w:left="-20" w:right="440" w:firstLine="1492"/>
        <w:spacing w:after="0" w:line="277" w:lineRule="auto"/>
        <w:tabs>
          <w:tab w:leader="none" w:pos="176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not to make, or permit to be made, any substantial change in the structure, type or speed of any Vessel which such modification decreases the value, utility or remaining useful life thereof, without the prior written approval of the Administrative Agent;</w:t>
      </w:r>
    </w:p>
    <w:p>
      <w:pPr>
        <w:spacing w:after="0" w:line="170" w:lineRule="exact"/>
        <w:rPr>
          <w:sz w:val="20"/>
          <w:szCs w:val="20"/>
          <w:color w:val="auto"/>
        </w:rPr>
      </w:pPr>
    </w:p>
    <w:p>
      <w:pPr>
        <w:ind w:left="-20" w:right="80" w:firstLine="1492"/>
        <w:spacing w:after="0" w:line="264" w:lineRule="auto"/>
        <w:tabs>
          <w:tab w:leader="none" w:pos="176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at all times and without cost or expense to the Administrative Agent or any Lender maintain and preserve, or cause to be maintained and preserved, each Vessel and all her equipment, outfit and appurtenances, tight, staunch, strong, in good condition, working order and repair and in all respects seaworthy and fit for its intended service except ordinary wear and tear and damage due to casualty;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60" w:top="274" w:right="25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20" w:firstLine="1492"/>
        <w:spacing w:after="0" w:line="279" w:lineRule="auto"/>
        <w:tabs>
          <w:tab w:leader="none" w:pos="1738"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the Guarantor will, upon reasonable prior notice during normal business hours with minimal disruption to the Guarantor’s business afford, or cause to be afforded to, the Administrative Agent, the Lenders and their respective authorized representative reasonable access to the Vessels for the purpose of inspecting and valuing the Vessels and their records (provided such access does not interfere with the operation of the Vessels), provided that such inspections shall be no more frequent than once per year so long as no Event of Default has occurred and is continuing;</w:t>
      </w:r>
    </w:p>
    <w:p>
      <w:pPr>
        <w:spacing w:after="0" w:line="171" w:lineRule="exact"/>
        <w:rPr>
          <w:rFonts w:ascii="Arial" w:cs="Arial" w:eastAsia="Arial" w:hAnsi="Arial"/>
          <w:sz w:val="17"/>
          <w:szCs w:val="17"/>
          <w:color w:val="auto"/>
        </w:rPr>
      </w:pPr>
    </w:p>
    <w:p>
      <w:pPr>
        <w:ind w:left="1800" w:hanging="308"/>
        <w:spacing w:after="0"/>
        <w:tabs>
          <w:tab w:leader="none" w:pos="180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to furnish the Administrative Agent promptly on written demand, all written charter agreements relating to the Vessels; and</w:t>
      </w:r>
    </w:p>
    <w:p>
      <w:pPr>
        <w:spacing w:after="0" w:line="236" w:lineRule="exact"/>
        <w:rPr>
          <w:rFonts w:ascii="Arial" w:cs="Arial" w:eastAsia="Arial" w:hAnsi="Arial"/>
          <w:sz w:val="17"/>
          <w:szCs w:val="17"/>
          <w:color w:val="auto"/>
        </w:rPr>
      </w:pPr>
    </w:p>
    <w:p>
      <w:pPr>
        <w:ind w:firstLine="1492"/>
        <w:spacing w:after="0" w:line="264" w:lineRule="auto"/>
        <w:tabs>
          <w:tab w:leader="none" w:pos="183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not to transfer or change, or permit to be transferred or changed, the flag of the Vessels without the prior written consent of the Administrative Agent, and any such written consent to any one transfer or change of flag shall not be construed to be a waiver of this provision with respect to any subsequent proposed transfer or change of flag;.</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Special Equipment Covenants</w:t>
      </w:r>
      <w:r>
        <w:rPr>
          <w:rFonts w:ascii="Arial" w:cs="Arial" w:eastAsia="Arial" w:hAnsi="Arial"/>
          <w:sz w:val="18"/>
          <w:szCs w:val="18"/>
          <w:color w:val="auto"/>
        </w:rPr>
        <w:t>. With respect to the Equipment, the Guarantor hereby covenants and agrees:</w:t>
      </w:r>
    </w:p>
    <w:p>
      <w:pPr>
        <w:spacing w:after="0" w:line="117" w:lineRule="exact"/>
        <w:rPr>
          <w:rFonts w:ascii="Arial" w:cs="Arial" w:eastAsia="Arial" w:hAnsi="Arial"/>
          <w:sz w:val="18"/>
          <w:szCs w:val="18"/>
          <w:color w:val="auto"/>
        </w:rPr>
      </w:pPr>
    </w:p>
    <w:p>
      <w:pPr>
        <w:ind w:right="20" w:firstLine="1492"/>
        <w:spacing w:after="0" w:line="279" w:lineRule="auto"/>
        <w:tabs>
          <w:tab w:leader="none" w:pos="1698" w:val="left"/>
        </w:tabs>
        <w:numPr>
          <w:ilvl w:val="1"/>
          <w:numId w:val="140"/>
        </w:numPr>
        <w:rPr>
          <w:rFonts w:ascii="Arial" w:cs="Arial" w:eastAsia="Arial" w:hAnsi="Arial"/>
          <w:sz w:val="17"/>
          <w:szCs w:val="17"/>
          <w:color w:val="auto"/>
        </w:rPr>
      </w:pPr>
      <w:r>
        <w:rPr>
          <w:rFonts w:ascii="Arial" w:cs="Arial" w:eastAsia="Arial" w:hAnsi="Arial"/>
          <w:sz w:val="17"/>
          <w:szCs w:val="17"/>
          <w:color w:val="auto"/>
        </w:rPr>
        <w:t>to use, operate, protect and maintain the Equipment (a) in good operating order, repair and condition, ordinary wear and tear and damage due to casualty excepted, (b) consistent with prudent industry practice (but in no event less than the extent to which Guarantor maintains other similar equipment in the prudent management of its assets and properties), and (c) in compliance in all material respects with all applicable insurance policies, laws, ordinances, rules, regulations and manufacturer’s recommended maintenance and repair procedures;</w:t>
      </w:r>
    </w:p>
    <w:p>
      <w:pPr>
        <w:spacing w:after="0" w:line="171" w:lineRule="exact"/>
        <w:rPr>
          <w:rFonts w:ascii="Arial" w:cs="Arial" w:eastAsia="Arial" w:hAnsi="Arial"/>
          <w:sz w:val="17"/>
          <w:szCs w:val="17"/>
          <w:color w:val="auto"/>
        </w:rPr>
      </w:pPr>
    </w:p>
    <w:p>
      <w:pPr>
        <w:ind w:left="1760" w:hanging="268"/>
        <w:spacing w:after="0"/>
        <w:tabs>
          <w:tab w:leader="none" w:pos="17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to maintain adequate books and records regarding the use, operation, maintenance and repair of the Equipment;</w:t>
      </w:r>
    </w:p>
    <w:p>
      <w:pPr>
        <w:spacing w:after="0" w:line="225" w:lineRule="exact"/>
        <w:rPr>
          <w:rFonts w:ascii="Arial" w:cs="Arial" w:eastAsia="Arial" w:hAnsi="Arial"/>
          <w:sz w:val="18"/>
          <w:szCs w:val="18"/>
          <w:color w:val="auto"/>
        </w:rPr>
      </w:pPr>
    </w:p>
    <w:p>
      <w:pPr>
        <w:ind w:right="420" w:firstLine="1492"/>
        <w:spacing w:after="0" w:line="264" w:lineRule="auto"/>
        <w:tabs>
          <w:tab w:leader="none" w:pos="179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Equipment shall not be operated outside the territorial waters of the United States of America, the Gulf of Mexico and the Caribbean Sea (other than for passage from time to time through the Panama Canal in order to reach said waters) without the prior written consent of the Administrative Agent (not to be unreasonably withheld or delayed);</w:t>
      </w:r>
    </w:p>
    <w:p>
      <w:pPr>
        <w:spacing w:after="0" w:line="181" w:lineRule="exact"/>
        <w:rPr>
          <w:rFonts w:ascii="Arial" w:cs="Arial" w:eastAsia="Arial" w:hAnsi="Arial"/>
          <w:sz w:val="18"/>
          <w:szCs w:val="18"/>
          <w:color w:val="auto"/>
        </w:rPr>
      </w:pPr>
    </w:p>
    <w:p>
      <w:pPr>
        <w:ind w:right="100" w:firstLine="1492"/>
        <w:spacing w:after="0" w:line="264" w:lineRule="auto"/>
        <w:tabs>
          <w:tab w:leader="none" w:pos="178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Guarantor shall not permanently discontinue use of any Equipment except for normal maintenance nor, through modifications, alternations or otherwise, impair the current or residual value, useful life, utility or originally intended function of any Equipment without the Administrative Agent’s prior consent;</w:t>
      </w:r>
    </w:p>
    <w:p>
      <w:pPr>
        <w:spacing w:after="0" w:line="181" w:lineRule="exact"/>
        <w:rPr>
          <w:rFonts w:ascii="Arial" w:cs="Arial" w:eastAsia="Arial" w:hAnsi="Arial"/>
          <w:sz w:val="18"/>
          <w:szCs w:val="18"/>
          <w:color w:val="auto"/>
        </w:rPr>
      </w:pPr>
    </w:p>
    <w:p>
      <w:pPr>
        <w:ind w:right="140" w:firstLine="1492"/>
        <w:spacing w:after="0" w:line="286" w:lineRule="auto"/>
        <w:tabs>
          <w:tab w:leader="none" w:pos="1738" w:val="left"/>
        </w:tabs>
        <w:numPr>
          <w:ilvl w:val="1"/>
          <w:numId w:val="140"/>
        </w:numPr>
        <w:rPr>
          <w:rFonts w:ascii="Arial" w:cs="Arial" w:eastAsia="Arial" w:hAnsi="Arial"/>
          <w:sz w:val="17"/>
          <w:szCs w:val="17"/>
          <w:color w:val="auto"/>
        </w:rPr>
      </w:pPr>
      <w:r>
        <w:rPr>
          <w:rFonts w:ascii="Arial" w:cs="Arial" w:eastAsia="Arial" w:hAnsi="Arial"/>
          <w:sz w:val="17"/>
          <w:szCs w:val="17"/>
          <w:color w:val="auto"/>
        </w:rPr>
        <w:t>Any replacement or substitution of parts, improvements, upgrades, or additions to the Equipment shall be part of the Collateral subject to Administrative Agent’s security interest, except that if no Event of Default exists, Borrower may at its expense remove improvements or additions provided by Borrower that can be readily removed without impairing the value, function or remaining useful life of the Equipment;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2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40" w:firstLine="1492"/>
        <w:spacing w:after="0" w:line="302" w:lineRule="auto"/>
        <w:tabs>
          <w:tab w:leader="none" w:pos="1748"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the Guarantor will, upon reasonable prior notice during normal business hours with minimal disruption to the Guarantor’s business afford, or cause to be afforded to, the Administrative Agent, the Lenders and their respective authorized representative reasonable access to the Equipment for the purpose of inspecting and valuing the Equipment and their records (provided such access does not interfere with the operation of the Equipment), provided that such inspections shall be no more frequent than once per year so long as no Event of Default has occurred and is continuing.</w:t>
      </w:r>
    </w:p>
    <w:p>
      <w:pPr>
        <w:spacing w:after="0" w:line="154" w:lineRule="exact"/>
        <w:rPr>
          <w:rFonts w:ascii="Arial" w:cs="Arial" w:eastAsia="Arial" w:hAnsi="Arial"/>
          <w:sz w:val="16"/>
          <w:szCs w:val="16"/>
          <w:color w:val="auto"/>
        </w:rPr>
      </w:pPr>
    </w:p>
    <w:p>
      <w:pPr>
        <w:ind w:left="1100" w:hanging="219"/>
        <w:spacing w:after="0"/>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Financial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60" w:firstLine="1492"/>
        <w:spacing w:after="0" w:line="259" w:lineRule="auto"/>
        <w:tabs>
          <w:tab w:leader="none" w:pos="165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Borrower further covenants and agrees that the Borrower shall remain in compliance with (and shall cause the Guarantor to remain in compliance with) the financial covenants (collectively, the “</w:t>
      </w:r>
      <w:r>
        <w:rPr>
          <w:rFonts w:ascii="Arial" w:cs="Arial" w:eastAsia="Arial" w:hAnsi="Arial"/>
          <w:sz w:val="18"/>
          <w:szCs w:val="18"/>
          <w:u w:val="single" w:color="auto"/>
          <w:color w:val="auto"/>
        </w:rPr>
        <w:t>Financial Covenants</w:t>
      </w:r>
      <w:r>
        <w:rPr>
          <w:rFonts w:ascii="Arial" w:cs="Arial" w:eastAsia="Arial" w:hAnsi="Arial"/>
          <w:sz w:val="18"/>
          <w:szCs w:val="18"/>
          <w:color w:val="auto"/>
        </w:rPr>
        <w:t>”) in Section 9.14 in the Existing Credit Agreement as the Existing Credit Agreement is in effect on the Closing Date hereof without regard to any subsequent amendment, modification or restatement of the Existing Credit Agreement; and</w:t>
      </w:r>
    </w:p>
    <w:p>
      <w:pPr>
        <w:spacing w:after="0" w:line="186" w:lineRule="exact"/>
        <w:rPr>
          <w:rFonts w:ascii="Arial" w:cs="Arial" w:eastAsia="Arial" w:hAnsi="Arial"/>
          <w:sz w:val="18"/>
          <w:szCs w:val="18"/>
          <w:color w:val="auto"/>
        </w:rPr>
      </w:pPr>
    </w:p>
    <w:p>
      <w:pPr>
        <w:ind w:left="-40" w:right="60" w:firstLine="1492"/>
        <w:spacing w:after="0" w:line="270" w:lineRule="auto"/>
        <w:tabs>
          <w:tab w:leader="none" w:pos="1708" w:val="left"/>
        </w:tabs>
        <w:numPr>
          <w:ilvl w:val="1"/>
          <w:numId w:val="142"/>
        </w:numPr>
        <w:rPr>
          <w:rFonts w:ascii="Arial" w:cs="Arial" w:eastAsia="Arial" w:hAnsi="Arial"/>
          <w:sz w:val="17"/>
          <w:szCs w:val="17"/>
          <w:color w:val="auto"/>
        </w:rPr>
      </w:pPr>
      <w:r>
        <w:rPr>
          <w:rFonts w:ascii="Arial" w:cs="Arial" w:eastAsia="Arial" w:hAnsi="Arial"/>
          <w:sz w:val="17"/>
          <w:szCs w:val="17"/>
          <w:color w:val="auto"/>
        </w:rPr>
        <w:t xml:space="preserve">The Borrower acknowledges and agrees that (i) the Financial Covenants in the form included in the Existing Credit Agreement (as in effect on the Closing Date hereof without regard to any subsequent amendment, modification or restatement of the Existing Credit Agreement) shall be deemed to be permanently incorporated into this Agreement, and shall remain in effect for all purposes of this Agreement notwithstanding the cancellation or termination of the Existing Credit Agreement due to voluntary prepayment, payment at maturity, default or otherwise, unless a replacement credit facility with Financial Covenants has been accepted in writing by Required Lenders in their discretion, and (ii) any waiver of any breach (or anticipated breach) of any Financial Covenant under the Existing Credit Agreement (by reason of amendment, forbearance or otherwise) shall not constitute a waiver of the corresponding default (or anticipated default) under this Agreement unless specifically agreed to in writing by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Required Lenders fail to agree to any replacement credit facility or any waiver, amendment, forbearance or otherwise, then the Borrower may prepay the Loans in full together with any applicable Prepayment Fee.</w:t>
      </w:r>
    </w:p>
    <w:p>
      <w:pPr>
        <w:spacing w:after="0" w:line="181" w:lineRule="exact"/>
        <w:rPr>
          <w:rFonts w:ascii="Arial" w:cs="Arial" w:eastAsia="Arial" w:hAnsi="Arial"/>
          <w:sz w:val="17"/>
          <w:szCs w:val="17"/>
          <w:color w:val="auto"/>
        </w:rPr>
      </w:pPr>
    </w:p>
    <w:p>
      <w:pPr>
        <w:ind w:left="-40" w:right="180" w:firstLine="921"/>
        <w:spacing w:after="0" w:line="342" w:lineRule="auto"/>
        <w:tabs>
          <w:tab w:leader="none" w:pos="110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On or before November 30, 2014, and at the Borrower’s sole expense, the Borrower shall cause to be furnished to the Administrative Agent and each Lender an appraisal of the Orderly Liquidation Value of the Vessels and the Equipment from an Approved Appraiser (the “</w:t>
      </w:r>
      <w:r>
        <w:rPr>
          <w:rFonts w:ascii="Arial" w:cs="Arial" w:eastAsia="Arial" w:hAnsi="Arial"/>
          <w:sz w:val="16"/>
          <w:szCs w:val="16"/>
          <w:u w:val="single" w:color="auto"/>
          <w:color w:val="auto"/>
        </w:rPr>
        <w:t>Initial Appraisal</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40" w:firstLine="921"/>
        <w:spacing w:after="0" w:line="264" w:lineRule="auto"/>
        <w:tabs>
          <w:tab w:leader="none" w:pos="108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Within sixty (60) days after each anniversary of the Closing Date and at the Borrower’s sole expense, the Borrower shall cause to be furnished to the Administrative Agent and each Lender an appraisal of the Orderly Liquidation Value of the Vessels and the Equipment from an Approved Appraiser (each, an “</w:t>
      </w:r>
      <w:r>
        <w:rPr>
          <w:rFonts w:ascii="Arial" w:cs="Arial" w:eastAsia="Arial" w:hAnsi="Arial"/>
          <w:sz w:val="18"/>
          <w:szCs w:val="18"/>
          <w:u w:val="single" w:color="auto"/>
          <w:color w:val="auto"/>
        </w:rPr>
        <w:t>Annual Appraisal</w:t>
      </w:r>
      <w:r>
        <w:rPr>
          <w:rFonts w:ascii="Arial" w:cs="Arial" w:eastAsia="Arial" w:hAnsi="Arial"/>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80" w:top="274" w:right="259" w:bottom="1440" w:gutter="0" w:footer="0" w:header="0"/>
        </w:sectPr>
      </w:pPr>
    </w:p>
    <w:bookmarkStart w:id="145" w:name="page146"/>
    <w:bookmarkEnd w:id="145"/>
    <w:p>
      <w:pPr>
        <w:jc w:val="center"/>
        <w:ind w:right="-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00" w:right="22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Negative Covenants</w:t>
      </w:r>
      <w:r>
        <w:rPr>
          <w:rFonts w:ascii="Arial" w:cs="Arial" w:eastAsia="Arial" w:hAnsi="Arial"/>
          <w:sz w:val="16"/>
          <w:szCs w:val="16"/>
          <w:color w:val="auto"/>
        </w:rPr>
        <w:t>. Until all of the Obligations (other than contingent obligations) have been satisfied in full, the Borrower agrees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03" w:lineRule="exact"/>
        <w:rPr>
          <w:sz w:val="20"/>
          <w:szCs w:val="20"/>
          <w:color w:val="auto"/>
        </w:rPr>
      </w:pPr>
    </w:p>
    <w:p>
      <w:pPr>
        <w:ind w:left="1160" w:hanging="239"/>
        <w:spacing w:after="0"/>
        <w:tabs>
          <w:tab w:leader="none" w:pos="1160"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Liens.</w:t>
      </w:r>
      <w:r>
        <w:rPr>
          <w:rFonts w:ascii="Arial" w:cs="Arial" w:eastAsia="Arial" w:hAnsi="Arial"/>
          <w:sz w:val="16"/>
          <w:szCs w:val="16"/>
          <w:color w:val="auto"/>
        </w:rPr>
        <w:t xml:space="preserve"> The Loan Parties shall not create, incur, assume or suffer to exist any Liens upon the Vessels, other than Permitted Encumbrances;</w:t>
      </w:r>
    </w:p>
    <w:p>
      <w:pPr>
        <w:spacing w:after="0" w:line="248" w:lineRule="exact"/>
        <w:rPr>
          <w:rFonts w:ascii="Arial" w:cs="Arial" w:eastAsia="Arial" w:hAnsi="Arial"/>
          <w:sz w:val="16"/>
          <w:szCs w:val="16"/>
          <w:color w:val="auto"/>
        </w:rPr>
      </w:pPr>
    </w:p>
    <w:p>
      <w:pPr>
        <w:ind w:firstLine="921"/>
        <w:spacing w:after="0" w:line="255" w:lineRule="auto"/>
        <w:tabs>
          <w:tab w:leader="none" w:pos="1168"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State of Formation; Place of Business.</w:t>
      </w:r>
      <w:r>
        <w:rPr>
          <w:rFonts w:ascii="Arial" w:cs="Arial" w:eastAsia="Arial" w:hAnsi="Arial"/>
          <w:sz w:val="18"/>
          <w:szCs w:val="18"/>
          <w:color w:val="auto"/>
        </w:rPr>
        <w:t xml:space="preserve"> The Loan Parties shall not change its jurisdiction of incorporation or the location of its principal place of business from that set forth in </w:t>
      </w:r>
      <w:r>
        <w:rPr>
          <w:rFonts w:ascii="Arial" w:cs="Arial" w:eastAsia="Arial" w:hAnsi="Arial"/>
          <w:sz w:val="18"/>
          <w:szCs w:val="18"/>
          <w:u w:val="single" w:color="auto"/>
          <w:color w:val="auto"/>
        </w:rPr>
        <w:t>Section 9.02</w:t>
      </w:r>
      <w:r>
        <w:rPr>
          <w:rFonts w:ascii="Arial" w:cs="Arial" w:eastAsia="Arial" w:hAnsi="Arial"/>
          <w:sz w:val="18"/>
          <w:szCs w:val="18"/>
          <w:color w:val="auto"/>
        </w:rPr>
        <w:t>, without giving the Administrative Agent at least thirty (30) Business Days’ prior written notice thereof and setting forth in detail the new jurisdiction of incorporation or complete address of such new place of business (as the case may be). In furtherance thereof, the Loan Parties shall file, and hereby authorize the Administrative Agent to file on its behalf, Uniform Commercial Code financing statements, amendments or continuation statements, in form and substance satisfactory to the Administrative Agent, in such jurisdiction or jurisdictions as the Administrative Agent shall request upon demand by the Administrative Agent;</w:t>
      </w:r>
    </w:p>
    <w:p>
      <w:pPr>
        <w:spacing w:after="0" w:line="193" w:lineRule="exact"/>
        <w:rPr>
          <w:rFonts w:ascii="Arial" w:cs="Arial" w:eastAsia="Arial" w:hAnsi="Arial"/>
          <w:sz w:val="18"/>
          <w:szCs w:val="18"/>
          <w:color w:val="auto"/>
        </w:rPr>
      </w:pPr>
    </w:p>
    <w:p>
      <w:pPr>
        <w:ind w:firstLine="921"/>
        <w:spacing w:after="0" w:line="312" w:lineRule="auto"/>
        <w:tabs>
          <w:tab w:leader="none" w:pos="1157"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Merger.</w:t>
      </w:r>
      <w:r>
        <w:rPr>
          <w:rFonts w:ascii="Arial" w:cs="Arial" w:eastAsia="Arial" w:hAnsi="Arial"/>
          <w:sz w:val="16"/>
          <w:szCs w:val="16"/>
          <w:color w:val="auto"/>
        </w:rPr>
        <w:t xml:space="preserve"> The Loan Parties shall not merge into or consolidate with any other Person or sell, lease, or otherwise transfer all or a substantial part of its assets in one or more transactions, except as permitted in Sections 9.4 or 9.5 of the Existing Credit Agreement as the Existing Credit Agreement is in effect on the Closing Date hereof without regard to any subsequent amendment, modification or restatement of the Existing Credit Agreement;</w:t>
      </w:r>
    </w:p>
    <w:p>
      <w:pPr>
        <w:spacing w:after="0" w:line="146" w:lineRule="exact"/>
        <w:rPr>
          <w:rFonts w:ascii="Arial" w:cs="Arial" w:eastAsia="Arial" w:hAnsi="Arial"/>
          <w:sz w:val="16"/>
          <w:szCs w:val="16"/>
          <w:color w:val="auto"/>
        </w:rPr>
      </w:pPr>
    </w:p>
    <w:p>
      <w:pPr>
        <w:ind w:right="320" w:firstLine="921"/>
        <w:spacing w:after="0" w:line="264" w:lineRule="auto"/>
        <w:tabs>
          <w:tab w:leader="none" w:pos="1168"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Character of Business</w:t>
      </w:r>
      <w:r>
        <w:rPr>
          <w:rFonts w:ascii="Arial" w:cs="Arial" w:eastAsia="Arial" w:hAnsi="Arial"/>
          <w:sz w:val="18"/>
          <w:szCs w:val="18"/>
          <w:color w:val="auto"/>
        </w:rPr>
        <w:t>. The Borrower shall not engage in any material line of business substantially different from those lines of business conducted by the Borrower and its Subsidiaries on the date hereof or any business reasonably related, complementary, synergistic or ancillary thereto or reasonable extensions thereof; or</w:t>
      </w:r>
    </w:p>
    <w:p>
      <w:pPr>
        <w:spacing w:after="0" w:line="181" w:lineRule="exact"/>
        <w:rPr>
          <w:rFonts w:ascii="Arial" w:cs="Arial" w:eastAsia="Arial" w:hAnsi="Arial"/>
          <w:sz w:val="18"/>
          <w:szCs w:val="18"/>
          <w:color w:val="auto"/>
        </w:rPr>
      </w:pPr>
    </w:p>
    <w:p>
      <w:pPr>
        <w:ind w:right="680" w:firstLine="921"/>
        <w:spacing w:after="0" w:line="277" w:lineRule="auto"/>
        <w:tabs>
          <w:tab w:leader="none" w:pos="1157"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Financing Statements</w:t>
      </w:r>
      <w:r>
        <w:rPr>
          <w:rFonts w:ascii="Arial" w:cs="Arial" w:eastAsia="Arial" w:hAnsi="Arial"/>
          <w:sz w:val="18"/>
          <w:szCs w:val="18"/>
          <w:color w:val="auto"/>
        </w:rPr>
        <w:t>. The Borrower shall not file any amendments, corrective statements, or termination statements concerning the Collateral without the prior written consent of the Administrative Agent.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EVENTS OF DEFAULT; REMEDIES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Events of Default; Acceleration, etc.</w:t>
      </w:r>
      <w:r>
        <w:rPr>
          <w:rFonts w:ascii="Arial" w:cs="Arial" w:eastAsia="Arial" w:hAnsi="Arial"/>
          <w:sz w:val="17"/>
          <w:szCs w:val="17"/>
          <w:color w:val="auto"/>
        </w:rPr>
        <w:t xml:space="preserve"> If any of the following events (each, an “</w:t>
      </w:r>
      <w:r>
        <w:rPr>
          <w:rFonts w:ascii="Arial" w:cs="Arial" w:eastAsia="Arial" w:hAnsi="Arial"/>
          <w:sz w:val="17"/>
          <w:szCs w:val="17"/>
          <w:u w:val="single" w:color="auto"/>
          <w:color w:val="auto"/>
        </w:rPr>
        <w:t>Event of Default</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Events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Default</w:t>
      </w:r>
      <w:r>
        <w:rPr>
          <w:rFonts w:ascii="Arial" w:cs="Arial" w:eastAsia="Arial" w:hAnsi="Arial"/>
          <w:sz w:val="18"/>
          <w:szCs w:val="18"/>
          <w:color w:val="auto"/>
        </w:rPr>
        <w:t>”) shall occur and be continuing:</w:t>
      </w:r>
    </w:p>
    <w:p>
      <w:pPr>
        <w:spacing w:after="0" w:line="103" w:lineRule="exact"/>
        <w:rPr>
          <w:sz w:val="20"/>
          <w:szCs w:val="20"/>
          <w:color w:val="auto"/>
        </w:rPr>
      </w:pPr>
    </w:p>
    <w:p>
      <w:pPr>
        <w:ind w:right="280" w:firstLine="921"/>
        <w:spacing w:after="0" w:line="308" w:lineRule="auto"/>
        <w:tabs>
          <w:tab w:leader="none" w:pos="115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Borrower shall fail to make any payment of principal on any Loan as and when due under this Agreement, or to make any payment of interest or any other Obligations as and when due and such default shall continue unremedied for a period of five (5) Business Days;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274" w:right="29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1180" w:hanging="259"/>
        <w:spacing w:after="0"/>
        <w:tabs>
          <w:tab w:leader="none" w:pos="118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 xml:space="preserve">the Borrower or Guarantor (as applicable) shall fail to comply with any of the provisions of </w:t>
      </w:r>
      <w:r>
        <w:rPr>
          <w:rFonts w:ascii="Arial" w:cs="Arial" w:eastAsia="Arial" w:hAnsi="Arial"/>
          <w:sz w:val="17"/>
          <w:szCs w:val="17"/>
          <w:u w:val="single" w:color="auto"/>
          <w:color w:val="auto"/>
        </w:rPr>
        <w:t>Section 7.01(b), (d), (e), (f), (o), (r),(s) or (t)</w:t>
      </w:r>
      <w:r>
        <w:rPr>
          <w:rFonts w:ascii="Arial" w:cs="Arial" w:eastAsia="Arial" w:hAnsi="Arial"/>
          <w:sz w:val="17"/>
          <w:szCs w:val="17"/>
          <w:color w:val="auto"/>
        </w:rPr>
        <w:t xml:space="preserve">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Section 7.02</w:t>
      </w:r>
      <w:r>
        <w:rPr>
          <w:rFonts w:ascii="Arial" w:cs="Arial" w:eastAsia="Arial" w:hAnsi="Arial"/>
          <w:sz w:val="18"/>
          <w:szCs w:val="18"/>
          <w:color w:val="auto"/>
        </w:rPr>
        <w:t>; or</w:t>
      </w:r>
    </w:p>
    <w:p>
      <w:pPr>
        <w:spacing w:after="0" w:line="210" w:lineRule="exact"/>
        <w:rPr>
          <w:rFonts w:ascii="Arial" w:cs="Arial" w:eastAsia="Arial" w:hAnsi="Arial"/>
          <w:sz w:val="17"/>
          <w:szCs w:val="17"/>
          <w:color w:val="auto"/>
        </w:rPr>
      </w:pPr>
    </w:p>
    <w:p>
      <w:pPr>
        <w:jc w:val="both"/>
        <w:ind w:right="60" w:firstLine="921"/>
        <w:spacing w:after="0" w:line="264" w:lineRule="auto"/>
        <w:tabs>
          <w:tab w:leader="none" w:pos="1158"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Borrower shall fail to perform or otherwise observe and comply with any covenant or agreement contained in this Agreement (other than as set forth in clauses (a) and (b) above) or any other Loan Document and such failure continues unremedied for thirty (30) days after giving of notice thereof by the Administrative Agent to the Borrower; or</w:t>
      </w:r>
    </w:p>
    <w:p>
      <w:pPr>
        <w:spacing w:after="0" w:line="181" w:lineRule="exact"/>
        <w:rPr>
          <w:rFonts w:ascii="Arial" w:cs="Arial" w:eastAsia="Arial" w:hAnsi="Arial"/>
          <w:sz w:val="18"/>
          <w:szCs w:val="18"/>
          <w:color w:val="auto"/>
        </w:rPr>
      </w:pPr>
    </w:p>
    <w:p>
      <w:pPr>
        <w:ind w:right="200" w:firstLine="921"/>
        <w:spacing w:after="0" w:line="277" w:lineRule="auto"/>
        <w:tabs>
          <w:tab w:leader="none" w:pos="1168"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representation or warranty made by the Borrower or Guarantor hereunder or by the Borrower in any of the other Loan Documents shall prove not to have been true in any material respect on the date when made; or</w:t>
      </w:r>
    </w:p>
    <w:p>
      <w:pPr>
        <w:spacing w:after="0" w:line="170" w:lineRule="exact"/>
        <w:rPr>
          <w:rFonts w:ascii="Arial" w:cs="Arial" w:eastAsia="Arial" w:hAnsi="Arial"/>
          <w:sz w:val="18"/>
          <w:szCs w:val="18"/>
          <w:color w:val="auto"/>
        </w:rPr>
      </w:pPr>
    </w:p>
    <w:p>
      <w:pPr>
        <w:ind w:right="180" w:firstLine="921"/>
        <w:spacing w:after="0" w:line="291" w:lineRule="auto"/>
        <w:tabs>
          <w:tab w:leader="none" w:pos="1158"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the Borrower or the Guarantor shall (i) default in the payment (beyond the applicable grace period with respect thereto) of any indebtedness (other than indebtedness hereunder) having, individually or in the aggregate, an outstanding principal amount in excess of the Threshold Amount, or</w:t>
      </w:r>
    </w:p>
    <w:p>
      <w:pPr>
        <w:ind w:right="40" w:firstLine="8"/>
        <w:spacing w:after="0" w:line="254" w:lineRule="auto"/>
        <w:tabs>
          <w:tab w:leader="none" w:pos="26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default in the observance or performance of any other agreement or condition relating to any such indebtedness, or any other event shall occur or condition exist, the effect of which default or other event or condition is to cause, or to permit the holder or holders of such indebtedness (or a trustee or agent on behalf of such holder or holders) to cause, with the giving of notice and/or lapse of time, if required, any such indebtedness to become due prior to its stated maturity (any applicable grace period having expired); or</w:t>
      </w:r>
    </w:p>
    <w:p>
      <w:pPr>
        <w:spacing w:after="0" w:line="189" w:lineRule="exact"/>
        <w:rPr>
          <w:rFonts w:ascii="Arial" w:cs="Arial" w:eastAsia="Arial" w:hAnsi="Arial"/>
          <w:sz w:val="18"/>
          <w:szCs w:val="18"/>
          <w:color w:val="auto"/>
        </w:rPr>
      </w:pPr>
    </w:p>
    <w:p>
      <w:pPr>
        <w:ind w:right="20" w:firstLine="921"/>
        <w:spacing w:after="0" w:line="259" w:lineRule="auto"/>
        <w:tabs>
          <w:tab w:leader="none" w:pos="113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 judgment or order for the payment of money which causes the aggregate amount of all such judgments or orders (net of any amounts paid or fully covered by independent third party insurance as to which the relevant insurance company does not dispute coverage) to exceed the Threshold Amount shall be entered and is binding against the Borrower or the Guarantor by any court and such judgment or order shall continue without having been discharged, vacated or stayed for a period of thirty (30) consecutive days after the entry thereof; or</w:t>
      </w:r>
    </w:p>
    <w:p>
      <w:pPr>
        <w:spacing w:after="0" w:line="186" w:lineRule="exact"/>
        <w:rPr>
          <w:rFonts w:ascii="Arial" w:cs="Arial" w:eastAsia="Arial" w:hAnsi="Arial"/>
          <w:sz w:val="18"/>
          <w:szCs w:val="18"/>
          <w:color w:val="auto"/>
        </w:rPr>
      </w:pPr>
    </w:p>
    <w:p>
      <w:pPr>
        <w:ind w:firstLine="921"/>
        <w:spacing w:after="0" w:line="255" w:lineRule="auto"/>
        <w:tabs>
          <w:tab w:leader="none" w:pos="116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Borrower and/or the Guarantor shall (i) apply for or consent to the appointment of or the taking possession by a receiver, trustee, liquidator, assignee, custodian, sequestrator or the like of itself or of a substantial part of its property, (ii) admits in writing its inability to pay its debts as they mature, (iii) make a general assignment for the benefit of its creditors, (iv) commence a voluntary case under the bankruptcy laws of any jurisdiction, (v) file a petition or answer seeking reorganization or an arrangement with creditors or take advantage of any insolvency law or an answer admitting the material allegations of a petition filed against it in any bankruptcy, reorganization or insolvency proceeding or (vi) take action for the purpose of effecting any of the foregoing; or</w:t>
      </w:r>
    </w:p>
    <w:p>
      <w:pPr>
        <w:spacing w:after="0" w:line="193" w:lineRule="exact"/>
        <w:rPr>
          <w:rFonts w:ascii="Arial" w:cs="Arial" w:eastAsia="Arial" w:hAnsi="Arial"/>
          <w:sz w:val="18"/>
          <w:szCs w:val="18"/>
          <w:color w:val="auto"/>
        </w:rPr>
      </w:pPr>
    </w:p>
    <w:p>
      <w:pPr>
        <w:ind w:right="80" w:firstLine="921"/>
        <w:spacing w:after="0" w:line="259" w:lineRule="auto"/>
        <w:tabs>
          <w:tab w:leader="none" w:pos="116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 order, judgment, or decree shall be entered in any voluntary or involuntary case with or without the application, approval or consent of the Borrower and/or the Guarantor, by a court or governmental agency of competent jurisdiction, granting relief under or approving a petition seeking reorganization, or appointing a receiver, trustee, liquidator, assignee, custodian, sequestrator or the like of the Borrower and/or the Guarantor or of its property, and such order, judgment or decree shall continue unstayed and in effect for sixty (60) days;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147" w:name="page148"/>
    <w:bookmarkEnd w:id="147"/>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400" w:firstLine="921"/>
        <w:spacing w:after="0" w:line="277" w:lineRule="auto"/>
        <w:tabs>
          <w:tab w:leader="none" w:pos="112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for any reason (other than by reason of any action or inaction by the Administrative Agent), the Administrative Agent fails to hold a duly recorded first preferred ship mortgage over each of the Vessels (other than in accordance with the terms hereof or thereof); or</w:t>
      </w:r>
    </w:p>
    <w:p>
      <w:pPr>
        <w:spacing w:after="0" w:line="170" w:lineRule="exact"/>
        <w:rPr>
          <w:rFonts w:ascii="Arial" w:cs="Arial" w:eastAsia="Arial" w:hAnsi="Arial"/>
          <w:sz w:val="18"/>
          <w:szCs w:val="18"/>
          <w:color w:val="auto"/>
        </w:rPr>
      </w:pPr>
    </w:p>
    <w:p>
      <w:pPr>
        <w:ind w:right="240" w:firstLine="921"/>
        <w:spacing w:after="0" w:line="277" w:lineRule="auto"/>
        <w:tabs>
          <w:tab w:leader="none" w:pos="112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 event of default shall have occurred and be continuing under any of the other Loan Documents and all grace or cure periods, if any, with respect thereto shall have expired; or</w:t>
      </w:r>
    </w:p>
    <w:p>
      <w:pPr>
        <w:spacing w:after="0" w:line="170" w:lineRule="exact"/>
        <w:rPr>
          <w:rFonts w:ascii="Arial" w:cs="Arial" w:eastAsia="Arial" w:hAnsi="Arial"/>
          <w:sz w:val="18"/>
          <w:szCs w:val="18"/>
          <w:color w:val="auto"/>
        </w:rPr>
      </w:pPr>
    </w:p>
    <w:p>
      <w:pPr>
        <w:jc w:val="both"/>
        <w:ind w:right="20" w:firstLine="921"/>
        <w:spacing w:after="0" w:line="342" w:lineRule="auto"/>
        <w:tabs>
          <w:tab w:leader="none" w:pos="116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Guaranty shall for any reason (other than by reason of any action or inaction by the Administrative Agent or any Lender) cease to be valid and binding on the Guarantor (other than in accordance with the terms hereof or thereof) or any such Person shall disavow its obligations under the Guaranty;</w:t>
      </w:r>
    </w:p>
    <w:p>
      <w:pPr>
        <w:spacing w:after="0" w:line="124" w:lineRule="exact"/>
        <w:rPr>
          <w:sz w:val="20"/>
          <w:szCs w:val="20"/>
          <w:color w:val="auto"/>
        </w:rPr>
      </w:pPr>
    </w:p>
    <w:p>
      <w:pPr>
        <w:jc w:val="both"/>
        <w:ind w:right="40" w:firstLine="921"/>
        <w:spacing w:after="0" w:line="279" w:lineRule="auto"/>
        <w:tabs>
          <w:tab w:leader="none" w:pos="121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pursuant to the Initial Appraisal, the Orderly Liquidation Value shall be less than the Minimum Orderly Liquidation Value Percentage of the Outstanding Amount and the Borrower shall neither provide additional Collateral nor prepay a portion of the Outstanding Amount within forty-five (45) days of the issuance of such Initial Appraisal to the Administrative Agent and each Lender pursuant to Section 7.01(s) hereof, in order to restore the Orderly Liquidation Value to be at least the Minimum Orderly Liquidation Value Percentage of the Outstanding Amount;</w:t>
      </w:r>
    </w:p>
    <w:p>
      <w:pPr>
        <w:spacing w:after="0" w:line="171" w:lineRule="exact"/>
        <w:rPr>
          <w:rFonts w:ascii="Arial" w:cs="Arial" w:eastAsia="Arial" w:hAnsi="Arial"/>
          <w:sz w:val="17"/>
          <w:szCs w:val="17"/>
          <w:color w:val="auto"/>
        </w:rPr>
      </w:pPr>
    </w:p>
    <w:p>
      <w:pPr>
        <w:ind w:right="200" w:firstLine="921"/>
        <w:spacing w:after="0" w:line="279" w:lineRule="auto"/>
        <w:tabs>
          <w:tab w:leader="none" w:pos="116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pursuant to the applicable Annual Appraisal, the Orderly Liquidation Value shall be less than the Minimum Orderly Liquidation Value Percentage of the Outstanding Amount and the Borrower shall neither provide additional Collateral nor prepay a portion of the Outstanding Amount within forty-five (45) days of the issuance of such Annual Appraisal to the Administrative Agent and each Lender pursuant to Section 7.01(t) hereof, in order to restore the Orderly Liquidation Value to be at least the Minimum Orderly Liquidation Value Percentage of the Outstanding Amount;</w:t>
      </w:r>
    </w:p>
    <w:p>
      <w:pPr>
        <w:spacing w:after="0" w:line="1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then, and in each such event, the Administrative Agent may, and at the direction of the Required Lenders shall, take any or all of the following actions: (A) by notice to the Borrower, declare the Notes, all interest accrued thereon and all other amounts payable thereunder and under this Agreement to be forthwith due and payable, whereupon the Notes, all such interest and all such other amounts shall become immediately due and payable, without presentment, demand, protest or further notice of any kind, all of which are hereby expressly waived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the entry of an order for relief with respect to the Borrower under the Bankruptcy Code or under any similar federal or state statute or regulation, the Notes, all accrued interest thereon and all other amounts due thereunder and under this Agreement shall automatically become due and payable, without in each instance having given the Borrower any notice whatsoever; (B) setoff against and debit any account maintained by Borrower with the Administrative Agent for any sums due the Administrative Agent or Lenders hereunder or under the Notes; (c) immediately proceed against one or more of the Vessels under the Fleet Mortgage; or</w:t>
      </w:r>
    </w:p>
    <w:p>
      <w:pPr>
        <w:spacing w:after="0" w:line="1" w:lineRule="exact"/>
        <w:rPr>
          <w:sz w:val="20"/>
          <w:szCs w:val="20"/>
          <w:color w:val="auto"/>
        </w:rPr>
      </w:pPr>
    </w:p>
    <w:p>
      <w:pPr>
        <w:ind w:left="5620" w:right="3480" w:hanging="5612"/>
        <w:spacing w:after="0" w:line="433" w:lineRule="auto"/>
        <w:tabs>
          <w:tab w:leader="none" w:pos="29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exercise all other rights and remedies available under any of the Loan Documents or any Applicable Law. 44</w:t>
      </w:r>
    </w:p>
    <w:p>
      <w:pPr>
        <w:sectPr>
          <w:pgSz w:w="11900" w:h="16838" w:orient="portrait"/>
          <w:cols w:equalWidth="0" w:num="1">
            <w:col w:w="11400"/>
          </w:cols>
          <w:pgMar w:left="240" w:top="274" w:right="25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rights and remedies of the Administrative Agent and Lenders hereunder and under any documents or instruments executed pursuant hereto are cumulative, and recourse to one or more rights or remedies shall not constitute a waiver of the others or an election of remedies. It is mutually agreed that commercial reasonableness and good faith require the giving of no more than ten (10) days’ prior written notice of the time and place of any public sale of any Collateral or of the time after which any private sale or any other intended disposition thereof is to be made, and at any such public or private sale, subject to limitations of law, the Administrative Agent, any other Lender, or their respective agents and/or nominees, may purchase the Collateral. If the net proceeds of any disposition of the Collateral exceed the amount then due and owing, whether by acceleration, at maturity or otherwise, or on demand, such excess will be remitted to Borrower or whomsoever shall be entitled thereto. The Borrower shall remain liable for any deficiency remaining after disposition of the Collateral.</w:t>
      </w:r>
    </w:p>
    <w:p>
      <w:pPr>
        <w:spacing w:after="0" w:line="19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If the Borrower fails to perform or comply with any of its obligations contained herein, the Administrative Agent shall have the right, but shall not be obligated, to effect such performance or compliance and the Borrower, within ten (10) days from the date of demand, promises to reimburse the Administrative Agent immediately for such sums so expended, together with interest thereon at the Default Rate for the actual number of days elapsed from date of payment by the Administrative Agent to the date on which the Administrative Agent receives payment thereof from the Borrower. Failure of the Borrower to pay and promptly discharge the aforesaid debts and obligations shall constitute an Event of Default under this Agreement, but the payment of the same by the Administrative Agent shall not cure or constitute a waiver of such Event of Default. Acceptance by the Administrative Agent or any Lender of partial payment(s) or performance by the Borrower or by any other third party shall not be construed as a waiver of any Event of Default, nor shall the same affect or in any way impair the rights and remedies of the Administrative Agent or any Lender hereunder.</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After the exercise of remedies provided for in this Section (or after the Loans have automatically become immediately due and payable) or if at any time insufficient funds are received by and available to the Administrative Agent to pay fully all Secured Obligations then due hereunder, any amounts received on account of the Secured Obligations shall be applied by the Administrative Agent in the following order:</w:t>
      </w:r>
    </w:p>
    <w:p>
      <w:pPr>
        <w:spacing w:after="0" w:line="73" w:lineRule="exact"/>
        <w:rPr>
          <w:sz w:val="20"/>
          <w:szCs w:val="20"/>
          <w:color w:val="auto"/>
        </w:rPr>
      </w:pPr>
    </w:p>
    <w:p>
      <w:pPr>
        <w:ind w:left="460" w:right="340"/>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to payment of that portion of the Secured Obligations constituting fees, indemnities, expenses and other amounts (including fees, charges and disbursements of counsel to Administrative Agent and amounts payable under Article III) payable to Administrative Agent in its capacity as such;</w:t>
      </w:r>
    </w:p>
    <w:p>
      <w:pPr>
        <w:spacing w:after="0" w:line="16"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Secured Obligations constituting fees, indemnities and other amounts (other than principal and interest) payable to the Lenders (including fees, charges and disbursements of counsel to the respective Lenders (including fees and time charges for attorneys who may be employees of any Lender) arising under the Loan Documents and amounts payable under </w:t>
      </w:r>
      <w:r>
        <w:rPr>
          <w:rFonts w:ascii="Arial" w:cs="Arial" w:eastAsia="Arial" w:hAnsi="Arial"/>
          <w:sz w:val="18"/>
          <w:szCs w:val="18"/>
          <w:u w:val="single" w:color="auto"/>
          <w:color w:val="auto"/>
        </w:rPr>
        <w:t>Article X</w:t>
      </w:r>
      <w:r>
        <w:rPr>
          <w:rFonts w:ascii="Arial" w:cs="Arial" w:eastAsia="Arial" w:hAnsi="Arial"/>
          <w:sz w:val="18"/>
          <w:szCs w:val="18"/>
          <w:color w:val="auto"/>
        </w:rPr>
        <w:t>, ratably among them in proportion to the respective amounts described in this clause Second payable to them;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460" w:right="180"/>
        <w:spacing w:after="0" w:line="342" w:lineRule="auto"/>
        <w:rPr>
          <w:sz w:val="20"/>
          <w:szCs w:val="20"/>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to payment of that portion of the Secured Obligations constituting accrued and unpaid interest on the Loans and other Secured Obligations arising under the Loan Documents, ratably among the Lenders in proportion to the respective amounts described in this clause Third payable to them;</w:t>
      </w:r>
    </w:p>
    <w:p>
      <w:pPr>
        <w:spacing w:after="0" w:line="16"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payment of that portion of the Secured Obligations constituting unpaid principal of the Loans, in each case ratably among the Lenders in proportion to the respective amounts described in this clause Fourth held by them; and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Last</w:t>
      </w:r>
      <w:r>
        <w:rPr>
          <w:rFonts w:ascii="Arial" w:cs="Arial" w:eastAsia="Arial" w:hAnsi="Arial"/>
          <w:sz w:val="17"/>
          <w:szCs w:val="17"/>
          <w:color w:val="auto"/>
        </w:rPr>
        <w:t>, the balance, if any, after all of the Secured Obligations have been paid in full, to the Borrower or as otherwise required by Applicable Law.</w:t>
      </w:r>
    </w:p>
    <w:p>
      <w:pPr>
        <w:spacing w:after="0" w:line="2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the proceeds are insufficient to pay the amounts specified in paragraphs “First”, “Second”, “Third” and “Fourth” above, the Administrative Agent and other Secured Parties shall be entitled to collect the balance from the Borrower or any other Person liable therefor. The Borrower hereby expressly waives (to the extent permitted by Applicable Law) all rights to make or manifest any binding instruction upon the Administrative Agent or any Lender as to application of such payments other than as herein provided.</w:t>
      </w:r>
    </w:p>
    <w:p>
      <w:pPr>
        <w:spacing w:after="0" w:line="18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Miscellaneous Remedies</w:t>
      </w:r>
      <w:r>
        <w:rPr>
          <w:rFonts w:ascii="Arial" w:cs="Arial" w:eastAsia="Arial" w:hAnsi="Arial"/>
          <w:sz w:val="17"/>
          <w:szCs w:val="17"/>
          <w:color w:val="auto"/>
        </w:rPr>
        <w:t xml:space="preserve">. If any Event of Default shall occur and be continuing, the Administrative Agent may (and at the direction of the Required Lenders shall) do any or all of the following in addition to any of the remedies described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notwithstanding any other provision herein to the contrary, except to the extent permitted by Applicable Law, no sale, transfer or other disposition of any Vessel or any interest therein may be made in violation of Sections 56101 and 56102 of Title 46 of the United States Code:</w:t>
      </w:r>
    </w:p>
    <w:p>
      <w:pPr>
        <w:spacing w:after="0" w:line="63" w:lineRule="exact"/>
        <w:rPr>
          <w:sz w:val="20"/>
          <w:szCs w:val="20"/>
          <w:color w:val="auto"/>
        </w:rPr>
      </w:pPr>
    </w:p>
    <w:p>
      <w:pPr>
        <w:ind w:right="140" w:firstLine="921"/>
        <w:spacing w:after="0" w:line="272" w:lineRule="auto"/>
        <w:tabs>
          <w:tab w:leader="none" w:pos="115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at any time and as often as may be necessary, take any action to protect the security created hereby and each and every expense or liability (including reasonable fees and expenses of counsel) so incurred by the Administrative Agent in the protection of such security shall be repayable to the Administrative Agent by the Borrower within ten (10) Business Days of demand, together with interest thereon at the Default Rate from the date on which such expense or liability was incurred by the Administrative Agent until full payment is received. If any Event of Default shall have occurred and be continuing, the Borrower promptly shall execute and deliver, or cause to be executed and delivered, to the Administrative Agent such documents, if any, and shall promptly do and perform such acts, if any, as reasonably requested by the Administrative Agent that are necessary or advisable to facilitate or expedite the protection, maintenance and enforcement of the security created hereby;</w:t>
      </w:r>
    </w:p>
    <w:p>
      <w:pPr>
        <w:spacing w:after="0" w:line="177" w:lineRule="exact"/>
        <w:rPr>
          <w:rFonts w:ascii="Arial" w:cs="Arial" w:eastAsia="Arial" w:hAnsi="Arial"/>
          <w:sz w:val="17"/>
          <w:szCs w:val="17"/>
          <w:color w:val="auto"/>
        </w:rPr>
      </w:pPr>
    </w:p>
    <w:p>
      <w:pPr>
        <w:ind w:firstLine="921"/>
        <w:spacing w:after="0" w:line="277" w:lineRule="auto"/>
        <w:tabs>
          <w:tab w:leader="none" w:pos="116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exercise all the rights and remedies in foreclosure and otherwise provided to lenders by any Applicable Law, including, without limitation, the Uniform Commercial Code;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150" w:name="page151"/>
    <w:bookmarkEnd w:id="150"/>
    <w:p>
      <w:pPr>
        <w:jc w:val="center"/>
        <w:ind w:right="-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00" w:right="22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260" w:firstLine="921"/>
        <w:spacing w:after="0" w:line="264" w:lineRule="auto"/>
        <w:tabs>
          <w:tab w:leader="none" w:pos="115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take possession of the Collateral, whether actually or constructively and/or otherwise to take control of the Collateral, wherever it may be, without prior demand and without legal process (when permissible under Applicable Law) and cause the Borrower forthwith upon demand of the Administrative Agent to surrender possession of the Collateral to the Administrative Agent as demanded;</w:t>
      </w:r>
    </w:p>
    <w:p>
      <w:pPr>
        <w:spacing w:after="0" w:line="181" w:lineRule="exact"/>
        <w:rPr>
          <w:rFonts w:ascii="Arial" w:cs="Arial" w:eastAsia="Arial" w:hAnsi="Arial"/>
          <w:sz w:val="18"/>
          <w:szCs w:val="18"/>
          <w:color w:val="auto"/>
        </w:rPr>
      </w:pPr>
    </w:p>
    <w:p>
      <w:pPr>
        <w:ind w:right="820" w:firstLine="921"/>
        <w:spacing w:after="0" w:line="342" w:lineRule="auto"/>
        <w:tabs>
          <w:tab w:leader="none" w:pos="116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require that all policies, contracts and other records relating to the Insurances (including details of and correspondence concerning outstanding claims) be forthwith delivered to such adjusters, brokers or other insurers as the Administrative Agent may nominate;</w:t>
      </w:r>
    </w:p>
    <w:p>
      <w:pPr>
        <w:spacing w:after="0" w:line="123" w:lineRule="exact"/>
        <w:rPr>
          <w:rFonts w:ascii="Arial" w:cs="Arial" w:eastAsia="Arial" w:hAnsi="Arial"/>
          <w:sz w:val="16"/>
          <w:szCs w:val="16"/>
          <w:color w:val="auto"/>
        </w:rPr>
      </w:pPr>
    </w:p>
    <w:p>
      <w:pPr>
        <w:ind w:right="80" w:firstLine="921"/>
        <w:spacing w:after="0" w:line="312" w:lineRule="auto"/>
        <w:tabs>
          <w:tab w:leader="none" w:pos="115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collect, recover, compromise and give a good discharge for all claims then outstanding or thereafter arising under the Insurances or any of them and to takeover or institute (if necessary using the name of the Borrower and/or the Guarantor) all such proceedings in connection therewith as the Administrative Agent reasonably thinks fit and to permit the brokers through whom collection or recovery is effected to charge the usual brokerage therefor;</w:t>
      </w:r>
    </w:p>
    <w:p>
      <w:pPr>
        <w:spacing w:after="0" w:line="146" w:lineRule="exact"/>
        <w:rPr>
          <w:rFonts w:ascii="Arial" w:cs="Arial" w:eastAsia="Arial" w:hAnsi="Arial"/>
          <w:sz w:val="16"/>
          <w:szCs w:val="16"/>
          <w:color w:val="auto"/>
        </w:rPr>
      </w:pPr>
    </w:p>
    <w:p>
      <w:pPr>
        <w:ind w:right="20" w:firstLine="921"/>
        <w:spacing w:after="0" w:line="277" w:lineRule="auto"/>
        <w:tabs>
          <w:tab w:leader="none" w:pos="113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discharge, compound, release or compromise claims against the Borrower concerning the Collateral which have given or may give rise to any charge or lien on the Collateral or which are or may be enforceable by proceedings against the Collateral;</w:t>
      </w:r>
    </w:p>
    <w:p>
      <w:pPr>
        <w:spacing w:after="0" w:line="170" w:lineRule="exact"/>
        <w:rPr>
          <w:rFonts w:ascii="Arial" w:cs="Arial" w:eastAsia="Arial" w:hAnsi="Arial"/>
          <w:sz w:val="18"/>
          <w:szCs w:val="18"/>
          <w:color w:val="auto"/>
        </w:rPr>
      </w:pPr>
    </w:p>
    <w:p>
      <w:pPr>
        <w:jc w:val="both"/>
        <w:ind w:right="60" w:firstLine="921"/>
        <w:spacing w:after="0" w:line="264" w:lineRule="auto"/>
        <w:tabs>
          <w:tab w:leader="none" w:pos="116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take appropriate judicial, extra-judicial or administrative proceedings for the foreclosure of the lien created hereby or by the Fleet Mortgage and/or for the enforcement of the rights of the Administrative Agent and other Secured Parties hereunder or otherwise, recover judgment for any amount due on the Obligations and collect the same out of any property of the Borrower;</w:t>
      </w:r>
    </w:p>
    <w:p>
      <w:pPr>
        <w:spacing w:after="0" w:line="181" w:lineRule="exact"/>
        <w:rPr>
          <w:rFonts w:ascii="Arial" w:cs="Arial" w:eastAsia="Arial" w:hAnsi="Arial"/>
          <w:sz w:val="18"/>
          <w:szCs w:val="18"/>
          <w:color w:val="auto"/>
        </w:rPr>
      </w:pPr>
    </w:p>
    <w:p>
      <w:pPr>
        <w:ind w:right="220" w:firstLine="921"/>
        <w:spacing w:after="0" w:line="342" w:lineRule="auto"/>
        <w:tabs>
          <w:tab w:leader="none" w:pos="116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as permitted by United States and other Applicable Law, sell the Collateral at public auction, free from any claim of or by the Borrower of any nature whatsoever by first giving notice of the time and place of sale with a general description of the Collateral in the following manner:</w:t>
      </w:r>
    </w:p>
    <w:p>
      <w:pPr>
        <w:spacing w:after="0" w:line="15" w:lineRule="exact"/>
        <w:rPr>
          <w:rFonts w:ascii="Arial" w:cs="Arial" w:eastAsia="Arial" w:hAnsi="Arial"/>
          <w:sz w:val="16"/>
          <w:szCs w:val="16"/>
          <w:color w:val="auto"/>
        </w:rPr>
      </w:pPr>
    </w:p>
    <w:p>
      <w:pPr>
        <w:ind w:left="1700" w:hanging="208"/>
        <w:spacing w:after="0"/>
        <w:tabs>
          <w:tab w:leader="none" w:pos="170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by publishing such notice for ten (10) consecutive days in a daily newspaper of general circulation published in New York City, New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York;</w:t>
      </w:r>
    </w:p>
    <w:p>
      <w:pPr>
        <w:spacing w:after="0" w:line="210" w:lineRule="exact"/>
        <w:rPr>
          <w:rFonts w:ascii="Arial" w:cs="Arial" w:eastAsia="Arial" w:hAnsi="Arial"/>
          <w:sz w:val="16"/>
          <w:szCs w:val="16"/>
          <w:color w:val="auto"/>
        </w:rPr>
      </w:pPr>
    </w:p>
    <w:p>
      <w:pPr>
        <w:ind w:right="100" w:firstLine="1492"/>
        <w:spacing w:after="0" w:line="277" w:lineRule="auto"/>
        <w:tabs>
          <w:tab w:leader="none" w:pos="174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if the place of sale should not be New York City, New York, then also by publication of a similar notice in a daily newspaper, if any, published at the place of sale; and</w:t>
      </w:r>
    </w:p>
    <w:p>
      <w:pPr>
        <w:spacing w:after="0" w:line="170" w:lineRule="exact"/>
        <w:rPr>
          <w:rFonts w:ascii="Arial" w:cs="Arial" w:eastAsia="Arial" w:hAnsi="Arial"/>
          <w:sz w:val="18"/>
          <w:szCs w:val="18"/>
          <w:color w:val="auto"/>
        </w:rPr>
      </w:pPr>
    </w:p>
    <w:p>
      <w:pPr>
        <w:ind w:right="80" w:firstLine="1492"/>
        <w:spacing w:after="0" w:line="277" w:lineRule="auto"/>
        <w:tabs>
          <w:tab w:leader="none" w:pos="179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by sending a similar notice by telecopy confirmed by mail to the Borrower at least ten (10) days before the date of sale as permitted by United States and other Applicable Law.</w:t>
      </w:r>
    </w:p>
    <w:p>
      <w:pPr>
        <w:spacing w:after="0" w:line="170"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Such sale of the Collateral may be held at such place and at such time as the Administrative Agent in such notices may have specified, or such sale may be adjourned by the Administrative Agent from time to time by announcement at the time and place appointed for such sale or for such adjourned sale and without further notice or publication the Administrative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274" w:right="29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Agent may make such sale at the time and place to which the same shall be so adjourned. Such sale may be conducted without bringing the Collateral to the place designated for such sale and in such manner as the Administrative Agent may deem advisable, and the Administrative Agent or any other Lender may become the purchaser at such sale and shall have the right to credit on the purchase price any and all amounts due in respect of such Note and/or any Obligations, as appropriate. Any sale made in accordance with the provisions of this subsection (h) above shall be deemed made in a commercially reasonable manner insofar as the Borrower is concerned;</w:t>
      </w:r>
    </w:p>
    <w:p>
      <w:pPr>
        <w:spacing w:after="0" w:line="188" w:lineRule="exact"/>
        <w:rPr>
          <w:sz w:val="20"/>
          <w:szCs w:val="20"/>
          <w:color w:val="auto"/>
        </w:rPr>
      </w:pPr>
    </w:p>
    <w:p>
      <w:pPr>
        <w:ind w:right="60" w:firstLine="921"/>
        <w:spacing w:after="0" w:line="273" w:lineRule="auto"/>
        <w:tabs>
          <w:tab w:leader="none" w:pos="112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pending the sale of the Collateral (either directly or indirectly), as permitted by United States and other Applicable Law, manage, charter, lease, insure, maintain, or repair the Collateral and employ, lay up or operate the Collateral upon such terms, in such manner and for such period as the Administrative Agent may reasonably deem expedient and for the purpose aforesaid the Administrative Agent shall be entitled to do all acts and things incidental or conducive thereto and in particular, with respect to the Vessels, to enter into such arrangements respecting the Vessels, their management, maintenance, repair, classification and employment in all respects as if the Administrative Agent were the owner of the Vessels but without any obligations to take any action with respect to the Vessels and without any responsibility for any loss thereby incurred;</w:t>
      </w:r>
    </w:p>
    <w:p>
      <w:pPr>
        <w:spacing w:after="0" w:line="178" w:lineRule="exact"/>
        <w:rPr>
          <w:rFonts w:ascii="Arial" w:cs="Arial" w:eastAsia="Arial" w:hAnsi="Arial"/>
          <w:sz w:val="17"/>
          <w:szCs w:val="17"/>
          <w:color w:val="auto"/>
        </w:rPr>
      </w:pPr>
    </w:p>
    <w:p>
      <w:pPr>
        <w:ind w:firstLine="921"/>
        <w:spacing w:after="0" w:line="264" w:lineRule="auto"/>
        <w:tabs>
          <w:tab w:leader="none" w:pos="112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recover from the Borrower on demand any losses as may be incurred by the Administrative Agent in the exercise of the power vested in the Administrative Agent under subsection (i) hereof with interest thereon at the Default Rate from the date when such losses were incurred by the Administrative Agent until full payment is received; and</w:t>
      </w:r>
    </w:p>
    <w:p>
      <w:pPr>
        <w:spacing w:after="0" w:line="181" w:lineRule="exact"/>
        <w:rPr>
          <w:rFonts w:ascii="Arial" w:cs="Arial" w:eastAsia="Arial" w:hAnsi="Arial"/>
          <w:sz w:val="18"/>
          <w:szCs w:val="18"/>
          <w:color w:val="auto"/>
        </w:rPr>
      </w:pPr>
    </w:p>
    <w:p>
      <w:pPr>
        <w:jc w:val="both"/>
        <w:ind w:right="280" w:firstLine="921"/>
        <w:spacing w:after="0" w:line="264" w:lineRule="auto"/>
        <w:tabs>
          <w:tab w:leader="none" w:pos="116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recover from the Borrower on demand all expenses, payments and disbursements (including fees and expenses of counsel) incurred by the Administrative Agent in the exercise by it of any of the powers vested in it hereunder together with interest thereon at the Default Rate from the date when such expenses, payments or disbursements were incurred by it until full payment is received.</w:t>
      </w:r>
    </w:p>
    <w:p>
      <w:pPr>
        <w:spacing w:after="0" w:line="18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Application of Moneys</w:t>
      </w:r>
      <w:r>
        <w:rPr>
          <w:rFonts w:ascii="Arial" w:cs="Arial" w:eastAsia="Arial" w:hAnsi="Arial"/>
          <w:sz w:val="16"/>
          <w:szCs w:val="16"/>
          <w:color w:val="auto"/>
        </w:rPr>
        <w:t xml:space="preserve">. The proceeds of any sale made either under the power of sale hereby granted to the Administrative Agent or under a judgment or decree in any judicial proceeding for the foreclosure of the lien created hereunder, or proceeds arising from the enforcement of any remedy granted to the Administrative Agent hereunder, or, or in the case of the Vessels or the proceeds of any and all Insurances and any claims for damages on account of the Vessels or the Borrower of any nature whatsoever and any net earnings of the Vessels from the operation of the Vessels by the Administrative Agent under any of the powers herein granted or by law provided shall be applied as set forth in </w:t>
      </w:r>
      <w:r>
        <w:rPr>
          <w:rFonts w:ascii="Arial" w:cs="Arial" w:eastAsia="Arial" w:hAnsi="Arial"/>
          <w:sz w:val="16"/>
          <w:szCs w:val="16"/>
          <w:u w:val="single" w:color="auto"/>
          <w:color w:val="auto"/>
        </w:rPr>
        <w:t>Section 8.01</w:t>
      </w:r>
      <w:r>
        <w:rPr>
          <w:rFonts w:ascii="Arial" w:cs="Arial" w:eastAsia="Arial" w:hAnsi="Arial"/>
          <w:sz w:val="16"/>
          <w:szCs w:val="16"/>
          <w:color w:val="auto"/>
        </w:rPr>
        <w:t>.</w:t>
      </w:r>
    </w:p>
    <w:p>
      <w:pPr>
        <w:spacing w:after="0" w:line="15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Additional Rights.</w:t>
      </w:r>
      <w:r>
        <w:rPr>
          <w:rFonts w:ascii="Arial" w:cs="Arial" w:eastAsia="Arial" w:hAnsi="Arial"/>
          <w:sz w:val="18"/>
          <w:szCs w:val="18"/>
          <w:color w:val="auto"/>
        </w:rPr>
        <w:t xml:space="preserve"> In addition to the foregoing, the Administrative Agent shall be entitled to the remedies described in each of the other Loan Documents. In furtherance thereof, the Borrower hereby irrevocably appoints the Administrative Agent as its attorney-in-fact (which power shall be deemed coupled with an interest) to, upon the occurrence and during the continuance of an Event of Default, execute, endorse and deliver any deed, conveyance, assignment or other instrument in writing as may be required to vest in the Administrative Agent any right, title or power which by the terms hereof are expressed to be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152" w:name="page153"/>
    <w:bookmarkEnd w:id="152"/>
    <w:p>
      <w:pPr>
        <w:jc w:val="center"/>
        <w:ind w:right="-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80" w:right="24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 xml:space="preserve">conveyed to or conferred upon the Administrative Agent, including any documents and checks or drafts relating to or received in payment for any loss or damage under the policies of insurance required by the provisions of </w:t>
      </w:r>
      <w:r>
        <w:rPr>
          <w:rFonts w:ascii="Arial" w:cs="Arial" w:eastAsia="Arial" w:hAnsi="Arial"/>
          <w:sz w:val="16"/>
          <w:szCs w:val="16"/>
          <w:u w:val="single" w:color="auto"/>
          <w:color w:val="auto"/>
        </w:rPr>
        <w:t>Section 7.01(o)</w:t>
      </w:r>
      <w:r>
        <w:rPr>
          <w:rFonts w:ascii="Arial" w:cs="Arial" w:eastAsia="Arial" w:hAnsi="Arial"/>
          <w:sz w:val="16"/>
          <w:szCs w:val="16"/>
          <w:color w:val="auto"/>
        </w:rPr>
        <w:t xml:space="preserve"> hereof, but only to the extent that the same relates to the Collateral.</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No amendment or waiver of any provision of this Agreement or any other Loan Document, and no consent to any departure by the Borrower or any other Loan Party therefrom, shall be effective unless in writing signed by the Required Lenders (or by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amendment, waiver or consent shall:</w:t>
      </w:r>
    </w:p>
    <w:p>
      <w:pPr>
        <w:spacing w:after="0" w:line="80" w:lineRule="exact"/>
        <w:rPr>
          <w:sz w:val="20"/>
          <w:szCs w:val="20"/>
          <w:color w:val="auto"/>
        </w:rPr>
      </w:pPr>
    </w:p>
    <w:p>
      <w:pPr>
        <w:ind w:left="700" w:hanging="236"/>
        <w:spacing w:after="0"/>
        <w:tabs>
          <w:tab w:leader="none" w:pos="7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Waive any condition set forth in Article V, without the written consent of the Required Lenders;</w:t>
      </w:r>
    </w:p>
    <w:p>
      <w:pPr>
        <w:spacing w:after="0" w:line="225" w:lineRule="exact"/>
        <w:rPr>
          <w:rFonts w:ascii="Arial" w:cs="Arial" w:eastAsia="Arial" w:hAnsi="Arial"/>
          <w:sz w:val="18"/>
          <w:szCs w:val="18"/>
          <w:color w:val="auto"/>
        </w:rPr>
      </w:pPr>
    </w:p>
    <w:p>
      <w:pPr>
        <w:ind w:right="140" w:firstLine="464"/>
        <w:spacing w:after="0" w:line="342" w:lineRule="auto"/>
        <w:tabs>
          <w:tab w:leader="none" w:pos="711"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extend or increase the Commitment of any Lender (or reinstate any Commitment terminated pursuant to </w:t>
      </w:r>
      <w:r>
        <w:rPr>
          <w:rFonts w:ascii="Arial" w:cs="Arial" w:eastAsia="Arial" w:hAnsi="Arial"/>
          <w:sz w:val="16"/>
          <w:szCs w:val="16"/>
          <w:u w:val="single" w:color="auto"/>
          <w:color w:val="auto"/>
        </w:rPr>
        <w:t>Section 8.01</w:t>
      </w:r>
      <w:r>
        <w:rPr>
          <w:rFonts w:ascii="Arial" w:cs="Arial" w:eastAsia="Arial" w:hAnsi="Arial"/>
          <w:sz w:val="16"/>
          <w:szCs w:val="16"/>
          <w:color w:val="auto"/>
        </w:rPr>
        <w:t>) without the written consent of such Lender (it being understood and agreed that a waiver of any Default is not considered an extension or increase in Commitment of any Lender);</w:t>
      </w:r>
    </w:p>
    <w:p>
      <w:pPr>
        <w:spacing w:after="0" w:line="123" w:lineRule="exact"/>
        <w:rPr>
          <w:rFonts w:ascii="Arial" w:cs="Arial" w:eastAsia="Arial" w:hAnsi="Arial"/>
          <w:sz w:val="16"/>
          <w:szCs w:val="16"/>
          <w:color w:val="auto"/>
        </w:rPr>
      </w:pPr>
    </w:p>
    <w:p>
      <w:pPr>
        <w:jc w:val="both"/>
        <w:ind w:right="40" w:firstLine="464"/>
        <w:spacing w:after="0" w:line="264" w:lineRule="auto"/>
        <w:tabs>
          <w:tab w:leader="none" w:pos="70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w:t>
      </w:r>
    </w:p>
    <w:p>
      <w:pPr>
        <w:spacing w:after="0" w:line="181" w:lineRule="exact"/>
        <w:rPr>
          <w:rFonts w:ascii="Arial" w:cs="Arial" w:eastAsia="Arial" w:hAnsi="Arial"/>
          <w:sz w:val="18"/>
          <w:szCs w:val="18"/>
          <w:color w:val="auto"/>
        </w:rPr>
      </w:pPr>
    </w:p>
    <w:p>
      <w:pPr>
        <w:ind w:right="80" w:firstLine="464"/>
        <w:spacing w:after="0" w:line="276" w:lineRule="auto"/>
        <w:tabs>
          <w:tab w:leader="none" w:pos="71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reduce the principal of, or the rate of interest specified herein on, any Loan, or (subject to clause (ii) of the second proviso to this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any fees or other amounts payable hereunder or under any other Loan Document without the written consent of each Lender entitled to such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only the consent of the Required Lenders shall be necessary (i) to amend the definition of “Default Rate” or to waive any obligation of the Borrower to pay interest at the Default Rate or (ii) to amend any financial covenant hereunder (or any defined term used therein) even if the effect of such amendment would be to reduce the rate of interest on any Loan or to reduce any fee payable hereunder;</w:t>
      </w:r>
    </w:p>
    <w:p>
      <w:pPr>
        <w:spacing w:after="0" w:line="172" w:lineRule="exact"/>
        <w:rPr>
          <w:rFonts w:ascii="Arial" w:cs="Arial" w:eastAsia="Arial" w:hAnsi="Arial"/>
          <w:sz w:val="17"/>
          <w:szCs w:val="17"/>
          <w:color w:val="auto"/>
        </w:rPr>
      </w:pPr>
    </w:p>
    <w:p>
      <w:pPr>
        <w:ind w:right="520" w:firstLine="464"/>
        <w:spacing w:after="0" w:line="277" w:lineRule="auto"/>
        <w:tabs>
          <w:tab w:leader="none" w:pos="70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change the application of proceeds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in a manner that would alter the pro rata sharing of payments required thereby without the written consent of each Lender;</w:t>
      </w:r>
    </w:p>
    <w:p>
      <w:pPr>
        <w:spacing w:after="0" w:line="170" w:lineRule="exact"/>
        <w:rPr>
          <w:rFonts w:ascii="Arial" w:cs="Arial" w:eastAsia="Arial" w:hAnsi="Arial"/>
          <w:sz w:val="18"/>
          <w:szCs w:val="18"/>
          <w:color w:val="auto"/>
        </w:rPr>
      </w:pPr>
    </w:p>
    <w:p>
      <w:pPr>
        <w:ind w:right="180" w:firstLine="464"/>
        <w:spacing w:after="0" w:line="264" w:lineRule="auto"/>
        <w:tabs>
          <w:tab w:leader="none" w:pos="68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change any provision of this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or the definition of “Required Lenders” or any other provision of any Loan Document specifying the number or percentage of Lenders required to amend, waive or otherwise modify any rights hereunder or thereunder or make any determination or grant any consent hereunder, without the written consent of each Lender;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74" w:right="279" w:bottom="1440" w:gutter="0" w:footer="0" w:header="0"/>
        </w:sectPr>
      </w:pPr>
    </w:p>
    <w:bookmarkStart w:id="153" w:name="page154"/>
    <w:bookmarkEnd w:id="153"/>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20" w:right="20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720" w:hanging="256"/>
        <w:spacing w:after="0"/>
        <w:tabs>
          <w:tab w:leader="none" w:pos="7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release all or substantially all of the Collateral in any transaction or series of related transactions, without the written consent of each Lender;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release the Guaranty, without the written consent of each Lender; or</w:t>
      </w:r>
    </w:p>
    <w:p>
      <w:pPr>
        <w:spacing w:after="0" w:line="225" w:lineRule="exact"/>
        <w:rPr>
          <w:rFonts w:ascii="Arial" w:cs="Arial" w:eastAsia="Arial" w:hAnsi="Arial"/>
          <w:sz w:val="18"/>
          <w:szCs w:val="18"/>
          <w:color w:val="auto"/>
        </w:rPr>
      </w:pPr>
    </w:p>
    <w:p>
      <w:pPr>
        <w:ind w:right="20" w:firstLine="464"/>
        <w:spacing w:after="0" w:line="277" w:lineRule="auto"/>
        <w:tabs>
          <w:tab w:leader="none" w:pos="67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release the Borrower or permit the Borrower to assign or transfer any of its rights or obligations under this Agreement or the other Loan Documents without the consent of each Lender.</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 no amendment, waiver or consent shall, unless in writing and signed by the Administrative Agent in addition to the Lenders required above, affect the rights or duties of the Administrative Agent under this Agreement or any other Loan Document. Notwithstanding anything to the contrary herein, (A)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(B) the Required Lenders shall determine whether or not to allow a Loan Party to use cash collateral in the context of a bankruptcy or insolvency proceeding and such determination shall be binding on all of the Lenders.</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Notwithstanding anything to the contrary herein the Administrative Agent may, with the prior written consent of the Borrower only, amend, modify or supplement this Agreement or any of the other Loan Documents to cure any ambiguity, omission, mistake, defect or inconsistency, and each Lender hereby irrevocably authorizes the Administrative Agent on its behalf, and without further consent, to enter into amendments or modifications to this Agreement (including, without limitation, amendments to this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or any of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amendment or modification shall result in any increase in the amount of any Lender’s Commitment or any increase in any Lender’s Commitment Percentage, in each case, without the written consent of such affected Lender.</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Notices, etc.</w:t>
      </w:r>
    </w:p>
    <w:p>
      <w:pPr>
        <w:spacing w:after="0" w:line="225" w:lineRule="exact"/>
        <w:rPr>
          <w:sz w:val="20"/>
          <w:szCs w:val="20"/>
          <w:color w:val="auto"/>
        </w:rPr>
      </w:pPr>
    </w:p>
    <w:p>
      <w:pPr>
        <w:ind w:firstLine="464"/>
        <w:spacing w:after="0" w:line="279" w:lineRule="auto"/>
        <w:tabs>
          <w:tab w:leader="none" w:pos="701"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spacing w:after="0" w:line="63" w:lineRule="exact"/>
        <w:rPr>
          <w:rFonts w:ascii="Arial" w:cs="Arial" w:eastAsia="Arial" w:hAnsi="Arial"/>
          <w:sz w:val="17"/>
          <w:szCs w:val="17"/>
          <w:color w:val="auto"/>
        </w:rPr>
      </w:pPr>
    </w:p>
    <w:p>
      <w:pPr>
        <w:ind w:left="460" w:right="440" w:firstLine="443"/>
        <w:spacing w:after="0" w:line="277" w:lineRule="auto"/>
        <w:tabs>
          <w:tab w:leader="none" w:pos="111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if to the Borrower or any other Loan Party or the Administrative Agent, to the address, fax number, e-mail address or telephone number specified for such Person on </w:t>
      </w:r>
      <w:r>
        <w:rPr>
          <w:rFonts w:ascii="Arial" w:cs="Arial" w:eastAsia="Arial" w:hAnsi="Arial"/>
          <w:sz w:val="18"/>
          <w:szCs w:val="18"/>
          <w:u w:val="single" w:color="auto"/>
          <w:color w:val="auto"/>
        </w:rPr>
        <w:t>Schedule 2</w:t>
      </w:r>
      <w:r>
        <w:rPr>
          <w:rFonts w:ascii="Arial" w:cs="Arial" w:eastAsia="Arial" w:hAnsi="Arial"/>
          <w:sz w:val="18"/>
          <w:szCs w:val="18"/>
          <w:color w:val="auto"/>
        </w:rPr>
        <w:t>; 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274" w:right="319" w:bottom="1440" w:gutter="0" w:footer="0" w:header="0"/>
        </w:sectPr>
      </w:pPr>
    </w:p>
    <w:bookmarkStart w:id="154" w:name="page155"/>
    <w:bookmarkEnd w:id="154"/>
    <w:p>
      <w:pPr>
        <w:jc w:val="center"/>
        <w:ind w:right="-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80" w:right="24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460" w:right="440" w:firstLine="443"/>
        <w:spacing w:after="0" w:line="264" w:lineRule="auto"/>
        <w:tabs>
          <w:tab w:leader="none" w:pos="116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ind w:right="100" w:firstLine="464"/>
        <w:spacing w:after="0" w:line="273" w:lineRule="auto"/>
        <w:tabs>
          <w:tab w:leader="none" w:pos="711"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Administrative Agent and the Lenders hereunder may be delivered or furnished by electronic communication (including e-mail, FPML messaging and Internet or intranet websites) pursuant to procedures approved by the Administrative Agent; provided that the foregoing shall not apply to notices to any Lender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if such Lender has notified the Administrative Agent that it is incapable of receiving notices under such Article by electronic communication. The Administrative Agent or the Borrower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7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acknowledgement) and (ii)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provided that for both clauses (i) and (ii), if such notice or other communication is not sent during the normal business hours of the recipient, such notice, email or communication shall be deemed to have been sent at the opening of business on the next Business Day for the recipient.</w:t>
      </w:r>
    </w:p>
    <w:p>
      <w:pPr>
        <w:spacing w:after="0" w:line="167" w:lineRule="exact"/>
        <w:rPr>
          <w:sz w:val="20"/>
          <w:szCs w:val="20"/>
          <w:color w:val="auto"/>
        </w:rPr>
      </w:pPr>
    </w:p>
    <w:p>
      <w:pPr>
        <w:ind w:right="120" w:firstLine="464"/>
        <w:spacing w:after="0" w:line="257" w:lineRule="auto"/>
        <w:tabs>
          <w:tab w:leader="none" w:pos="701"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74" w:right="27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have any liability to the Borrower, any Lender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w:t>
      </w:r>
    </w:p>
    <w:p>
      <w:pPr>
        <w:spacing w:after="0" w:line="173" w:lineRule="exact"/>
        <w:rPr>
          <w:sz w:val="20"/>
          <w:szCs w:val="20"/>
          <w:color w:val="auto"/>
        </w:rPr>
      </w:pPr>
    </w:p>
    <w:p>
      <w:pPr>
        <w:ind w:firstLine="464"/>
        <w:spacing w:after="0" w:line="288" w:lineRule="auto"/>
        <w:tabs>
          <w:tab w:leader="none" w:pos="711"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Borrower and the Administrative Agent may 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69" w:lineRule="exact"/>
        <w:rPr>
          <w:rFonts w:ascii="Arial" w:cs="Arial" w:eastAsia="Arial" w:hAnsi="Arial"/>
          <w:sz w:val="16"/>
          <w:szCs w:val="16"/>
          <w:color w:val="auto"/>
        </w:rPr>
      </w:pPr>
    </w:p>
    <w:p>
      <w:pPr>
        <w:ind w:right="20" w:firstLine="464"/>
        <w:spacing w:after="0" w:line="270" w:lineRule="auto"/>
        <w:tabs>
          <w:tab w:leader="none" w:pos="701"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and Lenders</w:t>
      </w:r>
      <w:r>
        <w:rPr>
          <w:rFonts w:ascii="Arial" w:cs="Arial" w:eastAsia="Arial" w:hAnsi="Arial"/>
          <w:sz w:val="17"/>
          <w:szCs w:val="17"/>
          <w:color w:val="auto"/>
        </w:rPr>
        <w:t>. The Administrative Agent and the Lenders shall be entitled to rely and act upon any notices (including, without limitation, telephonic or electronic notices, Loan Notices and Notices of Loan Prepayment)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a Loan Party; provided that such indemnity shall not be available to the extent such losses, costs, expenses and liabilities are determined by a court of competent jurisdiction by final and non-appealable judgment to have resulted from the gross negligence, bad faith or willful misconduct of any Indemnitee. All telephonic notices to and other telephonic communications with the Administrative Agent may be recorded by the Administrative Agent, and each of the parties hereto hereby consents to such recording.</w:t>
      </w:r>
    </w:p>
    <w:p>
      <w:pPr>
        <w:spacing w:after="0" w:line="182"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SECTION 9.03. GOVERNING LAW. THIS AGREEMENT AND THE RIGHTS AND OBLIGATIONS OF THE PARTIES HERETO SHALL BE GOVERNED BY, AND CONSTRUED IN ACCORDANCE WITH, THE LAWS OF THE STATE OF NEW YORK (EXCLUDING ITS CONFLICT OF LAWS RULES OTHER THAN SECTIONS 5-1401 AND 5-1402 OF THE GENERAL OBLIGATIONS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156" w:name="page157"/>
    <w:bookmarkEnd w:id="156"/>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80" w:right="24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Service of Process and Consent to Jurisdiction; Waiver of Venue</w:t>
      </w:r>
      <w:r>
        <w:rPr>
          <w:rFonts w:ascii="Arial" w:cs="Arial" w:eastAsia="Arial" w:hAnsi="Arial"/>
          <w:sz w:val="17"/>
          <w:szCs w:val="17"/>
          <w:color w:val="auto"/>
        </w:rPr>
        <w:t xml:space="preserve">. Each of the parties hereto hereby irrevocably submits to the non-exclusive jurisdiction of the Federal and state courts located in the State of New York, in any action brought against it under this Agreement, the Notes or any other Loan Document and agrees that a summons and complaint commencing any action or proceeding in such court shall be properly served if delivered personally or by registered mail to such party at its address referenced in </w:t>
      </w:r>
      <w:r>
        <w:rPr>
          <w:rFonts w:ascii="Arial" w:cs="Arial" w:eastAsia="Arial" w:hAnsi="Arial"/>
          <w:sz w:val="17"/>
          <w:szCs w:val="17"/>
          <w:u w:val="single" w:color="auto"/>
          <w:color w:val="auto"/>
        </w:rPr>
        <w:t>Section 9.02</w:t>
      </w:r>
      <w:r>
        <w:rPr>
          <w:rFonts w:ascii="Arial" w:cs="Arial" w:eastAsia="Arial" w:hAnsi="Arial"/>
          <w:sz w:val="17"/>
          <w:szCs w:val="17"/>
          <w:color w:val="auto"/>
        </w:rPr>
        <w:t>, or otherwise served under the laws of the State of New York, and each of the parties hereto hereby waives any objection to venue and jurisdiction which it may now or hereafter have. The Loan Parties shall promptly notify Administrative Agent of any change in its address. Nothing herein shall affect the right of any party hereto to serve process in any other matter prescribed by Applicable Law or the right of any party hereto to bring legal proceedings in any other competent jurisdiction.</w:t>
      </w:r>
    </w:p>
    <w:p>
      <w:pPr>
        <w:spacing w:after="0" w:line="178"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No Remedy Exclusive</w:t>
      </w:r>
      <w:r>
        <w:rPr>
          <w:rFonts w:ascii="Arial" w:cs="Arial" w:eastAsia="Arial" w:hAnsi="Arial"/>
          <w:sz w:val="16"/>
          <w:szCs w:val="16"/>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Applicable Law.</w:t>
      </w:r>
    </w:p>
    <w:p>
      <w:pPr>
        <w:spacing w:after="0" w:line="15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VIII for the benefit of all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or (c) any Lender from filing proofs of claim or appearing and filing pleadings on its own behalf during the pendency of a proceeding relative to any Loan Party under any Debtor Relief Law;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(ii) in addition to the matters set forth in clauses (b) and (c) of the preceding proviso and subject to </w:t>
      </w:r>
      <w:r>
        <w:rPr>
          <w:rFonts w:ascii="Arial" w:cs="Arial" w:eastAsia="Arial" w:hAnsi="Arial"/>
          <w:sz w:val="17"/>
          <w:szCs w:val="17"/>
          <w:u w:val="single" w:color="auto"/>
          <w:color w:val="auto"/>
        </w:rPr>
        <w:t>Section 2.07</w:t>
      </w:r>
      <w:r>
        <w:rPr>
          <w:rFonts w:ascii="Arial" w:cs="Arial" w:eastAsia="Arial" w:hAnsi="Arial"/>
          <w:sz w:val="17"/>
          <w:szCs w:val="17"/>
          <w:color w:val="auto"/>
        </w:rPr>
        <w:t>, any Lender may, with the consent of the Required Lenders, enforce any rights and remedies available to it and as authorized by the Required Lenders.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74" w:right="27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Payment of Costs</w:t>
      </w:r>
      <w:r>
        <w:rPr>
          <w:rFonts w:ascii="Arial" w:cs="Arial" w:eastAsia="Arial" w:hAnsi="Arial"/>
          <w:sz w:val="18"/>
          <w:szCs w:val="18"/>
          <w:color w:val="auto"/>
        </w:rPr>
        <w:t>.</w:t>
      </w:r>
    </w:p>
    <w:p>
      <w:pPr>
        <w:spacing w:after="0" w:line="225" w:lineRule="exact"/>
        <w:rPr>
          <w:sz w:val="20"/>
          <w:szCs w:val="20"/>
          <w:color w:val="auto"/>
        </w:rPr>
      </w:pPr>
    </w:p>
    <w:p>
      <w:pPr>
        <w:ind w:left="-20" w:right="100" w:firstLine="464"/>
        <w:spacing w:after="0" w:line="271" w:lineRule="auto"/>
        <w:tabs>
          <w:tab w:leader="none" w:pos="681"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Borrower shall pay (i) all reasonable and documented out-of-pocket expenses incurred by the Administrative Agent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documented out-of-pocket expenses incurred by the Administrative Agent or any Lender (including the fees, charges and disbursements of any counsel for the Administrative Agent or any Lender) in connection with the enforcement or protection of its rights (A) in connection with this Agreement and the other Loan Documents, including its rights under this Section, or (B) in connection with Loans made hereunder, including all such out-of-pocket expenses incurred during any workout, restructuring or negotiations in respect of such Loans.</w:t>
      </w:r>
    </w:p>
    <w:p>
      <w:pPr>
        <w:spacing w:after="0" w:line="178" w:lineRule="exact"/>
        <w:rPr>
          <w:rFonts w:ascii="Arial" w:cs="Arial" w:eastAsia="Arial" w:hAnsi="Arial"/>
          <w:sz w:val="17"/>
          <w:szCs w:val="17"/>
          <w:color w:val="auto"/>
        </w:rPr>
      </w:pPr>
    </w:p>
    <w:p>
      <w:pPr>
        <w:ind w:left="-20" w:firstLine="464"/>
        <w:spacing w:after="0" w:line="267" w:lineRule="auto"/>
        <w:tabs>
          <w:tab w:leader="none" w:pos="691"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w:t>
      </w:r>
      <w:r>
        <w:rPr>
          <w:rFonts w:ascii="Arial" w:cs="Arial" w:eastAsia="Arial" w:hAnsi="Arial"/>
          <w:sz w:val="17"/>
          <w:szCs w:val="17"/>
          <w:color w:val="auto"/>
        </w:rPr>
        <w:t>. The Borrower shall indemnify the Administrative Agent (and any sub-agent thereof) and each Lender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against, and hold each Indemnitee harmless from, any and all losses, claims, damages, liabilities and related reasonable out-of-pocket expenses (including the fees, charges and disbursements of any counsel for any Indemnitee)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(ii) any Loan or the use or proposed use of the proceeds therefrom, (iii) any actual or alleged presence or release of Hazardous Materials on or from any property owned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Borrower or any other Loan Party or any of the Borrower’s or such Loan Party’s directors, shareholders or creditors,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bad faith or willful misconduct of such Indemnitee (or such Indemnitee’s Related Parties) or result from a claim brought by the Borrower or the Guarantor against an Indemnitee for breach in bad faith of such Indemnitee’s obligations hereunder or under any other Loan Document, if the Borrower or the Guarantor has obtained a final and nonappealable judgment in its favor on such claim as determined by a court of competent jurisdiction. Without limiting the provisions of </w:t>
      </w:r>
      <w:r>
        <w:rPr>
          <w:rFonts w:ascii="Arial" w:cs="Arial" w:eastAsia="Arial" w:hAnsi="Arial"/>
          <w:sz w:val="17"/>
          <w:szCs w:val="17"/>
          <w:u w:val="single" w:color="auto"/>
          <w:color w:val="auto"/>
        </w:rPr>
        <w:t>Section 10.01(c)</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9.06(b)</w:t>
      </w:r>
      <w:r>
        <w:rPr>
          <w:rFonts w:ascii="Arial" w:cs="Arial" w:eastAsia="Arial" w:hAnsi="Arial"/>
          <w:sz w:val="17"/>
          <w:szCs w:val="17"/>
          <w:color w:val="auto"/>
        </w:rPr>
        <w:t xml:space="preserve"> shall not apply with respect to Taxes other than any Taxes that represent losses, claims, damages, etc. arising from any non-Tax claim.</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60" w:top="274" w:right="259" w:bottom="1440" w:gutter="0" w:footer="0" w:header="0"/>
        </w:sectPr>
      </w:pPr>
    </w:p>
    <w:bookmarkStart w:id="158" w:name="page159"/>
    <w:bookmarkEnd w:id="158"/>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20" w:right="20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700" w:hanging="236"/>
        <w:spacing w:after="0"/>
        <w:tabs>
          <w:tab w:leader="none" w:pos="700" w:val="left"/>
        </w:tabs>
        <w:numPr>
          <w:ilvl w:val="1"/>
          <w:numId w:val="161"/>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To the extent that the Borrower for any reason fails to indefeasibly pay any amount required under subsection (a) or</w:t>
      </w:r>
    </w:p>
    <w:p>
      <w:pPr>
        <w:spacing w:after="0" w:line="46" w:lineRule="exact"/>
        <w:rPr>
          <w:rFonts w:ascii="Arial" w:cs="Arial" w:eastAsia="Arial" w:hAnsi="Arial"/>
          <w:sz w:val="16"/>
          <w:szCs w:val="16"/>
          <w:color w:val="auto"/>
        </w:rPr>
      </w:pPr>
    </w:p>
    <w:p>
      <w:pPr>
        <w:ind w:firstLine="8"/>
        <w:spacing w:after="0" w:line="268" w:lineRule="auto"/>
        <w:tabs>
          <w:tab w:leader="none" w:pos="25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of this Section to be paid by it to the Administrative Agent (or any sub-agent thereof) or any Related Party of the Administrative Agent, each Lender severally agrees to pay to the Administrative Agent (or any such sub-agent)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sub-agent) in connection with such capacity. The obligations of the Lenders under this subsection (c) are subject to the provisions of </w:t>
      </w:r>
      <w:r>
        <w:rPr>
          <w:rFonts w:ascii="Arial" w:cs="Arial" w:eastAsia="Arial" w:hAnsi="Arial"/>
          <w:sz w:val="17"/>
          <w:szCs w:val="17"/>
          <w:u w:val="single" w:color="auto"/>
          <w:color w:val="auto"/>
        </w:rPr>
        <w:t>Section 2.06(d)</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right="20" w:firstLine="464"/>
        <w:spacing w:after="0" w:line="272" w:lineRule="auto"/>
        <w:tabs>
          <w:tab w:leader="none" w:pos="711" w:val="left"/>
        </w:tabs>
        <w:numPr>
          <w:ilvl w:val="1"/>
          <w:numId w:val="162"/>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To the fullest extent permitted by Applicable Law, the Borrower shall not assert, and the Borrower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spacing w:after="0" w:line="177" w:lineRule="exact"/>
        <w:rPr>
          <w:rFonts w:ascii="Arial" w:cs="Arial" w:eastAsia="Arial" w:hAnsi="Arial"/>
          <w:sz w:val="17"/>
          <w:szCs w:val="17"/>
          <w:color w:val="auto"/>
        </w:rPr>
      </w:pPr>
    </w:p>
    <w:p>
      <w:pPr>
        <w:ind w:left="700" w:hanging="236"/>
        <w:spacing w:after="0"/>
        <w:tabs>
          <w:tab w:leader="none" w:pos="700" w:val="left"/>
        </w:tabs>
        <w:numPr>
          <w:ilvl w:val="1"/>
          <w:numId w:val="162"/>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(10) Business Days after demand therefor.</w:t>
      </w:r>
    </w:p>
    <w:p>
      <w:pPr>
        <w:spacing w:after="0" w:line="225" w:lineRule="exact"/>
        <w:rPr>
          <w:rFonts w:ascii="Arial" w:cs="Arial" w:eastAsia="Arial" w:hAnsi="Arial"/>
          <w:sz w:val="18"/>
          <w:szCs w:val="18"/>
          <w:color w:val="auto"/>
        </w:rPr>
      </w:pPr>
    </w:p>
    <w:p>
      <w:pPr>
        <w:ind w:right="60" w:firstLine="464"/>
        <w:spacing w:after="0" w:line="308" w:lineRule="auto"/>
        <w:tabs>
          <w:tab w:leader="none" w:pos="681" w:val="left"/>
        </w:tabs>
        <w:numPr>
          <w:ilvl w:val="1"/>
          <w:numId w:val="162"/>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The agreements in this Section and the indemnity provisions of </w:t>
      </w:r>
      <w:r>
        <w:rPr>
          <w:rFonts w:ascii="Arial" w:cs="Arial" w:eastAsia="Arial" w:hAnsi="Arial"/>
          <w:sz w:val="17"/>
          <w:szCs w:val="17"/>
          <w:u w:val="single" w:color="auto"/>
          <w:color w:val="auto"/>
        </w:rPr>
        <w:t>Section 9.02(e)</w:t>
      </w:r>
      <w:r>
        <w:rPr>
          <w:rFonts w:ascii="Arial" w:cs="Arial" w:eastAsia="Arial" w:hAnsi="Arial"/>
          <w:sz w:val="17"/>
          <w:szCs w:val="17"/>
          <w:color w:val="auto"/>
        </w:rPr>
        <w:t xml:space="preserve"> shall survive the resignation of the Administrative Agent, the replacement of any Lender, the termination of the Commitments and the repayment, satisfaction or discharge of all the other Obligations.</w:t>
      </w:r>
    </w:p>
    <w:p>
      <w:pPr>
        <w:spacing w:after="0" w:line="14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u w:val="single" w:color="auto"/>
          <w:color w:val="auto"/>
        </w:rPr>
        <w:t>Further Assurances</w:t>
      </w:r>
      <w:r>
        <w:rPr>
          <w:rFonts w:ascii="Arial" w:cs="Arial" w:eastAsia="Arial" w:hAnsi="Arial"/>
          <w:sz w:val="17"/>
          <w:szCs w:val="17"/>
          <w:color w:val="auto"/>
        </w:rPr>
        <w:t>. The Borrower further agrees to execute such other and further assurances and documents as in the opinion of the Administrative Agent are reasonably required to carry out the terms of this Agreement or of any of the other Loan Documents.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274" w:right="319" w:bottom="1440" w:gutter="0" w:footer="0" w:header="0"/>
        </w:sectPr>
      </w:pPr>
    </w:p>
    <w:bookmarkStart w:id="159" w:name="page160"/>
    <w:bookmarkEnd w:id="159"/>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20" w:right="20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 Except as provided in </w:t>
      </w:r>
      <w:r>
        <w:rPr>
          <w:rFonts w:ascii="Arial" w:cs="Arial" w:eastAsia="Arial" w:hAnsi="Arial"/>
          <w:sz w:val="17"/>
          <w:szCs w:val="17"/>
          <w:u w:val="single" w:color="auto"/>
          <w:color w:val="auto"/>
        </w:rPr>
        <w:t>Article V</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or any other Loan Document, or any certificate delivered thereunder, by fax transmission or e-mail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8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Headings</w:t>
      </w:r>
      <w:r>
        <w:rPr>
          <w:rFonts w:ascii="Arial" w:cs="Arial" w:eastAsia="Arial" w:hAnsi="Arial"/>
          <w:sz w:val="18"/>
          <w:szCs w:val="18"/>
          <w:color w:val="auto"/>
        </w:rPr>
        <w:t>. The titles of the Articles and the Section headings of this Agreement are for convenience only and shall not affect the construction of this Agreement.</w:t>
      </w:r>
    </w:p>
    <w:p>
      <w:pPr>
        <w:spacing w:after="0" w:line="170"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7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Survival</w:t>
      </w:r>
      <w:r>
        <w:rPr>
          <w:rFonts w:ascii="Arial" w:cs="Arial" w:eastAsia="Arial" w:hAnsi="Arial"/>
          <w:sz w:val="16"/>
          <w:szCs w:val="16"/>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Loan, and shall continue in full force and effect as long as any Loan or any other Obligation hereunder shall remain unpaid or unsatisfied.</w:t>
      </w:r>
    </w:p>
    <w:p>
      <w:pPr>
        <w:spacing w:after="0" w:line="15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SECTION 9.12. WAIVER OF TRIAL BY JURY. TO THE EXTENT PERMITTED BY APPLICABLE LAW, THE PARTIES HERETO HEREBY WAIVE TRIAL BY JURY IN ANY ACTION OR PROCEEDING TO WHICH THEY MAY BE PARTIES, ARISING OUT OF OR IN ANY WAY PERTAINING TO (A) THIS AGREEMENT OR (B) THE OTHER LOAN DOCUMENTS. IT IS AGREED AND UNDERSTOOD THAT THIS WAIVER CONSTITUTES A WAIVER OF TRIAL BY JURY OF ALL CLAIMS AGAINST ALL PARTIES TO SUCH ACTIONS OR PROCEEDINGS, INCLUDING CLAIMS AGAINST</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274" w:right="31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PARTIES WHO ARE NOT PARTIES TO THIS AGREEMENT. THIS WAIVER IS KNOWINGLY, WILLINGLY AND VOLUNTARILY MADE BY EACH OF THE PARTIES HERETO, AND THE PARTIES HEREBY REPRESENT THAT NO REPRESENTATIONS OF FACT OR OPINION HAVE BEEN MADE BY ANY INDIVIDUAL TO INDUCE THIS WAIVER OF TRIAL BY JURY OR TO IN ANY WAY MODIFY OR NULLIFY ITS EFFECT. THE PARTIES FURTHER REPRESENT THAT THEY HAVE BEEN REPRESENTED IN THE SIGNING OF THIS AGREEMENT AND IN THE MAKING OF THIS WAIVER BY INDEPENDENT LEGAL COUNSEL, SELECTED OF THEIR OWN FREE WILL, AND THEY HAVE HAD THE OPPORTUNITY TO DISCUSS THIS WAIVER WITH COUNSEL.</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70" w:lineRule="auto"/>
        <w:tabs>
          <w:tab w:leader="none" w:pos="701"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The provisions of this Agreement and the other Loan Documents shall be binding upon and inure to the benefit of the parties hereto and thereto and their respective successors and assigns permitted hereby, except neither the Borrower nor any other Loan Party may assign or otherwise transfer any of its rights or obligations hereunder or under any other Loan Document without the prior written consent of the Administrative Agent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w:t>
      </w:r>
    </w:p>
    <w:p>
      <w:pPr>
        <w:spacing w:after="0" w:line="177" w:lineRule="exact"/>
        <w:rPr>
          <w:rFonts w:ascii="Arial" w:cs="Arial" w:eastAsia="Arial" w:hAnsi="Arial"/>
          <w:sz w:val="17"/>
          <w:szCs w:val="17"/>
          <w:color w:val="auto"/>
        </w:rPr>
      </w:pPr>
    </w:p>
    <w:p>
      <w:pPr>
        <w:ind w:right="360" w:firstLine="464"/>
        <w:spacing w:after="0" w:line="264" w:lineRule="auto"/>
        <w:tabs>
          <w:tab w:leader="none" w:pos="711"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Any Lender may at any time assign to one or more assignees all or a portion of its rights and obligations under this Agreement and the other Loan Documents (including all or a portion of its Commitment(s) and the Loans at the time owing to it); provided that any such assignment shall be subject to the following conditions:</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920" w:right="40" w:firstLine="421"/>
        <w:spacing w:after="0" w:line="259" w:lineRule="auto"/>
        <w:tabs>
          <w:tab w:leader="none" w:pos="1635" w:val="left"/>
        </w:tabs>
        <w:numPr>
          <w:ilvl w:val="2"/>
          <w:numId w:val="163"/>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and/or the Loans at the time owing to it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78" w:lineRule="exact"/>
        <w:rPr>
          <w:rFonts w:ascii="Arial" w:cs="Arial" w:eastAsia="Arial" w:hAnsi="Arial"/>
          <w:sz w:val="18"/>
          <w:szCs w:val="18"/>
          <w:color w:val="auto"/>
        </w:rPr>
      </w:pPr>
    </w:p>
    <w:p>
      <w:pPr>
        <w:ind w:left="920" w:right="400" w:firstLine="421"/>
        <w:spacing w:after="0" w:line="277" w:lineRule="auto"/>
        <w:tabs>
          <w:tab w:leader="none" w:pos="1625" w:val="left"/>
        </w:tabs>
        <w:numPr>
          <w:ilvl w:val="2"/>
          <w:numId w:val="163"/>
        </w:numPr>
        <w:rPr>
          <w:rFonts w:ascii="Arial" w:cs="Arial" w:eastAsia="Arial" w:hAnsi="Arial"/>
          <w:sz w:val="18"/>
          <w:szCs w:val="18"/>
          <w:color w:val="auto"/>
        </w:rPr>
      </w:pPr>
      <w:r>
        <w:rPr>
          <w:rFonts w:ascii="Arial" w:cs="Arial" w:eastAsia="Arial" w:hAnsi="Arial"/>
          <w:sz w:val="18"/>
          <w:szCs w:val="18"/>
          <w:color w:val="auto"/>
        </w:rPr>
        <w:t>in any case not described in subsection (b)(i)(A) of this Section, the aggregate amount of the Commitment (which for this purpose includes Loans outstanding thereunder) or, if the Commitment is not then in effect, the principal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4" w:right="259" w:bottom="1440" w:gutter="0" w:footer="0" w:header="0"/>
        </w:sectPr>
      </w:pPr>
    </w:p>
    <w:bookmarkStart w:id="161" w:name="page162"/>
    <w:bookmarkEnd w:id="161"/>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840" w:right="120"/>
        <w:spacing w:after="0" w:line="259" w:lineRule="auto"/>
        <w:rPr>
          <w:sz w:val="20"/>
          <w:szCs w:val="20"/>
          <w:color w:val="auto"/>
        </w:rPr>
      </w:pPr>
      <w:r>
        <w:rPr>
          <w:rFonts w:ascii="Arial" w:cs="Arial" w:eastAsia="Arial" w:hAnsi="Arial"/>
          <w:sz w:val="18"/>
          <w:szCs w:val="18"/>
          <w:color w:val="auto"/>
        </w:rPr>
        <w:t>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the Administrative Agent otherwise consents (such consent not to be unreasonably withheld or delayed).</w:t>
      </w:r>
    </w:p>
    <w:p>
      <w:pPr>
        <w:spacing w:after="0" w:line="79" w:lineRule="exact"/>
        <w:rPr>
          <w:sz w:val="20"/>
          <w:szCs w:val="20"/>
          <w:color w:val="auto"/>
        </w:rPr>
      </w:pPr>
    </w:p>
    <w:p>
      <w:pPr>
        <w:ind w:left="380" w:right="260" w:firstLine="443"/>
        <w:spacing w:after="0" w:line="342" w:lineRule="auto"/>
        <w:tabs>
          <w:tab w:leader="none" w:pos="1083" w:val="left"/>
        </w:tabs>
        <w:numPr>
          <w:ilvl w:val="1"/>
          <w:numId w:val="164"/>
        </w:numPr>
        <w:rPr>
          <w:rFonts w:ascii="Arial" w:cs="Arial" w:eastAsia="Arial" w:hAnsi="Arial"/>
          <w:sz w:val="16"/>
          <w:szCs w:val="16"/>
          <w:color w:val="auto"/>
        </w:rPr>
      </w:pPr>
      <w:r>
        <w:rPr>
          <w:rFonts w:ascii="Arial" w:cs="Arial" w:eastAsia="Arial" w:hAnsi="Arial"/>
          <w:sz w:val="16"/>
          <w:szCs w:val="16"/>
          <w:u w:val="single" w:color="auto"/>
          <w:color w:val="auto"/>
        </w:rPr>
        <w:t>Proportionate Amounts.</w:t>
      </w:r>
      <w:r>
        <w:rPr>
          <w:rFonts w:ascii="Arial" w:cs="Arial" w:eastAsia="Arial" w:hAnsi="Arial"/>
          <w:sz w:val="16"/>
          <w:szCs w:val="16"/>
          <w:color w:val="auto"/>
        </w:rPr>
        <w:t xml:space="preserve"> Each partial assignment shall be made as an assignment of a proportionate part of all the assigning Lender’s rights and obligations under this Agreement and the other Loan Documents with respect to the Loans and/or the Commitment assigned.</w:t>
      </w:r>
    </w:p>
    <w:p>
      <w:pPr>
        <w:spacing w:after="0" w:line="15" w:lineRule="exact"/>
        <w:rPr>
          <w:rFonts w:ascii="Arial" w:cs="Arial" w:eastAsia="Arial" w:hAnsi="Arial"/>
          <w:sz w:val="16"/>
          <w:szCs w:val="16"/>
          <w:color w:val="auto"/>
        </w:rPr>
      </w:pPr>
    </w:p>
    <w:p>
      <w:pPr>
        <w:ind w:left="380" w:right="60" w:firstLine="443"/>
        <w:spacing w:after="0" w:line="277" w:lineRule="auto"/>
        <w:tabs>
          <w:tab w:leader="none" w:pos="1133" w:val="left"/>
        </w:tabs>
        <w:numPr>
          <w:ilvl w:val="1"/>
          <w:numId w:val="164"/>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subsection (b)(i)(B) of this Section and, in addition:</w:t>
      </w:r>
    </w:p>
    <w:p>
      <w:pPr>
        <w:spacing w:after="0" w:line="62" w:lineRule="exact"/>
        <w:rPr>
          <w:rFonts w:ascii="Arial" w:cs="Arial" w:eastAsia="Arial" w:hAnsi="Arial"/>
          <w:sz w:val="18"/>
          <w:szCs w:val="18"/>
          <w:color w:val="auto"/>
        </w:rPr>
      </w:pPr>
    </w:p>
    <w:p>
      <w:pPr>
        <w:ind w:left="840" w:right="140" w:firstLine="421"/>
        <w:spacing w:after="0" w:line="264" w:lineRule="auto"/>
        <w:tabs>
          <w:tab w:leader="none" w:pos="1555" w:val="left"/>
        </w:tabs>
        <w:numPr>
          <w:ilvl w:val="2"/>
          <w:numId w:val="164"/>
        </w:numPr>
        <w:rPr>
          <w:rFonts w:ascii="Arial" w:cs="Arial" w:eastAsia="Arial" w:hAnsi="Arial"/>
          <w:sz w:val="18"/>
          <w:szCs w:val="18"/>
          <w:color w:val="auto"/>
        </w:rPr>
      </w:pPr>
      <w:r>
        <w:rPr>
          <w:rFonts w:ascii="Arial" w:cs="Arial" w:eastAsia="Arial" w:hAnsi="Arial"/>
          <w:sz w:val="18"/>
          <w:szCs w:val="18"/>
          <w:color w:val="auto"/>
        </w:rPr>
        <w:t xml:space="preserve">the Borrower’s consent shall be required during the primary syndication of the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Borrower’s consent shall not be required for any assignment after the Closing Date so long as such assignment is made to a commercial bank and/or an affiliate of a commercial bank; and</w:t>
      </w:r>
    </w:p>
    <w:p>
      <w:pPr>
        <w:spacing w:after="0" w:line="73" w:lineRule="exact"/>
        <w:rPr>
          <w:rFonts w:ascii="Arial" w:cs="Arial" w:eastAsia="Arial" w:hAnsi="Arial"/>
          <w:sz w:val="18"/>
          <w:szCs w:val="18"/>
          <w:color w:val="auto"/>
        </w:rPr>
      </w:pPr>
    </w:p>
    <w:p>
      <w:pPr>
        <w:jc w:val="both"/>
        <w:ind w:left="840" w:right="60" w:firstLine="421"/>
        <w:spacing w:after="0" w:line="312" w:lineRule="auto"/>
        <w:tabs>
          <w:tab w:leader="none" w:pos="1545" w:val="left"/>
        </w:tabs>
        <w:numPr>
          <w:ilvl w:val="2"/>
          <w:numId w:val="164"/>
        </w:numPr>
        <w:rPr>
          <w:rFonts w:ascii="Arial" w:cs="Arial" w:eastAsia="Arial" w:hAnsi="Arial"/>
          <w:sz w:val="16"/>
          <w:szCs w:val="16"/>
          <w:color w:val="auto"/>
        </w:rPr>
      </w:pPr>
      <w:r>
        <w:rPr>
          <w:rFonts w:ascii="Arial" w:cs="Arial" w:eastAsia="Arial" w:hAnsi="Arial"/>
          <w:sz w:val="16"/>
          <w:szCs w:val="16"/>
          <w:color w:val="auto"/>
        </w:rPr>
        <w:t>the consent of the Administrative Agent (such consent not to be unreasonably withheld or delayed) shall be required for assignments in respect of (1) any unfunded Commitment if such assignment is to a Person that is not a Lender, an Affiliate of such Lender or an Approved Fund with respect to such Lender or (2) any Loan to a Person that is not a Lender, an Affiliate of a Lender or an Approved Fund.</w:t>
      </w:r>
    </w:p>
    <w:p>
      <w:pPr>
        <w:spacing w:after="0" w:line="38" w:lineRule="exact"/>
        <w:rPr>
          <w:rFonts w:ascii="Arial" w:cs="Arial" w:eastAsia="Arial" w:hAnsi="Arial"/>
          <w:sz w:val="16"/>
          <w:szCs w:val="16"/>
          <w:color w:val="auto"/>
        </w:rPr>
      </w:pPr>
    </w:p>
    <w:p>
      <w:pPr>
        <w:ind w:left="380" w:right="100" w:firstLine="443"/>
        <w:spacing w:after="0" w:line="259" w:lineRule="auto"/>
        <w:tabs>
          <w:tab w:leader="none" w:pos="1123" w:val="left"/>
        </w:tabs>
        <w:numPr>
          <w:ilvl w:val="1"/>
          <w:numId w:val="164"/>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8" w:lineRule="exact"/>
        <w:rPr>
          <w:rFonts w:ascii="Arial" w:cs="Arial" w:eastAsia="Arial" w:hAnsi="Arial"/>
          <w:sz w:val="18"/>
          <w:szCs w:val="18"/>
          <w:color w:val="auto"/>
        </w:rPr>
      </w:pPr>
    </w:p>
    <w:p>
      <w:pPr>
        <w:ind w:left="1080" w:hanging="257"/>
        <w:spacing w:after="0"/>
        <w:tabs>
          <w:tab w:leader="none" w:pos="1080" w:val="left"/>
        </w:tabs>
        <w:numPr>
          <w:ilvl w:val="1"/>
          <w:numId w:val="164"/>
        </w:numPr>
        <w:rPr>
          <w:rFonts w:ascii="Arial" w:cs="Arial" w:eastAsia="Arial" w:hAnsi="Arial"/>
          <w:sz w:val="16"/>
          <w:szCs w:val="16"/>
          <w:color w:val="auto"/>
        </w:rPr>
      </w:pPr>
      <w:r>
        <w:rPr>
          <w:rFonts w:ascii="Arial" w:cs="Arial" w:eastAsia="Arial" w:hAnsi="Arial"/>
          <w:sz w:val="16"/>
          <w:szCs w:val="16"/>
          <w:u w:val="single" w:color="auto"/>
          <w:color w:val="auto"/>
        </w:rPr>
        <w:t>No Assignment to Certain Persons</w:t>
      </w:r>
      <w:r>
        <w:rPr>
          <w:rFonts w:ascii="Arial" w:cs="Arial" w:eastAsia="Arial" w:hAnsi="Arial"/>
          <w:sz w:val="16"/>
          <w:szCs w:val="16"/>
          <w:color w:val="auto"/>
        </w:rPr>
        <w:t>. No such assignment shall be made (A) to the Borrower or any of the Borrower’s Affiliates or Subsidiaries,</w:t>
      </w:r>
    </w:p>
    <w:p>
      <w:pPr>
        <w:spacing w:after="0" w:line="46" w:lineRule="exact"/>
        <w:rPr>
          <w:rFonts w:ascii="Arial" w:cs="Arial" w:eastAsia="Arial" w:hAnsi="Arial"/>
          <w:sz w:val="16"/>
          <w:szCs w:val="16"/>
          <w:color w:val="auto"/>
        </w:rPr>
      </w:pPr>
    </w:p>
    <w:p>
      <w:pPr>
        <w:ind w:left="380" w:firstLine="4"/>
        <w:spacing w:after="0" w:line="252" w:lineRule="auto"/>
        <w:tabs>
          <w:tab w:leader="none" w:pos="66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a natural Person, or (C) to any Person that is a competitor of the Borrower or any of its Subsidiaries as such competitors are separately identified by Borrower to the Administrative Agent on or prior to the Closing Date and from time to time thereafter as requested by the Administrative Agent; provided that the Administrative Agent shall not be responsible or have any liability for, or have any duty to ascertain, inquire into, monitor or enforce, compliance with the provisions hereof relating to competitors. Without limiting the generality of the foregoing, the Administrative Agent shall not (x) be obligated to ascertain, monitor or inquire as to whether any Lender or Participant or prospective Lender or Participant is a competitor or (y) have any liability with respect to or arising</w:t>
      </w:r>
    </w:p>
    <w:p>
      <w:pPr>
        <w:spacing w:after="0" w:line="12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320" w:top="274" w:right="23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out of any assignment or participation of Loans, or disclosure of confidential information, to any competitor. The Administrative Agent shall have the right, and the Borrower hereby expressly authorizes the Administrative Agent, to post the list of competitors provided by the Borrower on the Platform, including that portion of the Platform that is designated for “public side” Lenders and/or provide the list of competitors to each Lender requesting the same.”</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10.01</w:t>
      </w:r>
      <w:r>
        <w:rPr>
          <w:rFonts w:ascii="Arial" w:cs="Arial" w:eastAsia="Arial" w:hAnsi="Arial"/>
          <w:sz w:val="17"/>
          <w:szCs w:val="17"/>
          <w:color w:val="auto"/>
        </w:rPr>
        <w:t xml:space="preserve">, </w:t>
      </w:r>
      <w:r>
        <w:rPr>
          <w:rFonts w:ascii="Arial" w:cs="Arial" w:eastAsia="Arial" w:hAnsi="Arial"/>
          <w:sz w:val="17"/>
          <w:szCs w:val="17"/>
          <w:u w:val="single" w:color="auto"/>
          <w:color w:val="auto"/>
        </w:rPr>
        <w:t>10.02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9.06</w:t>
      </w:r>
      <w:r>
        <w:rPr>
          <w:rFonts w:ascii="Arial" w:cs="Arial" w:eastAsia="Arial" w:hAnsi="Arial"/>
          <w:sz w:val="17"/>
          <w:szCs w:val="17"/>
          <w:color w:val="auto"/>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2" w:lineRule="exact"/>
        <w:rPr>
          <w:sz w:val="20"/>
          <w:szCs w:val="20"/>
          <w:color w:val="auto"/>
        </w:rPr>
      </w:pPr>
    </w:p>
    <w:p>
      <w:pPr>
        <w:ind w:firstLine="464"/>
        <w:spacing w:after="0" w:line="255" w:lineRule="auto"/>
        <w:tabs>
          <w:tab w:leader="none" w:pos="701"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89" w:lineRule="exact"/>
        <w:rPr>
          <w:rFonts w:ascii="Arial" w:cs="Arial" w:eastAsia="Arial" w:hAnsi="Arial"/>
          <w:sz w:val="18"/>
          <w:szCs w:val="18"/>
          <w:color w:val="auto"/>
        </w:rPr>
      </w:pPr>
    </w:p>
    <w:p>
      <w:pPr>
        <w:ind w:right="40" w:firstLine="464"/>
        <w:spacing w:after="0" w:line="272" w:lineRule="auto"/>
        <w:tabs>
          <w:tab w:leader="none" w:pos="711"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the Borrower or the Administrative Agent, sell participations to any Person (other than a natural Person or the Borrower or any of the Borrower’s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7"/>
          <w:szCs w:val="17"/>
          <w:u w:val="single" w:color="auto"/>
          <w:color w:val="auto"/>
        </w:rPr>
        <w:t>Section 9.06(c)</w:t>
      </w:r>
      <w:r>
        <w:rPr>
          <w:rFonts w:ascii="Arial" w:cs="Arial" w:eastAsia="Arial" w:hAnsi="Arial"/>
          <w:sz w:val="17"/>
          <w:szCs w:val="17"/>
          <w:color w:val="auto"/>
        </w:rPr>
        <w:t xml:space="preserve"> without regard to the existence of any participations.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that affects such Participant. The Borrower agrees that each Participant shall be entitled to the benefits of </w:t>
      </w:r>
      <w:r>
        <w:rPr>
          <w:rFonts w:ascii="Arial" w:cs="Arial" w:eastAsia="Arial" w:hAnsi="Arial"/>
          <w:sz w:val="16"/>
          <w:szCs w:val="16"/>
          <w:u w:val="single" w:color="auto"/>
          <w:color w:val="auto"/>
        </w:rPr>
        <w:t>Sections 10.01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10.02</w:t>
      </w:r>
      <w:r>
        <w:rPr>
          <w:rFonts w:ascii="Arial" w:cs="Arial" w:eastAsia="Arial" w:hAnsi="Arial"/>
          <w:sz w:val="16"/>
          <w:szCs w:val="16"/>
          <w:color w:val="auto"/>
        </w:rPr>
        <w:t xml:space="preserve"> (subject to the requirements and limitations therein, including the requirements under </w:t>
      </w:r>
      <w:r>
        <w:rPr>
          <w:rFonts w:ascii="Arial" w:cs="Arial" w:eastAsia="Arial" w:hAnsi="Arial"/>
          <w:sz w:val="16"/>
          <w:szCs w:val="16"/>
          <w:u w:val="single" w:color="auto"/>
          <w:color w:val="auto"/>
        </w:rPr>
        <w:t>Section 10.01(e)</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10.01(e)</w:t>
      </w:r>
      <w:r>
        <w:rPr>
          <w:rFonts w:ascii="Arial" w:cs="Arial" w:eastAsia="Arial" w:hAnsi="Arial"/>
          <w:sz w:val="16"/>
          <w:szCs w:val="16"/>
          <w:color w:val="auto"/>
        </w:rPr>
        <w:t xml:space="preserve"> shall be delivered to the Lender who sells the participation)) to the same extent as if it were a Lender and had acquired its interest by assignment pursuant to paragraph (b) of this Section; provided that such Participant (A) agrees to be subject to the provisions of </w:t>
      </w:r>
      <w:r>
        <w:rPr>
          <w:rFonts w:ascii="Arial" w:cs="Arial" w:eastAsia="Arial" w:hAnsi="Arial"/>
          <w:sz w:val="16"/>
          <w:szCs w:val="16"/>
          <w:u w:val="single" w:color="auto"/>
          <w:color w:val="auto"/>
        </w:rPr>
        <w:t>Sections 10.03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as if it were an assignee under paragraph (b) of this Section and (B) shall not be entitled to receive any greater payment under </w:t>
      </w:r>
      <w:r>
        <w:rPr>
          <w:rFonts w:ascii="Arial" w:cs="Arial" w:eastAsia="Arial" w:hAnsi="Arial"/>
          <w:sz w:val="16"/>
          <w:szCs w:val="16"/>
          <w:u w:val="single" w:color="auto"/>
          <w:color w:val="auto"/>
        </w:rPr>
        <w:t>Sections 10.01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10.02</w:t>
      </w:r>
      <w:r>
        <w:rPr>
          <w:rFonts w:ascii="Arial" w:cs="Arial" w:eastAsia="Arial" w:hAnsi="Arial"/>
          <w:sz w:val="16"/>
          <w:szCs w:val="16"/>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with respect to any Participant. To the extent permitted by Applicable Law, each Participant also shall be entitled to the benefits of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as though it were a Lender; provided that such Participant agrees to be subject to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Register</w:t>
      </w:r>
      <w:r>
        <w:rPr>
          <w:rFonts w:ascii="Arial" w:cs="Arial" w:eastAsia="Arial" w:hAnsi="Arial"/>
          <w:sz w:val="16"/>
          <w:szCs w:val="16"/>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398" w:lineRule="exact"/>
        <w:rPr>
          <w:sz w:val="20"/>
          <w:szCs w:val="20"/>
          <w:color w:val="auto"/>
        </w:rPr>
      </w:pPr>
    </w:p>
    <w:p>
      <w:pPr>
        <w:ind w:right="20" w:firstLine="464"/>
        <w:spacing w:after="0" w:line="259" w:lineRule="auto"/>
        <w:tabs>
          <w:tab w:leader="none" w:pos="701"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USA Patriot Act</w:t>
      </w:r>
      <w:r>
        <w:rPr>
          <w:rFonts w:ascii="Arial" w:cs="Arial" w:eastAsia="Arial" w:hAnsi="Arial"/>
          <w:sz w:val="18"/>
          <w:szCs w:val="18"/>
          <w:color w:val="auto"/>
        </w:rPr>
        <w:t>. The Borrower hereby:</w:t>
      </w:r>
    </w:p>
    <w:p>
      <w:pPr>
        <w:spacing w:after="0" w:line="117" w:lineRule="exact"/>
        <w:rPr>
          <w:sz w:val="20"/>
          <w:szCs w:val="20"/>
          <w:color w:val="auto"/>
        </w:rPr>
      </w:pPr>
    </w:p>
    <w:p>
      <w:pPr>
        <w:ind w:right="20" w:firstLine="464"/>
        <w:spacing w:after="0" w:line="264" w:lineRule="auto"/>
        <w:tabs>
          <w:tab w:leader="none" w:pos="70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represents that none of the material written information which Borrower has provided to the Administrative Agent and the Lenders in connection with the Loans, taken as a whole, contains any untrue statement of material fact or omits to state any material fact necessary to make the statements therein, in light of the circumstances under which they were made, not misleading;</w:t>
      </w:r>
    </w:p>
    <w:p>
      <w:pPr>
        <w:spacing w:after="0" w:line="181" w:lineRule="exact"/>
        <w:rPr>
          <w:rFonts w:ascii="Arial" w:cs="Arial" w:eastAsia="Arial" w:hAnsi="Arial"/>
          <w:sz w:val="18"/>
          <w:szCs w:val="18"/>
          <w:color w:val="auto"/>
        </w:rPr>
      </w:pPr>
    </w:p>
    <w:p>
      <w:pPr>
        <w:ind w:right="40" w:firstLine="464"/>
        <w:spacing w:after="0" w:line="286" w:lineRule="auto"/>
        <w:tabs>
          <w:tab w:leader="none" w:pos="711"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agrees to provide any information deemed necessary by the anti-money laundering compliance officer of the Administrative Agent or any Lender in its sole discretion to comply with the USA PATRIOT Act, the Administrative Agent’s or such Lender’s anti-money laundering program and related responsibilities from time to time and warrant that all such information provided will be true, correct and complete at the time provided;</w:t>
      </w:r>
    </w:p>
    <w:p>
      <w:pPr>
        <w:spacing w:after="0" w:line="165" w:lineRule="exact"/>
        <w:rPr>
          <w:rFonts w:ascii="Arial" w:cs="Arial" w:eastAsia="Arial" w:hAnsi="Arial"/>
          <w:sz w:val="17"/>
          <w:szCs w:val="17"/>
          <w:color w:val="auto"/>
        </w:rPr>
      </w:pPr>
    </w:p>
    <w:p>
      <w:pPr>
        <w:ind w:right="100" w:firstLine="464"/>
        <w:spacing w:after="0" w:line="277" w:lineRule="auto"/>
        <w:tabs>
          <w:tab w:leader="none" w:pos="70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represents that it is entering into this Agreement, the other Loan Documents and the transaction contemplated hereby and thereby solely for its own account, risk and beneficial interest and not for the account or beneficial interest of any third party;</w:t>
      </w:r>
    </w:p>
    <w:p>
      <w:pPr>
        <w:spacing w:after="0" w:line="170" w:lineRule="exact"/>
        <w:rPr>
          <w:rFonts w:ascii="Arial" w:cs="Arial" w:eastAsia="Arial" w:hAnsi="Arial"/>
          <w:sz w:val="18"/>
          <w:szCs w:val="18"/>
          <w:color w:val="auto"/>
        </w:rPr>
      </w:pPr>
    </w:p>
    <w:p>
      <w:pPr>
        <w:ind w:firstLine="464"/>
        <w:spacing w:after="0" w:line="297" w:lineRule="auto"/>
        <w:tabs>
          <w:tab w:leader="none" w:pos="711" w:val="left"/>
        </w:tabs>
        <w:numPr>
          <w:ilvl w:val="0"/>
          <w:numId w:val="168"/>
        </w:numPr>
        <w:rPr>
          <w:rFonts w:ascii="Arial" w:cs="Arial" w:eastAsia="Arial" w:hAnsi="Arial"/>
          <w:sz w:val="16"/>
          <w:szCs w:val="16"/>
          <w:color w:val="auto"/>
        </w:rPr>
      </w:pPr>
      <w:r>
        <w:rPr>
          <w:rFonts w:ascii="Arial" w:cs="Arial" w:eastAsia="Arial" w:hAnsi="Arial"/>
          <w:sz w:val="16"/>
          <w:szCs w:val="16"/>
          <w:color w:val="auto"/>
        </w:rPr>
        <w:t>represents to its knowledge, without investigation, that (a) it is not an individual, entity or organization identified on (i) any Office of Foreign Assets Control (“</w:t>
      </w:r>
      <w:r>
        <w:rPr>
          <w:rFonts w:ascii="Arial" w:cs="Arial" w:eastAsia="Arial" w:hAnsi="Arial"/>
          <w:sz w:val="16"/>
          <w:szCs w:val="16"/>
          <w:u w:val="single" w:color="auto"/>
          <w:color w:val="auto"/>
        </w:rPr>
        <w:t>OFAC</w:t>
      </w:r>
      <w:r>
        <w:rPr>
          <w:rFonts w:ascii="Arial" w:cs="Arial" w:eastAsia="Arial" w:hAnsi="Arial"/>
          <w:sz w:val="16"/>
          <w:szCs w:val="16"/>
          <w:color w:val="auto"/>
        </w:rPr>
        <w:t>”) “watch list”, including, without limitation, OFAC’s list of Specially Designated Nationals and Blocked Persons, or (ii) any Federal Bureau of Investigation “watch list” or Bureau of Industry and Security list of unverified persons or denied persons, and it is not an Affiliate of any kind with such an individual, entity or organization; (b) it does not have a shell bank or offshore bank; and (c) it is not a Person or entity (i) resident in or whose funds are transferred from or through or (ii) has operations in, a jurisdiction identified as non-cooperative by the Financial Action Task Force or sanctioned by OFAC.</w:t>
      </w:r>
    </w:p>
    <w:p>
      <w:pPr>
        <w:spacing w:after="0" w:line="158" w:lineRule="exact"/>
        <w:rPr>
          <w:sz w:val="20"/>
          <w:szCs w:val="20"/>
          <w:color w:val="auto"/>
        </w:rPr>
      </w:pPr>
    </w:p>
    <w:p>
      <w:pPr>
        <w:ind w:right="200" w:firstLine="456"/>
        <w:spacing w:after="0" w:line="270" w:lineRule="auto"/>
        <w:rPr>
          <w:sz w:val="20"/>
          <w:szCs w:val="20"/>
          <w:color w:val="auto"/>
        </w:rPr>
      </w:pPr>
      <w:r>
        <w:rPr>
          <w:rFonts w:ascii="Arial" w:cs="Arial" w:eastAsia="Arial" w:hAnsi="Arial"/>
          <w:sz w:val="17"/>
          <w:szCs w:val="17"/>
          <w:color w:val="auto"/>
        </w:rPr>
        <w:t xml:space="preserve">SECTION 9.15. </w:t>
      </w:r>
      <w:r>
        <w:rPr>
          <w:rFonts w:ascii="Arial" w:cs="Arial" w:eastAsia="Arial" w:hAnsi="Arial"/>
          <w:sz w:val="17"/>
          <w:szCs w:val="17"/>
          <w:u w:val="single" w:color="auto"/>
          <w:color w:val="auto"/>
        </w:rPr>
        <w:t>Payments Set Aside.</w:t>
      </w:r>
      <w:r>
        <w:rPr>
          <w:rFonts w:ascii="Arial" w:cs="Arial" w:eastAsia="Arial" w:hAnsi="Arial"/>
          <w:sz w:val="17"/>
          <w:szCs w:val="17"/>
          <w:color w:val="auto"/>
        </w:rPr>
        <w:t xml:space="preserv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and the termination of this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9.16.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(a) (i) the arranging and other services regarding this Agreement provided by the Administrative Agent and any Affiliate thereof, any arranger and the Lenders are arm’s-length commercial transactions between the Borrower, each other Loan Party and their respective Affiliates, on the one hand, and the Administrative Agent and, as applicable, its Affiliates (including any arranger) and the Lenders and their Affiliates (collectively, solely for purposes of this Section, the “Lenders”), on the other hand, (ii) each of the Borrower and the other Loan Parties has consulted its own legal, accounting, regulatory and tax advisors to the extent it has deemed appropriate, and (iii) the Borrower and each other Loan Party is capable of evaluating, and understands and accepts, the terms, risks and conditions of the transactions contemplated hereby and by the other Loan Documents;</w:t>
      </w:r>
    </w:p>
    <w:p>
      <w:pPr>
        <w:spacing w:after="0" w:line="1" w:lineRule="exact"/>
        <w:rPr>
          <w:sz w:val="20"/>
          <w:szCs w:val="20"/>
          <w:color w:val="auto"/>
        </w:rPr>
      </w:pPr>
    </w:p>
    <w:p>
      <w:pPr>
        <w:ind w:right="20" w:firstLine="8"/>
        <w:spacing w:after="0" w:line="267" w:lineRule="auto"/>
        <w:tabs>
          <w:tab w:leader="none" w:pos="25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 the Administrative Agent and its Affiliates (including any arranger) and each Lender each is and has been acting solely as a principal and, except as expressly agreed in writing by the relevant parties, has not been, is not, and will not be acting as an advisor, agent or fiduciary, for Borrower, any other Loan Party or any of their respective Affiliates, or any other Person and (ii) neither the Administrative Agent, any of its Affiliates (including any arranger) nor any Lender has any obligation to the Borrower, any other Loan Party or any of their respective Affiliates with respect to the transactions contemplated hereby except those obligations expressly set forth herein and in the other Loan Documents; and (c) the Administrative Agent and its Affiliates (including any arranger) and the Lenders may be engaged in a broad range of transactions that involve interests that differ from those of the Borrower, the other Loan Parties and their respective Affiliates, and neither the Administrative Agent, any of its Affiliates (including any arranger) nor any Lender has any obligation to disclose any of such interests to the Borrower, any other Loan Party or any of their respective Affiliates. To the fullest extent permitted by Applicable Law, each of the Borrower and each other Loan Party hereby waives and releases any claims that it may have against the Administrative Agent, any of its Affiliates (including any arranger) or any Lender with respect to any breach or alleged breach of agency or fiduciary duty in connection with any aspect of any transactions contemplated hereby.</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9.17. </w:t>
      </w:r>
      <w:r>
        <w:rPr>
          <w:rFonts w:ascii="Arial" w:cs="Arial" w:eastAsia="Arial" w:hAnsi="Arial"/>
          <w:sz w:val="17"/>
          <w:szCs w:val="17"/>
          <w:u w:val="single" w:color="auto"/>
          <w:color w:val="auto"/>
        </w:rPr>
        <w:t>Electronic Execution of Assignments and Certain Other Documents</w:t>
      </w:r>
      <w:r>
        <w:rPr>
          <w:rFonts w:ascii="Arial" w:cs="Arial" w:eastAsia="Arial" w:hAnsi="Arial"/>
          <w:sz w:val="17"/>
          <w:szCs w:val="17"/>
          <w:color w:val="auto"/>
        </w:rPr>
        <w:t xml:space="preserve">. The words “delivery,” “execute,” “execution,” “signed,” “signature,” and words of like import in any Loan Document or any other document executed in connection herewith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neither the Administrative Agent nor any Lender is under any obligation to agree to accept electronic signatures in any form or in any format unless expressly agreed to by the Administrative Agent or such Lender pursuant to procedures approved by it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without limiting the foregoing, upon the request of any party, any electronic signature shall be promptly followed by such manually executed counterpart.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9.18.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Each of the Administrative Agent and the Lenders agrees to maintain the confidentiality of the Information (as defined below), except that Information may be disclosed (a) to its Affiliates and to its and its Related Parties (it being understood that the Persons to whom such disclosure is made will be informed of the confidential nature of such Information and instructed to keep such Information confidential in accordance with customary practices), (b) to the extent required or requested by, or required to be disclosed to, any regulatory or similar authority purporting to have jurisdiction over such Person or its Related Parties (including any self-regulatory authority, such as the National Association of Insurance Commissioners), (c) to the extent required by Applicable Law or regulations or by any subpoena or similar legal process, (d) to any other party hereto, (e) in connection with the exercise of any remedies under this Agreement or under any other Loan Document, or any action or proceeding relating to this Agreement or any other Loan Document, or the enforcement of rights hereunder or thereunder, (f) subject to an agreement containing provisions substantially the same as those of this Section, to (i) any Eligible Assignee of or Participant in, or any prospective Eligible Assignee of or Participant in, any of its rights and obligations under this Agreement, and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the Guarantor or (ii) the CUSIP Service Bureau or any similar agency in connection with the issuance and monitoring of CUSIP numbers with respect to the Facility (it being understood that, prior to any such disclosure, such Person to whom such disclosure is to be made will be informed of the confidential nature of such Information and shall undertake to keep such Information confidential in accordance with customary practices); (h) with the written consent of the Borrower, or (i) to the extent such Information (i) becomes publicly available other than as a result of a breach of this Section or (ii) becomes available to the Administrative Agent, any Lender or any of their respective Affiliates on a non-confidential basis from a source other than the Borrower or any Affiliate of the Borrower or (k) to governmental regulatory authorities in connection with any regulatory examination of the Administrative Agent or any Lender or in accordance with the Administrative Agent’s or any Lender’s regulatory compliance policy if the Administrative Agent or such Lender deems necessary for the mitigation of claims by those authorities against the Administrative Agent or such Lender or any of its subsidiaries or affiliates. In addition, each of the Administrative Agent and the Lenders may disclose the existence of this Agreement and information about this Agreement to market data collectors, similar service providers to the lending industry and service providers to the Administrative Agent or the Lenders in connection with the administration and management of this Agreement, the other Loan Documents, the Commitments and the Loan. 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any Loan Party or any Subsidiary thereof relating to any Loan Party or any Subsidiary thereof or any of their respective businesses, other than any such information that is publicly available to the Administrative Agent or any Lender prior to disclosure by any Loan Party or any Subsidiary thereof other than as a result of a breach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a Loan Party or any Subsidiary thereof after the date hereof, such information is clearly identified at the time of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167" w:name="page168"/>
    <w:bookmarkEnd w:id="167"/>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delivery as confidential or is delivered pursuant to </w:t>
      </w:r>
      <w:r>
        <w:rPr>
          <w:rFonts w:ascii="Arial" w:cs="Arial" w:eastAsia="Arial" w:hAnsi="Arial"/>
          <w:sz w:val="16"/>
          <w:szCs w:val="16"/>
          <w:u w:val="single" w:color="auto"/>
          <w:color w:val="auto"/>
        </w:rPr>
        <w:t>Sections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7.01(c)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7.01(h)</w:t>
      </w:r>
      <w:r>
        <w:rPr>
          <w:rFonts w:ascii="Arial" w:cs="Arial" w:eastAsia="Arial" w:hAnsi="Arial"/>
          <w:sz w:val="16"/>
          <w:szCs w:val="16"/>
          <w:color w:val="auto"/>
        </w:rPr>
        <w:t xml:space="preserve"> hereof and is not publically available.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4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Each of the Administrative Agent and the Lenders acknowledges that (i) the Information may include material non-public information concerning the Borrower or any of its Subsidiaries, (ii) it has developed compliance procedures regarding the use of material non-public information and (iii) it is required to handle such material non-public information in accordance with Applicable Law, including United States federal and state securities laws.</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9.19. </w:t>
      </w:r>
      <w:r>
        <w:rPr>
          <w:rFonts w:ascii="Arial" w:cs="Arial" w:eastAsia="Arial" w:hAnsi="Arial"/>
          <w:sz w:val="18"/>
          <w:szCs w:val="18"/>
          <w:u w:val="single" w:color="auto"/>
          <w:color w:val="auto"/>
        </w:rPr>
        <w:t>Accounting Matters</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9.20. </w:t>
      </w: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shall remain in effect from the Closing Date through and including the Termination Date. No termination of this Agreement shall affect the rights and obligations of the parties hereto arising prior to such termination or in respect of any provision of this Agreement which survives such termination.</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SECTION 9.21. </w:t>
      </w:r>
      <w:r>
        <w:rPr>
          <w:rFonts w:ascii="Arial" w:cs="Arial" w:eastAsia="Arial" w:hAnsi="Arial"/>
          <w:sz w:val="18"/>
          <w:szCs w:val="18"/>
          <w:u w:val="single" w:color="auto"/>
          <w:color w:val="auto"/>
        </w:rPr>
        <w:t>Inconsistencies with Other Documents</w:t>
      </w:r>
      <w:r>
        <w:rPr>
          <w:rFonts w:ascii="Arial" w:cs="Arial" w:eastAsia="Arial" w:hAnsi="Arial"/>
          <w:sz w:val="18"/>
          <w:szCs w:val="18"/>
          <w:color w:val="auto"/>
        </w:rPr>
        <w:t>. In the event there is a conflict or inconsistency between this Agreement and any other Loan Document, the terms of this Agreement shall control.</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TAXES AND YIELD PROTECTION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21"/>
        <w:spacing w:after="0" w:line="257" w:lineRule="auto"/>
        <w:tabs>
          <w:tab w:leader="none" w:pos="112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Any and all payments by or on account of any obligation of the Borrower under any Loan Document shall be made without deduction or withholding for any Taxes, except as required by Applicable Law. If any Applicable Law (as determined in the good faith discretion of the Administrative Agent) requires the deduction or withholding of any Tax from any such payment by the Administrative Agent or the Borrower, then the Administrative Agent or the Borrower shall be entitled to make such deduction or withholding, upon the basis of the information and documentation to be delivered pursuant to subsection (e) below.</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168" w:name="page169"/>
    <w:bookmarkEnd w:id="168"/>
    <w:p>
      <w:pPr>
        <w:jc w:val="center"/>
        <w:ind w:right="-11"/>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8" w:right="360" w:firstLine="921"/>
        <w:spacing w:after="0" w:line="291" w:lineRule="auto"/>
        <w:tabs>
          <w:tab w:leader="none" w:pos="1170" w:val="left"/>
        </w:tabs>
        <w:numPr>
          <w:ilvl w:val="2"/>
          <w:numId w:val="171"/>
        </w:numPr>
        <w:rPr>
          <w:rFonts w:ascii="Arial" w:cs="Arial" w:eastAsia="Arial" w:hAnsi="Arial"/>
          <w:sz w:val="16"/>
          <w:szCs w:val="16"/>
          <w:color w:val="auto"/>
        </w:rPr>
      </w:pPr>
      <w:r>
        <w:rPr>
          <w:rFonts w:ascii="Arial" w:cs="Arial" w:eastAsia="Arial" w:hAnsi="Arial"/>
          <w:sz w:val="16"/>
          <w:szCs w:val="16"/>
          <w:color w:val="auto"/>
        </w:rPr>
        <w:t>If the Borrower or the Administrative Agent shall be required by the Code to withhold or deduct any Taxes, including both United States federal backup withholding and withholding taxes, from any payment, then (A) the Borrower or the Administrative Agent, as the case may be, shall</w:t>
      </w:r>
    </w:p>
    <w:p>
      <w:pPr>
        <w:ind w:left="-8" w:firstLine="8"/>
        <w:spacing w:after="0" w:line="271" w:lineRule="auto"/>
        <w:tabs>
          <w:tab w:leader="none" w:pos="24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withhold or make such deductions based upon the information and documentation it has received pursuant to subsection (e) below, and (y) timely pay the full amount withheld or deducted to the relevant Governmental Authority in accordance with the Code, and (B)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Section 10.01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178" w:lineRule="exact"/>
        <w:rPr>
          <w:rFonts w:ascii="Arial" w:cs="Arial" w:eastAsia="Arial" w:hAnsi="Arial"/>
          <w:sz w:val="17"/>
          <w:szCs w:val="17"/>
          <w:color w:val="auto"/>
        </w:rPr>
      </w:pPr>
    </w:p>
    <w:p>
      <w:pPr>
        <w:ind w:left="-8" w:right="40" w:firstLine="921"/>
        <w:spacing w:after="0" w:line="271" w:lineRule="auto"/>
        <w:tabs>
          <w:tab w:leader="none" w:pos="1220" w:val="left"/>
        </w:tabs>
        <w:numPr>
          <w:ilvl w:val="2"/>
          <w:numId w:val="172"/>
        </w:numPr>
        <w:rPr>
          <w:rFonts w:ascii="Arial" w:cs="Arial" w:eastAsia="Arial" w:hAnsi="Arial"/>
          <w:sz w:val="17"/>
          <w:szCs w:val="17"/>
          <w:color w:val="auto"/>
        </w:rPr>
      </w:pPr>
      <w:r>
        <w:rPr>
          <w:rFonts w:ascii="Arial" w:cs="Arial" w:eastAsia="Arial" w:hAnsi="Arial"/>
          <w:sz w:val="17"/>
          <w:szCs w:val="17"/>
          <w:color w:val="auto"/>
        </w:rPr>
        <w:t xml:space="preserve">If the Borrower or the Administrative Agent shall be required by any Applicable Law other than the Code to withhold or deduct any Taxes from any payment, then (A) the Borrower or the Administrative Agent, as required by such Applicable Law, shall withhold or make such deductions as are determined by it to be required based upon the information and documentation it has received pursuant to subsection (e) below, (B) the Borrower or the Administrative Agent, to the extent required by such Applicable Law, shall timely pay the full amount withheld or deducted to the relevant Governmental Authority in accordance with such Applicable Law,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Section 10.01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178" w:lineRule="exact"/>
        <w:rPr>
          <w:rFonts w:ascii="Arial" w:cs="Arial" w:eastAsia="Arial" w:hAnsi="Arial"/>
          <w:sz w:val="17"/>
          <w:szCs w:val="17"/>
          <w:color w:val="auto"/>
        </w:rPr>
      </w:pPr>
    </w:p>
    <w:p>
      <w:pPr>
        <w:ind w:left="-8" w:right="180" w:firstLine="464"/>
        <w:spacing w:after="0" w:line="264" w:lineRule="auto"/>
        <w:tabs>
          <w:tab w:leader="none" w:pos="703"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Without limiting the provisions of subsection (a) above, the Borrower shall timely pay to the relevant Governmental Authority in accordance with Applicable Law, or at the option of the Administrative Agent timely reimburse it for the payment of, any Other Taxes.</w:t>
      </w:r>
    </w:p>
    <w:p>
      <w:pPr>
        <w:spacing w:after="0" w:line="181" w:lineRule="exact"/>
        <w:rPr>
          <w:rFonts w:ascii="Arial" w:cs="Arial" w:eastAsia="Arial" w:hAnsi="Arial"/>
          <w:sz w:val="18"/>
          <w:szCs w:val="18"/>
          <w:color w:val="auto"/>
        </w:rPr>
      </w:pPr>
    </w:p>
    <w:p>
      <w:pPr>
        <w:ind w:left="692" w:hanging="236"/>
        <w:spacing w:after="0"/>
        <w:tabs>
          <w:tab w:leader="none" w:pos="692"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921"/>
        <w:spacing w:after="0" w:line="293" w:lineRule="auto"/>
        <w:tabs>
          <w:tab w:leader="none" w:pos="1120" w:val="left"/>
        </w:tabs>
        <w:numPr>
          <w:ilvl w:val="2"/>
          <w:numId w:val="173"/>
        </w:numPr>
        <w:rPr>
          <w:rFonts w:ascii="Arial" w:cs="Arial" w:eastAsia="Arial" w:hAnsi="Arial"/>
          <w:sz w:val="16"/>
          <w:szCs w:val="16"/>
          <w:color w:val="auto"/>
        </w:rPr>
      </w:pPr>
      <w:r>
        <w:rPr>
          <w:rFonts w:ascii="Arial" w:cs="Arial" w:eastAsia="Arial" w:hAnsi="Arial"/>
          <w:sz w:val="16"/>
          <w:szCs w:val="16"/>
          <w:color w:val="auto"/>
        </w:rPr>
        <w:t xml:space="preserve">The Borrower shall, and does hereby indemnify each Recipient, and shall make payment in respect thereof within twenty (20) 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Section 10.01</w:t>
      </w:r>
      <w:r>
        <w:rPr>
          <w:rFonts w:ascii="Arial" w:cs="Arial" w:eastAsia="Arial" w:hAnsi="Arial"/>
          <w:sz w:val="16"/>
          <w:szCs w:val="16"/>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The Borrower</w:t>
      </w:r>
    </w:p>
    <w:p>
      <w:pPr>
        <w:spacing w:after="0" w:line="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92"/>
          </w:cols>
          <w:pgMar w:left="248" w:top="274" w:right="25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 xml:space="preserve">shall also, and does hereby indemnify the Administrative Agent, and shall make payment in respect thereof within ten (10) days after demand therefor, for any amount which a Lender for any reason fails to pay indefeasibly to the Administrative Agent as required pursuant to </w:t>
      </w:r>
      <w:r>
        <w:rPr>
          <w:rFonts w:ascii="Arial" w:cs="Arial" w:eastAsia="Arial" w:hAnsi="Arial"/>
          <w:sz w:val="16"/>
          <w:szCs w:val="16"/>
          <w:u w:val="single" w:color="auto"/>
          <w:color w:val="auto"/>
        </w:rPr>
        <w:t>Section 10.01(c)(ii)</w:t>
      </w:r>
      <w:r>
        <w:rPr>
          <w:rFonts w:ascii="Arial" w:cs="Arial" w:eastAsia="Arial" w:hAnsi="Arial"/>
          <w:sz w:val="16"/>
          <w:szCs w:val="16"/>
          <w:color w:val="auto"/>
        </w:rPr>
        <w:t xml:space="preserve"> below.</w:t>
      </w:r>
    </w:p>
    <w:p>
      <w:pPr>
        <w:spacing w:after="0" w:line="124" w:lineRule="exact"/>
        <w:rPr>
          <w:sz w:val="20"/>
          <w:szCs w:val="20"/>
          <w:color w:val="auto"/>
        </w:rPr>
      </w:pPr>
    </w:p>
    <w:p>
      <w:pPr>
        <w:ind w:firstLine="921"/>
        <w:spacing w:after="0" w:line="288" w:lineRule="auto"/>
        <w:tabs>
          <w:tab w:leader="none" w:pos="1178" w:val="left"/>
        </w:tabs>
        <w:numPr>
          <w:ilvl w:val="1"/>
          <w:numId w:val="174"/>
        </w:numPr>
        <w:rPr>
          <w:rFonts w:ascii="Arial" w:cs="Arial" w:eastAsia="Arial" w:hAnsi="Arial"/>
          <w:sz w:val="16"/>
          <w:szCs w:val="16"/>
          <w:color w:val="auto"/>
        </w:rPr>
      </w:pPr>
      <w:r>
        <w:rPr>
          <w:rFonts w:ascii="Arial" w:cs="Arial" w:eastAsia="Arial" w:hAnsi="Arial"/>
          <w:sz w:val="16"/>
          <w:szCs w:val="16"/>
          <w:color w:val="auto"/>
        </w:rPr>
        <w:t xml:space="preserve">Each Lender shall, and does hereby, severally indemnify and shall make payment in respect thereof within twenty (20) days after demand therefor, (A) the Administrative Agent against any Indemnified Taxes attributable to such Lender (but only to the extent that the Borrower has not already indemnified the Administrative Agent for such Indemnified Taxes and without limiting the obligation of the Borrower to do so), (B) the Administrative Agent and the Borrower, as applicable, against any Taxes attributable to such Lender’s failure to comply with the provisions of </w:t>
      </w:r>
      <w:r>
        <w:rPr>
          <w:rFonts w:ascii="Arial" w:cs="Arial" w:eastAsia="Arial" w:hAnsi="Arial"/>
          <w:sz w:val="16"/>
          <w:szCs w:val="16"/>
          <w:u w:val="single" w:color="auto"/>
          <w:color w:val="auto"/>
        </w:rPr>
        <w:t>Section 9.13(d)</w:t>
      </w:r>
      <w:r>
        <w:rPr>
          <w:rFonts w:ascii="Arial" w:cs="Arial" w:eastAsia="Arial" w:hAnsi="Arial"/>
          <w:sz w:val="16"/>
          <w:szCs w:val="16"/>
          <w:color w:val="auto"/>
        </w:rPr>
        <w:t xml:space="preserve"> relating to the maintenance of a Participant Register and (C) the Administrative Agent and the Borrower, as applicable, against any Excluded Taxes attributable to such Lender, in each case,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clause (ii).</w:t>
      </w:r>
    </w:p>
    <w:p>
      <w:pPr>
        <w:spacing w:after="0" w:line="169" w:lineRule="exact"/>
        <w:rPr>
          <w:rFonts w:ascii="Arial" w:cs="Arial" w:eastAsia="Arial" w:hAnsi="Arial"/>
          <w:sz w:val="16"/>
          <w:szCs w:val="16"/>
          <w:color w:val="auto"/>
        </w:rPr>
      </w:pPr>
    </w:p>
    <w:p>
      <w:pPr>
        <w:ind w:right="140" w:firstLine="464"/>
        <w:spacing w:after="0" w:line="257" w:lineRule="auto"/>
        <w:tabs>
          <w:tab w:leader="none" w:pos="711"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Borrower or the Administrative Agent, as the case may be, after any payment of Taxes by any Loan Party or by the Administrative Agent to a Governmental Authority as provided in this </w:t>
      </w:r>
      <w:r>
        <w:rPr>
          <w:rFonts w:ascii="Arial" w:cs="Arial" w:eastAsia="Arial" w:hAnsi="Arial"/>
          <w:sz w:val="18"/>
          <w:szCs w:val="18"/>
          <w:u w:val="single" w:color="auto"/>
          <w:color w:val="auto"/>
        </w:rPr>
        <w:t>Section 10.01</w:t>
      </w:r>
      <w:r>
        <w:rPr>
          <w:rFonts w:ascii="Arial" w:cs="Arial" w:eastAsia="Arial" w:hAnsi="Arial"/>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Applicable Law to report such payment or other evidence of such payment reasonably satisfactory to the Borrower or the Administrative Agent, as the case may be.</w:t>
      </w:r>
    </w:p>
    <w:p>
      <w:pPr>
        <w:spacing w:after="0" w:line="188" w:lineRule="exact"/>
        <w:rPr>
          <w:rFonts w:ascii="Arial" w:cs="Arial" w:eastAsia="Arial" w:hAnsi="Arial"/>
          <w:sz w:val="18"/>
          <w:szCs w:val="18"/>
          <w:color w:val="auto"/>
        </w:rPr>
      </w:pPr>
    </w:p>
    <w:p>
      <w:pPr>
        <w:ind w:left="700" w:hanging="236"/>
        <w:spacing w:after="0"/>
        <w:tabs>
          <w:tab w:leader="none" w:pos="70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21"/>
        <w:spacing w:after="0" w:line="290" w:lineRule="auto"/>
        <w:tabs>
          <w:tab w:leader="none" w:pos="1128" w:val="left"/>
        </w:tabs>
        <w:numPr>
          <w:ilvl w:val="1"/>
          <w:numId w:val="175"/>
        </w:numPr>
        <w:rPr>
          <w:rFonts w:ascii="Arial" w:cs="Arial" w:eastAsia="Arial" w:hAnsi="Arial"/>
          <w:sz w:val="16"/>
          <w:szCs w:val="16"/>
          <w:color w:val="auto"/>
        </w:rPr>
      </w:pPr>
      <w:r>
        <w:rPr>
          <w:rFonts w:ascii="Arial" w:cs="Arial" w:eastAsia="Arial" w:hAnsi="Arial"/>
          <w:sz w:val="16"/>
          <w:szCs w:val="16"/>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10.01(e)(ii)(A)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(ii)(D)</w:t>
      </w:r>
      <w:r>
        <w:rPr>
          <w:rFonts w:ascii="Arial" w:cs="Arial" w:eastAsia="Arial" w:hAnsi="Arial"/>
          <w:sz w:val="16"/>
          <w:szCs w:val="16"/>
          <w:color w:val="auto"/>
        </w:rPr>
        <w:t xml:space="preserve"> below) shall not be required if in the Lender’s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74" w:right="25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reasonable judgment such completion, execution or submission would subject such Lender to any material unreimbursed cost or expense or would materially prejudice the legal or commercial position of such Lender.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 Without limiting the generality of the foregoing, in the event that the Borrower is a U.S. Person,</w:t>
      </w:r>
    </w:p>
    <w:p>
      <w:pPr>
        <w:spacing w:after="0" w:line="131" w:lineRule="exact"/>
        <w:rPr>
          <w:sz w:val="20"/>
          <w:szCs w:val="20"/>
          <w:color w:val="auto"/>
        </w:rPr>
      </w:pPr>
    </w:p>
    <w:p>
      <w:pPr>
        <w:ind w:left="1480" w:right="60" w:hanging="567"/>
        <w:spacing w:after="0" w:line="259" w:lineRule="auto"/>
        <w:tabs>
          <w:tab w:leader="none" w:pos="14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92" w:lineRule="exact"/>
        <w:rPr>
          <w:rFonts w:ascii="Arial" w:cs="Arial" w:eastAsia="Arial" w:hAnsi="Arial"/>
          <w:sz w:val="18"/>
          <w:szCs w:val="18"/>
          <w:color w:val="auto"/>
        </w:rPr>
      </w:pPr>
    </w:p>
    <w:p>
      <w:pPr>
        <w:ind w:left="1480" w:hanging="567"/>
        <w:spacing w:after="0" w:line="259" w:lineRule="auto"/>
        <w:tabs>
          <w:tab w:leader="none" w:pos="14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92" w:lineRule="exact"/>
        <w:rPr>
          <w:rFonts w:ascii="Arial" w:cs="Arial" w:eastAsia="Arial" w:hAnsi="Arial"/>
          <w:sz w:val="18"/>
          <w:szCs w:val="18"/>
          <w:color w:val="auto"/>
        </w:rPr>
      </w:pPr>
    </w:p>
    <w:p>
      <w:pPr>
        <w:ind w:left="1920" w:right="80" w:hanging="440"/>
        <w:spacing w:after="0" w:line="276" w:lineRule="auto"/>
        <w:tabs>
          <w:tab w:leader="none" w:pos="192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an income tax treaty to which the United States is a party (x) with respect to payments of interest under any Loan Document, executed originals of IRS Form W-8BEN establishing an exemption from, or reduction of, U.S. federal withholding Tax pursuant to the “interest” article of such tax treaty and (y) with respect to any other applicable payments under any Loan Document, IRS Form W-8BEN establishing an exemption from, or reduction of, U.S. federal withholding Tax pursuant to the “business profits” or “other income” article of such tax treaty;</w:t>
      </w:r>
    </w:p>
    <w:p>
      <w:pPr>
        <w:spacing w:after="0" w:line="77" w:lineRule="exact"/>
        <w:rPr>
          <w:rFonts w:ascii="Arial" w:cs="Arial" w:eastAsia="Arial" w:hAnsi="Arial"/>
          <w:sz w:val="17"/>
          <w:szCs w:val="17"/>
          <w:color w:val="auto"/>
        </w:rPr>
      </w:pPr>
    </w:p>
    <w:p>
      <w:pPr>
        <w:ind w:left="1920" w:hanging="440"/>
        <w:spacing w:after="0"/>
        <w:tabs>
          <w:tab w:leader="none" w:pos="19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130" w:lineRule="exact"/>
        <w:rPr>
          <w:rFonts w:ascii="Arial" w:cs="Arial" w:eastAsia="Arial" w:hAnsi="Arial"/>
          <w:sz w:val="18"/>
          <w:szCs w:val="18"/>
          <w:color w:val="auto"/>
        </w:rPr>
      </w:pPr>
    </w:p>
    <w:p>
      <w:pPr>
        <w:ind w:left="1920" w:right="40" w:hanging="440"/>
        <w:spacing w:after="0" w:line="257" w:lineRule="auto"/>
        <w:tabs>
          <w:tab w:leader="none" w:pos="19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8"/>
          <w:szCs w:val="18"/>
          <w:u w:val="single" w:color="auto"/>
          <w:color w:val="auto"/>
        </w:rPr>
        <w:t>Exhibit G-1</w:t>
      </w:r>
      <w:r>
        <w:rPr>
          <w:rFonts w:ascii="Arial" w:cs="Arial" w:eastAsia="Arial" w:hAnsi="Arial"/>
          <w:sz w:val="18"/>
          <w:szCs w:val="18"/>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originals of IRS Form W-8BEN; or</w:t>
      </w:r>
    </w:p>
    <w:p>
      <w:pPr>
        <w:spacing w:after="0" w:line="93" w:lineRule="exact"/>
        <w:rPr>
          <w:rFonts w:ascii="Arial" w:cs="Arial" w:eastAsia="Arial" w:hAnsi="Arial"/>
          <w:sz w:val="18"/>
          <w:szCs w:val="18"/>
          <w:color w:val="auto"/>
        </w:rPr>
      </w:pPr>
    </w:p>
    <w:p>
      <w:pPr>
        <w:ind w:left="1920" w:right="20" w:hanging="440"/>
        <w:spacing w:after="0" w:line="264" w:lineRule="auto"/>
        <w:tabs>
          <w:tab w:leader="none" w:pos="19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originals of IRS Form W-8IMY, accompanied by IRS Form W-8ECI, IRS Form W-8BEN, a U.S. Tax Compliance Certificate substantially in the form of </w:t>
      </w:r>
      <w:r>
        <w:rPr>
          <w:rFonts w:ascii="Arial" w:cs="Arial" w:eastAsia="Arial" w:hAnsi="Arial"/>
          <w:sz w:val="18"/>
          <w:szCs w:val="18"/>
          <w:u w:val="single" w:color="auto"/>
          <w:color w:val="auto"/>
        </w:rPr>
        <w:t>Exhibit G-2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G-3</w:t>
      </w:r>
      <w:r>
        <w:rPr>
          <w:rFonts w:ascii="Arial" w:cs="Arial" w:eastAsia="Arial" w:hAnsi="Arial"/>
          <w:sz w:val="18"/>
          <w:szCs w:val="18"/>
          <w:color w:val="auto"/>
        </w:rPr>
        <w:t>, IRS Form W-9, and/or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4" w:right="25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1920" w:right="160"/>
        <w:spacing w:after="0" w:line="259" w:lineRule="auto"/>
        <w:rPr>
          <w:sz w:val="20"/>
          <w:szCs w:val="20"/>
          <w:color w:val="auto"/>
        </w:rPr>
      </w:pPr>
      <w:r>
        <w:rPr>
          <w:rFonts w:ascii="Arial" w:cs="Arial" w:eastAsia="Arial" w:hAnsi="Arial"/>
          <w:sz w:val="18"/>
          <w:szCs w:val="18"/>
          <w:color w:val="auto"/>
        </w:rPr>
        <w:t xml:space="preserve">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G-4</w:t>
      </w:r>
      <w:r>
        <w:rPr>
          <w:rFonts w:ascii="Arial" w:cs="Arial" w:eastAsia="Arial" w:hAnsi="Arial"/>
          <w:sz w:val="18"/>
          <w:szCs w:val="18"/>
          <w:color w:val="auto"/>
        </w:rPr>
        <w:t xml:space="preserve"> on behalf of each such direct and indirect partner;</w:t>
      </w:r>
    </w:p>
    <w:p>
      <w:pPr>
        <w:spacing w:after="0" w:line="92" w:lineRule="exact"/>
        <w:rPr>
          <w:sz w:val="20"/>
          <w:szCs w:val="20"/>
          <w:color w:val="auto"/>
        </w:rPr>
      </w:pPr>
    </w:p>
    <w:p>
      <w:pPr>
        <w:ind w:left="1460" w:right="200" w:hanging="567"/>
        <w:spacing w:after="0" w:line="273" w:lineRule="auto"/>
        <w:tabs>
          <w:tab w:leader="none" w:pos="146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83" w:lineRule="exact"/>
        <w:rPr>
          <w:rFonts w:ascii="Arial" w:cs="Arial" w:eastAsia="Arial" w:hAnsi="Arial"/>
          <w:sz w:val="17"/>
          <w:szCs w:val="17"/>
          <w:color w:val="auto"/>
        </w:rPr>
      </w:pPr>
    </w:p>
    <w:p>
      <w:pPr>
        <w:ind w:left="1460" w:hanging="567"/>
        <w:spacing w:after="0" w:line="270" w:lineRule="auto"/>
        <w:tabs>
          <w:tab w:leader="none" w:pos="146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1" w:lineRule="exact"/>
        <w:rPr>
          <w:rFonts w:ascii="Arial" w:cs="Arial" w:eastAsia="Arial" w:hAnsi="Arial"/>
          <w:sz w:val="17"/>
          <w:szCs w:val="17"/>
          <w:color w:val="auto"/>
        </w:rPr>
      </w:pPr>
    </w:p>
    <w:p>
      <w:pPr>
        <w:ind w:left="-20" w:right="340" w:firstLine="921"/>
        <w:spacing w:after="0" w:line="264" w:lineRule="auto"/>
        <w:tabs>
          <w:tab w:leader="none" w:pos="1208" w:val="left"/>
        </w:tabs>
        <w:numPr>
          <w:ilvl w:val="2"/>
          <w:numId w:val="177"/>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81" w:lineRule="exact"/>
        <w:rPr>
          <w:rFonts w:ascii="Arial" w:cs="Arial" w:eastAsia="Arial" w:hAnsi="Arial"/>
          <w:sz w:val="18"/>
          <w:szCs w:val="18"/>
          <w:color w:val="auto"/>
        </w:rPr>
      </w:pPr>
    </w:p>
    <w:p>
      <w:pPr>
        <w:ind w:left="-20" w:right="60" w:firstLine="464"/>
        <w:spacing w:after="0" w:line="312" w:lineRule="auto"/>
        <w:tabs>
          <w:tab w:leader="none" w:pos="661"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Unless required by Applicable Law,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60" w:top="274" w:right="25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been indemnified by the Borrower or with respect to which the Borrower has paid additional amounts pursuant to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it shall pay to the Borrower an amount equal to such refund (but only to the extent of indemnity payments made, or additional amounts paid, by the Borrower under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with respect to the Taxes giving rise to such refund), net of all out-of-pocket expenses (including Taxes) incurred by such Recipient, as the case may be, and without interest (other than any interest paid by the relevant Governmental Authority with respect to such refund), provided that the Borrower, upon the request of the Recipient, agrees to repay the amount paid over to the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 or any other Person.</w:t>
      </w:r>
    </w:p>
    <w:p>
      <w:pPr>
        <w:spacing w:after="0" w:line="183" w:lineRule="exact"/>
        <w:rPr>
          <w:sz w:val="20"/>
          <w:szCs w:val="20"/>
          <w:color w:val="auto"/>
        </w:rPr>
      </w:pPr>
    </w:p>
    <w:p>
      <w:pPr>
        <w:ind w:right="640" w:firstLine="464"/>
        <w:spacing w:after="0" w:line="264" w:lineRule="auto"/>
        <w:tabs>
          <w:tab w:leader="none" w:pos="711"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117" w:lineRule="exact"/>
        <w:rPr>
          <w:rFonts w:ascii="Arial" w:cs="Arial" w:eastAsia="Arial" w:hAnsi="Arial"/>
          <w:sz w:val="18"/>
          <w:szCs w:val="18"/>
          <w:color w:val="auto"/>
        </w:rPr>
      </w:pPr>
    </w:p>
    <w:p>
      <w:pPr>
        <w:ind w:right="200" w:firstLine="921"/>
        <w:spacing w:after="0" w:line="277" w:lineRule="auto"/>
        <w:tabs>
          <w:tab w:leader="none" w:pos="112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170" w:lineRule="exact"/>
        <w:rPr>
          <w:rFonts w:ascii="Arial" w:cs="Arial" w:eastAsia="Arial" w:hAnsi="Arial"/>
          <w:sz w:val="18"/>
          <w:szCs w:val="18"/>
          <w:color w:val="auto"/>
        </w:rPr>
      </w:pPr>
    </w:p>
    <w:p>
      <w:pPr>
        <w:ind w:right="220" w:firstLine="921"/>
        <w:spacing w:after="0" w:line="277" w:lineRule="auto"/>
        <w:tabs>
          <w:tab w:leader="none" w:pos="117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and (B) Excluded Taxes) on its loans, loan principal, letters of credit, commitments, or other obligations, or its deposits, reserves, other liabilities or capital attributable thereto; or</w:t>
      </w:r>
    </w:p>
    <w:p>
      <w:pPr>
        <w:spacing w:after="0" w:line="170" w:lineRule="exact"/>
        <w:rPr>
          <w:rFonts w:ascii="Arial" w:cs="Arial" w:eastAsia="Arial" w:hAnsi="Arial"/>
          <w:sz w:val="18"/>
          <w:szCs w:val="18"/>
          <w:color w:val="auto"/>
        </w:rPr>
      </w:pPr>
    </w:p>
    <w:p>
      <w:pPr>
        <w:ind w:left="1240" w:hanging="319"/>
        <w:spacing w:after="0"/>
        <w:tabs>
          <w:tab w:leader="none" w:pos="124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impose on any Lender any other condition, cost or expense (other than Taxes) affecting this Agreement or Loans made by such Lender;</w:t>
      </w:r>
    </w:p>
    <w:p>
      <w:pPr>
        <w:spacing w:after="0" w:line="2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and the result of any of the foregoing shall be to reduce the amount of any sum received or receivable by such Lender hereunder (whether of principal, interest or any other amount) then, upon request of such Lender, the Borrower will pay to such Lender such additional amount or amounts as will compensate such Lender for such additional costs incurred or reduction suffered (it being understood that the provisions set forth in this Section are not intended to derogate from the Borrower’s rights provided in </w:t>
      </w:r>
      <w:r>
        <w:rPr>
          <w:rFonts w:ascii="Arial" w:cs="Arial" w:eastAsia="Arial" w:hAnsi="Arial"/>
          <w:sz w:val="18"/>
          <w:szCs w:val="18"/>
          <w:u w:val="single" w:color="auto"/>
          <w:color w:val="auto"/>
        </w:rPr>
        <w:t>Section 10.03</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173" w:name="page174"/>
    <w:bookmarkEnd w:id="173"/>
    <w:p>
      <w:pPr>
        <w:jc w:val="center"/>
        <w:ind w:right="-31"/>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8" w:right="120" w:firstLine="464"/>
        <w:spacing w:after="0" w:line="254" w:lineRule="auto"/>
        <w:tabs>
          <w:tab w:leader="none" w:pos="703"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xml:space="preserve">.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 (it being understood that the provisions set forth in this Section are not intended to derogate from the Borrower’s rights provided in </w:t>
      </w:r>
      <w:r>
        <w:rPr>
          <w:rFonts w:ascii="Arial" w:cs="Arial" w:eastAsia="Arial" w:hAnsi="Arial"/>
          <w:sz w:val="18"/>
          <w:szCs w:val="18"/>
          <w:u w:val="single" w:color="auto"/>
          <w:color w:val="auto"/>
        </w:rPr>
        <w:t>Section 10.03</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8" w:firstLine="464"/>
        <w:spacing w:after="0" w:line="288" w:lineRule="auto"/>
        <w:tabs>
          <w:tab w:leader="none" w:pos="693"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Certificates for Reimbursement</w:t>
      </w:r>
      <w:r>
        <w:rPr>
          <w:rFonts w:ascii="Arial" w:cs="Arial" w:eastAsia="Arial" w:hAnsi="Arial"/>
          <w:sz w:val="16"/>
          <w:szCs w:val="16"/>
          <w:color w:val="auto"/>
        </w:rPr>
        <w:t>. A certificate of a Lender setting forth the amount or amounts (together with a description and calculation of such amounts) necessary to compensate such Lender or its holding company, as the case may be, as specified in subsection (a) or (b) of this Section and delivered to the Borrower shall be conclusive absent manifest error. The Borrower shall pay such Lender the amount shown as due on any such certificate within fifteen</w:t>
      </w:r>
    </w:p>
    <w:p>
      <w:pPr>
        <w:ind w:left="352" w:hanging="352"/>
        <w:spacing w:after="0"/>
        <w:tabs>
          <w:tab w:leader="none" w:pos="35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Business Days after receipt thereof.</w:t>
      </w:r>
    </w:p>
    <w:p>
      <w:pPr>
        <w:spacing w:after="0" w:line="210" w:lineRule="exact"/>
        <w:rPr>
          <w:rFonts w:ascii="Arial" w:cs="Arial" w:eastAsia="Arial" w:hAnsi="Arial"/>
          <w:sz w:val="18"/>
          <w:szCs w:val="18"/>
          <w:color w:val="auto"/>
        </w:rPr>
      </w:pPr>
    </w:p>
    <w:p>
      <w:pPr>
        <w:ind w:left="-8" w:right="200" w:firstLine="464"/>
        <w:spacing w:after="0" w:line="255" w:lineRule="auto"/>
        <w:tabs>
          <w:tab w:leader="none" w:pos="703"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to demand compensation pursuant to the foregoing provisions of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shall not constitute a waiver of such Lender’s right to demand such compensation, provided that the Borrower shall not be required to compensate a Lender pursuant to the foregoing provisions of this Section for any increased costs incurred or reductions suffered more than 180 days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180 day period referred to above shall be extended to include the period of retroactive effect thereof, but in any event, shall not extend more than 365 days prior to the date that such notice was received by the Borrower).</w:t>
      </w:r>
    </w:p>
    <w:p>
      <w:pPr>
        <w:spacing w:after="0" w:line="18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Mitigation Obligations</w:t>
      </w:r>
      <w:r>
        <w:rPr>
          <w:rFonts w:ascii="Arial" w:cs="Arial" w:eastAsia="Arial" w:hAnsi="Arial"/>
          <w:sz w:val="18"/>
          <w:szCs w:val="18"/>
          <w:color w:val="auto"/>
        </w:rPr>
        <w:t>.</w:t>
      </w:r>
    </w:p>
    <w:p>
      <w:pPr>
        <w:spacing w:after="0" w:line="225" w:lineRule="exact"/>
        <w:rPr>
          <w:sz w:val="20"/>
          <w:szCs w:val="20"/>
          <w:color w:val="auto"/>
        </w:rPr>
      </w:pPr>
    </w:p>
    <w:p>
      <w:pPr>
        <w:ind w:left="-8" w:right="20" w:firstLine="464"/>
        <w:spacing w:after="0" w:line="291" w:lineRule="auto"/>
        <w:tabs>
          <w:tab w:leader="none" w:pos="693"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or requires the Borrower to pay any Indemnified Taxes or additional amounts to any Lender pursuant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or any Governmental Authority for the account of any Lender pursuant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then at the request of the Borrower, such Lender shall, as applicable,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10.02</w:t>
      </w:r>
      <w:r>
        <w:rPr>
          <w:rFonts w:ascii="Arial" w:cs="Arial" w:eastAsia="Arial" w:hAnsi="Arial"/>
          <w:sz w:val="16"/>
          <w:szCs w:val="16"/>
          <w:color w:val="auto"/>
        </w:rPr>
        <w:t xml:space="preserve"> as the case may be, in the future,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0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92"/>
          </w:cols>
          <w:pgMar w:left="248" w:top="274" w:right="259" w:bottom="1440" w:gutter="0" w:footer="0" w:header="0"/>
        </w:sectPr>
      </w:pPr>
    </w:p>
    <w:bookmarkStart w:id="174" w:name="page175"/>
    <w:bookmarkEnd w:id="174"/>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both"/>
        <w:ind w:right="80" w:firstLine="464"/>
        <w:spacing w:after="0" w:line="279" w:lineRule="auto"/>
        <w:tabs>
          <w:tab w:leader="none" w:pos="711"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Replacement of Lenders</w:t>
      </w:r>
      <w:r>
        <w:rPr>
          <w:rFonts w:ascii="Arial" w:cs="Arial" w:eastAsia="Arial" w:hAnsi="Arial"/>
          <w:sz w:val="17"/>
          <w:szCs w:val="17"/>
          <w:color w:val="auto"/>
        </w:rPr>
        <w:t xml:space="preserve">. If any Lender requests compensation under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and, in each case, such Lender has declined or is unable to designate a different lending office in accordance with </w:t>
      </w:r>
      <w:r>
        <w:rPr>
          <w:rFonts w:ascii="Arial" w:cs="Arial" w:eastAsia="Arial" w:hAnsi="Arial"/>
          <w:sz w:val="17"/>
          <w:szCs w:val="17"/>
          <w:u w:val="single" w:color="auto"/>
          <w:color w:val="auto"/>
        </w:rPr>
        <w:t>Section 10.03(a)</w:t>
      </w:r>
      <w:r>
        <w:rPr>
          <w:rFonts w:ascii="Arial" w:cs="Arial" w:eastAsia="Arial" w:hAnsi="Arial"/>
          <w:sz w:val="17"/>
          <w:szCs w:val="17"/>
          <w:color w:val="auto"/>
        </w:rPr>
        <w:t xml:space="preserve">, or if any Lender provides notice to the Borrower pursuant to </w:t>
      </w:r>
      <w:r>
        <w:rPr>
          <w:rFonts w:ascii="Arial" w:cs="Arial" w:eastAsia="Arial" w:hAnsi="Arial"/>
          <w:sz w:val="17"/>
          <w:szCs w:val="17"/>
          <w:u w:val="single" w:color="auto"/>
          <w:color w:val="auto"/>
        </w:rPr>
        <w:t>Section 3.04(b)(iii),</w:t>
      </w:r>
      <w:r>
        <w:rPr>
          <w:rFonts w:ascii="Arial" w:cs="Arial" w:eastAsia="Arial" w:hAnsi="Arial"/>
          <w:sz w:val="17"/>
          <w:szCs w:val="17"/>
          <w:color w:val="auto"/>
        </w:rPr>
        <w:t xml:space="preserve"> the Borrower may replace such Lender in accordance with </w:t>
      </w:r>
      <w:r>
        <w:rPr>
          <w:rFonts w:ascii="Arial" w:cs="Arial" w:eastAsia="Arial" w:hAnsi="Arial"/>
          <w:sz w:val="17"/>
          <w:szCs w:val="17"/>
          <w:u w:val="single" w:color="auto"/>
          <w:color w:val="auto"/>
        </w:rPr>
        <w:t>Section 10.04.</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the Borrower is entitled to replace a Lender pursuant to the provisions of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or if any Lender is a Non-Consenting Lender, then the Borrower may, at its sole expense and effort, upon notice to such Lender and the Administrative Agent, either (i) repay all Obligations of the Borrower owing to such Lender (without any Prepayment Fee) relating to the Loans held by such Lender or (ii)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Sections 10.01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10.02</w:t>
      </w:r>
      <w:r>
        <w:rPr>
          <w:rFonts w:ascii="Arial" w:cs="Arial" w:eastAsia="Arial" w:hAnsi="Arial"/>
          <w:sz w:val="18"/>
          <w:szCs w:val="18"/>
          <w:color w:val="auto"/>
        </w:rPr>
        <w:t>) and obligations under this Agreement and the related Loan Documents to an Eligible Assignee that shall assume such obligations (which assignee may be another Lender, if a Lender accepts such assignment), provided that:</w:t>
      </w:r>
    </w:p>
    <w:p>
      <w:pPr>
        <w:spacing w:after="0" w:line="81" w:lineRule="exact"/>
        <w:rPr>
          <w:sz w:val="20"/>
          <w:szCs w:val="20"/>
          <w:color w:val="auto"/>
        </w:rPr>
      </w:pPr>
    </w:p>
    <w:p>
      <w:pPr>
        <w:ind w:right="280" w:firstLine="464"/>
        <w:spacing w:after="0" w:line="312" w:lineRule="auto"/>
        <w:tabs>
          <w:tab w:leader="none" w:pos="701"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such Lender shall have received payment of an amount equal to 100% of the outstanding principal of its Loans, accrued interest thereon, accrued fees and all other amounts payable to it hereunder and under the other Loan Documents from the assignee (to the extent of such outstanding principal and accrued interest and fees) or the Borrower (in the case of all other amounts); </w:t>
      </w:r>
      <w:r>
        <w:rPr>
          <w:rFonts w:ascii="Arial" w:cs="Arial" w:eastAsia="Arial" w:hAnsi="Arial"/>
          <w:sz w:val="16"/>
          <w:szCs w:val="16"/>
          <w:u w:val="single" w:color="auto"/>
          <w:color w:val="auto"/>
        </w:rPr>
        <w:t>provided</w:t>
      </w:r>
      <w:r>
        <w:rPr>
          <w:rFonts w:ascii="Arial" w:cs="Arial" w:eastAsia="Arial" w:hAnsi="Arial"/>
          <w:sz w:val="16"/>
          <w:szCs w:val="16"/>
          <w:color w:val="auto"/>
        </w:rPr>
        <w:t>, that no Prepayment Fee shall be payable to such Lender;</w:t>
      </w:r>
    </w:p>
    <w:p>
      <w:pPr>
        <w:spacing w:after="0" w:line="146" w:lineRule="exact"/>
        <w:rPr>
          <w:rFonts w:ascii="Arial" w:cs="Arial" w:eastAsia="Arial" w:hAnsi="Arial"/>
          <w:sz w:val="16"/>
          <w:szCs w:val="16"/>
          <w:color w:val="auto"/>
        </w:rPr>
      </w:pPr>
    </w:p>
    <w:p>
      <w:pPr>
        <w:ind w:right="520" w:firstLine="464"/>
        <w:spacing w:after="0" w:line="277" w:lineRule="auto"/>
        <w:tabs>
          <w:tab w:leader="none" w:pos="71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10.01</w:t>
      </w:r>
      <w:r>
        <w:rPr>
          <w:rFonts w:ascii="Arial" w:cs="Arial" w:eastAsia="Arial" w:hAnsi="Arial"/>
          <w:sz w:val="18"/>
          <w:szCs w:val="18"/>
          <w:color w:val="auto"/>
        </w:rPr>
        <w:t>, such assignment will result in a reduction in such compensation or payments thereafter;</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 and</w:t>
      </w:r>
    </w:p>
    <w:p>
      <w:pPr>
        <w:spacing w:after="0" w:line="225" w:lineRule="exact"/>
        <w:rPr>
          <w:rFonts w:ascii="Arial" w:cs="Arial" w:eastAsia="Arial" w:hAnsi="Arial"/>
          <w:sz w:val="18"/>
          <w:szCs w:val="18"/>
          <w:color w:val="auto"/>
        </w:rPr>
      </w:pPr>
    </w:p>
    <w:p>
      <w:pPr>
        <w:ind w:right="540" w:firstLine="464"/>
        <w:spacing w:after="0" w:line="277" w:lineRule="auto"/>
        <w:tabs>
          <w:tab w:leader="none" w:pos="71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the case of an assignment resulting from a Lender becoming a Non-Consenting Lender, the applicable assignee shall have consented to the applicable amendment, waiver or consent.</w:t>
      </w:r>
    </w:p>
    <w:p>
      <w:pPr>
        <w:spacing w:after="0" w:line="170" w:lineRule="exact"/>
        <w:rPr>
          <w:rFonts w:ascii="Arial" w:cs="Arial" w:eastAsia="Arial" w:hAnsi="Arial"/>
          <w:sz w:val="18"/>
          <w:szCs w:val="18"/>
          <w:color w:val="auto"/>
        </w:rPr>
      </w:pPr>
    </w:p>
    <w:p>
      <w:pPr>
        <w:ind w:right="160" w:firstLine="464"/>
        <w:spacing w:after="0" w:line="277" w:lineRule="auto"/>
        <w:tabs>
          <w:tab w:leader="none" w:pos="70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 xml:space="preserve">All of the Borrower’s obligations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survive termination of the Commitments, repayment of all other Obligations hereunder, resignation of the Administrative Agent and the Maturity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175" w:name="page176"/>
    <w:bookmarkEnd w:id="175"/>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00" w:right="22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ADMINISTRATIVE 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54" w:lineRule="auto"/>
        <w:tabs>
          <w:tab w:leader="none" w:pos="701"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Appointment</w:t>
      </w:r>
      <w:r>
        <w:rPr>
          <w:rFonts w:ascii="Arial" w:cs="Arial" w:eastAsia="Arial" w:hAnsi="Arial"/>
          <w:sz w:val="18"/>
          <w:szCs w:val="18"/>
          <w:color w:val="auto"/>
        </w:rPr>
        <w:t>. Each of the Lenders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2" w:lineRule="exact"/>
        <w:rPr>
          <w:rFonts w:ascii="Arial" w:cs="Arial" w:eastAsia="Arial" w:hAnsi="Arial"/>
          <w:sz w:val="18"/>
          <w:szCs w:val="18"/>
          <w:color w:val="auto"/>
        </w:rPr>
      </w:pPr>
    </w:p>
    <w:p>
      <w:pPr>
        <w:ind w:right="80" w:firstLine="464"/>
        <w:spacing w:after="0" w:line="271" w:lineRule="auto"/>
        <w:tabs>
          <w:tab w:leader="none" w:pos="711"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Collateral Agent</w:t>
      </w:r>
      <w:r>
        <w:rPr>
          <w:rFonts w:ascii="Arial" w:cs="Arial" w:eastAsia="Arial" w:hAnsi="Arial"/>
          <w:sz w:val="17"/>
          <w:szCs w:val="17"/>
          <w:color w:val="auto"/>
        </w:rPr>
        <w:t xml:space="preserve">. The Administrative Agent shall also act as the “collateral agent” under the Loan Documents, and each of the Lenders hereby irrevocably appoints and authorizes the Administrative Agent to act as the agent of such Lender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7"/>
          <w:szCs w:val="17"/>
          <w:u w:val="single" w:color="auto"/>
          <w:color w:val="auto"/>
        </w:rPr>
        <w:t>Section 11.05</w:t>
      </w:r>
      <w:r>
        <w:rPr>
          <w:rFonts w:ascii="Arial" w:cs="Arial" w:eastAsia="Arial" w:hAnsi="Arial"/>
          <w:sz w:val="17"/>
          <w:szCs w:val="17"/>
          <w:color w:val="auto"/>
        </w:rPr>
        <w:t xml:space="preserve"> for purposes of holding or enforcing any Lien on the Collateral (or any portion thereof) granted under the Loan Documents, or for exercising any rights and remedies thereunder at the direction of the Administrative Agent), shall be entitled to the benefits of all provisions of this Article XI and Article IX (including </w:t>
      </w:r>
      <w:r>
        <w:rPr>
          <w:rFonts w:ascii="Arial" w:cs="Arial" w:eastAsia="Arial" w:hAnsi="Arial"/>
          <w:sz w:val="17"/>
          <w:szCs w:val="17"/>
          <w:u w:val="single" w:color="auto"/>
          <w:color w:val="auto"/>
        </w:rPr>
        <w:t>Section 9.06(c)</w:t>
      </w:r>
      <w:r>
        <w:rPr>
          <w:rFonts w:ascii="Arial" w:cs="Arial" w:eastAsia="Arial" w:hAnsi="Arial"/>
          <w:sz w:val="17"/>
          <w:szCs w:val="17"/>
          <w:color w:val="auto"/>
        </w:rPr>
        <w:t xml:space="preserve"> as though such co-agents, sub-agents and attorneys-in-fact were the “collateral agent” under the Loan Documents) as if set forth in full herein with respect thereto.</w:t>
      </w:r>
    </w:p>
    <w:p>
      <w:pPr>
        <w:spacing w:after="0" w:line="17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u w:val="single" w:color="auto"/>
          <w:color w:val="auto"/>
        </w:rPr>
        <w:t>Rights as a Lender</w:t>
      </w:r>
      <w:r>
        <w:rPr>
          <w:rFonts w:ascii="Arial" w:cs="Arial" w:eastAsia="Arial" w:hAnsi="Arial"/>
          <w:sz w:val="17"/>
          <w:szCs w:val="17"/>
          <w:color w:val="auto"/>
        </w:rPr>
        <w:t>. The Person serving as the Administrative Agent hereunder shall have the same rights and powers in its capacity as a Lender, if such Person is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274" w:right="299"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73" w:lineRule="exact"/>
        <w:rPr>
          <w:sz w:val="20"/>
          <w:szCs w:val="20"/>
          <w:color w:val="auto"/>
        </w:rPr>
      </w:pPr>
    </w:p>
    <w:p>
      <w:pPr>
        <w:ind w:left="700" w:hanging="236"/>
        <w:spacing w:after="0"/>
        <w:tabs>
          <w:tab w:leader="none" w:pos="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ind w:right="40" w:firstLine="464"/>
        <w:spacing w:after="0" w:line="255" w:lineRule="auto"/>
        <w:tabs>
          <w:tab w:leader="none" w:pos="71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and</w:t>
      </w:r>
    </w:p>
    <w:p>
      <w:pPr>
        <w:spacing w:after="0" w:line="193" w:lineRule="exact"/>
        <w:rPr>
          <w:rFonts w:ascii="Arial" w:cs="Arial" w:eastAsia="Arial" w:hAnsi="Arial"/>
          <w:sz w:val="18"/>
          <w:szCs w:val="18"/>
          <w:color w:val="auto"/>
        </w:rPr>
      </w:pPr>
    </w:p>
    <w:p>
      <w:pPr>
        <w:ind w:right="220" w:firstLine="464"/>
        <w:spacing w:after="0" w:line="264" w:lineRule="auto"/>
        <w:tabs>
          <w:tab w:leader="none" w:pos="70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8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VIII</w:t>
      </w:r>
      <w:r>
        <w:rPr>
          <w:rFonts w:ascii="Arial" w:cs="Arial" w:eastAsia="Arial" w:hAnsi="Arial"/>
          <w:sz w:val="17"/>
          <w:szCs w:val="17"/>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or a Lender.</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Reliance by the Administrative Agent</w:t>
      </w:r>
      <w:r>
        <w:rPr>
          <w:rFonts w:ascii="Arial" w:cs="Arial" w:eastAsia="Arial" w:hAnsi="Arial"/>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74" w:right="25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5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perform any and all of its duties and exercise its rights and powers 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Article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 appealable judgment that the Administrative Agent acted with gross negligence or willful misconduct in the selection of such sub-agents.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72" w:lineRule="auto"/>
        <w:tabs>
          <w:tab w:leader="none" w:pos="701"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Administrative Agent may at any time give notice of its resignation to the Lenders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7"/>
          <w:szCs w:val="17"/>
          <w:u w:val="single" w:color="auto"/>
          <w:color w:val="auto"/>
        </w:rPr>
        <w:t>Resignation Effective Date</w:t>
      </w:r>
      <w:r>
        <w:rPr>
          <w:rFonts w:ascii="Arial" w:cs="Arial" w:eastAsia="Arial" w:hAnsi="Arial"/>
          <w:sz w:val="17"/>
          <w:szCs w:val="17"/>
          <w:color w:val="auto"/>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177" w:lineRule="exact"/>
        <w:rPr>
          <w:rFonts w:ascii="Arial" w:cs="Arial" w:eastAsia="Arial" w:hAnsi="Arial"/>
          <w:sz w:val="17"/>
          <w:szCs w:val="17"/>
          <w:color w:val="auto"/>
        </w:rPr>
      </w:pPr>
    </w:p>
    <w:p>
      <w:pPr>
        <w:ind w:firstLine="464"/>
        <w:spacing w:after="0" w:line="255" w:lineRule="auto"/>
        <w:tabs>
          <w:tab w:leader="none" w:pos="71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With effect from the Resignation Effective Date (1) the retiring Administrative Agent shall be discharged from its duties and obligations hereunder and under the other Loan Documents (except that in the case of any collateral security held by the Administrative Agent on behalf of the Lenders under any of the Loan Documents, the retiring Administrative Agent shall continue to hold such collateral security until such time as a successor Administrative Agent is appointed) and (2) except for any indemnity payments or other amounts then owed to the retiring Administrative Agent, all payments, communications and determinations provided to be made by, to or through the Administrative Agent shall instead be made by or to each Lender directly, until such time, if any, as the Required Lenders appoint a successor Administrative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Agent as provided for above. Upon the acceptance of a successor’s appointment as Administrative Agent hereunder, such successor shall succeed to and become vested with all of the rights, powers, privileges and duties of the retiring Administrative Agent (other than as provided in </w:t>
      </w:r>
      <w:r>
        <w:rPr>
          <w:rFonts w:ascii="Arial" w:cs="Arial" w:eastAsia="Arial" w:hAnsi="Arial"/>
          <w:sz w:val="17"/>
          <w:szCs w:val="17"/>
          <w:u w:val="single" w:color="auto"/>
          <w:color w:val="auto"/>
        </w:rPr>
        <w:t>Section 10.01(g)</w:t>
      </w:r>
      <w:r>
        <w:rPr>
          <w:rFonts w:ascii="Arial" w:cs="Arial" w:eastAsia="Arial" w:hAnsi="Arial"/>
          <w:sz w:val="17"/>
          <w:szCs w:val="17"/>
          <w:color w:val="auto"/>
        </w:rPr>
        <w:t xml:space="preserve"> and other than any rights to indemnity payments or other amounts owed to the retiring Administrative Agent as of the Resignation Effective Date),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and </w:t>
      </w:r>
      <w:r>
        <w:rPr>
          <w:rFonts w:ascii="Arial" w:cs="Arial" w:eastAsia="Arial" w:hAnsi="Arial"/>
          <w:sz w:val="17"/>
          <w:szCs w:val="17"/>
          <w:u w:val="single" w:color="auto"/>
          <w:color w:val="auto"/>
        </w:rPr>
        <w:t>Section 9.06</w:t>
      </w:r>
      <w:r>
        <w:rPr>
          <w:rFonts w:ascii="Arial" w:cs="Arial" w:eastAsia="Arial" w:hAnsi="Arial"/>
          <w:sz w:val="17"/>
          <w:szCs w:val="17"/>
          <w:color w:val="auto"/>
        </w:rPr>
        <w:t xml:space="preserve"> shall continue in effect for the benefit of such retiring Administrative Agent, its sub agents and their respective Related Parties in respect of any actions taken or omitted to be taken by any of them while the retiring Administrative Agent was acting as Administrative Agent.</w:t>
      </w:r>
    </w:p>
    <w:p>
      <w:pPr>
        <w:spacing w:after="0" w:line="18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u w:val="single" w:color="auto"/>
          <w:color w:val="auto"/>
        </w:rPr>
        <w:t>Non-Reliance on Administrative Agent and Other Lenders</w:t>
      </w:r>
      <w:r>
        <w:rPr>
          <w:rFonts w:ascii="Arial" w:cs="Arial" w:eastAsia="Arial" w:hAnsi="Arial"/>
          <w:sz w:val="17"/>
          <w:szCs w:val="17"/>
          <w:color w:val="auto"/>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SECTION 11.08. </w:t>
      </w:r>
      <w:r>
        <w:rPr>
          <w:rFonts w:ascii="Arial" w:cs="Arial" w:eastAsia="Arial" w:hAnsi="Arial"/>
          <w:sz w:val="17"/>
          <w:szCs w:val="17"/>
          <w:u w:val="single" w:color="auto"/>
          <w:color w:val="auto"/>
        </w:rPr>
        <w:t>Administrative Agent May File Proofs of Claim; Credit Bidding</w:t>
      </w:r>
      <w:r>
        <w:rPr>
          <w:rFonts w:ascii="Arial" w:cs="Arial" w:eastAsia="Arial" w:hAnsi="Arial"/>
          <w:sz w:val="17"/>
          <w:szCs w:val="17"/>
          <w:color w:val="auto"/>
        </w:rPr>
        <w:t>. In case of the pendency of any proceeding under any Debtor Relief Law or any other similar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63" w:lineRule="exact"/>
        <w:rPr>
          <w:sz w:val="20"/>
          <w:szCs w:val="20"/>
          <w:color w:val="auto"/>
        </w:rPr>
      </w:pPr>
    </w:p>
    <w:p>
      <w:pPr>
        <w:ind w:right="180" w:firstLine="464"/>
        <w:spacing w:after="0" w:line="257" w:lineRule="auto"/>
        <w:tabs>
          <w:tab w:leader="none" w:pos="70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 9.06</w:t>
      </w:r>
      <w:r>
        <w:rPr>
          <w:rFonts w:ascii="Arial" w:cs="Arial" w:eastAsia="Arial" w:hAnsi="Arial"/>
          <w:sz w:val="18"/>
          <w:szCs w:val="18"/>
          <w:color w:val="auto"/>
        </w:rPr>
        <w:t>) allowed in such judicial proceeding; and</w:t>
      </w:r>
    </w:p>
    <w:p>
      <w:pPr>
        <w:spacing w:after="0" w:line="188" w:lineRule="exact"/>
        <w:rPr>
          <w:rFonts w:ascii="Arial" w:cs="Arial" w:eastAsia="Arial" w:hAnsi="Arial"/>
          <w:sz w:val="18"/>
          <w:szCs w:val="18"/>
          <w:color w:val="auto"/>
        </w:rPr>
      </w:pPr>
    </w:p>
    <w:p>
      <w:pPr>
        <w:ind w:left="720" w:hanging="256"/>
        <w:spacing w:after="0"/>
        <w:tabs>
          <w:tab w:leader="none" w:pos="7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179" w:name="page180"/>
    <w:bookmarkEnd w:id="179"/>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 xml:space="preserve">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6"/>
          <w:szCs w:val="16"/>
          <w:u w:val="single" w:color="auto"/>
          <w:color w:val="auto"/>
        </w:rPr>
        <w:t>Section 9.06</w:t>
      </w:r>
      <w:r>
        <w:rPr>
          <w:rFonts w:ascii="Arial" w:cs="Arial" w:eastAsia="Arial" w:hAnsi="Arial"/>
          <w:sz w:val="16"/>
          <w:szCs w:val="16"/>
          <w:color w:val="auto"/>
        </w:rPr>
        <w:t>.</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18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Applicable Law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(i) of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of this Agreement,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Lender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Lender or any acquisition vehicle to take any further action.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74" w:right="259" w:bottom="1440" w:gutter="0" w:footer="0" w:header="0"/>
        </w:sectPr>
      </w:pPr>
    </w:p>
    <w:bookmarkStart w:id="180" w:name="page181"/>
    <w:bookmarkEnd w:id="180"/>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11.09. </w:t>
      </w:r>
      <w:r>
        <w:rPr>
          <w:rFonts w:ascii="Arial" w:cs="Arial" w:eastAsia="Arial" w:hAnsi="Arial"/>
          <w:sz w:val="17"/>
          <w:szCs w:val="17"/>
          <w:u w:val="single" w:color="auto"/>
          <w:color w:val="auto"/>
        </w:rPr>
        <w:t>Collateral and Guaranty Matters</w:t>
      </w:r>
      <w:r>
        <w:rPr>
          <w:rFonts w:ascii="Arial" w:cs="Arial" w:eastAsia="Arial" w:hAnsi="Arial"/>
          <w:sz w:val="17"/>
          <w:szCs w:val="17"/>
          <w:color w:val="auto"/>
        </w:rPr>
        <w:t xml:space="preserve">. Without limiting the provisions of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the Lenders irrevocably authorize the Administrative Agent, at its option and in its discretion, to release any Lien on any property granted to or held by the Administrative Agent under any Loan Document (i) upon termination of the Commitments and payment in full of all Obligations (other than contingent indemnification obligations), (ii) that is sold or otherwise disposed of or to be sold or otherwise disposed of as part of or in connection with any sale or other disposition permitted hereunder or under any other Loan Document, or (iii) subject to </w:t>
      </w:r>
      <w:r>
        <w:rPr>
          <w:rFonts w:ascii="Arial" w:cs="Arial" w:eastAsia="Arial" w:hAnsi="Arial"/>
          <w:sz w:val="17"/>
          <w:szCs w:val="17"/>
          <w:u w:val="single" w:color="auto"/>
          <w:color w:val="auto"/>
        </w:rPr>
        <w:t>Section 9.01</w:t>
      </w:r>
      <w:r>
        <w:rPr>
          <w:rFonts w:ascii="Arial" w:cs="Arial" w:eastAsia="Arial" w:hAnsi="Arial"/>
          <w:sz w:val="17"/>
          <w:szCs w:val="17"/>
          <w:color w:val="auto"/>
        </w:rPr>
        <w:t>, if approved, authorized or ratified in writing by the Required Lenders.</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its interest in particular types or items of property pursuant to this </w:t>
      </w:r>
      <w:r>
        <w:rPr>
          <w:rFonts w:ascii="Arial" w:cs="Arial" w:eastAsia="Arial" w:hAnsi="Arial"/>
          <w:sz w:val="18"/>
          <w:szCs w:val="18"/>
          <w:u w:val="single" w:color="auto"/>
          <w:color w:val="auto"/>
        </w:rPr>
        <w:t>Section 11.09</w:t>
      </w:r>
      <w:r>
        <w:rPr>
          <w:rFonts w:ascii="Arial" w:cs="Arial" w:eastAsia="Arial" w:hAnsi="Arial"/>
          <w:sz w:val="18"/>
          <w:szCs w:val="18"/>
          <w:color w:val="auto"/>
        </w:rPr>
        <w:t>.</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74" w:right="25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day and year first above written.</w:t>
      </w:r>
    </w:p>
    <w:p>
      <w:pPr>
        <w:spacing w:after="0" w:line="25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GREAT LAKES DREDGE &amp; DOCK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CORPORATION, as the Borrower</w:t>
      </w:r>
    </w:p>
    <w:p>
      <w:pPr>
        <w:spacing w:after="0" w:line="22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  /s/ 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14605</wp:posOffset>
            </wp:positionV>
            <wp:extent cx="265874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Mark W. Marinko</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Title: Senior Vice President and Chief Financial Officer</w:t>
      </w:r>
    </w:p>
    <w:p>
      <w:pPr>
        <w:spacing w:after="0" w:line="23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GREAT LAKES DREDGE &amp; DOCK COMPANY,</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LLC, as the Guarantor</w:t>
      </w:r>
    </w:p>
    <w:p>
      <w:pPr>
        <w:spacing w:after="0" w:line="22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  /s/ 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14605</wp:posOffset>
            </wp:positionV>
            <wp:extent cx="265874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Mark W. Marinko</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Title: Senior Vice President and Chief Financial Officer</w:t>
      </w:r>
    </w:p>
    <w:p>
      <w:pPr>
        <w:spacing w:after="0" w:line="23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BANK OF AMERICA, N.A., as Administrative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Agent</w:t>
      </w:r>
    </w:p>
    <w:p>
      <w:pPr>
        <w:spacing w:after="0" w:line="22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  /s/ Bridgett J. Manduk Mowry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14605</wp:posOffset>
            </wp:positionV>
            <wp:extent cx="265874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Bridgett J. Manduk Mowry</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THE HUNTINGTON NATIONAL BANK, as a Lender</w:t>
      </w:r>
    </w:p>
    <w:p>
      <w:pPr>
        <w:spacing w:after="0" w:line="23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  /s/ Rebecca C. Stirnkorb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14605</wp:posOffset>
            </wp:positionV>
            <wp:extent cx="265874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Rebecca C. Stirnkorb</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 Authorized Signer</w:t>
      </w:r>
    </w:p>
    <w:p>
      <w:pPr>
        <w:spacing w:after="0" w:line="21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PACIFIC WESTERN BANK, as a Lender</w:t>
      </w:r>
    </w:p>
    <w:p>
      <w:pPr>
        <w:spacing w:after="0" w:line="22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  /s/ Robert S. Wille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14605</wp:posOffset>
            </wp:positionV>
            <wp:extent cx="265874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Robert S. Wille</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SUNTRUST EQUIPMENT FINANCE &amp;</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LEASING CORP., as a Lender</w:t>
      </w:r>
    </w:p>
    <w:p>
      <w:pPr>
        <w:spacing w:after="0" w:line="22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  /s/ Deborah V. Gibb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14605</wp:posOffset>
            </wp:positionV>
            <wp:extent cx="265874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Deborah V. Gibb</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Loan and Security Agreement</w:t>
      </w:r>
    </w:p>
    <w:p>
      <w:pPr>
        <w:sectPr>
          <w:pgSz w:w="11900" w:h="16838" w:orient="portrait"/>
          <w:cols w:equalWidth="0" w:num="1">
            <w:col w:w="11260"/>
          </w:cols>
          <w:pgMar w:left="320" w:top="274" w:right="319" w:bottom="1440" w:gutter="0" w:footer="0" w:header="0"/>
        </w:sectPr>
      </w:pPr>
    </w:p>
    <w:bookmarkStart w:id="182" w:name="page183"/>
    <w:bookmarkEnd w:id="182"/>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1</w:t>
      </w:r>
    </w:p>
    <w:p>
      <w:pPr>
        <w:spacing w:after="0" w:line="212"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980" w:type="dxa"/>
            <w:vAlign w:val="bottom"/>
            <w:gridSpan w:val="4"/>
          </w:tcPr>
          <w:p>
            <w:pPr>
              <w:spacing w:after="0"/>
              <w:rPr>
                <w:sz w:val="20"/>
                <w:szCs w:val="20"/>
                <w:color w:val="auto"/>
              </w:rPr>
            </w:pPr>
            <w:r>
              <w:rPr>
                <w:rFonts w:ascii="Arial" w:cs="Arial" w:eastAsia="Arial" w:hAnsi="Arial"/>
                <w:sz w:val="18"/>
                <w:szCs w:val="18"/>
                <w:b w:val="1"/>
                <w:bCs w:val="1"/>
                <w:color w:val="auto"/>
              </w:rPr>
              <w:t>Allocated Percentage Values</w:t>
            </w:r>
          </w:p>
        </w:tc>
      </w:tr>
      <w:tr>
        <w:trPr>
          <w:trHeight w:val="412"/>
        </w:trPr>
        <w:tc>
          <w:tcPr>
            <w:tcW w:w="178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85"/>
              </w:rPr>
              <w:t>Vessel</w:t>
            </w:r>
          </w:p>
        </w:tc>
        <w:tc>
          <w:tcPr>
            <w:tcW w:w="62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gridSpan w:val="2"/>
          </w:tcPr>
          <w:p>
            <w:pPr>
              <w:jc w:val="center"/>
              <w:ind w:right="1460"/>
              <w:spacing w:after="0"/>
              <w:rPr>
                <w:sz w:val="20"/>
                <w:szCs w:val="20"/>
                <w:color w:val="auto"/>
              </w:rPr>
            </w:pPr>
            <w:r>
              <w:rPr>
                <w:rFonts w:ascii="Arial" w:cs="Arial" w:eastAsia="Arial" w:hAnsi="Arial"/>
                <w:sz w:val="14"/>
                <w:szCs w:val="14"/>
                <w:color w:val="auto"/>
                <w:w w:val="86"/>
              </w:rPr>
              <w:t>Percentage</w:t>
            </w:r>
          </w:p>
        </w:tc>
      </w:tr>
      <w:tr>
        <w:trPr>
          <w:trHeight w:val="223"/>
        </w:trPr>
        <w:tc>
          <w:tcPr>
            <w:tcW w:w="178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80" w:type="dxa"/>
            <w:vAlign w:val="bottom"/>
            <w:gridSpan w:val="3"/>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spacing w:after="0"/>
              <w:rPr>
                <w:sz w:val="19"/>
                <w:szCs w:val="19"/>
                <w:color w:val="auto"/>
              </w:rPr>
            </w:pPr>
          </w:p>
        </w:tc>
      </w:tr>
    </w:tbl>
    <w:p>
      <w:pPr>
        <w:sectPr>
          <w:pgSz w:w="11900" w:h="16838" w:orient="portrait"/>
          <w:cols w:equalWidth="0" w:num="1">
            <w:col w:w="11340"/>
          </w:cols>
          <w:pgMar w:left="320" w:top="274" w:right="2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tbl>
      <w:tblPr>
        <w:tblLayout w:type="fixed"/>
        <w:tblInd w:w="1760" w:type="dxa"/>
        <w:tblCellMar>
          <w:top w:w="0" w:type="dxa"/>
          <w:left w:w="0" w:type="dxa"/>
          <w:bottom w:w="0" w:type="dxa"/>
          <w:right w:w="0" w:type="dxa"/>
        </w:tblCellMar>
      </w:tblPr>
      <w:tr>
        <w:trPr>
          <w:trHeight w:val="167"/>
        </w:trPr>
        <w:tc>
          <w:tcPr>
            <w:tcW w:w="1660" w:type="dxa"/>
            <w:vAlign w:val="bottom"/>
          </w:tcPr>
          <w:p>
            <w:pPr>
              <w:spacing w:after="0"/>
              <w:rPr>
                <w:sz w:val="14"/>
                <w:szCs w:val="14"/>
                <w:color w:val="auto"/>
              </w:rPr>
            </w:pPr>
          </w:p>
        </w:tc>
        <w:tc>
          <w:tcPr>
            <w:tcW w:w="1400" w:type="dxa"/>
            <w:vAlign w:val="bottom"/>
            <w:gridSpan w:val="2"/>
          </w:tcPr>
          <w:p>
            <w:pPr>
              <w:jc w:val="center"/>
              <w:ind w:right="760"/>
              <w:spacing w:after="0"/>
              <w:rPr>
                <w:sz w:val="20"/>
                <w:szCs w:val="20"/>
                <w:color w:val="auto"/>
              </w:rPr>
            </w:pPr>
            <w:r>
              <w:rPr>
                <w:rFonts w:ascii="Arial" w:cs="Arial" w:eastAsia="Arial" w:hAnsi="Arial"/>
                <w:sz w:val="14"/>
                <w:szCs w:val="14"/>
                <w:color w:val="auto"/>
                <w:w w:val="95"/>
              </w:rPr>
              <w:t>Equipment</w:t>
            </w:r>
          </w:p>
        </w:tc>
        <w:tc>
          <w:tcPr>
            <w:tcW w:w="2580" w:type="dxa"/>
            <w:vAlign w:val="bottom"/>
          </w:tcPr>
          <w:p>
            <w:pPr>
              <w:spacing w:after="0"/>
              <w:rPr>
                <w:sz w:val="14"/>
                <w:szCs w:val="14"/>
                <w:color w:val="auto"/>
              </w:rPr>
            </w:pPr>
          </w:p>
        </w:tc>
        <w:tc>
          <w:tcPr>
            <w:tcW w:w="2120" w:type="dxa"/>
            <w:vAlign w:val="bottom"/>
            <w:gridSpan w:val="2"/>
          </w:tcPr>
          <w:p>
            <w:pPr>
              <w:jc w:val="center"/>
              <w:ind w:right="1460"/>
              <w:spacing w:after="0"/>
              <w:rPr>
                <w:sz w:val="20"/>
                <w:szCs w:val="20"/>
                <w:color w:val="auto"/>
              </w:rPr>
            </w:pPr>
            <w:r>
              <w:rPr>
                <w:rFonts w:ascii="Arial" w:cs="Arial" w:eastAsia="Arial" w:hAnsi="Arial"/>
                <w:sz w:val="14"/>
                <w:szCs w:val="14"/>
                <w:color w:val="auto"/>
                <w:w w:val="86"/>
              </w:rPr>
              <w:t>Percentage</w:t>
            </w:r>
          </w:p>
        </w:tc>
      </w:tr>
      <w:tr>
        <w:trPr>
          <w:trHeight w:val="223"/>
        </w:trPr>
        <w:tc>
          <w:tcPr>
            <w:tcW w:w="1660" w:type="dxa"/>
            <w:vAlign w:val="bottom"/>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spacing w:after="0"/>
              <w:rPr>
                <w:sz w:val="19"/>
                <w:szCs w:val="19"/>
                <w:color w:val="auto"/>
              </w:rPr>
            </w:pPr>
          </w:p>
        </w:tc>
      </w:tr>
      <w:tr>
        <w:trPr>
          <w:trHeight w:val="365"/>
        </w:trPr>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80" w:type="dxa"/>
            <w:vAlign w:val="bottom"/>
          </w:tcPr>
          <w:p>
            <w:pPr>
              <w:jc w:val="right"/>
              <w:ind w:right="163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260"/>
          </w:cols>
          <w:pgMar w:left="320" w:top="274" w:right="319" w:bottom="1440" w:gutter="0" w:footer="0" w:header="0"/>
        </w:sectPr>
      </w:pPr>
    </w:p>
    <w:bookmarkStart w:id="184" w:name="page185"/>
    <w:bookmarkEnd w:id="184"/>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2</w:t>
      </w:r>
    </w:p>
    <w:p>
      <w:pPr>
        <w:spacing w:after="0" w:line="212"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2"/>
              </w:rPr>
              <w:t>Notices</w:t>
            </w:r>
          </w:p>
        </w:tc>
        <w:tc>
          <w:tcPr>
            <w:tcW w:w="2820" w:type="dxa"/>
            <w:vAlign w:val="bottom"/>
            <w:gridSpan w:val="2"/>
          </w:tcPr>
          <w:p>
            <w:pPr>
              <w:spacing w:after="0"/>
              <w:rPr>
                <w:sz w:val="17"/>
                <w:szCs w:val="17"/>
                <w:color w:val="auto"/>
              </w:rPr>
            </w:pPr>
          </w:p>
        </w:tc>
      </w:tr>
      <w:tr>
        <w:trPr>
          <w:trHeight w:val="465"/>
        </w:trPr>
        <w:tc>
          <w:tcPr>
            <w:tcW w:w="3600" w:type="dxa"/>
            <w:vAlign w:val="bottom"/>
          </w:tcPr>
          <w:p>
            <w:pPr>
              <w:spacing w:after="0"/>
              <w:rPr>
                <w:sz w:val="20"/>
                <w:szCs w:val="20"/>
                <w:color w:val="auto"/>
              </w:rPr>
            </w:pPr>
            <w:r>
              <w:rPr>
                <w:rFonts w:ascii="Arial" w:cs="Arial" w:eastAsia="Arial" w:hAnsi="Arial"/>
                <w:sz w:val="18"/>
                <w:szCs w:val="18"/>
                <w:color w:val="auto"/>
              </w:rPr>
              <w:t>If to the Borrower or the Guarantor:</w:t>
            </w: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Great Lakes Dredge &amp; Dock Corporation</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2122 York Road</w:t>
            </w:r>
          </w:p>
        </w:tc>
      </w:tr>
      <w:tr>
        <w:trPr>
          <w:trHeight w:val="230"/>
        </w:trPr>
        <w:tc>
          <w:tcPr>
            <w:tcW w:w="3600" w:type="dxa"/>
            <w:vAlign w:val="bottom"/>
          </w:tcPr>
          <w:p>
            <w:pPr>
              <w:spacing w:after="0"/>
              <w:rPr>
                <w:sz w:val="19"/>
                <w:szCs w:val="19"/>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Oak Brook, IL 60523</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Attention:   Mark W. Marinko</w:t>
            </w:r>
          </w:p>
        </w:tc>
      </w:tr>
      <w:tr>
        <w:trPr>
          <w:trHeight w:val="216"/>
        </w:trPr>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2"/>
          </w:tcPr>
          <w:p>
            <w:pPr>
              <w:ind w:left="320"/>
              <w:spacing w:after="0"/>
              <w:rPr>
                <w:sz w:val="20"/>
                <w:szCs w:val="20"/>
                <w:color w:val="auto"/>
              </w:rPr>
            </w:pPr>
            <w:r>
              <w:rPr>
                <w:rFonts w:ascii="Arial" w:cs="Arial" w:eastAsia="Arial" w:hAnsi="Arial"/>
                <w:sz w:val="18"/>
                <w:szCs w:val="18"/>
                <w:color w:val="auto"/>
              </w:rPr>
              <w:t>Senior Vice President and</w:t>
            </w:r>
          </w:p>
        </w:tc>
      </w:tr>
      <w:tr>
        <w:trPr>
          <w:trHeight w:val="230"/>
        </w:trPr>
        <w:tc>
          <w:tcPr>
            <w:tcW w:w="3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gridSpan w:val="2"/>
          </w:tcPr>
          <w:p>
            <w:pPr>
              <w:ind w:left="320"/>
              <w:spacing w:after="0"/>
              <w:rPr>
                <w:sz w:val="20"/>
                <w:szCs w:val="20"/>
                <w:color w:val="auto"/>
              </w:rPr>
            </w:pPr>
            <w:r>
              <w:rPr>
                <w:rFonts w:ascii="Arial" w:cs="Arial" w:eastAsia="Arial" w:hAnsi="Arial"/>
                <w:sz w:val="18"/>
                <w:szCs w:val="18"/>
                <w:color w:val="auto"/>
              </w:rPr>
              <w:t>Chief Financial Officer</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Telephone: (630) 574-2960</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Facsimile: (630) 574-3007</w:t>
            </w:r>
          </w:p>
        </w:tc>
      </w:tr>
      <w:tr>
        <w:trPr>
          <w:trHeight w:val="230"/>
        </w:trPr>
        <w:tc>
          <w:tcPr>
            <w:tcW w:w="3600" w:type="dxa"/>
            <w:vAlign w:val="bottom"/>
          </w:tcPr>
          <w:p>
            <w:pPr>
              <w:spacing w:after="0"/>
              <w:rPr>
                <w:sz w:val="20"/>
                <w:szCs w:val="20"/>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Email: mwmarinko@gldd.com</w:t>
            </w:r>
          </w:p>
        </w:tc>
      </w:tr>
      <w:tr>
        <w:trPr>
          <w:trHeight w:val="323"/>
        </w:trPr>
        <w:tc>
          <w:tcPr>
            <w:tcW w:w="3600" w:type="dxa"/>
            <w:vAlign w:val="bottom"/>
          </w:tcPr>
          <w:p>
            <w:pPr>
              <w:ind w:left="360"/>
              <w:spacing w:after="0"/>
              <w:rPr>
                <w:sz w:val="20"/>
                <w:szCs w:val="20"/>
                <w:color w:val="auto"/>
              </w:rPr>
            </w:pPr>
            <w:r>
              <w:rPr>
                <w:rFonts w:ascii="Arial" w:cs="Arial" w:eastAsia="Arial" w:hAnsi="Arial"/>
                <w:sz w:val="18"/>
                <w:szCs w:val="18"/>
                <w:color w:val="auto"/>
              </w:rPr>
              <w:t>with copies to:</w:t>
            </w: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Jenner &amp; Block LLP</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353 N. Clark Street</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Chicago, IL 60654</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Attention: Brian S. Hart</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Telephone: (312) 923-2618</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Facsimile: (312) 923-2718</w:t>
            </w:r>
          </w:p>
        </w:tc>
      </w:tr>
      <w:tr>
        <w:trPr>
          <w:trHeight w:val="230"/>
        </w:trPr>
        <w:tc>
          <w:tcPr>
            <w:tcW w:w="3600" w:type="dxa"/>
            <w:vAlign w:val="bottom"/>
          </w:tcPr>
          <w:p>
            <w:pPr>
              <w:spacing w:after="0"/>
              <w:rPr>
                <w:sz w:val="20"/>
                <w:szCs w:val="20"/>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Email: bhart@jenner.com</w:t>
            </w:r>
          </w:p>
        </w:tc>
      </w:tr>
      <w:tr>
        <w:trPr>
          <w:trHeight w:val="323"/>
        </w:trPr>
        <w:tc>
          <w:tcPr>
            <w:tcW w:w="3600" w:type="dxa"/>
            <w:vAlign w:val="bottom"/>
          </w:tcPr>
          <w:p>
            <w:pPr>
              <w:spacing w:after="0"/>
              <w:rPr>
                <w:sz w:val="20"/>
                <w:szCs w:val="20"/>
                <w:color w:val="auto"/>
              </w:rPr>
            </w:pPr>
            <w:r>
              <w:rPr>
                <w:rFonts w:ascii="Arial" w:cs="Arial" w:eastAsia="Arial" w:hAnsi="Arial"/>
                <w:sz w:val="18"/>
                <w:szCs w:val="18"/>
                <w:color w:val="auto"/>
              </w:rPr>
              <w:t>If to the Administrative Agent:</w:t>
            </w: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w w:val="92"/>
              </w:rPr>
              <w:t>Bank of America, N.A., as Administrative Agent</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901 Main Street</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Dallas, Texas 75202-3714</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Attention: Diana Lopez</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Telephone: (972) 338-3774</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Facsimile: (214) 290-8384</w:t>
            </w:r>
          </w:p>
        </w:tc>
      </w:tr>
      <w:tr>
        <w:trPr>
          <w:trHeight w:val="190"/>
        </w:trPr>
        <w:tc>
          <w:tcPr>
            <w:tcW w:w="3600" w:type="dxa"/>
            <w:vAlign w:val="bottom"/>
          </w:tcPr>
          <w:p>
            <w:pPr>
              <w:spacing w:after="0"/>
              <w:rPr>
                <w:sz w:val="16"/>
                <w:szCs w:val="16"/>
                <w:color w:val="auto"/>
              </w:rPr>
            </w:pPr>
          </w:p>
        </w:tc>
        <w:tc>
          <w:tcPr>
            <w:tcW w:w="4520" w:type="dxa"/>
            <w:vAlign w:val="bottom"/>
            <w:gridSpan w:val="5"/>
          </w:tcPr>
          <w:p>
            <w:pPr>
              <w:ind w:left="1020"/>
              <w:spacing w:after="0" w:line="190" w:lineRule="exact"/>
              <w:rPr>
                <w:sz w:val="20"/>
                <w:szCs w:val="20"/>
                <w:color w:val="auto"/>
              </w:rPr>
            </w:pPr>
            <w:r>
              <w:rPr>
                <w:rFonts w:ascii="Arial" w:cs="Arial" w:eastAsia="Arial" w:hAnsi="Arial"/>
                <w:sz w:val="18"/>
                <w:szCs w:val="18"/>
                <w:color w:val="auto"/>
              </w:rPr>
              <w:t>Email: DIANA.R.LOPEZ@BAML.COM</w:t>
            </w:r>
          </w:p>
        </w:tc>
      </w:tr>
      <w:tr>
        <w:trPr>
          <w:trHeight w:val="20"/>
        </w:trPr>
        <w:tc>
          <w:tcPr>
            <w:tcW w:w="36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5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58"/>
        </w:trPr>
        <w:tc>
          <w:tcPr>
            <w:tcW w:w="3600" w:type="dxa"/>
            <w:vAlign w:val="bottom"/>
          </w:tcPr>
          <w:p>
            <w:pPr>
              <w:spacing w:after="0"/>
              <w:rPr>
                <w:sz w:val="24"/>
                <w:szCs w:val="24"/>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Account:</w:t>
            </w:r>
          </w:p>
        </w:tc>
      </w:tr>
      <w:tr>
        <w:trPr>
          <w:trHeight w:val="323"/>
        </w:trPr>
        <w:tc>
          <w:tcPr>
            <w:tcW w:w="3600" w:type="dxa"/>
            <w:vAlign w:val="bottom"/>
          </w:tcPr>
          <w:p>
            <w:pPr>
              <w:spacing w:after="0"/>
              <w:rPr>
                <w:sz w:val="24"/>
                <w:szCs w:val="24"/>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Bank of America, N.A.</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New York, New York</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ABA #026009593</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ACCT #1292000883</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NAME: CORPORATE CREDIT SERVICES</w:t>
            </w:r>
          </w:p>
        </w:tc>
      </w:tr>
      <w:tr>
        <w:trPr>
          <w:trHeight w:val="230"/>
        </w:trPr>
        <w:tc>
          <w:tcPr>
            <w:tcW w:w="3600" w:type="dxa"/>
            <w:vAlign w:val="bottom"/>
          </w:tcPr>
          <w:p>
            <w:pPr>
              <w:spacing w:after="0"/>
              <w:rPr>
                <w:sz w:val="20"/>
                <w:szCs w:val="20"/>
                <w:color w:val="auto"/>
              </w:rPr>
            </w:pPr>
          </w:p>
        </w:tc>
        <w:tc>
          <w:tcPr>
            <w:tcW w:w="4520" w:type="dxa"/>
            <w:vAlign w:val="bottom"/>
            <w:gridSpan w:val="5"/>
          </w:tcPr>
          <w:p>
            <w:pPr>
              <w:ind w:left="1020"/>
              <w:spacing w:after="0"/>
              <w:rPr>
                <w:sz w:val="20"/>
                <w:szCs w:val="20"/>
                <w:color w:val="auto"/>
              </w:rPr>
            </w:pPr>
            <w:r>
              <w:rPr>
                <w:rFonts w:ascii="Arial" w:cs="Arial" w:eastAsia="Arial" w:hAnsi="Arial"/>
                <w:sz w:val="18"/>
                <w:szCs w:val="18"/>
                <w:color w:val="auto"/>
              </w:rPr>
              <w:t>REF: GREAT LAKES DREDGE</w:t>
            </w:r>
          </w:p>
        </w:tc>
      </w:tr>
    </w:tbl>
    <w:p>
      <w:pPr>
        <w:sectPr>
          <w:pgSz w:w="11900" w:h="16838" w:orient="portrait"/>
          <w:cols w:equalWidth="0" w:num="1">
            <w:col w:w="11340"/>
          </w:cols>
          <w:pgMar w:left="320" w:top="274" w:right="2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ectPr>
          <w:pgSz w:w="11900" w:h="16838" w:orient="portrait"/>
          <w:cols w:equalWidth="0" w:num="1">
            <w:col w:w="11260"/>
          </w:cols>
          <w:pgMar w:left="320" w:top="274" w:right="319" w:bottom="1440" w:gutter="0" w:footer="0" w:header="0"/>
        </w:sectPr>
      </w:pPr>
    </w:p>
    <w:p>
      <w:pPr>
        <w:spacing w:after="0" w:line="9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with copies to:</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Womble Carlyle Sandridge &amp; Rice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250 West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Merrick J. Benn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(410) 545-5822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(443) 769-1522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mbenn@wcsr.com</w:t>
      </w:r>
    </w:p>
    <w:p>
      <w:pPr>
        <w:spacing w:after="0" w:line="157" w:lineRule="exact"/>
        <w:rPr>
          <w:sz w:val="20"/>
          <w:szCs w:val="20"/>
          <w:color w:val="auto"/>
        </w:rPr>
      </w:pPr>
    </w:p>
    <w:p>
      <w:pPr>
        <w:sectPr>
          <w:pgSz w:w="11900" w:h="16838" w:orient="portrait"/>
          <w:cols w:equalWidth="0" w:num="2">
            <w:col w:w="5300" w:space="720"/>
            <w:col w:w="5240"/>
          </w:cols>
          <w:pgMar w:left="320" w:top="274" w:right="31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320" w:top="274" w:right="319" w:bottom="1440" w:gutter="0" w:footer="0" w:header="0"/>
          <w:type w:val="continuous"/>
        </w:sectPr>
      </w:pPr>
    </w:p>
    <w:bookmarkStart w:id="186" w:name="page187"/>
    <w:bookmarkEnd w:id="186"/>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3</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48"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Lender</w:t>
            </w:r>
          </w:p>
        </w:tc>
        <w:tc>
          <w:tcPr>
            <w:tcW w:w="3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right"/>
              <w:ind w:right="99"/>
              <w:spacing w:after="0"/>
              <w:rPr>
                <w:sz w:val="20"/>
                <w:szCs w:val="20"/>
                <w:color w:val="auto"/>
              </w:rPr>
            </w:pPr>
            <w:r>
              <w:rPr>
                <w:rFonts w:ascii="Arial" w:cs="Arial" w:eastAsia="Arial" w:hAnsi="Arial"/>
                <w:sz w:val="14"/>
                <w:szCs w:val="14"/>
                <w:b w:val="1"/>
                <w:bCs w:val="1"/>
                <w:color w:val="auto"/>
              </w:rPr>
              <w:t>Commitment</w:t>
            </w:r>
          </w:p>
        </w:tc>
        <w:tc>
          <w:tcPr>
            <w:tcW w:w="22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Applicable Percentage</w:t>
            </w:r>
          </w:p>
        </w:tc>
        <w:tc>
          <w:tcPr>
            <w:tcW w:w="0" w:type="dxa"/>
            <w:vAlign w:val="bottom"/>
          </w:tcPr>
          <w:p>
            <w:pPr>
              <w:spacing w:after="0"/>
              <w:rPr>
                <w:sz w:val="1"/>
                <w:szCs w:val="1"/>
                <w:color w:val="auto"/>
              </w:rPr>
            </w:pPr>
          </w:p>
        </w:tc>
      </w:tr>
      <w:tr>
        <w:trPr>
          <w:trHeight w:val="20"/>
        </w:trPr>
        <w:tc>
          <w:tcPr>
            <w:tcW w:w="4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Banc of America Leasing &amp; Capital, LLC</w:t>
            </w:r>
          </w:p>
        </w:tc>
        <w:tc>
          <w:tcPr>
            <w:tcW w:w="96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$15,000,000.00</w:t>
            </w:r>
          </w:p>
        </w:tc>
        <w:tc>
          <w:tcPr>
            <w:tcW w:w="700" w:type="dxa"/>
            <w:vAlign w:val="bottom"/>
            <w:vMerge w:val="continue"/>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The Huntington National Bank</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$11,666,666.67</w:t>
            </w:r>
          </w:p>
        </w:tc>
        <w:tc>
          <w:tcPr>
            <w:tcW w:w="2280" w:type="dxa"/>
            <w:vAlign w:val="bottom"/>
            <w:gridSpan w:val="3"/>
          </w:tcPr>
          <w:p>
            <w:pPr>
              <w:jc w:val="right"/>
              <w:ind w:right="60"/>
              <w:spacing w:after="0"/>
              <w:rPr>
                <w:sz w:val="20"/>
                <w:szCs w:val="20"/>
                <w:color w:val="auto"/>
              </w:rPr>
            </w:pPr>
            <w:r>
              <w:rPr>
                <w:rFonts w:ascii="Arial" w:cs="Arial" w:eastAsia="Arial" w:hAnsi="Arial"/>
                <w:sz w:val="18"/>
                <w:szCs w:val="18"/>
                <w:color w:val="auto"/>
              </w:rPr>
              <w:t>23.3333333%</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Pacific Western Bank</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$11,666,666.67</w:t>
            </w:r>
          </w:p>
        </w:tc>
        <w:tc>
          <w:tcPr>
            <w:tcW w:w="2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23.3333333%</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SunTrust Equipment Finance &amp; Leasing Corp.</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$11,666,666.66</w:t>
            </w:r>
          </w:p>
        </w:tc>
        <w:tc>
          <w:tcPr>
            <w:tcW w:w="2280" w:type="dxa"/>
            <w:vAlign w:val="bottom"/>
            <w:gridSpan w:val="3"/>
          </w:tcPr>
          <w:p>
            <w:pPr>
              <w:jc w:val="right"/>
              <w:ind w:right="60"/>
              <w:spacing w:after="0"/>
              <w:rPr>
                <w:sz w:val="20"/>
                <w:szCs w:val="20"/>
                <w:color w:val="auto"/>
              </w:rPr>
            </w:pPr>
            <w:r>
              <w:rPr>
                <w:rFonts w:ascii="Arial" w:cs="Arial" w:eastAsia="Arial" w:hAnsi="Arial"/>
                <w:sz w:val="18"/>
                <w:szCs w:val="18"/>
                <w:color w:val="auto"/>
              </w:rPr>
              <w:t>23.3333333%</w:t>
            </w:r>
          </w:p>
        </w:tc>
        <w:tc>
          <w:tcPr>
            <w:tcW w:w="0" w:type="dxa"/>
            <w:vAlign w:val="bottom"/>
          </w:tcPr>
          <w:p>
            <w:pPr>
              <w:spacing w:after="0"/>
              <w:rPr>
                <w:sz w:val="1"/>
                <w:szCs w:val="1"/>
                <w:color w:val="auto"/>
              </w:rPr>
            </w:pPr>
          </w:p>
        </w:tc>
      </w:tr>
    </w:tbl>
    <w:p>
      <w:pPr>
        <w:sectPr>
          <w:pgSz w:w="11900" w:h="16838" w:orient="portrait"/>
          <w:cols w:equalWidth="0" w:num="1">
            <w:col w:w="11340"/>
          </w:cols>
          <w:pgMar w:left="320" w:top="274" w:right="239" w:bottom="1440" w:gutter="0" w:footer="0" w:header="0"/>
        </w:sectPr>
      </w:pPr>
    </w:p>
    <w:bookmarkStart w:id="187" w:name="page188"/>
    <w:bookmarkEnd w:id="187"/>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4</w:t>
      </w:r>
    </w:p>
    <w:p>
      <w:pPr>
        <w:spacing w:after="0" w:line="212"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Equipment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12"/>
        </w:trPr>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Plant #</w:t>
            </w:r>
          </w:p>
        </w:tc>
        <w:tc>
          <w:tcPr>
            <w:tcW w:w="2940" w:type="dxa"/>
            <w:vAlign w:val="bottom"/>
            <w:gridSpan w:val="3"/>
          </w:tcPr>
          <w:p>
            <w:pPr>
              <w:ind w:left="260"/>
              <w:spacing w:after="0"/>
              <w:rPr>
                <w:sz w:val="20"/>
                <w:szCs w:val="20"/>
                <w:color w:val="auto"/>
              </w:rPr>
            </w:pPr>
            <w:r>
              <w:rPr>
                <w:rFonts w:ascii="Arial" w:cs="Arial" w:eastAsia="Arial" w:hAnsi="Arial"/>
                <w:sz w:val="14"/>
                <w:szCs w:val="14"/>
                <w:b w:val="1"/>
                <w:bCs w:val="1"/>
                <w:color w:val="auto"/>
              </w:rPr>
              <w:t>Name or Description</w:t>
            </w:r>
          </w:p>
        </w:tc>
        <w:tc>
          <w:tcPr>
            <w:tcW w:w="8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3"/>
          </w:tcPr>
          <w:p>
            <w:pPr>
              <w:ind w:left="180"/>
              <w:spacing w:after="0"/>
              <w:rPr>
                <w:sz w:val="20"/>
                <w:szCs w:val="20"/>
                <w:color w:val="auto"/>
              </w:rPr>
            </w:pPr>
            <w:r>
              <w:rPr>
                <w:rFonts w:ascii="Arial" w:cs="Arial" w:eastAsia="Arial" w:hAnsi="Arial"/>
                <w:sz w:val="14"/>
                <w:szCs w:val="14"/>
                <w:b w:val="1"/>
                <w:bCs w:val="1"/>
                <w:color w:val="auto"/>
              </w:rPr>
              <w:t>Type</w:t>
            </w:r>
          </w:p>
        </w:tc>
      </w:tr>
      <w:tr>
        <w:trPr>
          <w:trHeight w:val="195"/>
        </w:trPr>
        <w:tc>
          <w:tcPr>
            <w:tcW w:w="20" w:type="dxa"/>
            <w:vAlign w:val="bottom"/>
          </w:tcPr>
          <w:p>
            <w:pPr>
              <w:spacing w:after="0"/>
              <w:rPr>
                <w:sz w:val="16"/>
                <w:szCs w:val="16"/>
                <w:color w:val="auto"/>
              </w:rPr>
            </w:pPr>
          </w:p>
        </w:tc>
        <w:tc>
          <w:tcPr>
            <w:tcW w:w="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218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Booster 8</w:t>
            </w:r>
          </w:p>
        </w:tc>
        <w:tc>
          <w:tcPr>
            <w:tcW w:w="1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5"/>
              </w:rPr>
              <w:t>Skid</w:t>
            </w:r>
          </w:p>
        </w:tc>
        <w:tc>
          <w:tcPr>
            <w:tcW w:w="1500" w:type="dxa"/>
            <w:vAlign w:val="bottom"/>
          </w:tcPr>
          <w:p>
            <w:pPr>
              <w:ind w:left="60"/>
              <w:spacing w:after="0" w:line="195" w:lineRule="exact"/>
              <w:rPr>
                <w:sz w:val="20"/>
                <w:szCs w:val="20"/>
                <w:color w:val="auto"/>
              </w:rPr>
            </w:pPr>
            <w:r>
              <w:rPr>
                <w:rFonts w:ascii="Arial" w:cs="Arial" w:eastAsia="Arial" w:hAnsi="Arial"/>
                <w:sz w:val="18"/>
                <w:szCs w:val="18"/>
                <w:color w:val="auto"/>
              </w:rPr>
              <w:t>Mounted Booster</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R010</w:t>
            </w:r>
          </w:p>
        </w:tc>
        <w:tc>
          <w:tcPr>
            <w:tcW w:w="3980" w:type="dxa"/>
            <w:vAlign w:val="bottom"/>
            <w:gridSpan w:val="5"/>
          </w:tcPr>
          <w:p>
            <w:pPr>
              <w:ind w:left="260"/>
              <w:spacing w:after="0"/>
              <w:rPr>
                <w:sz w:val="20"/>
                <w:szCs w:val="20"/>
                <w:color w:val="auto"/>
              </w:rPr>
            </w:pPr>
            <w:r>
              <w:rPr>
                <w:rFonts w:ascii="Arial" w:cs="Arial" w:eastAsia="Arial" w:hAnsi="Arial"/>
                <w:sz w:val="18"/>
                <w:szCs w:val="18"/>
                <w:color w:val="auto"/>
              </w:rPr>
              <w:t>IOWA</w:t>
            </w: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rPr>
              <w:t>Cutter Suction Dredge</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R011</w:t>
            </w:r>
          </w:p>
        </w:tc>
        <w:tc>
          <w:tcPr>
            <w:tcW w:w="3980" w:type="dxa"/>
            <w:vAlign w:val="bottom"/>
            <w:gridSpan w:val="5"/>
          </w:tcPr>
          <w:p>
            <w:pPr>
              <w:ind w:left="260"/>
              <w:spacing w:after="0"/>
              <w:rPr>
                <w:sz w:val="20"/>
                <w:szCs w:val="20"/>
                <w:color w:val="auto"/>
              </w:rPr>
            </w:pPr>
            <w:r>
              <w:rPr>
                <w:rFonts w:ascii="Arial" w:cs="Arial" w:eastAsia="Arial" w:hAnsi="Arial"/>
                <w:sz w:val="18"/>
                <w:szCs w:val="18"/>
                <w:color w:val="auto"/>
              </w:rPr>
              <w:t>SANDPIPER</w:t>
            </w: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rPr>
              <w:t>Cutter Suction Dredge</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R012</w:t>
            </w:r>
          </w:p>
        </w:tc>
        <w:tc>
          <w:tcPr>
            <w:tcW w:w="3980" w:type="dxa"/>
            <w:vAlign w:val="bottom"/>
            <w:gridSpan w:val="5"/>
          </w:tcPr>
          <w:p>
            <w:pPr>
              <w:ind w:left="260"/>
              <w:spacing w:after="0"/>
              <w:rPr>
                <w:sz w:val="20"/>
                <w:szCs w:val="20"/>
                <w:color w:val="auto"/>
              </w:rPr>
            </w:pPr>
            <w:r>
              <w:rPr>
                <w:rFonts w:ascii="Arial" w:cs="Arial" w:eastAsia="Arial" w:hAnsi="Arial"/>
                <w:sz w:val="18"/>
                <w:szCs w:val="18"/>
                <w:color w:val="auto"/>
              </w:rPr>
              <w:t>L.W.</w:t>
            </w: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rPr>
              <w:t>Cutter Suction Dredge</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R013</w:t>
            </w:r>
          </w:p>
        </w:tc>
        <w:tc>
          <w:tcPr>
            <w:tcW w:w="3980" w:type="dxa"/>
            <w:vAlign w:val="bottom"/>
            <w:gridSpan w:val="5"/>
          </w:tcPr>
          <w:p>
            <w:pPr>
              <w:ind w:left="260"/>
              <w:spacing w:after="0"/>
              <w:rPr>
                <w:sz w:val="20"/>
                <w:szCs w:val="20"/>
                <w:color w:val="auto"/>
              </w:rPr>
            </w:pPr>
            <w:r>
              <w:rPr>
                <w:rFonts w:ascii="Arial" w:cs="Arial" w:eastAsia="Arial" w:hAnsi="Arial"/>
                <w:sz w:val="18"/>
                <w:szCs w:val="18"/>
                <w:color w:val="auto"/>
              </w:rPr>
              <w:t>L.P.</w:t>
            </w: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rPr>
              <w:t>Cutter Suction Dredge</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R016</w:t>
            </w:r>
          </w:p>
        </w:tc>
        <w:tc>
          <w:tcPr>
            <w:tcW w:w="3980" w:type="dxa"/>
            <w:vAlign w:val="bottom"/>
            <w:gridSpan w:val="5"/>
          </w:tcPr>
          <w:p>
            <w:pPr>
              <w:ind w:left="260"/>
              <w:spacing w:after="0"/>
              <w:rPr>
                <w:sz w:val="20"/>
                <w:szCs w:val="20"/>
                <w:color w:val="auto"/>
              </w:rPr>
            </w:pPr>
            <w:r>
              <w:rPr>
                <w:rFonts w:ascii="Arial" w:cs="Arial" w:eastAsia="Arial" w:hAnsi="Arial"/>
                <w:sz w:val="18"/>
                <w:szCs w:val="18"/>
                <w:color w:val="auto"/>
              </w:rPr>
              <w:t>COMADOR</w:t>
            </w: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rPr>
              <w:t>Cutter Suction Dredge</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R017</w:t>
            </w:r>
          </w:p>
        </w:tc>
        <w:tc>
          <w:tcPr>
            <w:tcW w:w="3980" w:type="dxa"/>
            <w:vAlign w:val="bottom"/>
            <w:gridSpan w:val="5"/>
          </w:tcPr>
          <w:p>
            <w:pPr>
              <w:ind w:left="260"/>
              <w:spacing w:after="0"/>
              <w:rPr>
                <w:sz w:val="20"/>
                <w:szCs w:val="20"/>
                <w:color w:val="auto"/>
              </w:rPr>
            </w:pPr>
            <w:r>
              <w:rPr>
                <w:rFonts w:ascii="Arial" w:cs="Arial" w:eastAsia="Arial" w:hAnsi="Arial"/>
                <w:sz w:val="18"/>
                <w:szCs w:val="18"/>
                <w:color w:val="auto"/>
              </w:rPr>
              <w:t>CHRIS L</w:t>
            </w: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rPr>
              <w:t>Cutter Suction Dredge</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R018</w:t>
            </w:r>
          </w:p>
        </w:tc>
        <w:tc>
          <w:tcPr>
            <w:tcW w:w="3980" w:type="dxa"/>
            <w:vAlign w:val="bottom"/>
            <w:gridSpan w:val="5"/>
          </w:tcPr>
          <w:p>
            <w:pPr>
              <w:ind w:left="260"/>
              <w:spacing w:after="0"/>
              <w:rPr>
                <w:sz w:val="20"/>
                <w:szCs w:val="20"/>
                <w:color w:val="auto"/>
              </w:rPr>
            </w:pPr>
            <w:r>
              <w:rPr>
                <w:rFonts w:ascii="Arial" w:cs="Arial" w:eastAsia="Arial" w:hAnsi="Arial"/>
                <w:sz w:val="18"/>
                <w:szCs w:val="18"/>
                <w:color w:val="auto"/>
              </w:rPr>
              <w:t>LAKE LADY</w:t>
            </w: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rPr>
              <w:t>Cutter Suction Dredge</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R030</w:t>
            </w:r>
          </w:p>
        </w:tc>
        <w:tc>
          <w:tcPr>
            <w:tcW w:w="3980" w:type="dxa"/>
            <w:vAlign w:val="bottom"/>
            <w:gridSpan w:val="5"/>
          </w:tcPr>
          <w:p>
            <w:pPr>
              <w:ind w:left="260"/>
              <w:spacing w:after="0"/>
              <w:rPr>
                <w:sz w:val="20"/>
                <w:szCs w:val="20"/>
                <w:color w:val="auto"/>
              </w:rPr>
            </w:pPr>
            <w:r>
              <w:rPr>
                <w:rFonts w:ascii="Arial" w:cs="Arial" w:eastAsia="Arial" w:hAnsi="Arial"/>
                <w:sz w:val="18"/>
                <w:szCs w:val="18"/>
                <w:color w:val="auto"/>
              </w:rPr>
              <w:t>Booster 30-22 (22” Diesel)</w:t>
            </w: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rPr>
              <w:t>Skid Mounted Booster</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R031</w:t>
            </w:r>
          </w:p>
        </w:tc>
        <w:tc>
          <w:tcPr>
            <w:tcW w:w="3980" w:type="dxa"/>
            <w:vAlign w:val="bottom"/>
            <w:gridSpan w:val="5"/>
          </w:tcPr>
          <w:p>
            <w:pPr>
              <w:ind w:left="260"/>
              <w:spacing w:after="0"/>
              <w:rPr>
                <w:sz w:val="20"/>
                <w:szCs w:val="20"/>
                <w:color w:val="auto"/>
              </w:rPr>
            </w:pPr>
            <w:r>
              <w:rPr>
                <w:rFonts w:ascii="Arial" w:cs="Arial" w:eastAsia="Arial" w:hAnsi="Arial"/>
                <w:sz w:val="18"/>
                <w:szCs w:val="18"/>
                <w:color w:val="auto"/>
              </w:rPr>
              <w:t>Booster 31-22 (22” Diesel)</w:t>
            </w: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rPr>
              <w:t>Skid Mounted Booster</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R032</w:t>
            </w:r>
          </w:p>
        </w:tc>
        <w:tc>
          <w:tcPr>
            <w:tcW w:w="3980" w:type="dxa"/>
            <w:vAlign w:val="bottom"/>
            <w:gridSpan w:val="5"/>
          </w:tcPr>
          <w:p>
            <w:pPr>
              <w:ind w:left="260"/>
              <w:spacing w:after="0"/>
              <w:rPr>
                <w:sz w:val="20"/>
                <w:szCs w:val="20"/>
                <w:color w:val="auto"/>
              </w:rPr>
            </w:pPr>
            <w:r>
              <w:rPr>
                <w:rFonts w:ascii="Arial" w:cs="Arial" w:eastAsia="Arial" w:hAnsi="Arial"/>
                <w:sz w:val="18"/>
                <w:szCs w:val="18"/>
                <w:color w:val="auto"/>
              </w:rPr>
              <w:t>Booster 32-20 (20” Diesel)</w:t>
            </w: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rPr>
              <w:t>Skid Mounted Booster</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R033</w:t>
            </w:r>
          </w:p>
        </w:tc>
        <w:tc>
          <w:tcPr>
            <w:tcW w:w="3980" w:type="dxa"/>
            <w:vAlign w:val="bottom"/>
            <w:gridSpan w:val="5"/>
          </w:tcPr>
          <w:p>
            <w:pPr>
              <w:ind w:left="260"/>
              <w:spacing w:after="0"/>
              <w:rPr>
                <w:sz w:val="20"/>
                <w:szCs w:val="20"/>
                <w:color w:val="auto"/>
              </w:rPr>
            </w:pPr>
            <w:r>
              <w:rPr>
                <w:rFonts w:ascii="Arial" w:cs="Arial" w:eastAsia="Arial" w:hAnsi="Arial"/>
                <w:sz w:val="18"/>
                <w:szCs w:val="18"/>
                <w:color w:val="auto"/>
              </w:rPr>
              <w:t>Booster 33-20 (20” Diesel)</w:t>
            </w: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rPr>
              <w:t>Skid Mounted Booster</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R034</w:t>
            </w:r>
          </w:p>
        </w:tc>
        <w:tc>
          <w:tcPr>
            <w:tcW w:w="3980" w:type="dxa"/>
            <w:vAlign w:val="bottom"/>
            <w:gridSpan w:val="5"/>
          </w:tcPr>
          <w:p>
            <w:pPr>
              <w:ind w:left="260"/>
              <w:spacing w:after="0"/>
              <w:rPr>
                <w:sz w:val="20"/>
                <w:szCs w:val="20"/>
                <w:color w:val="auto"/>
              </w:rPr>
            </w:pPr>
            <w:r>
              <w:rPr>
                <w:rFonts w:ascii="Arial" w:cs="Arial" w:eastAsia="Arial" w:hAnsi="Arial"/>
                <w:sz w:val="18"/>
                <w:szCs w:val="18"/>
                <w:color w:val="auto"/>
              </w:rPr>
              <w:t>Booster 34-20 20” Electric-Skid Mounted</w:t>
            </w: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rPr>
              <w:t>Skid Mounted Booster</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R035</w:t>
            </w:r>
          </w:p>
        </w:tc>
        <w:tc>
          <w:tcPr>
            <w:tcW w:w="3980" w:type="dxa"/>
            <w:vAlign w:val="bottom"/>
            <w:gridSpan w:val="5"/>
          </w:tcPr>
          <w:p>
            <w:pPr>
              <w:ind w:left="260"/>
              <w:spacing w:after="0"/>
              <w:rPr>
                <w:sz w:val="20"/>
                <w:szCs w:val="20"/>
                <w:color w:val="auto"/>
              </w:rPr>
            </w:pPr>
            <w:r>
              <w:rPr>
                <w:rFonts w:ascii="Arial" w:cs="Arial" w:eastAsia="Arial" w:hAnsi="Arial"/>
                <w:sz w:val="18"/>
                <w:szCs w:val="18"/>
                <w:color w:val="auto"/>
              </w:rPr>
              <w:t>Booster 35-20 (20” Electric)</w:t>
            </w: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rPr>
              <w:t>Skid Mounted Booster</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R044</w:t>
            </w:r>
          </w:p>
        </w:tc>
        <w:tc>
          <w:tcPr>
            <w:tcW w:w="3980" w:type="dxa"/>
            <w:vAlign w:val="bottom"/>
            <w:gridSpan w:val="5"/>
          </w:tcPr>
          <w:p>
            <w:pPr>
              <w:ind w:left="260"/>
              <w:spacing w:after="0"/>
              <w:rPr>
                <w:sz w:val="20"/>
                <w:szCs w:val="20"/>
                <w:color w:val="auto"/>
              </w:rPr>
            </w:pPr>
            <w:r>
              <w:rPr>
                <w:rFonts w:ascii="Arial" w:cs="Arial" w:eastAsia="Arial" w:hAnsi="Arial"/>
                <w:sz w:val="18"/>
                <w:szCs w:val="18"/>
                <w:color w:val="auto"/>
              </w:rPr>
              <w:t>Booster 44-20</w:t>
            </w: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rPr>
              <w:t>Skid Mounted Booster</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R045</w:t>
            </w:r>
          </w:p>
        </w:tc>
        <w:tc>
          <w:tcPr>
            <w:tcW w:w="3980" w:type="dxa"/>
            <w:vAlign w:val="bottom"/>
            <w:gridSpan w:val="5"/>
          </w:tcPr>
          <w:p>
            <w:pPr>
              <w:ind w:left="260"/>
              <w:spacing w:after="0"/>
              <w:rPr>
                <w:sz w:val="20"/>
                <w:szCs w:val="20"/>
                <w:color w:val="auto"/>
              </w:rPr>
            </w:pPr>
            <w:r>
              <w:rPr>
                <w:rFonts w:ascii="Arial" w:cs="Arial" w:eastAsia="Arial" w:hAnsi="Arial"/>
                <w:sz w:val="18"/>
                <w:szCs w:val="18"/>
                <w:color w:val="auto"/>
              </w:rPr>
              <w:t>Booster 45-20</w:t>
            </w: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rPr>
              <w:t>Skid Mounted Booster</w:t>
            </w:r>
          </w:p>
        </w:tc>
      </w:tr>
      <w:tr>
        <w:trPr>
          <w:trHeight w:val="230"/>
        </w:trPr>
        <w:tc>
          <w:tcPr>
            <w:tcW w:w="20" w:type="dxa"/>
            <w:vAlign w:val="bottom"/>
          </w:tcPr>
          <w:p>
            <w:pPr>
              <w:spacing w:after="0"/>
              <w:rPr>
                <w:sz w:val="20"/>
                <w:szCs w:val="20"/>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R099</w:t>
            </w:r>
          </w:p>
        </w:tc>
        <w:tc>
          <w:tcPr>
            <w:tcW w:w="3980" w:type="dxa"/>
            <w:vAlign w:val="bottom"/>
            <w:gridSpan w:val="5"/>
          </w:tcPr>
          <w:p>
            <w:pPr>
              <w:ind w:left="260"/>
              <w:spacing w:after="0"/>
              <w:rPr>
                <w:sz w:val="20"/>
                <w:szCs w:val="20"/>
                <w:color w:val="auto"/>
              </w:rPr>
            </w:pPr>
            <w:r>
              <w:rPr>
                <w:rFonts w:ascii="Arial" w:cs="Arial" w:eastAsia="Arial" w:hAnsi="Arial"/>
                <w:sz w:val="18"/>
                <w:szCs w:val="18"/>
                <w:color w:val="auto"/>
              </w:rPr>
              <w:t>Sectional barges and transition frames</w:t>
            </w: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w w:val="97"/>
              </w:rPr>
              <w:t>23 (10’X40’), 4 (8’X32’)</w:t>
            </w:r>
          </w:p>
        </w:tc>
      </w:tr>
    </w:tbl>
    <w:p>
      <w:pPr>
        <w:sectPr>
          <w:pgSz w:w="11900" w:h="16838" w:orient="portrait"/>
          <w:cols w:equalWidth="0" w:num="1">
            <w:col w:w="11340"/>
          </w:cols>
          <w:pgMar w:left="320" w:top="274" w:right="239" w:bottom="1440" w:gutter="0" w:footer="0" w:header="0"/>
        </w:sectPr>
      </w:pPr>
    </w:p>
    <w:bookmarkStart w:id="188" w:name="page189"/>
    <w:bookmarkEnd w:id="188"/>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5</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u w:val="single" w:color="auto"/>
          <w:color w:val="auto"/>
        </w:rPr>
        <w:t>Vessels</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40" w:type="dxa"/>
            <w:vAlign w:val="bottom"/>
          </w:tcPr>
          <w:p>
            <w:pPr>
              <w:spacing w:after="0"/>
              <w:rPr>
                <w:sz w:val="20"/>
                <w:szCs w:val="20"/>
                <w:color w:val="auto"/>
              </w:rPr>
            </w:pPr>
            <w:r>
              <w:rPr>
                <w:rFonts w:ascii="Arial" w:cs="Arial" w:eastAsia="Arial" w:hAnsi="Arial"/>
                <w:sz w:val="14"/>
                <w:szCs w:val="14"/>
                <w:b w:val="1"/>
                <w:bCs w:val="1"/>
                <w:color w:val="auto"/>
                <w:w w:val="91"/>
              </w:rPr>
              <w:t>Plant #</w:t>
            </w:r>
          </w:p>
        </w:tc>
        <w:tc>
          <w:tcPr>
            <w:tcW w:w="4300" w:type="dxa"/>
            <w:vAlign w:val="bottom"/>
            <w:gridSpan w:val="3"/>
          </w:tcPr>
          <w:p>
            <w:pPr>
              <w:ind w:left="600"/>
              <w:spacing w:after="0"/>
              <w:rPr>
                <w:sz w:val="20"/>
                <w:szCs w:val="20"/>
                <w:color w:val="auto"/>
              </w:rPr>
            </w:pPr>
            <w:r>
              <w:rPr>
                <w:rFonts w:ascii="Arial" w:cs="Arial" w:eastAsia="Arial" w:hAnsi="Arial"/>
                <w:sz w:val="14"/>
                <w:szCs w:val="14"/>
                <w:b w:val="1"/>
                <w:bCs w:val="1"/>
                <w:color w:val="auto"/>
              </w:rPr>
              <w:t>Vessel Name</w:t>
            </w:r>
          </w:p>
        </w:tc>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Vessel Type</w:t>
            </w:r>
          </w:p>
        </w:tc>
        <w:tc>
          <w:tcPr>
            <w:tcW w:w="1020" w:type="dxa"/>
            <w:vAlign w:val="bottom"/>
          </w:tcPr>
          <w:p>
            <w:pPr>
              <w:spacing w:after="0"/>
              <w:rPr>
                <w:sz w:val="20"/>
                <w:szCs w:val="20"/>
                <w:color w:val="auto"/>
              </w:rPr>
            </w:pPr>
            <w:r>
              <w:rPr>
                <w:rFonts w:ascii="Arial" w:cs="Arial" w:eastAsia="Arial" w:hAnsi="Arial"/>
                <w:sz w:val="14"/>
                <w:szCs w:val="14"/>
                <w:b w:val="1"/>
                <w:bCs w:val="1"/>
                <w:color w:val="auto"/>
                <w:w w:val="95"/>
              </w:rPr>
              <w:t>Official Number</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60" w:type="dxa"/>
            <w:vAlign w:val="bottom"/>
            <w:vMerge w:val="restart"/>
          </w:tcPr>
          <w:p>
            <w:pPr>
              <w:ind w:left="20"/>
              <w:spacing w:after="0"/>
              <w:rPr>
                <w:sz w:val="20"/>
                <w:szCs w:val="20"/>
                <w:color w:val="auto"/>
              </w:rPr>
            </w:pPr>
            <w:r>
              <w:rPr>
                <w:rFonts w:ascii="Arial" w:cs="Arial" w:eastAsia="Arial" w:hAnsi="Arial"/>
                <w:sz w:val="18"/>
                <w:szCs w:val="18"/>
                <w:color w:val="auto"/>
              </w:rPr>
              <w:t>Barge</w:t>
            </w: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jc w:val="center"/>
              <w:spacing w:after="0" w:line="189" w:lineRule="exact"/>
              <w:rPr>
                <w:sz w:val="20"/>
                <w:szCs w:val="20"/>
                <w:color w:val="auto"/>
              </w:rPr>
            </w:pPr>
            <w:r>
              <w:rPr>
                <w:rFonts w:ascii="Arial" w:cs="Arial" w:eastAsia="Arial" w:hAnsi="Arial"/>
                <w:sz w:val="18"/>
                <w:szCs w:val="18"/>
                <w:color w:val="auto"/>
                <w:w w:val="93"/>
              </w:rPr>
              <w:t>243</w:t>
            </w:r>
          </w:p>
        </w:tc>
        <w:tc>
          <w:tcPr>
            <w:tcW w:w="600" w:type="dxa"/>
            <w:vAlign w:val="bottom"/>
          </w:tcPr>
          <w:p>
            <w:pPr>
              <w:spacing w:after="0"/>
              <w:rPr>
                <w:sz w:val="16"/>
                <w:szCs w:val="16"/>
                <w:color w:val="auto"/>
              </w:rPr>
            </w:pPr>
          </w:p>
        </w:tc>
        <w:tc>
          <w:tcPr>
            <w:tcW w:w="3700" w:type="dxa"/>
            <w:vAlign w:val="bottom"/>
            <w:gridSpan w:val="2"/>
          </w:tcPr>
          <w:p>
            <w:pPr>
              <w:spacing w:after="0" w:line="189" w:lineRule="exact"/>
              <w:rPr>
                <w:sz w:val="20"/>
                <w:szCs w:val="20"/>
                <w:color w:val="auto"/>
              </w:rPr>
            </w:pPr>
            <w:r>
              <w:rPr>
                <w:rFonts w:ascii="Arial" w:cs="Arial" w:eastAsia="Arial" w:hAnsi="Arial"/>
                <w:sz w:val="18"/>
                <w:szCs w:val="18"/>
                <w:color w:val="auto"/>
              </w:rPr>
              <w:t>FUEL BARGE 1001</w:t>
            </w:r>
          </w:p>
        </w:tc>
        <w:tc>
          <w:tcPr>
            <w:tcW w:w="720" w:type="dxa"/>
            <w:vAlign w:val="bottom"/>
          </w:tcPr>
          <w:p>
            <w:pPr>
              <w:spacing w:after="0" w:line="189" w:lineRule="exact"/>
              <w:rPr>
                <w:sz w:val="20"/>
                <w:szCs w:val="20"/>
                <w:color w:val="auto"/>
              </w:rPr>
            </w:pPr>
            <w:r>
              <w:rPr>
                <w:rFonts w:ascii="Arial" w:cs="Arial" w:eastAsia="Arial" w:hAnsi="Arial"/>
                <w:sz w:val="18"/>
                <w:szCs w:val="18"/>
                <w:color w:val="auto"/>
                <w:w w:val="92"/>
              </w:rPr>
              <w:t>New Fuel</w:t>
            </w:r>
          </w:p>
        </w:tc>
        <w:tc>
          <w:tcPr>
            <w:tcW w:w="2860" w:type="dxa"/>
            <w:vAlign w:val="bottom"/>
            <w:vMerge w:val="continue"/>
          </w:tcPr>
          <w:p>
            <w:pPr>
              <w:spacing w:after="0"/>
              <w:rPr>
                <w:sz w:val="16"/>
                <w:szCs w:val="16"/>
                <w:color w:val="auto"/>
              </w:rPr>
            </w:pPr>
          </w:p>
        </w:tc>
        <w:tc>
          <w:tcPr>
            <w:tcW w:w="1020" w:type="dxa"/>
            <w:vAlign w:val="bottom"/>
          </w:tcPr>
          <w:p>
            <w:pPr>
              <w:jc w:val="center"/>
              <w:spacing w:after="0" w:line="189" w:lineRule="exact"/>
              <w:rPr>
                <w:sz w:val="20"/>
                <w:szCs w:val="20"/>
                <w:color w:val="auto"/>
              </w:rPr>
            </w:pPr>
            <w:r>
              <w:rPr>
                <w:rFonts w:ascii="Arial" w:cs="Arial" w:eastAsia="Arial" w:hAnsi="Arial"/>
                <w:sz w:val="18"/>
                <w:szCs w:val="18"/>
                <w:color w:val="auto"/>
                <w:w w:val="91"/>
              </w:rPr>
              <w:t>1253489</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93"/>
              </w:rPr>
              <w:t>533</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G. L. 175</w:t>
            </w:r>
          </w:p>
        </w:tc>
        <w:tc>
          <w:tcPr>
            <w:tcW w:w="3580" w:type="dxa"/>
            <w:vAlign w:val="bottom"/>
            <w:gridSpan w:val="2"/>
          </w:tcPr>
          <w:p>
            <w:pPr>
              <w:spacing w:after="0"/>
              <w:rPr>
                <w:sz w:val="20"/>
                <w:szCs w:val="20"/>
                <w:color w:val="auto"/>
              </w:rPr>
            </w:pPr>
            <w:r>
              <w:rPr>
                <w:rFonts w:ascii="Arial" w:cs="Arial" w:eastAsia="Arial" w:hAnsi="Arial"/>
                <w:sz w:val="18"/>
                <w:szCs w:val="18"/>
                <w:color w:val="auto"/>
              </w:rPr>
              <w:t>Spider Barge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650209</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93"/>
              </w:rPr>
              <w:t>575</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G.L. 112</w:t>
            </w:r>
          </w:p>
        </w:tc>
        <w:tc>
          <w:tcPr>
            <w:tcW w:w="3580" w:type="dxa"/>
            <w:vAlign w:val="bottom"/>
            <w:gridSpan w:val="2"/>
          </w:tcPr>
          <w:p>
            <w:pPr>
              <w:spacing w:after="0"/>
              <w:rPr>
                <w:sz w:val="20"/>
                <w:szCs w:val="20"/>
                <w:color w:val="auto"/>
              </w:rPr>
            </w:pPr>
            <w:r>
              <w:rPr>
                <w:rFonts w:ascii="Arial" w:cs="Arial" w:eastAsia="Arial" w:hAnsi="Arial"/>
                <w:sz w:val="18"/>
                <w:szCs w:val="18"/>
                <w:color w:val="auto"/>
              </w:rPr>
              <w:t>Anchor Barge</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1253488</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93"/>
              </w:rPr>
              <w:t>565</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G.L. 111</w:t>
            </w:r>
          </w:p>
        </w:tc>
        <w:tc>
          <w:tcPr>
            <w:tcW w:w="3580" w:type="dxa"/>
            <w:vAlign w:val="bottom"/>
            <w:gridSpan w:val="2"/>
          </w:tcPr>
          <w:p>
            <w:pPr>
              <w:spacing w:after="0"/>
              <w:rPr>
                <w:sz w:val="20"/>
                <w:szCs w:val="20"/>
                <w:color w:val="auto"/>
              </w:rPr>
            </w:pPr>
            <w:r>
              <w:rPr>
                <w:rFonts w:ascii="Arial" w:cs="Arial" w:eastAsia="Arial" w:hAnsi="Arial"/>
                <w:sz w:val="18"/>
                <w:szCs w:val="18"/>
                <w:color w:val="auto"/>
              </w:rPr>
              <w:t>Anchor Barge</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1253487</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93"/>
              </w:rPr>
              <w:t>600</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DERRICK 60</w:t>
            </w:r>
          </w:p>
        </w:tc>
        <w:tc>
          <w:tcPr>
            <w:tcW w:w="3580" w:type="dxa"/>
            <w:vAlign w:val="bottom"/>
            <w:gridSpan w:val="2"/>
          </w:tcPr>
          <w:p>
            <w:pPr>
              <w:spacing w:after="0"/>
              <w:rPr>
                <w:sz w:val="20"/>
                <w:szCs w:val="20"/>
                <w:color w:val="auto"/>
              </w:rPr>
            </w:pPr>
            <w:r>
              <w:rPr>
                <w:rFonts w:ascii="Arial" w:cs="Arial" w:eastAsia="Arial" w:hAnsi="Arial"/>
                <w:sz w:val="18"/>
                <w:szCs w:val="18"/>
                <w:color w:val="auto"/>
              </w:rPr>
              <w:t>Derrick</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286687</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93"/>
              </w:rPr>
              <w:t>606</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DERRICK 66</w:t>
            </w:r>
          </w:p>
        </w:tc>
        <w:tc>
          <w:tcPr>
            <w:tcW w:w="3580" w:type="dxa"/>
            <w:vAlign w:val="bottom"/>
            <w:gridSpan w:val="2"/>
          </w:tcPr>
          <w:p>
            <w:pPr>
              <w:spacing w:after="0"/>
              <w:rPr>
                <w:sz w:val="20"/>
                <w:szCs w:val="20"/>
                <w:color w:val="auto"/>
              </w:rPr>
            </w:pPr>
            <w:r>
              <w:rPr>
                <w:rFonts w:ascii="Arial" w:cs="Arial" w:eastAsia="Arial" w:hAnsi="Arial"/>
                <w:sz w:val="18"/>
                <w:szCs w:val="18"/>
                <w:color w:val="auto"/>
              </w:rPr>
              <w:t>Derrick</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695433</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93"/>
              </w:rPr>
              <w:t>608</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DERRICK 68</w:t>
            </w:r>
          </w:p>
        </w:tc>
        <w:tc>
          <w:tcPr>
            <w:tcW w:w="3580" w:type="dxa"/>
            <w:vAlign w:val="bottom"/>
            <w:gridSpan w:val="2"/>
          </w:tcPr>
          <w:p>
            <w:pPr>
              <w:spacing w:after="0"/>
              <w:rPr>
                <w:sz w:val="20"/>
                <w:szCs w:val="20"/>
                <w:color w:val="auto"/>
              </w:rPr>
            </w:pPr>
            <w:r>
              <w:rPr>
                <w:rFonts w:ascii="Arial" w:cs="Arial" w:eastAsia="Arial" w:hAnsi="Arial"/>
                <w:sz w:val="18"/>
                <w:szCs w:val="18"/>
                <w:color w:val="auto"/>
              </w:rPr>
              <w:t>Derrick</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252050</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93"/>
              </w:rPr>
              <w:t>609</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DERRICK 69</w:t>
            </w:r>
          </w:p>
        </w:tc>
        <w:tc>
          <w:tcPr>
            <w:tcW w:w="3580" w:type="dxa"/>
            <w:vAlign w:val="bottom"/>
            <w:gridSpan w:val="2"/>
          </w:tcPr>
          <w:p>
            <w:pPr>
              <w:spacing w:after="0"/>
              <w:rPr>
                <w:sz w:val="20"/>
                <w:szCs w:val="20"/>
                <w:color w:val="auto"/>
              </w:rPr>
            </w:pPr>
            <w:r>
              <w:rPr>
                <w:rFonts w:ascii="Arial" w:cs="Arial" w:eastAsia="Arial" w:hAnsi="Arial"/>
                <w:sz w:val="18"/>
                <w:szCs w:val="18"/>
                <w:color w:val="auto"/>
              </w:rPr>
              <w:t>Derrick</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530661</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93"/>
              </w:rPr>
              <w:t>610</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DERRICK 70</w:t>
            </w:r>
          </w:p>
        </w:tc>
        <w:tc>
          <w:tcPr>
            <w:tcW w:w="3580" w:type="dxa"/>
            <w:vAlign w:val="bottom"/>
            <w:gridSpan w:val="2"/>
          </w:tcPr>
          <w:p>
            <w:pPr>
              <w:spacing w:after="0"/>
              <w:rPr>
                <w:sz w:val="20"/>
                <w:szCs w:val="20"/>
                <w:color w:val="auto"/>
              </w:rPr>
            </w:pPr>
            <w:r>
              <w:rPr>
                <w:rFonts w:ascii="Arial" w:cs="Arial" w:eastAsia="Arial" w:hAnsi="Arial"/>
                <w:sz w:val="18"/>
                <w:szCs w:val="18"/>
                <w:color w:val="auto"/>
              </w:rPr>
              <w:t>Derrick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1212358</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93"/>
              </w:rPr>
              <w:t>604</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DERRICK 64</w:t>
            </w:r>
          </w:p>
        </w:tc>
        <w:tc>
          <w:tcPr>
            <w:tcW w:w="3580" w:type="dxa"/>
            <w:vAlign w:val="bottom"/>
            <w:gridSpan w:val="2"/>
          </w:tcPr>
          <w:p>
            <w:pPr>
              <w:spacing w:after="0"/>
              <w:rPr>
                <w:sz w:val="20"/>
                <w:szCs w:val="20"/>
                <w:color w:val="auto"/>
              </w:rPr>
            </w:pPr>
            <w:r>
              <w:rPr>
                <w:rFonts w:ascii="Arial" w:cs="Arial" w:eastAsia="Arial" w:hAnsi="Arial"/>
                <w:sz w:val="18"/>
                <w:szCs w:val="18"/>
                <w:color w:val="auto"/>
              </w:rPr>
              <w:t>Derrick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1184264</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93"/>
              </w:rPr>
              <w:t>306</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JACK NEWMAN</w:t>
            </w:r>
          </w:p>
        </w:tc>
        <w:tc>
          <w:tcPr>
            <w:tcW w:w="3580" w:type="dxa"/>
            <w:vAlign w:val="bottom"/>
            <w:gridSpan w:val="2"/>
          </w:tcPr>
          <w:p>
            <w:pPr>
              <w:spacing w:after="0"/>
              <w:rPr>
                <w:sz w:val="20"/>
                <w:szCs w:val="20"/>
                <w:color w:val="auto"/>
              </w:rPr>
            </w:pPr>
            <w:r>
              <w:rPr>
                <w:rFonts w:ascii="Arial" w:cs="Arial" w:eastAsia="Arial" w:hAnsi="Arial"/>
                <w:sz w:val="18"/>
                <w:szCs w:val="18"/>
                <w:color w:val="auto"/>
              </w:rPr>
              <w:t>Tug</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293297</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93"/>
              </w:rPr>
              <w:t>316</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MCCORMACK BOYS</w:t>
            </w:r>
          </w:p>
        </w:tc>
        <w:tc>
          <w:tcPr>
            <w:tcW w:w="3580" w:type="dxa"/>
            <w:vAlign w:val="bottom"/>
            <w:gridSpan w:val="2"/>
          </w:tcPr>
          <w:p>
            <w:pPr>
              <w:spacing w:after="0"/>
              <w:rPr>
                <w:sz w:val="20"/>
                <w:szCs w:val="20"/>
                <w:color w:val="auto"/>
              </w:rPr>
            </w:pPr>
            <w:r>
              <w:rPr>
                <w:rFonts w:ascii="Arial" w:cs="Arial" w:eastAsia="Arial" w:hAnsi="Arial"/>
                <w:sz w:val="18"/>
                <w:szCs w:val="18"/>
                <w:color w:val="auto"/>
              </w:rPr>
              <w:t>Tug</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646543</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93"/>
              </w:rPr>
              <w:t>433</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G.L. 33</w:t>
            </w:r>
          </w:p>
        </w:tc>
        <w:tc>
          <w:tcPr>
            <w:tcW w:w="3580" w:type="dxa"/>
            <w:vAlign w:val="bottom"/>
            <w:gridSpan w:val="2"/>
          </w:tcPr>
          <w:p>
            <w:pPr>
              <w:spacing w:after="0"/>
              <w:rPr>
                <w:sz w:val="20"/>
                <w:szCs w:val="20"/>
                <w:color w:val="auto"/>
              </w:rPr>
            </w:pPr>
            <w:r>
              <w:rPr>
                <w:rFonts w:ascii="Arial" w:cs="Arial" w:eastAsia="Arial" w:hAnsi="Arial"/>
                <w:sz w:val="18"/>
                <w:szCs w:val="18"/>
                <w:color w:val="auto"/>
              </w:rPr>
              <w:t>Dump Scow</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612272</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93"/>
              </w:rPr>
              <w:t>435</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G.L. 35</w:t>
            </w:r>
          </w:p>
        </w:tc>
        <w:tc>
          <w:tcPr>
            <w:tcW w:w="3580" w:type="dxa"/>
            <w:vAlign w:val="bottom"/>
            <w:gridSpan w:val="2"/>
          </w:tcPr>
          <w:p>
            <w:pPr>
              <w:spacing w:after="0"/>
              <w:rPr>
                <w:sz w:val="20"/>
                <w:szCs w:val="20"/>
                <w:color w:val="auto"/>
              </w:rPr>
            </w:pPr>
            <w:r>
              <w:rPr>
                <w:rFonts w:ascii="Arial" w:cs="Arial" w:eastAsia="Arial" w:hAnsi="Arial"/>
                <w:sz w:val="18"/>
                <w:szCs w:val="18"/>
                <w:color w:val="auto"/>
              </w:rPr>
              <w:t>Dump Scow</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563732</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93"/>
              </w:rPr>
              <w:t>463</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G.L. 63</w:t>
            </w:r>
          </w:p>
        </w:tc>
        <w:tc>
          <w:tcPr>
            <w:tcW w:w="3580" w:type="dxa"/>
            <w:vAlign w:val="bottom"/>
            <w:gridSpan w:val="2"/>
          </w:tcPr>
          <w:p>
            <w:pPr>
              <w:spacing w:after="0"/>
              <w:rPr>
                <w:sz w:val="20"/>
                <w:szCs w:val="20"/>
                <w:color w:val="auto"/>
              </w:rPr>
            </w:pPr>
            <w:r>
              <w:rPr>
                <w:rFonts w:ascii="Arial" w:cs="Arial" w:eastAsia="Arial" w:hAnsi="Arial"/>
                <w:sz w:val="18"/>
                <w:szCs w:val="18"/>
                <w:color w:val="auto"/>
              </w:rPr>
              <w:t>Dump Scow</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922736</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93"/>
              </w:rPr>
              <w:t>464</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G.L. 64</w:t>
            </w:r>
          </w:p>
        </w:tc>
        <w:tc>
          <w:tcPr>
            <w:tcW w:w="3580" w:type="dxa"/>
            <w:vAlign w:val="bottom"/>
            <w:gridSpan w:val="2"/>
          </w:tcPr>
          <w:p>
            <w:pPr>
              <w:spacing w:after="0"/>
              <w:rPr>
                <w:sz w:val="20"/>
                <w:szCs w:val="20"/>
                <w:color w:val="auto"/>
              </w:rPr>
            </w:pPr>
            <w:r>
              <w:rPr>
                <w:rFonts w:ascii="Arial" w:cs="Arial" w:eastAsia="Arial" w:hAnsi="Arial"/>
                <w:sz w:val="18"/>
                <w:szCs w:val="18"/>
                <w:color w:val="auto"/>
              </w:rPr>
              <w:t>Dump Scow</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922737</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93"/>
              </w:rPr>
              <w:t>365</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MUSKEGON RIVER</w:t>
            </w:r>
          </w:p>
        </w:tc>
        <w:tc>
          <w:tcPr>
            <w:tcW w:w="3580" w:type="dxa"/>
            <w:vAlign w:val="bottom"/>
            <w:gridSpan w:val="2"/>
          </w:tcPr>
          <w:p>
            <w:pPr>
              <w:spacing w:after="0"/>
              <w:rPr>
                <w:sz w:val="20"/>
                <w:szCs w:val="20"/>
                <w:color w:val="auto"/>
              </w:rPr>
            </w:pPr>
            <w:r>
              <w:rPr>
                <w:rFonts w:ascii="Arial" w:cs="Arial" w:eastAsia="Arial" w:hAnsi="Arial"/>
                <w:sz w:val="18"/>
                <w:szCs w:val="18"/>
                <w:color w:val="auto"/>
              </w:rPr>
              <w:t>Survey Boat</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1226788</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93"/>
              </w:rPr>
              <w:t>366</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SAGINAW RIVER</w:t>
            </w:r>
          </w:p>
        </w:tc>
        <w:tc>
          <w:tcPr>
            <w:tcW w:w="3580" w:type="dxa"/>
            <w:vAlign w:val="bottom"/>
            <w:gridSpan w:val="2"/>
          </w:tcPr>
          <w:p>
            <w:pPr>
              <w:spacing w:after="0"/>
              <w:rPr>
                <w:sz w:val="20"/>
                <w:szCs w:val="20"/>
                <w:color w:val="auto"/>
              </w:rPr>
            </w:pPr>
            <w:r>
              <w:rPr>
                <w:rFonts w:ascii="Arial" w:cs="Arial" w:eastAsia="Arial" w:hAnsi="Arial"/>
                <w:sz w:val="18"/>
                <w:szCs w:val="18"/>
                <w:color w:val="auto"/>
              </w:rPr>
              <w:t>Survey Boat</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1236901</w:t>
            </w:r>
          </w:p>
        </w:tc>
        <w:tc>
          <w:tcPr>
            <w:tcW w:w="0" w:type="dxa"/>
            <w:vAlign w:val="bottom"/>
          </w:tcPr>
          <w:p>
            <w:pPr>
              <w:spacing w:after="0"/>
              <w:rPr>
                <w:sz w:val="1"/>
                <w:szCs w:val="1"/>
                <w:color w:val="auto"/>
              </w:rPr>
            </w:pPr>
          </w:p>
        </w:tc>
      </w:tr>
      <w:tr>
        <w:trPr>
          <w:trHeight w:val="230"/>
        </w:trPr>
        <w:tc>
          <w:tcPr>
            <w:tcW w:w="440" w:type="dxa"/>
            <w:vAlign w:val="bottom"/>
          </w:tcPr>
          <w:p>
            <w:pPr>
              <w:jc w:val="center"/>
              <w:spacing w:after="0"/>
              <w:rPr>
                <w:sz w:val="20"/>
                <w:szCs w:val="20"/>
                <w:color w:val="auto"/>
              </w:rPr>
            </w:pPr>
            <w:r>
              <w:rPr>
                <w:rFonts w:ascii="Arial" w:cs="Arial" w:eastAsia="Arial" w:hAnsi="Arial"/>
                <w:sz w:val="18"/>
                <w:szCs w:val="18"/>
                <w:color w:val="auto"/>
                <w:w w:val="92"/>
              </w:rPr>
              <w:t>R015</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LITTLE ROCK</w:t>
            </w:r>
          </w:p>
        </w:tc>
        <w:tc>
          <w:tcPr>
            <w:tcW w:w="3580" w:type="dxa"/>
            <w:vAlign w:val="bottom"/>
            <w:gridSpan w:val="2"/>
          </w:tcPr>
          <w:p>
            <w:pPr>
              <w:spacing w:after="0"/>
              <w:rPr>
                <w:sz w:val="20"/>
                <w:szCs w:val="20"/>
                <w:color w:val="auto"/>
              </w:rPr>
            </w:pPr>
            <w:r>
              <w:rPr>
                <w:rFonts w:ascii="Arial" w:cs="Arial" w:eastAsia="Arial" w:hAnsi="Arial"/>
                <w:sz w:val="18"/>
                <w:szCs w:val="18"/>
                <w:color w:val="auto"/>
              </w:rPr>
              <w:t>Cutter Suction Dredge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531592</w:t>
            </w:r>
          </w:p>
        </w:tc>
        <w:tc>
          <w:tcPr>
            <w:tcW w:w="0" w:type="dxa"/>
            <w:vAlign w:val="bottom"/>
          </w:tcPr>
          <w:p>
            <w:pPr>
              <w:spacing w:after="0"/>
              <w:rPr>
                <w:sz w:val="1"/>
                <w:szCs w:val="1"/>
                <w:color w:val="auto"/>
              </w:rPr>
            </w:pPr>
          </w:p>
        </w:tc>
      </w:tr>
    </w:tbl>
    <w:p>
      <w:pPr>
        <w:sectPr>
          <w:pgSz w:w="11900" w:h="16838" w:orient="portrait"/>
          <w:cols w:equalWidth="0" w:num="1">
            <w:col w:w="11340"/>
          </w:cols>
          <w:pgMar w:left="320" w:top="274" w:right="2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Existing Liens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420"/>
          </w:cols>
          <w:pgMar w:left="240" w:top="274" w:right="2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Other Trade Names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Loan Parties have not used any trade names or fictitious names within the five-year period preceding the date hereof, except for the following names in the respective jurisdictions: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131" w:lineRule="exact"/>
        <w:rPr>
          <w:sz w:val="20"/>
          <w:szCs w:val="20"/>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“Great Lakes Dredge &amp; Dock Corporation of Delaware” was used in the following jurisdictions: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Alaska</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Florida</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Iowa</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Louisiana</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Maine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Missouri</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South Carolina</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Tennessee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Texas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Wisconsin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“Great Lakes Dredging Corporation” was used in California;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“L.W. Matteson, Inc., a division of Great Lakes Dredge &amp; Dock Corporation” was used in Iowa.</w:t>
      </w:r>
    </w:p>
    <w:p>
      <w:pPr>
        <w:sectPr>
          <w:pgSz w:w="11900" w:h="16838" w:orient="portrait"/>
          <w:cols w:equalWidth="0" w:num="1">
            <w:col w:w="11420"/>
          </w:cols>
          <w:pgMar w:left="240" w:top="274"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Promissory Note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274" w:right="31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560" w:type="dxa"/>
            <w:vAlign w:val="bottom"/>
            <w:gridSpan w:val="2"/>
          </w:tcPr>
          <w:p>
            <w:pPr>
              <w:jc w:val="center"/>
              <w:ind w:right="3540"/>
              <w:spacing w:after="0"/>
              <w:rPr>
                <w:sz w:val="20"/>
                <w:szCs w:val="20"/>
                <w:color w:val="auto"/>
              </w:rPr>
            </w:pPr>
            <w:r>
              <w:rPr>
                <w:rFonts w:ascii="Arial" w:cs="Arial" w:eastAsia="Arial" w:hAnsi="Arial"/>
                <w:sz w:val="18"/>
                <w:szCs w:val="18"/>
                <w:color w:val="auto"/>
                <w:w w:val="96"/>
              </w:rPr>
              <w:t>TERM NOTE</w:t>
            </w:r>
          </w:p>
        </w:tc>
        <w:tc>
          <w:tcPr>
            <w:tcW w:w="1660" w:type="dxa"/>
            <w:vAlign w:val="bottom"/>
          </w:tcPr>
          <w:p>
            <w:pPr>
              <w:spacing w:after="0"/>
              <w:rPr>
                <w:sz w:val="17"/>
                <w:szCs w:val="17"/>
                <w:color w:val="auto"/>
              </w:rPr>
            </w:pPr>
          </w:p>
        </w:tc>
      </w:tr>
      <w:tr>
        <w:trPr>
          <w:trHeight w:val="20"/>
        </w:trPr>
        <w:tc>
          <w:tcPr>
            <w:tcW w:w="2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58"/>
        </w:trPr>
        <w:tc>
          <w:tcPr>
            <w:tcW w:w="25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6520" w:type="dxa"/>
            <w:vAlign w:val="bottom"/>
            <w:gridSpan w:val="3"/>
          </w:tcPr>
          <w:p>
            <w:pPr>
              <w:jc w:val="center"/>
              <w:ind w:right="1560"/>
              <w:spacing w:after="0"/>
              <w:rPr>
                <w:sz w:val="20"/>
                <w:szCs w:val="20"/>
                <w:color w:val="auto"/>
              </w:rPr>
            </w:pPr>
            <w:r>
              <w:rPr>
                <w:rFonts w:ascii="Arial" w:cs="Arial" w:eastAsia="Arial" w:hAnsi="Arial"/>
                <w:sz w:val="18"/>
                <w:szCs w:val="18"/>
                <w:color w:val="auto"/>
                <w:w w:val="95"/>
              </w:rPr>
              <w:t>Chicago, Illinois</w:t>
            </w:r>
          </w:p>
        </w:tc>
        <w:tc>
          <w:tcPr>
            <w:tcW w:w="1660" w:type="dxa"/>
            <w:vAlign w:val="bottom"/>
          </w:tcPr>
          <w:p>
            <w:pPr>
              <w:ind w:left="320"/>
              <w:spacing w:after="0"/>
              <w:rPr>
                <w:sz w:val="20"/>
                <w:szCs w:val="20"/>
                <w:color w:val="auto"/>
              </w:rPr>
            </w:pPr>
            <w:r>
              <w:rPr>
                <w:rFonts w:ascii="Arial" w:cs="Arial" w:eastAsia="Arial" w:hAnsi="Arial"/>
                <w:sz w:val="18"/>
                <w:szCs w:val="18"/>
                <w:color w:val="auto"/>
                <w:w w:val="89"/>
              </w:rPr>
              <w:t>November 4, 2014</w:t>
            </w:r>
          </w:p>
        </w:tc>
      </w:tr>
      <w:tr>
        <w:trPr>
          <w:trHeight w:val="418"/>
        </w:trPr>
        <w:tc>
          <w:tcPr>
            <w:tcW w:w="9760" w:type="dxa"/>
            <w:vAlign w:val="bottom"/>
            <w:gridSpan w:val="5"/>
          </w:tcPr>
          <w:p>
            <w:pPr>
              <w:ind w:left="460"/>
              <w:spacing w:after="0"/>
              <w:rPr>
                <w:sz w:val="20"/>
                <w:szCs w:val="20"/>
                <w:color w:val="auto"/>
              </w:rPr>
            </w:pPr>
            <w:r>
              <w:rPr>
                <w:rFonts w:ascii="Arial" w:cs="Arial" w:eastAsia="Arial" w:hAnsi="Arial"/>
                <w:sz w:val="18"/>
                <w:szCs w:val="18"/>
                <w:color w:val="auto"/>
                <w:w w:val="96"/>
              </w:rPr>
              <w:t>For value received, GREAT LAKES DREDGE &amp; DOCK CORPORATION (the “Borrower”) promises to pay to the order of</w:t>
            </w:r>
          </w:p>
        </w:tc>
        <w:tc>
          <w:tcPr>
            <w:tcW w:w="1660" w:type="dxa"/>
            <w:vAlign w:val="bottom"/>
          </w:tcPr>
          <w:p>
            <w:pPr>
              <w:ind w:left="680"/>
              <w:spacing w:after="0"/>
              <w:rPr>
                <w:sz w:val="20"/>
                <w:szCs w:val="20"/>
                <w:color w:val="auto"/>
              </w:rPr>
            </w:pPr>
            <w:r>
              <w:rPr>
                <w:rFonts w:ascii="Arial" w:cs="Arial" w:eastAsia="Arial" w:hAnsi="Arial"/>
                <w:sz w:val="18"/>
                <w:szCs w:val="18"/>
                <w:color w:val="auto"/>
              </w:rPr>
              <w:t>(the</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“Lender”), the principal sum of</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180" w:type="dxa"/>
            <w:vAlign w:val="bottom"/>
            <w:gridSpan w:val="4"/>
          </w:tcPr>
          <w:p>
            <w:pPr>
              <w:ind w:left="180"/>
              <w:spacing w:after="0"/>
              <w:rPr>
                <w:sz w:val="20"/>
                <w:szCs w:val="20"/>
                <w:color w:val="auto"/>
              </w:rPr>
            </w:pPr>
            <w:r>
              <w:rPr>
                <w:rFonts w:ascii="Arial" w:cs="Arial" w:eastAsia="Arial" w:hAnsi="Arial"/>
                <w:sz w:val="18"/>
                <w:szCs w:val="18"/>
                <w:color w:val="auto"/>
                <w:w w:val="92"/>
              </w:rPr>
              <w:t>), or such lesser amount as shall equal the unpaid principal amount of each Loan made by the Lender to the</w:t>
            </w:r>
          </w:p>
        </w:tc>
      </w:tr>
    </w:tbl>
    <w:p>
      <w:pPr>
        <w:ind w:right="40"/>
        <w:spacing w:after="0" w:line="252" w:lineRule="auto"/>
        <w:rPr>
          <w:sz w:val="20"/>
          <w:szCs w:val="20"/>
          <w:color w:val="auto"/>
        </w:rPr>
      </w:pPr>
      <w:r>
        <w:rPr>
          <w:rFonts w:ascii="Arial" w:cs="Arial" w:eastAsia="Arial" w:hAnsi="Arial"/>
          <w:sz w:val="18"/>
          <w:szCs w:val="18"/>
          <w:color w:val="auto"/>
        </w:rPr>
        <w:t>Borrower pursuant to the Loan Agreement referred to below, on the dates and in the amounts provided in the Loan Agreement. The Borrower promises to pay interest on the unpaid principal amount of this Term Note on the dates and at the rate or rates provided for in the Loan Agreement. Interest on any overdue principal of and, to the extent permitted by law, overdue interest on the principal amount hereof shall bear interest at the Default Rate, as provided for in the Loan Agreement. All such payments of principal and interest shall be made in lawful money of the United States in federal or other immediately available funds at the office of Bank of America, N.A., New York, New York, XXXXXX, XXXXXXX, NAME: CORPORATE CREDIT SERVICES, REF: GREAT LAKES DREDGE, as Administrative Agent for the benefit of the Secured Parties, or at such other address as may be specified from time to time pursuant to the Loan Agreement.</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All Loans made by the Lender, the interest rates from time to time applicable thereto and all repayments of the principal thereof shall be recorded by the Lender and, prior to any transfer hereof, endorsed by the Lender on the schedule attached hereto, or on a continuation of such schedule attached to and made a part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the Lender to make, or any error of the Lender in making, any such recordation or endorsement shall not affect the obligations of the Borrower hereunder or under the Loan Agreement. This Term Note is secured by, among other security, the Collateral Documents, as the same may be modified or amended from time to time.</w:t>
      </w:r>
    </w:p>
    <w:p>
      <w:pPr>
        <w:spacing w:after="0" w:line="18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This Term Note is one of the Notes referred to in the Loan and Security Agreement (as amended, restated, supplemented or otherwise modified in writing from time to time, the “Loan Agreement”) dated as of November 4, 2014 among the Lender, the Borrower, Great Lakes Dredge &amp; Dock Company, LLC, as Guarantor, Bank of America, N.A., as Administrative Agent for the Secured Parties, and the Lenders from time to time party thereto. Terms defined in the Loan Agreement are used herein with the same meanings. Reference is made to the Loan Agreement for provisions for the prepayment and the repayment hereof and the acceleration of the maturity hereof.</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Borrower hereby waives presentment, demand, protest, notice of demand, protest and nonpayment and any other notice required by law relative hereto, except to the extent as otherwise may be expressly provided for in the Loan Agreement.</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Borrower agrees, in the event that this Term Note or any portion hereof is collected by law or through an attorney at law, to pay all reasonable costs of collection, including, without limitation, reasonable attorneys’ fees.</w:t>
      </w:r>
    </w:p>
    <w:p>
      <w:pPr>
        <w:sectPr>
          <w:pgSz w:w="11900" w:h="16838" w:orient="portrait"/>
          <w:cols w:equalWidth="0" w:num="1">
            <w:col w:w="11420"/>
          </w:cols>
          <w:pgMar w:left="240" w:top="274" w:right="239" w:bottom="1440" w:gutter="0" w:footer="0" w:header="0"/>
        </w:sectPr>
      </w:pPr>
    </w:p>
    <w:bookmarkStart w:id="193" w:name="page194"/>
    <w:bookmarkEnd w:id="193"/>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20" w:right="20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 WITNESS WHEREOF, the Borrower has caused this Term Note to be duly executed under seal, by its duly authorized officers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GREAT LAKES DREDGE &amp; DOCK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-130810</wp:posOffset>
            </wp:positionV>
            <wp:extent cx="26670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-130810</wp:posOffset>
            </wp:positionV>
            <wp:extent cx="252158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14605</wp:posOffset>
            </wp:positionV>
            <wp:extent cx="25812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Term Note]</w:t>
      </w:r>
    </w:p>
    <w:p>
      <w:pPr>
        <w:sectPr>
          <w:pgSz w:w="11900" w:h="16838" w:orient="portrait"/>
          <w:cols w:equalWidth="0" w:num="1">
            <w:col w:w="11340"/>
          </w:cols>
          <w:pgMar w:left="240" w:top="274" w:right="31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 Note (cont’d)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ADVANCES AND PAYMENTS OF PRINCIPAL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600" w:type="dxa"/>
            <w:vAlign w:val="bottom"/>
            <w:gridSpan w:val="2"/>
            <w:vMerge w:val="restart"/>
          </w:tcPr>
          <w:p>
            <w:pPr>
              <w:jc w:val="center"/>
              <w:ind w:right="680"/>
              <w:spacing w:after="0"/>
              <w:rPr>
                <w:sz w:val="20"/>
                <w:szCs w:val="20"/>
                <w:color w:val="auto"/>
              </w:rPr>
            </w:pPr>
            <w:r>
              <w:rPr>
                <w:rFonts w:ascii="Arial" w:cs="Arial" w:eastAsia="Arial" w:hAnsi="Arial"/>
                <w:sz w:val="14"/>
                <w:szCs w:val="14"/>
                <w:color w:val="auto"/>
                <w:w w:val="94"/>
              </w:rPr>
              <w:t>Interest</w:t>
            </w:r>
          </w:p>
        </w:tc>
        <w:tc>
          <w:tcPr>
            <w:tcW w:w="1640" w:type="dxa"/>
            <w:vAlign w:val="bottom"/>
            <w:gridSpan w:val="2"/>
          </w:tcPr>
          <w:p>
            <w:pPr>
              <w:jc w:val="center"/>
              <w:ind w:right="660"/>
              <w:spacing w:after="0"/>
              <w:rPr>
                <w:sz w:val="20"/>
                <w:szCs w:val="20"/>
                <w:color w:val="auto"/>
              </w:rPr>
            </w:pPr>
            <w:r>
              <w:rPr>
                <w:rFonts w:ascii="Arial" w:cs="Arial" w:eastAsia="Arial" w:hAnsi="Arial"/>
                <w:sz w:val="14"/>
                <w:szCs w:val="14"/>
                <w:color w:val="auto"/>
                <w:w w:val="89"/>
              </w:rPr>
              <w:t>Interest</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color w:val="auto"/>
              </w:rPr>
              <w:t>Amount of</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1640" w:type="dxa"/>
            <w:vAlign w:val="bottom"/>
            <w:gridSpan w:val="2"/>
          </w:tcPr>
          <w:p>
            <w:pPr>
              <w:jc w:val="center"/>
              <w:ind w:right="660"/>
              <w:spacing w:after="0" w:line="141" w:lineRule="exact"/>
              <w:rPr>
                <w:sz w:val="20"/>
                <w:szCs w:val="20"/>
                <w:color w:val="auto"/>
              </w:rPr>
            </w:pPr>
            <w:r>
              <w:rPr>
                <w:rFonts w:ascii="Arial" w:cs="Arial" w:eastAsia="Arial" w:hAnsi="Arial"/>
                <w:sz w:val="14"/>
                <w:szCs w:val="14"/>
                <w:color w:val="auto"/>
                <w:w w:val="93"/>
              </w:rPr>
              <w:t>Period</w:t>
            </w:r>
          </w:p>
        </w:tc>
        <w:tc>
          <w:tcPr>
            <w:tcW w:w="1440" w:type="dxa"/>
            <w:vAlign w:val="bottom"/>
            <w:gridSpan w:val="2"/>
          </w:tcPr>
          <w:p>
            <w:pPr>
              <w:jc w:val="center"/>
              <w:ind w:right="660"/>
              <w:spacing w:after="0" w:line="141" w:lineRule="exact"/>
              <w:rPr>
                <w:sz w:val="20"/>
                <w:szCs w:val="20"/>
                <w:color w:val="auto"/>
              </w:rPr>
            </w:pPr>
            <w:r>
              <w:rPr>
                <w:rFonts w:ascii="Arial" w:cs="Arial" w:eastAsia="Arial" w:hAnsi="Arial"/>
                <w:sz w:val="14"/>
                <w:szCs w:val="14"/>
                <w:color w:val="auto"/>
                <w:w w:val="97"/>
              </w:rPr>
              <w:t>Amount of</w:t>
            </w:r>
          </w:p>
        </w:tc>
        <w:tc>
          <w:tcPr>
            <w:tcW w:w="1440" w:type="dxa"/>
            <w:vAlign w:val="bottom"/>
            <w:gridSpan w:val="2"/>
          </w:tcPr>
          <w:p>
            <w:pPr>
              <w:jc w:val="center"/>
              <w:ind w:right="680"/>
              <w:spacing w:after="0" w:line="141" w:lineRule="exact"/>
              <w:rPr>
                <w:sz w:val="20"/>
                <w:szCs w:val="20"/>
                <w:color w:val="auto"/>
              </w:rPr>
            </w:pPr>
            <w:r>
              <w:rPr>
                <w:rFonts w:ascii="Arial" w:cs="Arial" w:eastAsia="Arial" w:hAnsi="Arial"/>
                <w:sz w:val="14"/>
                <w:szCs w:val="14"/>
                <w:color w:val="auto"/>
                <w:w w:val="96"/>
              </w:rPr>
              <w:t>Principal</w:t>
            </w:r>
          </w:p>
        </w:tc>
        <w:tc>
          <w:tcPr>
            <w:tcW w:w="640" w:type="dxa"/>
            <w:vAlign w:val="bottom"/>
          </w:tcPr>
          <w:p>
            <w:pPr>
              <w:ind w:left="60"/>
              <w:spacing w:after="0" w:line="141" w:lineRule="exact"/>
              <w:rPr>
                <w:sz w:val="20"/>
                <w:szCs w:val="20"/>
                <w:color w:val="auto"/>
              </w:rPr>
            </w:pPr>
            <w:r>
              <w:rPr>
                <w:rFonts w:ascii="Arial" w:cs="Arial" w:eastAsia="Arial" w:hAnsi="Arial"/>
                <w:sz w:val="14"/>
                <w:szCs w:val="14"/>
                <w:color w:val="auto"/>
              </w:rPr>
              <w:t>Notation</w:t>
            </w:r>
          </w:p>
        </w:tc>
        <w:tc>
          <w:tcPr>
            <w:tcW w:w="0" w:type="dxa"/>
            <w:vAlign w:val="bottom"/>
          </w:tcPr>
          <w:p>
            <w:pPr>
              <w:spacing w:after="0"/>
              <w:rPr>
                <w:sz w:val="1"/>
                <w:szCs w:val="1"/>
                <w:color w:val="auto"/>
              </w:rPr>
            </w:pPr>
          </w:p>
        </w:tc>
      </w:tr>
      <w:tr>
        <w:trPr>
          <w:trHeight w:val="169"/>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338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Rate</w:t>
            </w:r>
          </w:p>
        </w:tc>
        <w:tc>
          <w:tcPr>
            <w:tcW w:w="6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(if applicable)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Advance</w:t>
            </w:r>
          </w:p>
        </w:tc>
        <w:tc>
          <w:tcPr>
            <w:tcW w:w="6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Repaid</w:t>
            </w:r>
          </w:p>
        </w:tc>
        <w:tc>
          <w:tcPr>
            <w:tcW w:w="680" w:type="dxa"/>
            <w:vAlign w:val="bottom"/>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Made By</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First Preferred Fleet Mortgage</w:t>
      </w:r>
    </w:p>
    <w:p>
      <w:pPr>
        <w:sectPr>
          <w:pgSz w:w="11900" w:h="16838" w:orient="portrait"/>
          <w:cols w:equalWidth="0" w:num="1">
            <w:col w:w="11260"/>
          </w:cols>
          <w:pgMar w:left="320" w:top="274" w:right="319" w:bottom="1440" w:gutter="0" w:footer="0" w:header="0"/>
        </w:sectPr>
      </w:pPr>
    </w:p>
    <w:bookmarkStart w:id="196" w:name="page197"/>
    <w:bookmarkEnd w:id="196"/>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2844800</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FIRST PREFERRED FLEET MORTGAGE</w:t>
      </w:r>
    </w:p>
    <w:p>
      <w:pPr>
        <w:spacing w:after="0" w:line="23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Given By</w:t>
      </w:r>
    </w:p>
    <w:p>
      <w:pPr>
        <w:spacing w:after="0" w:line="23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GREAT LAKES DREDGE &amp; DOCK COMPANY, LLC,</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As Owner</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Favor Of</w:t>
      </w:r>
    </w:p>
    <w:p>
      <w:pPr>
        <w:spacing w:after="0" w:line="23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BANK OF AMERICA, N.A., AS ADMINISTRATIVE AGENT,</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As Mortgagee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408940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274" w:right="2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SYNOPSIS OF MORTGAGE</w:t>
      </w:r>
    </w:p>
    <w:p>
      <w:pPr>
        <w:spacing w:after="0" w:line="251"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Vessels Subject to</w:t>
      </w:r>
    </w:p>
    <w:tbl>
      <w:tblPr>
        <w:tblLayout w:type="fixed"/>
        <w:tblInd w:w="0" w:type="dxa"/>
        <w:tblCellMar>
          <w:top w:w="0" w:type="dxa"/>
          <w:left w:w="0" w:type="dxa"/>
          <w:bottom w:w="0" w:type="dxa"/>
          <w:right w:w="0" w:type="dxa"/>
        </w:tblCellMar>
      </w:tblPr>
      <w:tr>
        <w:trPr>
          <w:trHeight w:val="169"/>
        </w:trPr>
        <w:tc>
          <w:tcPr>
            <w:tcW w:w="4120" w:type="dxa"/>
            <w:vAlign w:val="bottom"/>
          </w:tcPr>
          <w:p>
            <w:pPr>
              <w:ind w:left="1640"/>
              <w:spacing w:after="0"/>
              <w:rPr>
                <w:sz w:val="20"/>
                <w:szCs w:val="20"/>
                <w:color w:val="auto"/>
              </w:rPr>
            </w:pPr>
            <w:r>
              <w:rPr>
                <w:rFonts w:ascii="Arial" w:cs="Arial" w:eastAsia="Arial" w:hAnsi="Arial"/>
                <w:sz w:val="14"/>
                <w:szCs w:val="14"/>
                <w:color w:val="auto"/>
              </w:rPr>
              <w:t>Instrument</w:t>
            </w:r>
          </w:p>
        </w:tc>
        <w:tc>
          <w:tcPr>
            <w:tcW w:w="4760" w:type="dxa"/>
            <w:vAlign w:val="bottom"/>
            <w:gridSpan w:val="4"/>
          </w:tcPr>
          <w:p>
            <w:pPr>
              <w:ind w:left="128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w:t>
            </w:r>
            <w:r>
              <w:rPr>
                <w:rFonts w:ascii="Arial" w:cs="Arial" w:eastAsia="Arial" w:hAnsi="Arial"/>
                <w:sz w:val="14"/>
                <w:szCs w:val="14"/>
                <w:b w:val="1"/>
                <w:bCs w:val="1"/>
                <w:color w:val="auto"/>
              </w:rPr>
              <w:t xml:space="preserve"> V</w:t>
            </w:r>
            <w:r>
              <w:rPr>
                <w:rFonts w:ascii="Arial" w:cs="Arial" w:eastAsia="Arial" w:hAnsi="Arial"/>
                <w:sz w:val="11"/>
                <w:szCs w:val="11"/>
                <w:b w:val="1"/>
                <w:bCs w:val="1"/>
                <w:color w:val="auto"/>
              </w:rPr>
              <w:t>ESSEL</w:t>
            </w:r>
          </w:p>
        </w:tc>
        <w:tc>
          <w:tcPr>
            <w:tcW w:w="256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FFICIAL</w:t>
            </w:r>
            <w:r>
              <w:rPr>
                <w:rFonts w:ascii="Arial" w:cs="Arial" w:eastAsia="Arial" w:hAnsi="Arial"/>
                <w:sz w:val="14"/>
                <w:szCs w:val="14"/>
                <w:b w:val="1"/>
                <w:bCs w:val="1"/>
                <w:color w:val="auto"/>
              </w:rPr>
              <w:t xml:space="preserve"> N</w:t>
            </w:r>
            <w:r>
              <w:rPr>
                <w:rFonts w:ascii="Arial" w:cs="Arial" w:eastAsia="Arial" w:hAnsi="Arial"/>
                <w:sz w:val="11"/>
                <w:szCs w:val="11"/>
                <w:b w:val="1"/>
                <w:bCs w:val="1"/>
                <w:color w:val="auto"/>
              </w:rPr>
              <w:t>UMBER</w:t>
            </w:r>
          </w:p>
        </w:tc>
      </w:tr>
      <w:tr>
        <w:trPr>
          <w:trHeight w:val="195"/>
        </w:trPr>
        <w:tc>
          <w:tcPr>
            <w:tcW w:w="4120" w:type="dxa"/>
            <w:vAlign w:val="bottom"/>
          </w:tcPr>
          <w:p>
            <w:pPr>
              <w:spacing w:after="0"/>
              <w:rPr>
                <w:sz w:val="16"/>
                <w:szCs w:val="16"/>
                <w:color w:val="auto"/>
              </w:rPr>
            </w:pPr>
          </w:p>
        </w:tc>
        <w:tc>
          <w:tcPr>
            <w:tcW w:w="1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FUEL BARGE 1001</w:t>
            </w:r>
          </w:p>
        </w:tc>
        <w:tc>
          <w:tcPr>
            <w:tcW w:w="18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1253489</w:t>
            </w:r>
          </w:p>
        </w:tc>
        <w:tc>
          <w:tcPr>
            <w:tcW w:w="20" w:type="dxa"/>
            <w:vAlign w:val="bottom"/>
          </w:tcPr>
          <w:p>
            <w:pPr>
              <w:spacing w:after="0"/>
              <w:rPr>
                <w:sz w:val="16"/>
                <w:szCs w:val="16"/>
                <w:color w:val="auto"/>
              </w:rPr>
            </w:pP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G. L. 175</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650209</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G.L. 112</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1253488</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G.L. 111</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1253487</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DERRICK 60</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286687</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DERRICK 66</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695433</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DERRICK 68</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252050</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DERRICK 69</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530661</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DERRICK 70</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1212358</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DERRICK 64</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1184264</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JACK NEWMAN</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293297</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MCCORMACK BOYS</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646543</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G.L. 33</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612272</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G.L. 35</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563732</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G.L. 63</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922736</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G.L. 64</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922737</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MUSKEGON RIVER</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1226788</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SAGINAW RIVER</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1236901</w:t>
            </w:r>
          </w:p>
        </w:tc>
      </w:tr>
      <w:tr>
        <w:trPr>
          <w:trHeight w:val="230"/>
        </w:trPr>
        <w:tc>
          <w:tcPr>
            <w:tcW w:w="4120" w:type="dxa"/>
            <w:vAlign w:val="bottom"/>
          </w:tcPr>
          <w:p>
            <w:pPr>
              <w:spacing w:after="0"/>
              <w:rPr>
                <w:sz w:val="20"/>
                <w:szCs w:val="20"/>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LITTLE ROCK</w:t>
            </w: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531592</w:t>
            </w:r>
          </w:p>
        </w:tc>
      </w:tr>
      <w:tr>
        <w:trPr>
          <w:trHeight w:val="459"/>
        </w:trPr>
        <w:tc>
          <w:tcPr>
            <w:tcW w:w="4120" w:type="dxa"/>
            <w:vAlign w:val="bottom"/>
          </w:tcPr>
          <w:p>
            <w:pPr>
              <w:spacing w:after="0"/>
              <w:rPr>
                <w:sz w:val="20"/>
                <w:szCs w:val="20"/>
                <w:color w:val="auto"/>
              </w:rPr>
            </w:pPr>
            <w:r>
              <w:rPr>
                <w:rFonts w:ascii="Arial" w:cs="Arial" w:eastAsia="Arial" w:hAnsi="Arial"/>
                <w:sz w:val="18"/>
                <w:szCs w:val="18"/>
                <w:color w:val="auto"/>
              </w:rPr>
              <w:t>Type of Instrument:</w:t>
            </w:r>
          </w:p>
        </w:tc>
        <w:tc>
          <w:tcPr>
            <w:tcW w:w="1840" w:type="dxa"/>
            <w:vAlign w:val="bottom"/>
          </w:tcPr>
          <w:p>
            <w:pPr>
              <w:spacing w:after="0"/>
              <w:rPr>
                <w:sz w:val="24"/>
                <w:szCs w:val="24"/>
                <w:color w:val="auto"/>
              </w:rPr>
            </w:pPr>
          </w:p>
        </w:tc>
        <w:tc>
          <w:tcPr>
            <w:tcW w:w="2920" w:type="dxa"/>
            <w:vAlign w:val="bottom"/>
            <w:gridSpan w:val="3"/>
          </w:tcPr>
          <w:p>
            <w:pPr>
              <w:ind w:left="100"/>
              <w:spacing w:after="0"/>
              <w:rPr>
                <w:sz w:val="20"/>
                <w:szCs w:val="20"/>
                <w:color w:val="auto"/>
              </w:rPr>
            </w:pPr>
            <w:r>
              <w:rPr>
                <w:rFonts w:ascii="Arial" w:cs="Arial" w:eastAsia="Arial" w:hAnsi="Arial"/>
                <w:sz w:val="18"/>
                <w:szCs w:val="18"/>
                <w:color w:val="auto"/>
              </w:rPr>
              <w:t>First Preferred Fleet Mortgage</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120" w:type="dxa"/>
            <w:vAlign w:val="bottom"/>
          </w:tcPr>
          <w:p>
            <w:pPr>
              <w:spacing w:after="0"/>
              <w:rPr>
                <w:sz w:val="20"/>
                <w:szCs w:val="20"/>
                <w:color w:val="auto"/>
              </w:rPr>
            </w:pPr>
            <w:r>
              <w:rPr>
                <w:rFonts w:ascii="Arial" w:cs="Arial" w:eastAsia="Arial" w:hAnsi="Arial"/>
                <w:sz w:val="18"/>
                <w:szCs w:val="18"/>
                <w:color w:val="auto"/>
              </w:rPr>
              <w:t>Effective Date of Instrument:</w:t>
            </w:r>
          </w:p>
        </w:tc>
        <w:tc>
          <w:tcPr>
            <w:tcW w:w="1840" w:type="dxa"/>
            <w:vAlign w:val="bottom"/>
          </w:tcPr>
          <w:p>
            <w:pPr>
              <w:spacing w:after="0"/>
              <w:rPr>
                <w:sz w:val="24"/>
                <w:szCs w:val="24"/>
                <w:color w:val="auto"/>
              </w:rPr>
            </w:pPr>
          </w:p>
        </w:tc>
        <w:tc>
          <w:tcPr>
            <w:tcW w:w="2920" w:type="dxa"/>
            <w:vAlign w:val="bottom"/>
            <w:gridSpan w:val="3"/>
          </w:tcPr>
          <w:p>
            <w:pPr>
              <w:ind w:left="100"/>
              <w:spacing w:after="0"/>
              <w:rPr>
                <w:sz w:val="20"/>
                <w:szCs w:val="20"/>
                <w:color w:val="auto"/>
              </w:rPr>
            </w:pPr>
            <w:r>
              <w:rPr>
                <w:rFonts w:ascii="Arial" w:cs="Arial" w:eastAsia="Arial" w:hAnsi="Arial"/>
                <w:sz w:val="18"/>
                <w:szCs w:val="18"/>
                <w:color w:val="auto"/>
              </w:rPr>
              <w:t>November 4, 2014</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120" w:type="dxa"/>
            <w:vAlign w:val="bottom"/>
          </w:tcPr>
          <w:p>
            <w:pPr>
              <w:spacing w:after="0"/>
              <w:rPr>
                <w:sz w:val="20"/>
                <w:szCs w:val="20"/>
                <w:color w:val="auto"/>
              </w:rPr>
            </w:pPr>
            <w:r>
              <w:rPr>
                <w:rFonts w:ascii="Arial" w:cs="Arial" w:eastAsia="Arial" w:hAnsi="Arial"/>
                <w:sz w:val="18"/>
                <w:szCs w:val="18"/>
                <w:color w:val="auto"/>
              </w:rPr>
              <w:t>Name of Owner</w:t>
            </w:r>
          </w:p>
        </w:tc>
        <w:tc>
          <w:tcPr>
            <w:tcW w:w="1840" w:type="dxa"/>
            <w:vAlign w:val="bottom"/>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Great Lakes Dredge &amp; Dock Company, LLC</w:t>
            </w:r>
          </w:p>
        </w:tc>
      </w:tr>
      <w:tr>
        <w:trPr>
          <w:trHeight w:val="324"/>
        </w:trPr>
        <w:tc>
          <w:tcPr>
            <w:tcW w:w="4120" w:type="dxa"/>
            <w:vAlign w:val="bottom"/>
          </w:tcPr>
          <w:p>
            <w:pPr>
              <w:spacing w:after="0"/>
              <w:rPr>
                <w:sz w:val="20"/>
                <w:szCs w:val="20"/>
                <w:color w:val="auto"/>
              </w:rPr>
            </w:pPr>
            <w:r>
              <w:rPr>
                <w:rFonts w:ascii="Arial" w:cs="Arial" w:eastAsia="Arial" w:hAnsi="Arial"/>
                <w:sz w:val="18"/>
                <w:szCs w:val="18"/>
                <w:color w:val="auto"/>
              </w:rPr>
              <w:t>Percentage of Vessel owned:</w:t>
            </w:r>
          </w:p>
        </w:tc>
        <w:tc>
          <w:tcPr>
            <w:tcW w:w="1840" w:type="dxa"/>
            <w:vAlign w:val="bottom"/>
          </w:tcPr>
          <w:p>
            <w:pPr>
              <w:spacing w:after="0"/>
              <w:rPr>
                <w:sz w:val="24"/>
                <w:szCs w:val="24"/>
                <w:color w:val="auto"/>
              </w:rPr>
            </w:pPr>
          </w:p>
        </w:tc>
        <w:tc>
          <w:tcPr>
            <w:tcW w:w="1820" w:type="dxa"/>
            <w:vAlign w:val="bottom"/>
          </w:tcPr>
          <w:p>
            <w:pPr>
              <w:ind w:left="10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4120" w:type="dxa"/>
            <w:vAlign w:val="bottom"/>
          </w:tcPr>
          <w:p>
            <w:pPr>
              <w:spacing w:after="0"/>
              <w:rPr>
                <w:sz w:val="20"/>
                <w:szCs w:val="20"/>
                <w:color w:val="auto"/>
              </w:rPr>
            </w:pPr>
            <w:r>
              <w:rPr>
                <w:rFonts w:ascii="Arial" w:cs="Arial" w:eastAsia="Arial" w:hAnsi="Arial"/>
                <w:sz w:val="18"/>
                <w:szCs w:val="18"/>
                <w:color w:val="auto"/>
              </w:rPr>
              <w:t>Address of Owner:</w:t>
            </w:r>
          </w:p>
        </w:tc>
        <w:tc>
          <w:tcPr>
            <w:tcW w:w="1840" w:type="dxa"/>
            <w:vAlign w:val="bottom"/>
          </w:tcPr>
          <w:p>
            <w:pPr>
              <w:spacing w:after="0"/>
              <w:rPr>
                <w:sz w:val="24"/>
                <w:szCs w:val="24"/>
                <w:color w:val="auto"/>
              </w:rPr>
            </w:pPr>
          </w:p>
        </w:tc>
        <w:tc>
          <w:tcPr>
            <w:tcW w:w="2920" w:type="dxa"/>
            <w:vAlign w:val="bottom"/>
            <w:gridSpan w:val="3"/>
          </w:tcPr>
          <w:p>
            <w:pPr>
              <w:ind w:left="100"/>
              <w:spacing w:after="0"/>
              <w:rPr>
                <w:sz w:val="20"/>
                <w:szCs w:val="20"/>
                <w:color w:val="auto"/>
              </w:rPr>
            </w:pPr>
            <w:r>
              <w:rPr>
                <w:rFonts w:ascii="Arial" w:cs="Arial" w:eastAsia="Arial" w:hAnsi="Arial"/>
                <w:sz w:val="18"/>
                <w:szCs w:val="18"/>
                <w:color w:val="auto"/>
              </w:rPr>
              <w:t>2122 York Road</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920" w:type="dxa"/>
            <w:vAlign w:val="bottom"/>
            <w:gridSpan w:val="3"/>
          </w:tcPr>
          <w:p>
            <w:pPr>
              <w:ind w:left="100"/>
              <w:spacing w:after="0"/>
              <w:rPr>
                <w:sz w:val="20"/>
                <w:szCs w:val="20"/>
                <w:color w:val="auto"/>
              </w:rPr>
            </w:pPr>
            <w:r>
              <w:rPr>
                <w:rFonts w:ascii="Arial" w:cs="Arial" w:eastAsia="Arial" w:hAnsi="Arial"/>
                <w:sz w:val="18"/>
                <w:szCs w:val="18"/>
                <w:color w:val="auto"/>
              </w:rPr>
              <w:t>Oak Brook, IL 60523</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8"/>
        </w:trPr>
        <w:tc>
          <w:tcPr>
            <w:tcW w:w="4120" w:type="dxa"/>
            <w:vAlign w:val="bottom"/>
          </w:tcPr>
          <w:p>
            <w:pPr>
              <w:spacing w:after="0"/>
              <w:rPr>
                <w:sz w:val="20"/>
                <w:szCs w:val="20"/>
                <w:color w:val="auto"/>
              </w:rPr>
            </w:pPr>
            <w:r>
              <w:rPr>
                <w:rFonts w:ascii="Arial" w:cs="Arial" w:eastAsia="Arial" w:hAnsi="Arial"/>
                <w:sz w:val="18"/>
                <w:szCs w:val="18"/>
                <w:color w:val="auto"/>
              </w:rPr>
              <w:t>Name of Mortgagee:</w:t>
            </w:r>
          </w:p>
        </w:tc>
        <w:tc>
          <w:tcPr>
            <w:tcW w:w="1840" w:type="dxa"/>
            <w:vAlign w:val="bottom"/>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Bank of America, N.A., as Administrative Agent</w:t>
            </w:r>
          </w:p>
        </w:tc>
      </w:tr>
      <w:tr>
        <w:trPr>
          <w:trHeight w:val="310"/>
        </w:trPr>
        <w:tc>
          <w:tcPr>
            <w:tcW w:w="4120" w:type="dxa"/>
            <w:vAlign w:val="bottom"/>
          </w:tcPr>
          <w:p>
            <w:pPr>
              <w:spacing w:after="0"/>
              <w:rPr>
                <w:sz w:val="20"/>
                <w:szCs w:val="20"/>
                <w:color w:val="auto"/>
              </w:rPr>
            </w:pPr>
            <w:r>
              <w:rPr>
                <w:rFonts w:ascii="Arial" w:cs="Arial" w:eastAsia="Arial" w:hAnsi="Arial"/>
                <w:sz w:val="18"/>
                <w:szCs w:val="18"/>
                <w:color w:val="auto"/>
              </w:rPr>
              <w:t>Address of Mortgagee:</w:t>
            </w:r>
          </w:p>
        </w:tc>
        <w:tc>
          <w:tcPr>
            <w:tcW w:w="1840" w:type="dxa"/>
            <w:vAlign w:val="bottom"/>
          </w:tcPr>
          <w:p>
            <w:pPr>
              <w:spacing w:after="0"/>
              <w:rPr>
                <w:sz w:val="24"/>
                <w:szCs w:val="24"/>
                <w:color w:val="auto"/>
              </w:rPr>
            </w:pPr>
          </w:p>
        </w:tc>
        <w:tc>
          <w:tcPr>
            <w:tcW w:w="2920" w:type="dxa"/>
            <w:vAlign w:val="bottom"/>
            <w:gridSpan w:val="3"/>
          </w:tcPr>
          <w:p>
            <w:pPr>
              <w:ind w:left="100"/>
              <w:spacing w:after="0"/>
              <w:rPr>
                <w:sz w:val="20"/>
                <w:szCs w:val="20"/>
                <w:color w:val="auto"/>
              </w:rPr>
            </w:pPr>
            <w:r>
              <w:rPr>
                <w:rFonts w:ascii="Arial" w:cs="Arial" w:eastAsia="Arial" w:hAnsi="Arial"/>
                <w:sz w:val="18"/>
                <w:szCs w:val="18"/>
                <w:color w:val="auto"/>
              </w:rPr>
              <w:t>One Independence Center</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20" w:type="dxa"/>
            <w:vAlign w:val="bottom"/>
            <w:gridSpan w:val="3"/>
          </w:tcPr>
          <w:p>
            <w:pPr>
              <w:ind w:left="100"/>
              <w:spacing w:after="0"/>
              <w:rPr>
                <w:sz w:val="20"/>
                <w:szCs w:val="20"/>
                <w:color w:val="auto"/>
              </w:rPr>
            </w:pPr>
            <w:r>
              <w:rPr>
                <w:rFonts w:ascii="Arial" w:cs="Arial" w:eastAsia="Arial" w:hAnsi="Arial"/>
                <w:sz w:val="18"/>
                <w:szCs w:val="18"/>
                <w:color w:val="auto"/>
              </w:rPr>
              <w:t>101 N. Tryon St.</w:t>
            </w: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920" w:type="dxa"/>
            <w:vAlign w:val="bottom"/>
            <w:gridSpan w:val="3"/>
          </w:tcPr>
          <w:p>
            <w:pPr>
              <w:ind w:left="100"/>
              <w:spacing w:after="0"/>
              <w:rPr>
                <w:sz w:val="20"/>
                <w:szCs w:val="20"/>
                <w:color w:val="auto"/>
              </w:rPr>
            </w:pPr>
            <w:r>
              <w:rPr>
                <w:rFonts w:ascii="Arial" w:cs="Arial" w:eastAsia="Arial" w:hAnsi="Arial"/>
                <w:sz w:val="18"/>
                <w:szCs w:val="18"/>
                <w:color w:val="auto"/>
              </w:rPr>
              <w:t>Charlotte, NC, 28255-0001</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3"/>
        </w:trPr>
        <w:tc>
          <w:tcPr>
            <w:tcW w:w="4120" w:type="dxa"/>
            <w:vAlign w:val="bottom"/>
          </w:tcPr>
          <w:p>
            <w:pPr>
              <w:spacing w:after="0"/>
              <w:rPr>
                <w:sz w:val="20"/>
                <w:szCs w:val="20"/>
                <w:color w:val="auto"/>
              </w:rPr>
            </w:pPr>
            <w:r>
              <w:rPr>
                <w:rFonts w:ascii="Arial" w:cs="Arial" w:eastAsia="Arial" w:hAnsi="Arial"/>
                <w:sz w:val="18"/>
                <w:szCs w:val="18"/>
                <w:color w:val="auto"/>
              </w:rPr>
              <w:t>Total Amount of Mortgage:</w:t>
            </w:r>
          </w:p>
        </w:tc>
        <w:tc>
          <w:tcPr>
            <w:tcW w:w="1840" w:type="dxa"/>
            <w:vAlign w:val="bottom"/>
          </w:tcPr>
          <w:p>
            <w:pPr>
              <w:spacing w:after="0"/>
              <w:rPr>
                <w:sz w:val="24"/>
                <w:szCs w:val="24"/>
                <w:color w:val="auto"/>
              </w:rPr>
            </w:pPr>
          </w:p>
        </w:tc>
        <w:tc>
          <w:tcPr>
            <w:tcW w:w="2920" w:type="dxa"/>
            <w:vAlign w:val="bottom"/>
            <w:gridSpan w:val="3"/>
          </w:tcPr>
          <w:p>
            <w:pPr>
              <w:ind w:left="100"/>
              <w:spacing w:after="0"/>
              <w:rPr>
                <w:sz w:val="20"/>
                <w:szCs w:val="20"/>
                <w:color w:val="auto"/>
              </w:rPr>
            </w:pPr>
            <w:r>
              <w:rPr>
                <w:rFonts w:ascii="Arial" w:cs="Arial" w:eastAsia="Arial" w:hAnsi="Arial"/>
                <w:sz w:val="18"/>
                <w:szCs w:val="18"/>
                <w:color w:val="auto"/>
              </w:rPr>
              <w:t>Fifty Million United States Dollars</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$50,000,000, plus interest, fees, costs and expenses</w:t>
            </w:r>
          </w:p>
        </w:tc>
      </w:tr>
    </w:tbl>
    <w:p>
      <w:pPr>
        <w:sectPr>
          <w:pgSz w:w="11900" w:h="16838" w:orient="portrait"/>
          <w:cols w:equalWidth="0" w:num="1">
            <w:col w:w="11420"/>
          </w:cols>
          <w:pgMar w:left="240" w:top="274" w:right="239" w:bottom="1440" w:gutter="0" w:footer="0" w:header="0"/>
        </w:sectPr>
      </w:pPr>
    </w:p>
    <w:bookmarkStart w:id="198" w:name="page199"/>
    <w:bookmarkEnd w:id="198"/>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20" w:right="20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6540" w:type="dxa"/>
            <w:vAlign w:val="bottom"/>
            <w:gridSpan w:val="4"/>
          </w:tcPr>
          <w:p>
            <w:pPr>
              <w:jc w:val="right"/>
              <w:ind w:right="4720"/>
              <w:spacing w:after="0"/>
              <w:rPr>
                <w:sz w:val="20"/>
                <w:szCs w:val="20"/>
                <w:color w:val="auto"/>
              </w:rPr>
            </w:pPr>
            <w:r>
              <w:rPr>
                <w:rFonts w:ascii="Arial" w:cs="Arial" w:eastAsia="Arial" w:hAnsi="Arial"/>
                <w:sz w:val="18"/>
                <w:szCs w:val="18"/>
                <w:color w:val="auto"/>
                <w:w w:val="94"/>
              </w:rPr>
              <w:t>TABLE OF CONTENTS</w:t>
            </w:r>
          </w:p>
        </w:tc>
        <w:tc>
          <w:tcPr>
            <w:tcW w:w="0" w:type="dxa"/>
            <w:vAlign w:val="bottom"/>
          </w:tcPr>
          <w:p>
            <w:pPr>
              <w:spacing w:after="0"/>
              <w:rPr>
                <w:sz w:val="1"/>
                <w:szCs w:val="1"/>
                <w:color w:val="auto"/>
              </w:rPr>
            </w:pPr>
          </w:p>
        </w:tc>
      </w:tr>
      <w:tr>
        <w:trPr>
          <w:trHeight w:val="412"/>
        </w:trPr>
        <w:tc>
          <w:tcPr>
            <w:tcW w:w="340" w:type="dxa"/>
            <w:vAlign w:val="bottom"/>
            <w:vMerge w:val="restart"/>
          </w:tcPr>
          <w:p>
            <w:pPr>
              <w:spacing w:after="0"/>
              <w:rPr>
                <w:sz w:val="20"/>
                <w:szCs w:val="20"/>
                <w:color w:val="auto"/>
              </w:rPr>
            </w:pPr>
            <w:r>
              <w:rPr>
                <w:rFonts w:ascii="Arial" w:cs="Arial" w:eastAsia="Arial" w:hAnsi="Arial"/>
                <w:sz w:val="18"/>
                <w:szCs w:val="18"/>
                <w:color w:val="auto"/>
              </w:rPr>
              <w:t>1.</w:t>
            </w:r>
          </w:p>
        </w:tc>
        <w:tc>
          <w:tcPr>
            <w:tcW w:w="4460" w:type="dxa"/>
            <w:vAlign w:val="bottom"/>
            <w:vMerge w:val="restart"/>
          </w:tcPr>
          <w:p>
            <w:pPr>
              <w:ind w:left="100"/>
              <w:spacing w:after="0"/>
              <w:rPr>
                <w:sz w:val="20"/>
                <w:szCs w:val="20"/>
                <w:color w:val="auto"/>
              </w:rPr>
            </w:pPr>
            <w:r>
              <w:rPr>
                <w:rFonts w:ascii="Arial" w:cs="Arial" w:eastAsia="Arial" w:hAnsi="Arial"/>
                <w:sz w:val="18"/>
                <w:szCs w:val="18"/>
                <w:color w:val="auto"/>
              </w:rPr>
              <w:t>DEFINITIONS</w:t>
            </w:r>
          </w:p>
        </w:tc>
        <w:tc>
          <w:tcPr>
            <w:tcW w:w="182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24"/>
        </w:trPr>
        <w:tc>
          <w:tcPr>
            <w:tcW w:w="340" w:type="dxa"/>
            <w:vAlign w:val="bottom"/>
            <w:vMerge w:val="continue"/>
          </w:tcPr>
          <w:p>
            <w:pPr>
              <w:spacing w:after="0"/>
              <w:rPr>
                <w:sz w:val="19"/>
                <w:szCs w:val="19"/>
                <w:color w:val="auto"/>
              </w:rPr>
            </w:pPr>
          </w:p>
        </w:tc>
        <w:tc>
          <w:tcPr>
            <w:tcW w:w="4460" w:type="dxa"/>
            <w:vAlign w:val="bottom"/>
            <w:vMerge w:val="continue"/>
          </w:tcPr>
          <w:p>
            <w:pPr>
              <w:spacing w:after="0"/>
              <w:rPr>
                <w:sz w:val="19"/>
                <w:szCs w:val="19"/>
                <w:color w:val="auto"/>
              </w:rPr>
            </w:pPr>
          </w:p>
        </w:tc>
        <w:tc>
          <w:tcPr>
            <w:tcW w:w="18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4460" w:type="dxa"/>
            <w:vAlign w:val="bottom"/>
          </w:tcPr>
          <w:p>
            <w:pPr>
              <w:ind w:left="100"/>
              <w:spacing w:after="0"/>
              <w:rPr>
                <w:sz w:val="20"/>
                <w:szCs w:val="20"/>
                <w:color w:val="auto"/>
              </w:rPr>
            </w:pPr>
            <w:r>
              <w:rPr>
                <w:rFonts w:ascii="Arial" w:cs="Arial" w:eastAsia="Arial" w:hAnsi="Arial"/>
                <w:sz w:val="18"/>
                <w:szCs w:val="18"/>
                <w:color w:val="auto"/>
              </w:rPr>
              <w:t>MORTGAGE</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4460" w:type="dxa"/>
            <w:vAlign w:val="bottom"/>
          </w:tcPr>
          <w:p>
            <w:pPr>
              <w:ind w:left="100"/>
              <w:spacing w:after="0"/>
              <w:rPr>
                <w:sz w:val="20"/>
                <w:szCs w:val="20"/>
                <w:color w:val="auto"/>
              </w:rPr>
            </w:pPr>
            <w:r>
              <w:rPr>
                <w:rFonts w:ascii="Arial" w:cs="Arial" w:eastAsia="Arial" w:hAnsi="Arial"/>
                <w:sz w:val="18"/>
                <w:szCs w:val="18"/>
                <w:color w:val="auto"/>
              </w:rPr>
              <w:t>REPRESENTATIONS AND WARRANTIES</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4460" w:type="dxa"/>
            <w:vAlign w:val="bottom"/>
          </w:tcPr>
          <w:p>
            <w:pPr>
              <w:ind w:left="100"/>
              <w:spacing w:after="0"/>
              <w:rPr>
                <w:sz w:val="20"/>
                <w:szCs w:val="20"/>
                <w:color w:val="auto"/>
              </w:rPr>
            </w:pPr>
            <w:r>
              <w:rPr>
                <w:rFonts w:ascii="Arial" w:cs="Arial" w:eastAsia="Arial" w:hAnsi="Arial"/>
                <w:sz w:val="18"/>
                <w:szCs w:val="18"/>
                <w:color w:val="auto"/>
              </w:rPr>
              <w:t>COVENANTS</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446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4460" w:type="dxa"/>
            <w:vAlign w:val="bottom"/>
          </w:tcPr>
          <w:p>
            <w:pPr>
              <w:ind w:left="100"/>
              <w:spacing w:after="0"/>
              <w:rPr>
                <w:sz w:val="20"/>
                <w:szCs w:val="20"/>
                <w:color w:val="auto"/>
              </w:rPr>
            </w:pPr>
            <w:r>
              <w:rPr>
                <w:rFonts w:ascii="Arial" w:cs="Arial" w:eastAsia="Arial" w:hAnsi="Arial"/>
                <w:sz w:val="18"/>
                <w:szCs w:val="18"/>
                <w:color w:val="auto"/>
              </w:rPr>
              <w:t>APPLICATION OF MONEYS</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4460" w:type="dxa"/>
            <w:vAlign w:val="bottom"/>
          </w:tcPr>
          <w:p>
            <w:pPr>
              <w:ind w:left="100"/>
              <w:spacing w:after="0"/>
              <w:rPr>
                <w:sz w:val="20"/>
                <w:szCs w:val="20"/>
                <w:color w:val="auto"/>
              </w:rPr>
            </w:pPr>
            <w:r>
              <w:rPr>
                <w:rFonts w:ascii="Arial" w:cs="Arial" w:eastAsia="Arial" w:hAnsi="Arial"/>
                <w:sz w:val="18"/>
                <w:szCs w:val="18"/>
                <w:color w:val="auto"/>
              </w:rPr>
              <w:t>DELAY AND CURE</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4460" w:type="dxa"/>
            <w:vAlign w:val="bottom"/>
          </w:tcPr>
          <w:p>
            <w:pPr>
              <w:ind w:left="100"/>
              <w:spacing w:after="0"/>
              <w:rPr>
                <w:sz w:val="20"/>
                <w:szCs w:val="20"/>
                <w:color w:val="auto"/>
              </w:rPr>
            </w:pPr>
            <w:r>
              <w:rPr>
                <w:rFonts w:ascii="Arial" w:cs="Arial" w:eastAsia="Arial" w:hAnsi="Arial"/>
                <w:sz w:val="18"/>
                <w:szCs w:val="18"/>
                <w:color w:val="auto"/>
              </w:rPr>
              <w:t>DELEGATION OF MORTGAGEE’S POWERS</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4460" w:type="dxa"/>
            <w:vAlign w:val="bottom"/>
          </w:tcPr>
          <w:p>
            <w:pPr>
              <w:ind w:left="100"/>
              <w:spacing w:after="0"/>
              <w:rPr>
                <w:sz w:val="20"/>
                <w:szCs w:val="20"/>
                <w:color w:val="auto"/>
              </w:rPr>
            </w:pPr>
            <w:r>
              <w:rPr>
                <w:rFonts w:ascii="Arial" w:cs="Arial" w:eastAsia="Arial" w:hAnsi="Arial"/>
                <w:sz w:val="18"/>
                <w:szCs w:val="18"/>
                <w:color w:val="auto"/>
              </w:rPr>
              <w:t>OWNER’S INDEMNITY</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4460" w:type="dxa"/>
            <w:vAlign w:val="bottom"/>
          </w:tcPr>
          <w:p>
            <w:pPr>
              <w:ind w:left="100"/>
              <w:spacing w:after="0"/>
              <w:rPr>
                <w:sz w:val="20"/>
                <w:szCs w:val="20"/>
                <w:color w:val="auto"/>
              </w:rPr>
            </w:pPr>
            <w:r>
              <w:rPr>
                <w:rFonts w:ascii="Arial" w:cs="Arial" w:eastAsia="Arial" w:hAnsi="Arial"/>
                <w:sz w:val="18"/>
                <w:szCs w:val="18"/>
                <w:color w:val="auto"/>
              </w:rPr>
              <w:t>POWER OF ATTORNEY</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4460" w:type="dxa"/>
            <w:vAlign w:val="bottom"/>
          </w:tcPr>
          <w:p>
            <w:pPr>
              <w:ind w:left="100"/>
              <w:spacing w:after="0"/>
              <w:rPr>
                <w:sz w:val="20"/>
                <w:szCs w:val="20"/>
                <w:color w:val="auto"/>
              </w:rPr>
            </w:pPr>
            <w:r>
              <w:rPr>
                <w:rFonts w:ascii="Arial" w:cs="Arial" w:eastAsia="Arial" w:hAnsi="Arial"/>
                <w:sz w:val="18"/>
                <w:szCs w:val="18"/>
                <w:color w:val="auto"/>
              </w:rPr>
              <w:t>ARREST BY A THIRD PARTY</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4460" w:type="dxa"/>
            <w:vAlign w:val="bottom"/>
          </w:tcPr>
          <w:p>
            <w:pPr>
              <w:ind w:left="100"/>
              <w:spacing w:after="0"/>
              <w:rPr>
                <w:sz w:val="20"/>
                <w:szCs w:val="20"/>
                <w:color w:val="auto"/>
              </w:rPr>
            </w:pPr>
            <w:r>
              <w:rPr>
                <w:rFonts w:ascii="Arial" w:cs="Arial" w:eastAsia="Arial" w:hAnsi="Arial"/>
                <w:sz w:val="18"/>
                <w:szCs w:val="18"/>
                <w:color w:val="auto"/>
              </w:rPr>
              <w:t>JURISDICTION</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4460" w:type="dxa"/>
            <w:vAlign w:val="bottom"/>
          </w:tcPr>
          <w:p>
            <w:pPr>
              <w:ind w:left="100"/>
              <w:spacing w:after="0"/>
              <w:rPr>
                <w:sz w:val="20"/>
                <w:szCs w:val="20"/>
                <w:color w:val="auto"/>
              </w:rPr>
            </w:pPr>
            <w:r>
              <w:rPr>
                <w:rFonts w:ascii="Arial" w:cs="Arial" w:eastAsia="Arial" w:hAnsi="Arial"/>
                <w:sz w:val="18"/>
                <w:szCs w:val="18"/>
                <w:color w:val="auto"/>
              </w:rPr>
              <w:t>INVALID PROVISIONS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14.</w:t>
            </w:r>
          </w:p>
        </w:tc>
        <w:tc>
          <w:tcPr>
            <w:tcW w:w="4460" w:type="dxa"/>
            <w:vAlign w:val="bottom"/>
          </w:tcPr>
          <w:p>
            <w:pPr>
              <w:ind w:left="100"/>
              <w:spacing w:after="0"/>
              <w:rPr>
                <w:sz w:val="20"/>
                <w:szCs w:val="20"/>
                <w:color w:val="auto"/>
              </w:rPr>
            </w:pPr>
            <w:r>
              <w:rPr>
                <w:rFonts w:ascii="Arial" w:cs="Arial" w:eastAsia="Arial" w:hAnsi="Arial"/>
                <w:sz w:val="18"/>
                <w:szCs w:val="18"/>
                <w:color w:val="auto"/>
              </w:rPr>
              <w:t>FURTHER ASSURANCE</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15.</w:t>
            </w:r>
          </w:p>
        </w:tc>
        <w:tc>
          <w:tcPr>
            <w:tcW w:w="4460" w:type="dxa"/>
            <w:vAlign w:val="bottom"/>
          </w:tcPr>
          <w:p>
            <w:pPr>
              <w:ind w:left="100"/>
              <w:spacing w:after="0"/>
              <w:rPr>
                <w:sz w:val="20"/>
                <w:szCs w:val="20"/>
                <w:color w:val="auto"/>
              </w:rPr>
            </w:pPr>
            <w:r>
              <w:rPr>
                <w:rFonts w:ascii="Arial" w:cs="Arial" w:eastAsia="Arial" w:hAnsi="Arial"/>
                <w:sz w:val="18"/>
                <w:szCs w:val="18"/>
                <w:color w:val="auto"/>
              </w:rPr>
              <w:t>CUMULATIVE REMEDIES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16.</w:t>
            </w:r>
          </w:p>
        </w:tc>
        <w:tc>
          <w:tcPr>
            <w:tcW w:w="4460" w:type="dxa"/>
            <w:vAlign w:val="bottom"/>
          </w:tcPr>
          <w:p>
            <w:pPr>
              <w:ind w:left="100"/>
              <w:spacing w:after="0"/>
              <w:rPr>
                <w:sz w:val="20"/>
                <w:szCs w:val="20"/>
                <w:color w:val="auto"/>
              </w:rPr>
            </w:pPr>
            <w:r>
              <w:rPr>
                <w:rFonts w:ascii="Arial" w:cs="Arial" w:eastAsia="Arial" w:hAnsi="Arial"/>
                <w:sz w:val="18"/>
                <w:szCs w:val="18"/>
                <w:color w:val="auto"/>
              </w:rPr>
              <w:t>AMOUNT OF MORTGAGE</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17.</w:t>
            </w:r>
          </w:p>
        </w:tc>
        <w:tc>
          <w:tcPr>
            <w:tcW w:w="4460" w:type="dxa"/>
            <w:vAlign w:val="bottom"/>
          </w:tcPr>
          <w:p>
            <w:pPr>
              <w:ind w:left="100"/>
              <w:spacing w:after="0"/>
              <w:rPr>
                <w:sz w:val="20"/>
                <w:szCs w:val="20"/>
                <w:color w:val="auto"/>
              </w:rPr>
            </w:pPr>
            <w:r>
              <w:rPr>
                <w:rFonts w:ascii="Arial" w:cs="Arial" w:eastAsia="Arial" w:hAnsi="Arial"/>
                <w:sz w:val="18"/>
                <w:szCs w:val="18"/>
                <w:color w:val="auto"/>
              </w:rPr>
              <w:t>PREFERRED STATUS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18.</w:t>
            </w:r>
          </w:p>
        </w:tc>
        <w:tc>
          <w:tcPr>
            <w:tcW w:w="4460" w:type="dxa"/>
            <w:vAlign w:val="bottom"/>
          </w:tcPr>
          <w:p>
            <w:pPr>
              <w:ind w:left="100"/>
              <w:spacing w:after="0"/>
              <w:rPr>
                <w:sz w:val="20"/>
                <w:szCs w:val="20"/>
                <w:color w:val="auto"/>
              </w:rPr>
            </w:pPr>
            <w:r>
              <w:rPr>
                <w:rFonts w:ascii="Arial" w:cs="Arial" w:eastAsia="Arial" w:hAnsi="Arial"/>
                <w:sz w:val="18"/>
                <w:szCs w:val="18"/>
                <w:color w:val="auto"/>
              </w:rPr>
              <w:t>NOTICES</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19.</w:t>
            </w:r>
          </w:p>
        </w:tc>
        <w:tc>
          <w:tcPr>
            <w:tcW w:w="4460" w:type="dxa"/>
            <w:vAlign w:val="bottom"/>
          </w:tcPr>
          <w:p>
            <w:pPr>
              <w:ind w:left="100"/>
              <w:spacing w:after="0"/>
              <w:rPr>
                <w:sz w:val="20"/>
                <w:szCs w:val="20"/>
                <w:color w:val="auto"/>
              </w:rPr>
            </w:pPr>
            <w:r>
              <w:rPr>
                <w:rFonts w:ascii="Arial" w:cs="Arial" w:eastAsia="Arial" w:hAnsi="Arial"/>
                <w:sz w:val="18"/>
                <w:szCs w:val="18"/>
                <w:color w:val="auto"/>
              </w:rPr>
              <w:t>PARTIES BOUND</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20.</w:t>
            </w:r>
          </w:p>
        </w:tc>
        <w:tc>
          <w:tcPr>
            <w:tcW w:w="4460" w:type="dxa"/>
            <w:vAlign w:val="bottom"/>
          </w:tcPr>
          <w:p>
            <w:pPr>
              <w:ind w:left="100"/>
              <w:spacing w:after="0"/>
              <w:rPr>
                <w:sz w:val="20"/>
                <w:szCs w:val="20"/>
                <w:color w:val="auto"/>
              </w:rPr>
            </w:pPr>
            <w:r>
              <w:rPr>
                <w:rFonts w:ascii="Arial" w:cs="Arial" w:eastAsia="Arial" w:hAnsi="Arial"/>
                <w:sz w:val="18"/>
                <w:szCs w:val="18"/>
                <w:color w:val="auto"/>
              </w:rPr>
              <w:t>WAIVER OF DEMAND</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21.</w:t>
            </w:r>
          </w:p>
        </w:tc>
        <w:tc>
          <w:tcPr>
            <w:tcW w:w="4460" w:type="dxa"/>
            <w:vAlign w:val="bottom"/>
          </w:tcPr>
          <w:p>
            <w:pPr>
              <w:ind w:left="100"/>
              <w:spacing w:after="0"/>
              <w:rPr>
                <w:sz w:val="20"/>
                <w:szCs w:val="20"/>
                <w:color w:val="auto"/>
              </w:rPr>
            </w:pPr>
            <w:r>
              <w:rPr>
                <w:rFonts w:ascii="Arial" w:cs="Arial" w:eastAsia="Arial" w:hAnsi="Arial"/>
                <w:sz w:val="18"/>
                <w:szCs w:val="18"/>
                <w:color w:val="auto"/>
              </w:rPr>
              <w:t>EXPENSES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74" w:right="319" w:bottom="1440" w:gutter="0" w:footer="0" w:header="0"/>
        </w:sectPr>
      </w:pPr>
    </w:p>
    <w:bookmarkStart w:id="199" w:name="page200"/>
    <w:bookmarkEnd w:id="199"/>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20" w:right="20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FIRST PREFERRED FLEET MORTGAGE</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THIS FIRST PREFERRED FLEET MORTGAGE is effective as of November 4, 2014 (this “</w:t>
      </w:r>
      <w:r>
        <w:rPr>
          <w:rFonts w:ascii="Arial" w:cs="Arial" w:eastAsia="Arial" w:hAnsi="Arial"/>
          <w:sz w:val="18"/>
          <w:szCs w:val="18"/>
          <w:u w:val="single" w:color="auto"/>
          <w:color w:val="auto"/>
        </w:rPr>
        <w:t>Mortgage</w:t>
      </w:r>
      <w:r>
        <w:rPr>
          <w:rFonts w:ascii="Arial" w:cs="Arial" w:eastAsia="Arial" w:hAnsi="Arial"/>
          <w:sz w:val="18"/>
          <w:szCs w:val="18"/>
          <w:color w:val="auto"/>
        </w:rPr>
        <w:t>”) by GREAT LAKES DREDGE &amp; DOCK COMPANY, LLC, a Delaware limited liability company with offices at 2122 York Road, Oak Brook, IL 60523 (the “</w:t>
      </w:r>
      <w:r>
        <w:rPr>
          <w:rFonts w:ascii="Arial" w:cs="Arial" w:eastAsia="Arial" w:hAnsi="Arial"/>
          <w:sz w:val="18"/>
          <w:szCs w:val="18"/>
          <w:u w:val="single" w:color="auto"/>
          <w:color w:val="auto"/>
        </w:rPr>
        <w:t>Owner</w:t>
      </w:r>
      <w:r>
        <w:rPr>
          <w:rFonts w:ascii="Arial" w:cs="Arial" w:eastAsia="Arial" w:hAnsi="Arial"/>
          <w:sz w:val="18"/>
          <w:szCs w:val="18"/>
          <w:color w:val="auto"/>
        </w:rPr>
        <w:t>”), in favor of BANK OF AMERICA, N.A., a national banking association, as Administrative Agent for the lenders from time to time party to the Loan Agreement referred to below, having an address at One Independence Center, 101 N. Tryon St., Charlotte, NC, 28255-0001 (Bank of America, N.A. acting in such capacity, the “</w:t>
      </w:r>
      <w:r>
        <w:rPr>
          <w:rFonts w:ascii="Arial" w:cs="Arial" w:eastAsia="Arial" w:hAnsi="Arial"/>
          <w:sz w:val="18"/>
          <w:szCs w:val="18"/>
          <w:u w:val="single" w:color="auto"/>
          <w:color w:val="auto"/>
        </w:rPr>
        <w:t>Mortgagee</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the Owner is the sole legal owner of the whole of the following vessels (collectively, the “</w:t>
      </w:r>
      <w:r>
        <w:rPr>
          <w:rFonts w:ascii="Arial" w:cs="Arial" w:eastAsia="Arial" w:hAnsi="Arial"/>
          <w:sz w:val="17"/>
          <w:szCs w:val="17"/>
          <w:u w:val="single" w:color="auto"/>
          <w:color w:val="auto"/>
        </w:rPr>
        <w:t>Vessels</w:t>
      </w:r>
      <w:r>
        <w:rPr>
          <w:rFonts w:ascii="Arial" w:cs="Arial" w:eastAsia="Arial" w:hAnsi="Arial"/>
          <w:sz w:val="17"/>
          <w:szCs w:val="17"/>
          <w:color w:val="auto"/>
        </w:rPr>
        <w:t>” and individually a “</w:t>
      </w:r>
      <w:r>
        <w:rPr>
          <w:rFonts w:ascii="Arial" w:cs="Arial" w:eastAsia="Arial" w:hAnsi="Arial"/>
          <w:sz w:val="17"/>
          <w:szCs w:val="17"/>
          <w:u w:val="single" w:color="auto"/>
          <w:color w:val="auto"/>
        </w:rPr>
        <w:t>Vessel</w:t>
      </w:r>
      <w:r>
        <w:rPr>
          <w:rFonts w:ascii="Arial" w:cs="Arial" w:eastAsia="Arial" w:hAnsi="Arial"/>
          <w:sz w:val="17"/>
          <w:szCs w:val="17"/>
          <w:color w:val="auto"/>
        </w:rPr>
        <w:t>”), which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Vessels being duly documented in the name of the Owner under the laws and flag of the United States of America:</w:t>
      </w:r>
    </w:p>
    <w:p>
      <w:pPr>
        <w:spacing w:after="0" w:line="229"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w:t>
            </w:r>
            <w:r>
              <w:rPr>
                <w:rFonts w:ascii="Arial" w:cs="Arial" w:eastAsia="Arial" w:hAnsi="Arial"/>
                <w:sz w:val="14"/>
                <w:szCs w:val="14"/>
                <w:b w:val="1"/>
                <w:bCs w:val="1"/>
                <w:color w:val="auto"/>
              </w:rPr>
              <w:t xml:space="preserve"> V</w:t>
            </w:r>
            <w:r>
              <w:rPr>
                <w:rFonts w:ascii="Arial" w:cs="Arial" w:eastAsia="Arial" w:hAnsi="Arial"/>
                <w:sz w:val="11"/>
                <w:szCs w:val="11"/>
                <w:b w:val="1"/>
                <w:bCs w:val="1"/>
                <w:color w:val="auto"/>
              </w:rPr>
              <w:t>ESSEL</w:t>
            </w:r>
          </w:p>
        </w:tc>
        <w:tc>
          <w:tcPr>
            <w:tcW w:w="3580" w:type="dxa"/>
            <w:vAlign w:val="bottom"/>
            <w:gridSpan w:val="2"/>
          </w:tcPr>
          <w:p>
            <w:pPr>
              <w:jc w:val="right"/>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FFICIAL</w:t>
            </w:r>
            <w:r>
              <w:rPr>
                <w:rFonts w:ascii="Arial" w:cs="Arial" w:eastAsia="Arial" w:hAnsi="Arial"/>
                <w:sz w:val="14"/>
                <w:szCs w:val="14"/>
                <w:b w:val="1"/>
                <w:bCs w:val="1"/>
                <w:color w:val="auto"/>
              </w:rPr>
              <w:t xml:space="preserve"> N</w:t>
            </w:r>
            <w:r>
              <w:rPr>
                <w:rFonts w:ascii="Arial" w:cs="Arial" w:eastAsia="Arial" w:hAnsi="Arial"/>
                <w:sz w:val="11"/>
                <w:szCs w:val="11"/>
                <w:b w:val="1"/>
                <w:bCs w:val="1"/>
                <w:color w:val="auto"/>
              </w:rPr>
              <w:t>UMBER</w:t>
            </w:r>
          </w:p>
        </w:tc>
      </w:tr>
      <w:tr>
        <w:trPr>
          <w:trHeight w:val="189"/>
        </w:trPr>
        <w:tc>
          <w:tcPr>
            <w:tcW w:w="10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2"/>
              </w:rPr>
              <w:t>FUEL BARGE</w:t>
            </w:r>
          </w:p>
        </w:tc>
        <w:tc>
          <w:tcPr>
            <w:tcW w:w="3000" w:type="dxa"/>
            <w:vAlign w:val="bottom"/>
          </w:tcPr>
          <w:p>
            <w:pPr>
              <w:jc w:val="right"/>
              <w:ind w:right="2490"/>
              <w:spacing w:after="0" w:line="189" w:lineRule="exact"/>
              <w:rPr>
                <w:sz w:val="20"/>
                <w:szCs w:val="20"/>
                <w:color w:val="auto"/>
              </w:rPr>
            </w:pPr>
            <w:r>
              <w:rPr>
                <w:rFonts w:ascii="Arial" w:cs="Arial" w:eastAsia="Arial" w:hAnsi="Arial"/>
                <w:sz w:val="18"/>
                <w:szCs w:val="18"/>
                <w:color w:val="auto"/>
                <w:w w:val="99"/>
              </w:rPr>
              <w:t>1001</w:t>
            </w:r>
          </w:p>
        </w:tc>
        <w:tc>
          <w:tcPr>
            <w:tcW w:w="2380" w:type="dxa"/>
            <w:vAlign w:val="bottom"/>
          </w:tcPr>
          <w:p>
            <w:pPr>
              <w:spacing w:after="0"/>
              <w:rPr>
                <w:sz w:val="16"/>
                <w:szCs w:val="16"/>
                <w:color w:val="auto"/>
              </w:rPr>
            </w:pPr>
          </w:p>
        </w:tc>
        <w:tc>
          <w:tcPr>
            <w:tcW w:w="12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1253489</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G. L. 175</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650209</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G.L. 112</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1253488</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G.L. 111</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1253487</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DERRICK 60</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286687</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DERRICK 66</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695433</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DERRICK 68</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252050</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DERRICK 69</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530661</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DERRICK 70</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1212358</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DERRICK 64</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1184264</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JACK NEWMAN</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293297</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MCCORMACK BOYS</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646543</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G.L. 33</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612272</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G.L. 35</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563732</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G.L. 63</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922736</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G.L. 64</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922737</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MUSKEGON RIVER</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1226788</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SAGINAW RIVER</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1236901</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LITTLE ROCK</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531592</w:t>
            </w:r>
          </w:p>
        </w:tc>
      </w:tr>
    </w:tbl>
    <w:p>
      <w:pPr>
        <w:spacing w:after="0" w:line="202"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WHEREAS, Great Lakes Dredge &amp; Dock Corporation, a Delaware corporation (“</w:t>
      </w:r>
      <w:r>
        <w:rPr>
          <w:rFonts w:ascii="Arial" w:cs="Arial" w:eastAsia="Arial" w:hAnsi="Arial"/>
          <w:sz w:val="17"/>
          <w:szCs w:val="17"/>
          <w:u w:val="single" w:color="auto"/>
          <w:color w:val="auto"/>
        </w:rPr>
        <w:t>Great Lakes</w:t>
      </w:r>
      <w:r>
        <w:rPr>
          <w:rFonts w:ascii="Arial" w:cs="Arial" w:eastAsia="Arial" w:hAnsi="Arial"/>
          <w:sz w:val="17"/>
          <w:szCs w:val="17"/>
          <w:color w:val="auto"/>
        </w:rPr>
        <w:t>”, or the “</w:t>
      </w:r>
      <w:r>
        <w:rPr>
          <w:rFonts w:ascii="Arial" w:cs="Arial" w:eastAsia="Arial" w:hAnsi="Arial"/>
          <w:sz w:val="17"/>
          <w:szCs w:val="17"/>
          <w:u w:val="single" w:color="auto"/>
          <w:color w:val="auto"/>
        </w:rPr>
        <w:t>Borrower</w:t>
      </w:r>
      <w:r>
        <w:rPr>
          <w:rFonts w:ascii="Arial" w:cs="Arial" w:eastAsia="Arial" w:hAnsi="Arial"/>
          <w:sz w:val="17"/>
          <w:szCs w:val="17"/>
          <w:color w:val="auto"/>
        </w:rPr>
        <w:t>”), the Owner’s direct parent corporation, has entered into that certain Loan and Security Agreement dated as of November 4, 2014 by and among the Borrower, the Owner, as Guarantor, the financial institutions from time to time party thereto as Lenders and Bank of America, N.A., as Administrative Agent (as the same may be amended, restated, supplemented or otherwise modified in writing from time to time, the “</w:t>
      </w:r>
      <w:r>
        <w:rPr>
          <w:rFonts w:ascii="Arial" w:cs="Arial" w:eastAsia="Arial" w:hAnsi="Arial"/>
          <w:sz w:val="17"/>
          <w:szCs w:val="17"/>
          <w:u w:val="single" w:color="auto"/>
          <w:color w:val="auto"/>
        </w:rPr>
        <w:t>Loan Agreement</w:t>
      </w:r>
      <w:r>
        <w:rPr>
          <w:rFonts w:ascii="Arial" w:cs="Arial" w:eastAsia="Arial" w:hAnsi="Arial"/>
          <w:sz w:val="17"/>
          <w:szCs w:val="17"/>
          <w:color w:val="auto"/>
        </w:rPr>
        <w:t>”), under which loans and other financial accommodations heretofore have been and may hereafter be made to or for the benefit of the Borrower;</w:t>
      </w:r>
    </w:p>
    <w:p>
      <w:pPr>
        <w:sectPr>
          <w:pgSz w:w="11900" w:h="16838" w:orient="portrait"/>
          <w:cols w:equalWidth="0" w:num="1">
            <w:col w:w="11340"/>
          </w:cols>
          <w:pgMar w:left="240" w:top="274" w:right="319" w:bottom="1440" w:gutter="0" w:footer="0" w:header="0"/>
        </w:sectPr>
      </w:pPr>
    </w:p>
    <w:bookmarkStart w:id="200" w:name="page201"/>
    <w:bookmarkEnd w:id="200"/>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WHEREAS, the Owner has entered into that certain Guaranty dated as of November 4, 2014 (as the same may be amended, restated, supplemented or otherwise modified in writing from time to time, the “</w:t>
      </w:r>
      <w:r>
        <w:rPr>
          <w:rFonts w:ascii="Arial" w:cs="Arial" w:eastAsia="Arial" w:hAnsi="Arial"/>
          <w:sz w:val="18"/>
          <w:szCs w:val="18"/>
          <w:u w:val="single" w:color="auto"/>
          <w:color w:val="auto"/>
        </w:rPr>
        <w:t>Guaranty</w:t>
      </w:r>
      <w:r>
        <w:rPr>
          <w:rFonts w:ascii="Arial" w:cs="Arial" w:eastAsia="Arial" w:hAnsi="Arial"/>
          <w:sz w:val="18"/>
          <w:szCs w:val="18"/>
          <w:color w:val="auto"/>
        </w:rPr>
        <w:t>”), pursuant to which the Owner has guaranteed all of the Obligations (which guaranty obligations of the Owner and the Borrower, all other payment and performance obligations of the Owner under this Mortgage, and all other obligations of the Owner and Borrower under the other Loan Documents to which the Owner and the Borrower are each a party, are hereinafter referred to collectively as the “</w:t>
      </w:r>
      <w:r>
        <w:rPr>
          <w:rFonts w:ascii="Arial" w:cs="Arial" w:eastAsia="Arial" w:hAnsi="Arial"/>
          <w:sz w:val="18"/>
          <w:szCs w:val="18"/>
          <w:u w:val="single" w:color="auto"/>
          <w:color w:val="auto"/>
        </w:rPr>
        <w:t>Secured Indebtedness</w:t>
      </w:r>
      <w:r>
        <w:rPr>
          <w:rFonts w:ascii="Arial" w:cs="Arial" w:eastAsia="Arial" w:hAnsi="Arial"/>
          <w:sz w:val="18"/>
          <w:szCs w:val="18"/>
          <w:color w:val="auto"/>
        </w:rPr>
        <w:t>”);</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WHEREAS, the Owner has agreed to secure the Secured Indebedness with, among other things, a first preferred fleet mortgage on certain vessels owned by the Owner and documented under the laws of the United States in the maximum principal amount of U.S. $50,000,000, plus interest, expenses and fees;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WHEREAS, the Loan Agreement (excluding Exhibits and Schedules) is attached to this Mortgage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THIS MORTGAGE WITNESSETH:</w:t>
      </w:r>
    </w:p>
    <w:p>
      <w:pPr>
        <w:spacing w:after="0" w:line="117" w:lineRule="exact"/>
        <w:rPr>
          <w:sz w:val="20"/>
          <w:szCs w:val="20"/>
          <w:color w:val="auto"/>
        </w:rPr>
      </w:pPr>
    </w:p>
    <w:p>
      <w:pPr>
        <w:ind w:right="200" w:firstLine="464"/>
        <w:spacing w:after="0" w:line="277" w:lineRule="auto"/>
        <w:tabs>
          <w:tab w:leader="none" w:pos="636"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shall, unless otherwise defined herein, have the meanings provided in the Loan Agreement. The rules of usage and interpretation set forth in the Loan Agreement shall apply to terms defined herein.</w:t>
      </w:r>
    </w:p>
    <w:p>
      <w:pPr>
        <w:spacing w:after="0" w:line="170" w:lineRule="exact"/>
        <w:rPr>
          <w:rFonts w:ascii="Arial" w:cs="Arial" w:eastAsia="Arial" w:hAnsi="Arial"/>
          <w:sz w:val="18"/>
          <w:szCs w:val="18"/>
          <w:color w:val="auto"/>
        </w:rPr>
      </w:pPr>
    </w:p>
    <w:p>
      <w:pPr>
        <w:ind w:right="20" w:firstLine="464"/>
        <w:spacing w:after="0" w:line="269" w:lineRule="auto"/>
        <w:tabs>
          <w:tab w:leader="none" w:pos="636"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Mortgage</w:t>
      </w:r>
      <w:r>
        <w:rPr>
          <w:rFonts w:ascii="Arial" w:cs="Arial" w:eastAsia="Arial" w:hAnsi="Arial"/>
          <w:sz w:val="17"/>
          <w:szCs w:val="17"/>
          <w:color w:val="auto"/>
        </w:rPr>
        <w:t xml:space="preserve">. In consideration of the premises and of other good and valuable consideration, the receipt and sufficiency of which are hereby acknowledged, and to secure the payment of the Secured Indebtedness and to secure the performance and observance of and compliance with the covenants, terms and conditions contained in this Mortgage and the performance of and compliance with conditions of the Loan Agreement and the other Loan Documents, the Owner has granted, conveyed and mortgaged, and does by these presents grant, convey and mortgage, to and in favor of the Mortgagee, for the benefit of the Secured Parties, the whole of the Vessels, together with (i) all of the boilers, engines, machinery, masts, rigging, boats, anchors, chains, cables, tackle, apparel, spare gear, fuel, consumable or other stores, equipment and all other appurtenances thereto appertaining or belonging to the Vessels, whether now owned or hereafter acquired, whether on board or not, (ii) all additions, improvements and replacements hereafter made in or to the Vessels, or any part thereof, except such equipment and stores that, when placed aboard the Vessels, do not become the property of the Owner and leased equipment not belonging to the Owner, and (iii) all logs, books and records pertaining to the use and operation of the Vessels, </w:t>
      </w:r>
      <w:r>
        <w:rPr>
          <w:rFonts w:ascii="Arial" w:cs="Arial" w:eastAsia="Arial" w:hAnsi="Arial"/>
          <w:sz w:val="17"/>
          <w:szCs w:val="17"/>
          <w:u w:val="single" w:color="auto"/>
          <w:color w:val="auto"/>
        </w:rPr>
        <w:t>TO HAVE AND TO HOLD</w:t>
      </w:r>
      <w:r>
        <w:rPr>
          <w:rFonts w:ascii="Arial" w:cs="Arial" w:eastAsia="Arial" w:hAnsi="Arial"/>
          <w:sz w:val="17"/>
          <w:szCs w:val="17"/>
          <w:color w:val="auto"/>
        </w:rPr>
        <w:t xml:space="preserve"> the same unto the Mortgagee, for the benefit of the Secured Parties, forever, upon the terms set forth in this Mortgage for the enforcement of the payment of the Secured Indebtedness and to secure the performance and observance of and compliance with the covenants, terms and conditions contained in this Mortgage, the Loan Agreement and the other Loan Documents;</w:t>
      </w:r>
    </w:p>
    <w:p>
      <w:pPr>
        <w:spacing w:after="0" w:line="18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PROVIDED, HOWEVER, and the conditions of these presents are such that the Mortgagee agrees that the liens created by this Mortgage and the estate and rights hereby granted shall cease, determine and terminate upon the Termination Date, and in such event, at the expense of the Owner, the Mortgagee agrees to execute all such documents as the Owner may reasonably request to discharge this Mortgage under the laws of the United States of America; otherwise to be and remain in full force and effect.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01" w:name="page202"/>
    <w:bookmarkEnd w:id="201"/>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It is declared and hereby agreed that the security created by this Mortgage shall be held by the Mortgagee, for the benefit of the Secured Parties, as a continuing security for the payment of the Secured Indebtedness.</w:t>
      </w:r>
    </w:p>
    <w:p>
      <w:pPr>
        <w:spacing w:after="0" w:line="170" w:lineRule="exact"/>
        <w:rPr>
          <w:sz w:val="20"/>
          <w:szCs w:val="20"/>
          <w:color w:val="auto"/>
        </w:rPr>
      </w:pPr>
    </w:p>
    <w:p>
      <w:pPr>
        <w:ind w:left="640" w:hanging="176"/>
        <w:spacing w:after="0"/>
        <w:tabs>
          <w:tab w:leader="none" w:pos="640"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Owner hereby represents and warrants that:</w:t>
      </w:r>
    </w:p>
    <w:p>
      <w:pPr>
        <w:spacing w:after="0" w:line="117" w:lineRule="exact"/>
        <w:rPr>
          <w:rFonts w:ascii="Arial" w:cs="Arial" w:eastAsia="Arial" w:hAnsi="Arial"/>
          <w:sz w:val="18"/>
          <w:szCs w:val="18"/>
          <w:color w:val="auto"/>
        </w:rPr>
      </w:pPr>
    </w:p>
    <w:p>
      <w:pPr>
        <w:ind w:right="120" w:firstLine="921"/>
        <w:spacing w:after="0" w:line="264" w:lineRule="auto"/>
        <w:tabs>
          <w:tab w:leader="none" w:pos="1158" w:val="left"/>
        </w:tabs>
        <w:numPr>
          <w:ilvl w:val="2"/>
          <w:numId w:val="192"/>
        </w:numPr>
        <w:rPr>
          <w:rFonts w:ascii="Arial" w:cs="Arial" w:eastAsia="Arial" w:hAnsi="Arial"/>
          <w:sz w:val="18"/>
          <w:szCs w:val="18"/>
          <w:color w:val="auto"/>
        </w:rPr>
      </w:pPr>
      <w:r>
        <w:rPr>
          <w:rFonts w:ascii="Arial" w:cs="Arial" w:eastAsia="Arial" w:hAnsi="Arial"/>
          <w:sz w:val="18"/>
          <w:szCs w:val="18"/>
          <w:color w:val="auto"/>
        </w:rPr>
        <w:t>it is a limited liability company duly organized, validly existing and in good standing under the laws of the State of Delaware, has the power and authority to carry on its business as contemplated by the Loan Documents to which it is a party, and is duly authorized and qualified to document each Vessel in its name as Owner thereof under the laws and flag of the United States of America;</w:t>
      </w:r>
    </w:p>
    <w:p>
      <w:pPr>
        <w:spacing w:after="0" w:line="181" w:lineRule="exact"/>
        <w:rPr>
          <w:rFonts w:ascii="Arial" w:cs="Arial" w:eastAsia="Arial" w:hAnsi="Arial"/>
          <w:sz w:val="18"/>
          <w:szCs w:val="18"/>
          <w:color w:val="auto"/>
        </w:rPr>
      </w:pPr>
    </w:p>
    <w:p>
      <w:pPr>
        <w:ind w:right="180" w:firstLine="921"/>
        <w:spacing w:after="0" w:line="308" w:lineRule="auto"/>
        <w:tabs>
          <w:tab w:leader="none" w:pos="1168" w:val="left"/>
        </w:tabs>
        <w:numPr>
          <w:ilvl w:val="2"/>
          <w:numId w:val="192"/>
        </w:numPr>
        <w:rPr>
          <w:rFonts w:ascii="Arial" w:cs="Arial" w:eastAsia="Arial" w:hAnsi="Arial"/>
          <w:sz w:val="17"/>
          <w:szCs w:val="17"/>
          <w:color w:val="auto"/>
        </w:rPr>
      </w:pPr>
      <w:r>
        <w:rPr>
          <w:rFonts w:ascii="Arial" w:cs="Arial" w:eastAsia="Arial" w:hAnsi="Arial"/>
          <w:sz w:val="17"/>
          <w:szCs w:val="17"/>
          <w:color w:val="auto"/>
        </w:rPr>
        <w:t>it has full power and authority to (i) execute and deliver this Mortgage and the other Loan Documents to which it is a party, and (ii) comply with the provisions of, and perform all its obligations under, this Mortgage and the other Loan Documents to which it is a party;</w:t>
      </w:r>
    </w:p>
    <w:p>
      <w:pPr>
        <w:spacing w:after="0" w:line="146" w:lineRule="exact"/>
        <w:rPr>
          <w:rFonts w:ascii="Arial" w:cs="Arial" w:eastAsia="Arial" w:hAnsi="Arial"/>
          <w:sz w:val="17"/>
          <w:szCs w:val="17"/>
          <w:color w:val="auto"/>
        </w:rPr>
      </w:pPr>
    </w:p>
    <w:p>
      <w:pPr>
        <w:ind w:right="60" w:firstLine="921"/>
        <w:spacing w:after="0" w:line="264" w:lineRule="auto"/>
        <w:tabs>
          <w:tab w:leader="none" w:pos="1158" w:val="left"/>
        </w:tabs>
        <w:numPr>
          <w:ilvl w:val="2"/>
          <w:numId w:val="192"/>
        </w:numPr>
        <w:rPr>
          <w:rFonts w:ascii="Arial" w:cs="Arial" w:eastAsia="Arial" w:hAnsi="Arial"/>
          <w:sz w:val="18"/>
          <w:szCs w:val="18"/>
          <w:color w:val="auto"/>
        </w:rPr>
      </w:pPr>
      <w:r>
        <w:rPr>
          <w:rFonts w:ascii="Arial" w:cs="Arial" w:eastAsia="Arial" w:hAnsi="Arial"/>
          <w:sz w:val="18"/>
          <w:szCs w:val="18"/>
          <w:color w:val="auto"/>
        </w:rPr>
        <w:t>it has taken all necessary action (i) to authorize the execution and delivery of this Mortgage and the other Loan Documents to which it is a party, and (ii) to take title to each of the Vessels and to document each of the Vessels in its name under the laws and flag of the United States of America with a coastwise endorsement;</w:t>
      </w:r>
    </w:p>
    <w:p>
      <w:pPr>
        <w:spacing w:after="0" w:line="181" w:lineRule="exact"/>
        <w:rPr>
          <w:rFonts w:ascii="Arial" w:cs="Arial" w:eastAsia="Arial" w:hAnsi="Arial"/>
          <w:sz w:val="18"/>
          <w:szCs w:val="18"/>
          <w:color w:val="auto"/>
        </w:rPr>
      </w:pPr>
    </w:p>
    <w:p>
      <w:pPr>
        <w:ind w:right="140" w:firstLine="921"/>
        <w:spacing w:after="0" w:line="257" w:lineRule="auto"/>
        <w:tabs>
          <w:tab w:leader="none" w:pos="1168" w:val="left"/>
        </w:tabs>
        <w:numPr>
          <w:ilvl w:val="2"/>
          <w:numId w:val="192"/>
        </w:numPr>
        <w:rPr>
          <w:rFonts w:ascii="Arial" w:cs="Arial" w:eastAsia="Arial" w:hAnsi="Arial"/>
          <w:sz w:val="18"/>
          <w:szCs w:val="18"/>
          <w:color w:val="auto"/>
        </w:rPr>
      </w:pPr>
      <w:r>
        <w:rPr>
          <w:rFonts w:ascii="Arial" w:cs="Arial" w:eastAsia="Arial" w:hAnsi="Arial"/>
          <w:sz w:val="18"/>
          <w:szCs w:val="18"/>
          <w:color w:val="auto"/>
        </w:rPr>
        <w:t>each of this Mortgage and the other Loan Documents to which it is a party constitutes or, as the case may be, will, upon execution and delivery thereof by each of the parties thereto (and where applicable, registration thereof as provided for in this Mortgage and the Loan Documents), constitute its legal, valid and binding obligation enforceable against it in accordance with its terms, except to the extent such enforcement may be limited by any relevant bankruptcy, insolvency, reorganization, moratorium or similar laws affecting creditors’ rights generally and by general principles of equity (regardless of whether such enforceability is considered in a proceeding in equity or at law);</w:t>
      </w:r>
    </w:p>
    <w:p>
      <w:pPr>
        <w:spacing w:after="0" w:line="188" w:lineRule="exact"/>
        <w:rPr>
          <w:rFonts w:ascii="Arial" w:cs="Arial" w:eastAsia="Arial" w:hAnsi="Arial"/>
          <w:sz w:val="18"/>
          <w:szCs w:val="18"/>
          <w:color w:val="auto"/>
        </w:rPr>
      </w:pPr>
    </w:p>
    <w:p>
      <w:pPr>
        <w:ind w:left="1160" w:hanging="239"/>
        <w:spacing w:after="0"/>
        <w:tabs>
          <w:tab w:leader="none" w:pos="1160" w:val="left"/>
        </w:tabs>
        <w:numPr>
          <w:ilvl w:val="2"/>
          <w:numId w:val="192"/>
        </w:numPr>
        <w:rPr>
          <w:rFonts w:ascii="Arial" w:cs="Arial" w:eastAsia="Arial" w:hAnsi="Arial"/>
          <w:sz w:val="18"/>
          <w:szCs w:val="18"/>
          <w:color w:val="auto"/>
        </w:rPr>
      </w:pPr>
      <w:r>
        <w:rPr>
          <w:rFonts w:ascii="Arial" w:cs="Arial" w:eastAsia="Arial" w:hAnsi="Arial"/>
          <w:sz w:val="18"/>
          <w:szCs w:val="18"/>
          <w:color w:val="auto"/>
        </w:rPr>
        <w:t>it has duly executed and delivered this Mortgage and each of the other Loan Documents to which it is a party;</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2"/>
          <w:numId w:val="192"/>
        </w:numPr>
        <w:rPr>
          <w:rFonts w:ascii="Arial" w:cs="Arial" w:eastAsia="Arial" w:hAnsi="Arial"/>
          <w:sz w:val="16"/>
          <w:szCs w:val="16"/>
          <w:color w:val="auto"/>
        </w:rPr>
      </w:pPr>
      <w:r>
        <w:rPr>
          <w:rFonts w:ascii="Arial" w:cs="Arial" w:eastAsia="Arial" w:hAnsi="Arial"/>
          <w:sz w:val="16"/>
          <w:szCs w:val="16"/>
          <w:color w:val="auto"/>
        </w:rPr>
        <w:t>its entry into and performance of this Mortgage and the other Loan Documents to which it is a party do not, and will not violate in any respect</w:t>
      </w:r>
    </w:p>
    <w:p>
      <w:pPr>
        <w:spacing w:after="0" w:line="46" w:lineRule="exact"/>
        <w:rPr>
          <w:rFonts w:ascii="Arial" w:cs="Arial" w:eastAsia="Arial" w:hAnsi="Arial"/>
          <w:sz w:val="16"/>
          <w:szCs w:val="16"/>
          <w:color w:val="auto"/>
        </w:rPr>
      </w:pPr>
    </w:p>
    <w:p>
      <w:pPr>
        <w:ind w:right="420" w:firstLine="8"/>
        <w:spacing w:after="0" w:line="261" w:lineRule="auto"/>
        <w:tabs>
          <w:tab w:leader="none" w:pos="21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Applicable Law that is binding on it or its assets, or (ii) its certificate of formation or limited liability company agreement, or (iii) any agreement, contract or other undertaking, to which it is a party or that is binding on it or any of its assets;</w:t>
      </w:r>
    </w:p>
    <w:p>
      <w:pPr>
        <w:spacing w:after="0" w:line="183" w:lineRule="exact"/>
        <w:rPr>
          <w:rFonts w:ascii="Arial" w:cs="Arial" w:eastAsia="Arial" w:hAnsi="Arial"/>
          <w:sz w:val="18"/>
          <w:szCs w:val="18"/>
          <w:color w:val="auto"/>
        </w:rPr>
      </w:pPr>
    </w:p>
    <w:p>
      <w:pPr>
        <w:ind w:firstLine="921"/>
        <w:spacing w:after="0" w:line="312" w:lineRule="auto"/>
        <w:tabs>
          <w:tab w:leader="none" w:pos="1168" w:val="left"/>
        </w:tabs>
        <w:numPr>
          <w:ilvl w:val="2"/>
          <w:numId w:val="193"/>
        </w:numPr>
        <w:rPr>
          <w:rFonts w:ascii="Arial" w:cs="Arial" w:eastAsia="Arial" w:hAnsi="Arial"/>
          <w:sz w:val="16"/>
          <w:szCs w:val="16"/>
          <w:color w:val="auto"/>
        </w:rPr>
      </w:pPr>
      <w:r>
        <w:rPr>
          <w:rFonts w:ascii="Arial" w:cs="Arial" w:eastAsia="Arial" w:hAnsi="Arial"/>
          <w:sz w:val="16"/>
          <w:szCs w:val="16"/>
          <w:color w:val="auto"/>
        </w:rPr>
        <w:t>neither the execution and delivery of this Mortgage or the other Loan Documents to which it is a party, nor the consummation of the transactions contemplated hereby or thereby, nor its compliance with any of the terms and provisions hereof or thereof (i) contravenes or results in a breach of or constitutes a default under any existing judgment or order applicable to or binding on the Owner or any of its properties, or results in the creation of a Lien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02" w:name="page203"/>
    <w:bookmarkEnd w:id="202"/>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or any obligation to provide any Lien upon any of the Vessels other than as set forth in this Mortgage and the other Loan Documents, or (ii) contravenes or results in any breach of or constitutes any default under, any indenture, mortgage, chattel mortgage, deed of trust, conditional sales contract, bank loan or loan agreement or other material agreement or instrument to which the Owner or any of its properties may be bound or affected;</w:t>
      </w:r>
    </w:p>
    <w:p>
      <w:pPr>
        <w:spacing w:after="0" w:line="166" w:lineRule="exact"/>
        <w:rPr>
          <w:sz w:val="20"/>
          <w:szCs w:val="20"/>
          <w:color w:val="auto"/>
        </w:rPr>
      </w:pPr>
    </w:p>
    <w:p>
      <w:pPr>
        <w:ind w:right="40" w:firstLine="921"/>
        <w:spacing w:after="0" w:line="264" w:lineRule="auto"/>
        <w:tabs>
          <w:tab w:leader="none" w:pos="116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there are no taxes payable by it or the Mortgagee imposed by the State of Delaware or the State of Illinois or any political subdivision thereof in connection with the execution and delivery by the Owner or the Mortgagee of this Mortgage or any other Loan Document to which each respectively is a party;</w:t>
      </w:r>
    </w:p>
    <w:p>
      <w:pPr>
        <w:spacing w:after="0" w:line="181" w:lineRule="exact"/>
        <w:rPr>
          <w:rFonts w:ascii="Arial" w:cs="Arial" w:eastAsia="Arial" w:hAnsi="Arial"/>
          <w:sz w:val="18"/>
          <w:szCs w:val="18"/>
          <w:color w:val="auto"/>
        </w:rPr>
      </w:pPr>
    </w:p>
    <w:p>
      <w:pPr>
        <w:ind w:right="140" w:firstLine="921"/>
        <w:spacing w:after="0" w:line="277" w:lineRule="auto"/>
        <w:tabs>
          <w:tab w:leader="none" w:pos="112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it has complied with, or caused to be complied with, all statutory, regulatory and other requirements concerning the ownership and operation of the Vessels, except where the failure could not reasonably be expected to have a Material Adverse Effect;</w:t>
      </w:r>
    </w:p>
    <w:p>
      <w:pPr>
        <w:spacing w:after="0" w:line="170" w:lineRule="exact"/>
        <w:rPr>
          <w:rFonts w:ascii="Arial" w:cs="Arial" w:eastAsia="Arial" w:hAnsi="Arial"/>
          <w:sz w:val="18"/>
          <w:szCs w:val="18"/>
          <w:color w:val="auto"/>
        </w:rPr>
      </w:pPr>
    </w:p>
    <w:p>
      <w:pPr>
        <w:ind w:right="60" w:firstLine="921"/>
        <w:spacing w:after="0" w:line="272" w:lineRule="auto"/>
        <w:tabs>
          <w:tab w:leader="none" w:pos="1128"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all consents, licenses, approvals and authorizations (including any approvals of the U.S. Maritime Administration and U.S. Coast Guard) required for the entry into, performance, validity and enforceability of, this Mortgage and the other Loan Documents to which it is a party have been duly obtained and are in full force and effect, and all stamp, registration or similar taxes or fees to be paid in or in relation to the this Mortgage or the other Loan Documents have been paid other than (i) consents, authorizations, filings or other acts or consents for which the failure to obtain or make could not, individually or in the aggregate, reasonably be expected to have a Material Adverse Effect, (ii) with respect to the validity and enforceability of the Mortgage under the laws of the United States, filings under the UCC, or the United States federal Ship Mortgage Act of 1920, as applicable and (iii) filings and recordings necessary to perfect and maintain the Liens created under the Loan Documents;</w:t>
      </w:r>
    </w:p>
    <w:p>
      <w:pPr>
        <w:spacing w:after="0" w:line="177" w:lineRule="exact"/>
        <w:rPr>
          <w:rFonts w:ascii="Arial" w:cs="Arial" w:eastAsia="Arial" w:hAnsi="Arial"/>
          <w:sz w:val="17"/>
          <w:szCs w:val="17"/>
          <w:color w:val="auto"/>
        </w:rPr>
      </w:pPr>
    </w:p>
    <w:p>
      <w:pPr>
        <w:ind w:left="1180" w:hanging="259"/>
        <w:spacing w:after="0"/>
        <w:tabs>
          <w:tab w:leader="none" w:pos="11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classed, each Vessel is free of any overdue recommendations and conditions affecting her class;</w:t>
      </w:r>
    </w:p>
    <w:p>
      <w:pPr>
        <w:spacing w:after="0" w:line="225" w:lineRule="exact"/>
        <w:rPr>
          <w:rFonts w:ascii="Arial" w:cs="Arial" w:eastAsia="Arial" w:hAnsi="Arial"/>
          <w:sz w:val="18"/>
          <w:szCs w:val="18"/>
          <w:color w:val="auto"/>
        </w:rPr>
      </w:pPr>
    </w:p>
    <w:p>
      <w:pPr>
        <w:ind w:firstLine="921"/>
        <w:spacing w:after="0" w:line="277" w:lineRule="auto"/>
        <w:tabs>
          <w:tab w:leader="none" w:pos="112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each of the Vessels is duly documented in the name of the Owner under the laws and flag of the United States of America eligible to engage in the coastwise trade of the United States of America;</w:t>
      </w:r>
    </w:p>
    <w:p>
      <w:pPr>
        <w:spacing w:after="0" w:line="170" w:lineRule="exact"/>
        <w:rPr>
          <w:rFonts w:ascii="Arial" w:cs="Arial" w:eastAsia="Arial" w:hAnsi="Arial"/>
          <w:sz w:val="18"/>
          <w:szCs w:val="18"/>
          <w:color w:val="auto"/>
        </w:rPr>
      </w:pPr>
    </w:p>
    <w:p>
      <w:pPr>
        <w:ind w:right="20" w:firstLine="921"/>
        <w:spacing w:after="0" w:line="264" w:lineRule="auto"/>
        <w:tabs>
          <w:tab w:leader="none" w:pos="121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each of the Vessels is in the absolute and unencumbered ownership of the Owner except for this Mortgage and any Permitted Encumbrances, and Owner will warrant and defend the title and possession of each of the Vessels and of every part thereof for the benefit of the Mortgagee and the other Secured Parties against the claims and demands of all persons whomsoever; and</w:t>
      </w:r>
    </w:p>
    <w:p>
      <w:pPr>
        <w:spacing w:after="0" w:line="181" w:lineRule="exact"/>
        <w:rPr>
          <w:rFonts w:ascii="Arial" w:cs="Arial" w:eastAsia="Arial" w:hAnsi="Arial"/>
          <w:sz w:val="18"/>
          <w:szCs w:val="18"/>
          <w:color w:val="auto"/>
        </w:rPr>
      </w:pPr>
    </w:p>
    <w:p>
      <w:pPr>
        <w:ind w:right="60" w:firstLine="921"/>
        <w:spacing w:after="0" w:line="264" w:lineRule="auto"/>
        <w:tabs>
          <w:tab w:leader="none" w:pos="116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each of the Vessels complies with all Applicable Laws as are applicable to similar vessels documented under U.S. flag and engaged in the same or similar service as each Vessel is or is to be engaged, except where the failure to comply could not reasonably be expected to have a Material Adverse Effect.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03" w:name="page204"/>
    <w:bookmarkEnd w:id="203"/>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80" w:right="24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640" w:hanging="176"/>
        <w:spacing w:after="0"/>
        <w:tabs>
          <w:tab w:leader="none" w:pos="640"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Covenants</w:t>
      </w:r>
      <w:r>
        <w:rPr>
          <w:rFonts w:ascii="Arial" w:cs="Arial" w:eastAsia="Arial" w:hAnsi="Arial"/>
          <w:sz w:val="16"/>
          <w:szCs w:val="16"/>
          <w:color w:val="auto"/>
        </w:rPr>
        <w:t>. The Owner hereby covenants and agrees to (i) pay the Secured Indebtedness to the Mortgagee and the other Secured Parties, and</w:t>
      </w:r>
    </w:p>
    <w:p>
      <w:pPr>
        <w:spacing w:after="0" w:line="46" w:lineRule="exact"/>
        <w:rPr>
          <w:rFonts w:ascii="Arial" w:cs="Arial" w:eastAsia="Arial" w:hAnsi="Arial"/>
          <w:sz w:val="16"/>
          <w:szCs w:val="16"/>
          <w:color w:val="auto"/>
        </w:rPr>
      </w:pPr>
    </w:p>
    <w:p>
      <w:pPr>
        <w:ind w:right="180" w:firstLine="8"/>
        <w:spacing w:after="0" w:line="290" w:lineRule="auto"/>
        <w:tabs>
          <w:tab w:leader="none" w:pos="26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observe and perform and comply with the terms and conditions herein and in the other Loan Documents to which it is a party on its part to be observed, performed or complied with; and further covenants and undertakes at all times throughout the term hereof (unless otherwise specified):</w:t>
      </w:r>
    </w:p>
    <w:p>
      <w:pPr>
        <w:spacing w:after="0" w:line="53" w:lineRule="exact"/>
        <w:rPr>
          <w:rFonts w:ascii="Arial" w:cs="Arial" w:eastAsia="Arial" w:hAnsi="Arial"/>
          <w:sz w:val="17"/>
          <w:szCs w:val="17"/>
          <w:color w:val="auto"/>
        </w:rPr>
      </w:pPr>
    </w:p>
    <w:p>
      <w:pPr>
        <w:ind w:left="1160" w:hanging="239"/>
        <w:spacing w:after="0"/>
        <w:tabs>
          <w:tab w:leader="none" w:pos="1160" w:val="left"/>
        </w:tabs>
        <w:numPr>
          <w:ilvl w:val="2"/>
          <w:numId w:val="196"/>
        </w:numPr>
        <w:rPr>
          <w:rFonts w:ascii="Arial" w:cs="Arial" w:eastAsia="Arial" w:hAnsi="Arial"/>
          <w:sz w:val="16"/>
          <w:szCs w:val="16"/>
          <w:color w:val="auto"/>
        </w:rPr>
      </w:pPr>
      <w:r>
        <w:rPr>
          <w:rFonts w:ascii="Arial" w:cs="Arial" w:eastAsia="Arial" w:hAnsi="Arial"/>
          <w:sz w:val="16"/>
          <w:szCs w:val="16"/>
          <w:color w:val="auto"/>
        </w:rPr>
        <w:t>to remain authorized to document each Vessel in its name under the flag of the United States of America with a coastwise endorsement;</w:t>
      </w:r>
    </w:p>
    <w:p>
      <w:pPr>
        <w:spacing w:after="0" w:line="248" w:lineRule="exact"/>
        <w:rPr>
          <w:rFonts w:ascii="Arial" w:cs="Arial" w:eastAsia="Arial" w:hAnsi="Arial"/>
          <w:sz w:val="16"/>
          <w:szCs w:val="16"/>
          <w:color w:val="auto"/>
        </w:rPr>
      </w:pPr>
    </w:p>
    <w:p>
      <w:pPr>
        <w:ind w:right="40" w:firstLine="921"/>
        <w:spacing w:after="0" w:line="277" w:lineRule="auto"/>
        <w:tabs>
          <w:tab w:leader="none" w:pos="1168" w:val="left"/>
        </w:tabs>
        <w:numPr>
          <w:ilvl w:val="2"/>
          <w:numId w:val="196"/>
        </w:numPr>
        <w:rPr>
          <w:rFonts w:ascii="Arial" w:cs="Arial" w:eastAsia="Arial" w:hAnsi="Arial"/>
          <w:sz w:val="18"/>
          <w:szCs w:val="18"/>
          <w:color w:val="auto"/>
        </w:rPr>
      </w:pPr>
      <w:r>
        <w:rPr>
          <w:rFonts w:ascii="Arial" w:cs="Arial" w:eastAsia="Arial" w:hAnsi="Arial"/>
          <w:sz w:val="18"/>
          <w:szCs w:val="18"/>
          <w:color w:val="auto"/>
        </w:rPr>
        <w:t xml:space="preserve">at no expense or cost to the Mortgagee or any other Secured Party, to insure and keep each Vessel insured in accordance with </w:t>
      </w:r>
      <w:r>
        <w:rPr>
          <w:rFonts w:ascii="Arial" w:cs="Arial" w:eastAsia="Arial" w:hAnsi="Arial"/>
          <w:sz w:val="18"/>
          <w:szCs w:val="18"/>
          <w:u w:val="single" w:color="auto"/>
          <w:color w:val="auto"/>
        </w:rPr>
        <w:t>Section 7.01(o)</w:t>
      </w:r>
      <w:r>
        <w:rPr>
          <w:rFonts w:ascii="Arial" w:cs="Arial" w:eastAsia="Arial" w:hAnsi="Arial"/>
          <w:sz w:val="18"/>
          <w:szCs w:val="18"/>
          <w:color w:val="auto"/>
        </w:rPr>
        <w:t xml:space="preserve"> of the Loan Agreement;</w:t>
      </w:r>
    </w:p>
    <w:p>
      <w:pPr>
        <w:spacing w:after="0" w:line="170" w:lineRule="exact"/>
        <w:rPr>
          <w:rFonts w:ascii="Arial" w:cs="Arial" w:eastAsia="Arial" w:hAnsi="Arial"/>
          <w:sz w:val="18"/>
          <w:szCs w:val="18"/>
          <w:color w:val="auto"/>
        </w:rPr>
      </w:pPr>
    </w:p>
    <w:p>
      <w:pPr>
        <w:ind w:right="60" w:firstLine="921"/>
        <w:spacing w:after="0" w:line="277" w:lineRule="auto"/>
        <w:tabs>
          <w:tab w:leader="none" w:pos="1158" w:val="left"/>
        </w:tabs>
        <w:numPr>
          <w:ilvl w:val="2"/>
          <w:numId w:val="196"/>
        </w:numPr>
        <w:rPr>
          <w:rFonts w:ascii="Arial" w:cs="Arial" w:eastAsia="Arial" w:hAnsi="Arial"/>
          <w:sz w:val="18"/>
          <w:szCs w:val="18"/>
          <w:color w:val="auto"/>
        </w:rPr>
      </w:pPr>
      <w:r>
        <w:rPr>
          <w:rFonts w:ascii="Arial" w:cs="Arial" w:eastAsia="Arial" w:hAnsi="Arial"/>
          <w:sz w:val="18"/>
          <w:szCs w:val="18"/>
          <w:color w:val="auto"/>
        </w:rPr>
        <w:t>to promptly notify the Mortgagee of the actual or constructive Total Loss of a Vessel or the agreed or compromised Total Loss of a Vessel, or the arrest, capture, condemnation, confiscation, registration, seizure or forfeiture of a Vessel;</w:t>
      </w:r>
    </w:p>
    <w:p>
      <w:pPr>
        <w:spacing w:after="0" w:line="170" w:lineRule="exact"/>
        <w:rPr>
          <w:rFonts w:ascii="Arial" w:cs="Arial" w:eastAsia="Arial" w:hAnsi="Arial"/>
          <w:sz w:val="18"/>
          <w:szCs w:val="18"/>
          <w:color w:val="auto"/>
        </w:rPr>
      </w:pPr>
    </w:p>
    <w:p>
      <w:pPr>
        <w:ind w:right="120" w:firstLine="921"/>
        <w:spacing w:after="0" w:line="308" w:lineRule="auto"/>
        <w:tabs>
          <w:tab w:leader="none" w:pos="1168" w:val="left"/>
        </w:tabs>
        <w:numPr>
          <w:ilvl w:val="2"/>
          <w:numId w:val="196"/>
        </w:numPr>
        <w:rPr>
          <w:rFonts w:ascii="Arial" w:cs="Arial" w:eastAsia="Arial" w:hAnsi="Arial"/>
          <w:sz w:val="17"/>
          <w:szCs w:val="17"/>
          <w:color w:val="auto"/>
        </w:rPr>
      </w:pPr>
      <w:r>
        <w:rPr>
          <w:rFonts w:ascii="Arial" w:cs="Arial" w:eastAsia="Arial" w:hAnsi="Arial"/>
          <w:sz w:val="17"/>
          <w:szCs w:val="17"/>
          <w:color w:val="auto"/>
        </w:rPr>
        <w:t>to keep each Vessel duly documented under the flag of the United States of America qualified to engage in the coastwise trade of the United States of America, and to do or suffer to be done nothing whereby such documentation or qualification may be forfeited or canceled;</w:t>
      </w:r>
    </w:p>
    <w:p>
      <w:pPr>
        <w:spacing w:after="0" w:line="146" w:lineRule="exact"/>
        <w:rPr>
          <w:rFonts w:ascii="Arial" w:cs="Arial" w:eastAsia="Arial" w:hAnsi="Arial"/>
          <w:sz w:val="17"/>
          <w:szCs w:val="17"/>
          <w:color w:val="auto"/>
        </w:rPr>
      </w:pPr>
    </w:p>
    <w:p>
      <w:pPr>
        <w:jc w:val="both"/>
        <w:ind w:right="140" w:firstLine="921"/>
        <w:spacing w:after="0" w:line="264" w:lineRule="auto"/>
        <w:tabs>
          <w:tab w:leader="none" w:pos="1158" w:val="left"/>
        </w:tabs>
        <w:numPr>
          <w:ilvl w:val="2"/>
          <w:numId w:val="196"/>
        </w:numPr>
        <w:rPr>
          <w:rFonts w:ascii="Arial" w:cs="Arial" w:eastAsia="Arial" w:hAnsi="Arial"/>
          <w:sz w:val="18"/>
          <w:szCs w:val="18"/>
          <w:color w:val="auto"/>
        </w:rPr>
      </w:pPr>
      <w:r>
        <w:rPr>
          <w:rFonts w:ascii="Arial" w:cs="Arial" w:eastAsia="Arial" w:hAnsi="Arial"/>
          <w:sz w:val="18"/>
          <w:szCs w:val="18"/>
          <w:color w:val="auto"/>
        </w:rPr>
        <w:t>at all times to remain a “citizen of the United States” within the meaning of Section 2 of the Shipping Act, 1916, as amended and recodified as 46 U.S.C. Section 50501, et. seq. and all regulations from time to time promulgated thereunder, eligible to document and operate vessels in the coastwise trade under the laws of the United States; and</w:t>
      </w:r>
    </w:p>
    <w:p>
      <w:pPr>
        <w:spacing w:after="0" w:line="181" w:lineRule="exact"/>
        <w:rPr>
          <w:rFonts w:ascii="Arial" w:cs="Arial" w:eastAsia="Arial" w:hAnsi="Arial"/>
          <w:sz w:val="18"/>
          <w:szCs w:val="18"/>
          <w:color w:val="auto"/>
        </w:rPr>
      </w:pPr>
    </w:p>
    <w:p>
      <w:pPr>
        <w:jc w:val="both"/>
        <w:ind w:right="80" w:firstLine="921"/>
        <w:spacing w:after="0" w:line="264" w:lineRule="auto"/>
        <w:tabs>
          <w:tab w:leader="none" w:pos="1138" w:val="left"/>
        </w:tabs>
        <w:numPr>
          <w:ilvl w:val="2"/>
          <w:numId w:val="196"/>
        </w:numPr>
        <w:rPr>
          <w:rFonts w:ascii="Arial" w:cs="Arial" w:eastAsia="Arial" w:hAnsi="Arial"/>
          <w:sz w:val="18"/>
          <w:szCs w:val="18"/>
          <w:color w:val="auto"/>
        </w:rPr>
      </w:pPr>
      <w:r>
        <w:rPr>
          <w:rFonts w:ascii="Arial" w:cs="Arial" w:eastAsia="Arial" w:hAnsi="Arial"/>
          <w:sz w:val="18"/>
          <w:szCs w:val="18"/>
          <w:color w:val="auto"/>
        </w:rPr>
        <w:t>to place, and at all times and places to retain, a properly certified copy of this Mortgage, together with the following printed notice, on board each Vessel and to cause such certified copy and such Vessel’s marine documents to be exhibited to any and all Persons having business therewith that might give rise to any Lien thereon and to any representatives of the Mortgagee: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NOTICE OF MORTGAGE</w:t>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THIS VESSEL IS COVERED BY A FIRST PREFERRED FLEET MORTGAGE DATED NOVEMBER 4, 2014 IN FAVOR OF BANK OF AMERICA, N.A., AS ADMINISTRATIVE AGENT (THE “MORTGAGEE”), UNDER AUTHORITY OF CHAPTER 313, TITLE 46 OF THE UNITED STATES CODE. UNDER THE TERMS OF SAID MORTGAGE, NEITHER THE OWNER, ANY CHARTERER, THE MASTER OF THIS VESSEL NOR ANY OTHER PERSON HAS ANY RIGHT, POWER OR AUTHORITY TO CREATE, INCUR OR PERMIT TO BE PLACED OR IMPOSED UPON THIS VESSEL ANY LIEN WHATSOEVER OTHER THAN THE LIENS OF THE AFORESAID MORTGAGE AND LIENS FOR CURRENT CREW WAGES, GENERAL AVERAGE AND SALVAGE, LIENS COVERED BY VALID POLICIES OF INSURANCE AND LIENS PERMITTED BY SECTION 7.02(a)</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OF THE LOAN AGREEMENT, AND LIENS INCURRED IN THE ORDINARY COURSE OF OPERATION OF THE VESSELS THAT ARE NOT YET DUE AND PAYABLE AND ARE IN EXISTENCE LESS THAN THIRTY (30) DAYS.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2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20" w:right="160" w:firstLine="464"/>
        <w:spacing w:after="0" w:line="286" w:lineRule="auto"/>
        <w:tabs>
          <w:tab w:leader="none" w:pos="616"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Events of Default</w:t>
      </w:r>
      <w:r>
        <w:rPr>
          <w:rFonts w:ascii="Arial" w:cs="Arial" w:eastAsia="Arial" w:hAnsi="Arial"/>
          <w:sz w:val="17"/>
          <w:szCs w:val="17"/>
          <w:color w:val="auto"/>
        </w:rPr>
        <w:t xml:space="preserve">. If any Event of Default (as defined in the Loan Agreement) shall occur, the Mortgagee may do any or all of the following;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notwithstanding any other provision herein to the contrary, except to the extent permitted by law, no sale, transfer or other disposition of the Vessels or any interest therein may be made in violation of 46 U.S.C. Section 56101 and 46 U.S.C. Section 56102:</w:t>
      </w:r>
    </w:p>
    <w:p>
      <w:pPr>
        <w:spacing w:after="0" w:line="57" w:lineRule="exact"/>
        <w:rPr>
          <w:rFonts w:ascii="Arial" w:cs="Arial" w:eastAsia="Arial" w:hAnsi="Arial"/>
          <w:sz w:val="17"/>
          <w:szCs w:val="17"/>
          <w:color w:val="auto"/>
        </w:rPr>
      </w:pPr>
    </w:p>
    <w:p>
      <w:pPr>
        <w:ind w:left="-20" w:right="40" w:firstLine="921"/>
        <w:spacing w:after="0" w:line="286" w:lineRule="auto"/>
        <w:tabs>
          <w:tab w:leader="none" w:pos="1138" w:val="left"/>
        </w:tabs>
        <w:numPr>
          <w:ilvl w:val="1"/>
          <w:numId w:val="197"/>
        </w:numPr>
        <w:rPr>
          <w:rFonts w:ascii="Arial" w:cs="Arial" w:eastAsia="Arial" w:hAnsi="Arial"/>
          <w:sz w:val="17"/>
          <w:szCs w:val="17"/>
          <w:color w:val="auto"/>
        </w:rPr>
      </w:pPr>
      <w:r>
        <w:rPr>
          <w:rFonts w:ascii="Arial" w:cs="Arial" w:eastAsia="Arial" w:hAnsi="Arial"/>
          <w:sz w:val="17"/>
          <w:szCs w:val="17"/>
          <w:color w:val="auto"/>
        </w:rPr>
        <w:t>demand payment of the Secured Indebtedness, by written notice to the Owner, whereupon such payment by the Owner to the Mortgagee shall be immediately due and payable without prejudice to any other rights and remedies of the Mortgagee (provided no demand or notices shall be required if an Event of Default shall have occurred with respect to the Owner under Sections 8.01(g) and 8.01(h) of the Loan Agreement);</w:t>
      </w:r>
    </w:p>
    <w:p>
      <w:pPr>
        <w:spacing w:after="0" w:line="165" w:lineRule="exact"/>
        <w:rPr>
          <w:rFonts w:ascii="Arial" w:cs="Arial" w:eastAsia="Arial" w:hAnsi="Arial"/>
          <w:sz w:val="17"/>
          <w:szCs w:val="17"/>
          <w:color w:val="auto"/>
        </w:rPr>
      </w:pPr>
    </w:p>
    <w:p>
      <w:pPr>
        <w:ind w:left="-20" w:firstLine="921"/>
        <w:spacing w:after="0" w:line="273" w:lineRule="auto"/>
        <w:tabs>
          <w:tab w:leader="none" w:pos="1148" w:val="left"/>
        </w:tabs>
        <w:numPr>
          <w:ilvl w:val="1"/>
          <w:numId w:val="197"/>
        </w:numPr>
        <w:rPr>
          <w:rFonts w:ascii="Arial" w:cs="Arial" w:eastAsia="Arial" w:hAnsi="Arial"/>
          <w:sz w:val="17"/>
          <w:szCs w:val="17"/>
          <w:color w:val="auto"/>
        </w:rPr>
      </w:pPr>
      <w:r>
        <w:rPr>
          <w:rFonts w:ascii="Arial" w:cs="Arial" w:eastAsia="Arial" w:hAnsi="Arial"/>
          <w:sz w:val="17"/>
          <w:szCs w:val="17"/>
          <w:color w:val="auto"/>
        </w:rPr>
        <w:t>at any time and as often as may be necessary, take any action to protect the security created by this Mortgage and each and every expense or liability (including fees and expenses of counsel) so incurred by the Mortgagee in the protection of such security shall be repayable to the Mortgagee by the Owner on demand, together with interest thereon at the Default Rate from the date on which such expense or liability was incurred by the Mortgagee until full payment is received. The Owner promptly shall execute and deliver, or cause to be executed and delivered, to the Mortgagee such documents, if any, and shall promptly do and perform such acts, if any, as in the reasonable opinion of the Mortgagee or its counsel are necessary or advisable to facilitate or expedite the protection, maintenance and enforcement of the security created by this Mortgage;</w:t>
      </w:r>
    </w:p>
    <w:p>
      <w:pPr>
        <w:spacing w:after="0" w:line="178" w:lineRule="exact"/>
        <w:rPr>
          <w:rFonts w:ascii="Arial" w:cs="Arial" w:eastAsia="Arial" w:hAnsi="Arial"/>
          <w:sz w:val="17"/>
          <w:szCs w:val="17"/>
          <w:color w:val="auto"/>
        </w:rPr>
      </w:pPr>
    </w:p>
    <w:p>
      <w:pPr>
        <w:ind w:left="-20" w:right="520" w:firstLine="921"/>
        <w:spacing w:after="0" w:line="277" w:lineRule="auto"/>
        <w:tabs>
          <w:tab w:leader="none" w:pos="113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exercise all the rights and remedies in foreclosure and otherwise provided to mortgagees by any applicable law, including provisions of Chapter 313 or other Applicable Law, including the law of any jurisdiction where any Vessel may be found;</w:t>
      </w:r>
    </w:p>
    <w:p>
      <w:pPr>
        <w:spacing w:after="0" w:line="170" w:lineRule="exact"/>
        <w:rPr>
          <w:rFonts w:ascii="Arial" w:cs="Arial" w:eastAsia="Arial" w:hAnsi="Arial"/>
          <w:sz w:val="18"/>
          <w:szCs w:val="18"/>
          <w:color w:val="auto"/>
        </w:rPr>
      </w:pPr>
    </w:p>
    <w:p>
      <w:pPr>
        <w:ind w:left="-20" w:right="100" w:firstLine="921"/>
        <w:spacing w:after="0" w:line="264" w:lineRule="auto"/>
        <w:tabs>
          <w:tab w:leader="none" w:pos="114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take possession of the Vessels, whether actually or constructively and/or otherwise to take control of the Vessels, wherever they may be, without prior demand and without legal process (when permissible under Applicable Law) and cause the Owner of the Vessels forthwith upon demand of the Mortgagee to surrender possession thereof to the Mortgagee as demanded;</w:t>
      </w:r>
    </w:p>
    <w:p>
      <w:pPr>
        <w:spacing w:after="0" w:line="181" w:lineRule="exact"/>
        <w:rPr>
          <w:rFonts w:ascii="Arial" w:cs="Arial" w:eastAsia="Arial" w:hAnsi="Arial"/>
          <w:sz w:val="18"/>
          <w:szCs w:val="18"/>
          <w:color w:val="auto"/>
        </w:rPr>
      </w:pPr>
    </w:p>
    <w:p>
      <w:pPr>
        <w:ind w:left="-20" w:firstLine="921"/>
        <w:spacing w:after="0" w:line="277" w:lineRule="auto"/>
        <w:tabs>
          <w:tab w:leader="none" w:pos="113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require that all policies, contracts and other records relating to the Insurances (including details of and correspondence concerning outstanding claims) be forthwith delivered to such adjusters, brokers or other insurers as the Mortgagee may nominate;</w:t>
      </w:r>
    </w:p>
    <w:p>
      <w:pPr>
        <w:spacing w:after="0" w:line="170" w:lineRule="exact"/>
        <w:rPr>
          <w:rFonts w:ascii="Arial" w:cs="Arial" w:eastAsia="Arial" w:hAnsi="Arial"/>
          <w:sz w:val="18"/>
          <w:szCs w:val="18"/>
          <w:color w:val="auto"/>
        </w:rPr>
      </w:pPr>
    </w:p>
    <w:p>
      <w:pPr>
        <w:ind w:left="-20" w:right="80" w:firstLine="921"/>
        <w:spacing w:after="0" w:line="286" w:lineRule="auto"/>
        <w:tabs>
          <w:tab w:leader="none" w:pos="1118" w:val="left"/>
        </w:tabs>
        <w:numPr>
          <w:ilvl w:val="1"/>
          <w:numId w:val="197"/>
        </w:numPr>
        <w:rPr>
          <w:rFonts w:ascii="Arial" w:cs="Arial" w:eastAsia="Arial" w:hAnsi="Arial"/>
          <w:sz w:val="17"/>
          <w:szCs w:val="17"/>
          <w:color w:val="auto"/>
        </w:rPr>
      </w:pPr>
      <w:r>
        <w:rPr>
          <w:rFonts w:ascii="Arial" w:cs="Arial" w:eastAsia="Arial" w:hAnsi="Arial"/>
          <w:sz w:val="17"/>
          <w:szCs w:val="17"/>
          <w:color w:val="auto"/>
        </w:rPr>
        <w:t>collect, recover, compromise and give a good discharge for all claims then outstanding or thereafter arising under the Insurances or any of them and to takeover or institute (if necessary using the name of the Owner) all such proceedings in connection therewith as the Mortgagee reasonably thinks fit and to permit the brokers through whom collection or recovery is effected to charge the usual brokerage therefor;</w:t>
      </w:r>
    </w:p>
    <w:p>
      <w:pPr>
        <w:spacing w:after="0" w:line="165" w:lineRule="exact"/>
        <w:rPr>
          <w:rFonts w:ascii="Arial" w:cs="Arial" w:eastAsia="Arial" w:hAnsi="Arial"/>
          <w:sz w:val="17"/>
          <w:szCs w:val="17"/>
          <w:color w:val="auto"/>
        </w:rPr>
      </w:pPr>
    </w:p>
    <w:p>
      <w:pPr>
        <w:ind w:left="-20" w:right="60" w:firstLine="921"/>
        <w:spacing w:after="0" w:line="277" w:lineRule="auto"/>
        <w:tabs>
          <w:tab w:leader="none" w:pos="114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discharge, compound, release or compromise claims against the Owner concerning the Vessels that have given or may give rise to any lien on the Vessels or that are or may be enforceable by proceedings against the Vessels;</w:t>
      </w:r>
    </w:p>
    <w:p>
      <w:pPr>
        <w:spacing w:after="0" w:line="170" w:lineRule="exact"/>
        <w:rPr>
          <w:rFonts w:ascii="Arial" w:cs="Arial" w:eastAsia="Arial" w:hAnsi="Arial"/>
          <w:sz w:val="18"/>
          <w:szCs w:val="18"/>
          <w:color w:val="auto"/>
        </w:rPr>
      </w:pPr>
    </w:p>
    <w:p>
      <w:pPr>
        <w:ind w:left="-20" w:right="220" w:firstLine="921"/>
        <w:spacing w:after="0" w:line="277" w:lineRule="auto"/>
        <w:tabs>
          <w:tab w:leader="none" w:pos="114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take appropriate judicial, extra-judicial or administrative proceedings for the foreclosure of this Mortgage and/or for the enforcement of the rights of the Mortgagee hereunder, or otherwise recover judgment for any amount due on the Secured Indebtedness;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74" w:right="239" w:bottom="144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160" w:firstLine="921"/>
        <w:spacing w:after="0" w:line="264" w:lineRule="auto"/>
        <w:tabs>
          <w:tab w:leader="none" w:pos="112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as permitted by the laws of the United States of America and other Applicable Law, sell the Vessels at public auction, free from any claim of or by the Owner of any nature whatsoever by first giving notice of the time and place of sale with a general description of the Vessels in the following manner:</w:t>
      </w:r>
    </w:p>
    <w:p>
      <w:pPr>
        <w:spacing w:after="0" w:line="73" w:lineRule="exact"/>
        <w:rPr>
          <w:rFonts w:ascii="Arial" w:cs="Arial" w:eastAsia="Arial" w:hAnsi="Arial"/>
          <w:sz w:val="18"/>
          <w:szCs w:val="18"/>
          <w:color w:val="auto"/>
        </w:rPr>
      </w:pPr>
    </w:p>
    <w:p>
      <w:pPr>
        <w:ind w:left="1700" w:hanging="208"/>
        <w:spacing w:after="0"/>
        <w:tabs>
          <w:tab w:leader="none" w:pos="170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by publishing such notice for ten (10) consecutive days in a daily newspaper of general circulation published in New York City, New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York; and</w:t>
      </w:r>
    </w:p>
    <w:p>
      <w:pPr>
        <w:spacing w:after="0" w:line="210" w:lineRule="exact"/>
        <w:rPr>
          <w:rFonts w:ascii="Arial" w:cs="Arial" w:eastAsia="Arial" w:hAnsi="Arial"/>
          <w:sz w:val="16"/>
          <w:szCs w:val="16"/>
          <w:color w:val="auto"/>
        </w:rPr>
      </w:pPr>
    </w:p>
    <w:p>
      <w:pPr>
        <w:ind w:right="160" w:firstLine="1492"/>
        <w:spacing w:after="0" w:line="277" w:lineRule="auto"/>
        <w:tabs>
          <w:tab w:leader="none" w:pos="174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if the place of sale should not be New York City, New York, then also by publication of a similar notice in a daily newspaper, if any, published at the place of sale; and</w:t>
      </w:r>
    </w:p>
    <w:p>
      <w:pPr>
        <w:spacing w:after="0" w:line="170" w:lineRule="exact"/>
        <w:rPr>
          <w:rFonts w:ascii="Arial" w:cs="Arial" w:eastAsia="Arial" w:hAnsi="Arial"/>
          <w:sz w:val="18"/>
          <w:szCs w:val="18"/>
          <w:color w:val="auto"/>
        </w:rPr>
      </w:pPr>
    </w:p>
    <w:p>
      <w:pPr>
        <w:ind w:right="120" w:firstLine="1492"/>
        <w:spacing w:after="0" w:line="277" w:lineRule="auto"/>
        <w:tabs>
          <w:tab w:leader="none" w:pos="179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by sending a similar notice by telecopy confirmed by mail to the Owner at least ten (10) days before the date of sale as permitted by the laws of the United States of America and other applicable law.</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Such sale of the Vessels may be held at such place and at such time as the Mortgagee in such notices may have specified, or such sale may be adjourned by the Mortgagee from time to time by announcement at the time and place appointed for such sale or for such adjourned sale and without further notice or publication the Mortgagee may make such sale at the time and place to which the same shall be so adjourned. Such sale may be conducted without bringing the Vessels to the place designated for such sale and in such manner as the Mortgagee may deem advisable, and the Mortgagee or any other Secured Party may become the purchaser at such sale and shall have the right to credit on the purchase price any and all amounts due in respect of the Secured Indebtedness, as appropriate. Any sale made in accordance with the provisions of this subsection (i) above shall be deemed made in a commercially reasonable manner insofar as the Owner is concerned;</w:t>
      </w:r>
    </w:p>
    <w:p>
      <w:pPr>
        <w:spacing w:after="0" w:line="178" w:lineRule="exact"/>
        <w:rPr>
          <w:sz w:val="20"/>
          <w:szCs w:val="20"/>
          <w:color w:val="auto"/>
        </w:rPr>
      </w:pPr>
    </w:p>
    <w:p>
      <w:pPr>
        <w:ind w:right="100" w:firstLine="921"/>
        <w:spacing w:after="0" w:line="255" w:lineRule="auto"/>
        <w:tabs>
          <w:tab w:leader="none" w:pos="112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pending the sale of the Vessels (either directly or indirectly), as permitted by the laws of the United States of America and other Applicable Law, manage, charter, lease, insure, maintain or repair the Vessels and employ or lay up the Vessels upon such terms, in such manner and for such period as the Mortgagee may reasonably deem expedient and for the purpose aforesaid the Mortgagee shall be entitled to do all acts and things incidental or conducive thereto and in particular to enter into such arrangements respecting the Vessels, their insurance, management, maintenance, repair, classification and employment in all respects as if the Mortgagee were the owner of the Vessels but without any obligations to take any action with respect to the Vessels and without any responsibility for any loss thereby incurred;</w:t>
      </w:r>
    </w:p>
    <w:p>
      <w:pPr>
        <w:spacing w:after="0" w:line="193" w:lineRule="exact"/>
        <w:rPr>
          <w:rFonts w:ascii="Arial" w:cs="Arial" w:eastAsia="Arial" w:hAnsi="Arial"/>
          <w:sz w:val="18"/>
          <w:szCs w:val="18"/>
          <w:color w:val="auto"/>
        </w:rPr>
      </w:pPr>
    </w:p>
    <w:p>
      <w:pPr>
        <w:ind w:right="340" w:firstLine="921"/>
        <w:spacing w:after="0" w:line="264" w:lineRule="auto"/>
        <w:tabs>
          <w:tab w:leader="none" w:pos="116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recover from the Owner on demand any losses as may be incurred by the Mortgagee in the exercise of the power vested in the Mortgagee under subsection (j) hereof with interest thereon at the Default Rate from the date when such losses were incurred by the Mortgagee until full payment is received; and</w:t>
      </w:r>
    </w:p>
    <w:p>
      <w:pPr>
        <w:spacing w:after="0" w:line="181" w:lineRule="exact"/>
        <w:rPr>
          <w:rFonts w:ascii="Arial" w:cs="Arial" w:eastAsia="Arial" w:hAnsi="Arial"/>
          <w:sz w:val="18"/>
          <w:szCs w:val="18"/>
          <w:color w:val="auto"/>
        </w:rPr>
      </w:pPr>
    </w:p>
    <w:p>
      <w:pPr>
        <w:ind w:right="520" w:firstLine="921"/>
        <w:spacing w:after="0" w:line="264" w:lineRule="auto"/>
        <w:tabs>
          <w:tab w:leader="none" w:pos="112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recover from the Owner on demand all expenses, payments and disbursements (including fees and expenses of counsel) incurred by the Mortgagee in the exercise by it of any of the powers vested in it hereunder, together with interest thereon at the Default Rate from the date when such expenses, payments or disbursements were incurred by it until full payment is received;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PROVIDED, ALWAYS, that any sale by the Mortgagee of the Vessels or any shares therein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operate to divest all rights, title and interest of any nature whatsoever of the Owner, its successors and assigns, and all Persons claiming by, through or under the Owner in or to the Vessels or such shares so sold and upon such sale the purchaser shall not be bound to see or inquire whether the power of sale of the Mortgagee has arisen in the manner herein provided and the sale shall be deemed to be within the power of the Mortgagee and the receipt by the Mortgagee of the purchase money shall effectively discharge the purchaser, who shall not be concerned with the manner of application of the proceeds of the sale or be in any way answerable therefor. The Owner hereby irrevocably appoints the Mortgagee, for the benefit of the Secured Parties, the true and lawful attorney of the Owner, in its name and stead, to make all necessary transfers of the whole or any part of the Vessels in connection with a sale, use or other disposition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and for that purpose to execute all necessary instruments of assignment and transfer. Nevertheless, the Owner shall, if so requested by the Mortgagee, ratify and confirm any sale, assignment, transfer or delivery by executing and delivering such proper bill of sale, assignment, conveyance, instrument of transfer or other instrument as may be designated in such request.</w:t>
      </w:r>
    </w:p>
    <w:p>
      <w:pPr>
        <w:spacing w:after="0" w:line="169" w:lineRule="exact"/>
        <w:rPr>
          <w:sz w:val="20"/>
          <w:szCs w:val="20"/>
          <w:color w:val="auto"/>
        </w:rPr>
      </w:pPr>
    </w:p>
    <w:p>
      <w:pPr>
        <w:ind w:firstLine="464"/>
        <w:spacing w:after="0" w:line="271" w:lineRule="auto"/>
        <w:tabs>
          <w:tab w:leader="none" w:pos="636"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Application of Moneys</w:t>
      </w:r>
      <w:r>
        <w:rPr>
          <w:rFonts w:ascii="Arial" w:cs="Arial" w:eastAsia="Arial" w:hAnsi="Arial"/>
          <w:sz w:val="17"/>
          <w:szCs w:val="17"/>
          <w:color w:val="auto"/>
        </w:rPr>
        <w:t xml:space="preserve">. The proceeds of any sale made either under the power of sale hereby granted to the Mortgagee, for the benefit of the Secured Parties, or under a judgment or decree in any judicial proceeding for the foreclosure of this Mortgage, or proceeds arising from the enforcement of any remedy granted to the Mortgagee hereunder, or any net earnings arising from the management, charter or other use of the Vessels by the Mortgagee under any of the powers herein granted or the proceeds of any and all Insurances and any claims for damages on account of the Vessels or the Owner of any nature whatsoever and any net earnings of the Vessels from the operation of the Vessels by the Mortgagee under any of the powers herein granted or by law provided or any Requisition Compensation shall be applied as set forth in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of the Loan Agreement. If the proceeds are insufficient to pay the amounts specified in paragraphs “First”, “Second”, “Third” and “Fourth” of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of the Loan Agreement, the Mortgagee and other Secured Parties shall be entitled to collect the balance from the Owner or any other Person liable therefor.</w:t>
      </w:r>
    </w:p>
    <w:p>
      <w:pPr>
        <w:spacing w:after="0" w:line="178" w:lineRule="exact"/>
        <w:rPr>
          <w:rFonts w:ascii="Arial" w:cs="Arial" w:eastAsia="Arial" w:hAnsi="Arial"/>
          <w:sz w:val="17"/>
          <w:szCs w:val="17"/>
          <w:color w:val="auto"/>
        </w:rPr>
      </w:pPr>
    </w:p>
    <w:p>
      <w:pPr>
        <w:ind w:right="100" w:firstLine="464"/>
        <w:spacing w:after="0" w:line="271" w:lineRule="auto"/>
        <w:tabs>
          <w:tab w:leader="none" w:pos="636"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Delay and Cure</w:t>
      </w:r>
      <w:r>
        <w:rPr>
          <w:rFonts w:ascii="Arial" w:cs="Arial" w:eastAsia="Arial" w:hAnsi="Arial"/>
          <w:sz w:val="17"/>
          <w:szCs w:val="17"/>
          <w:color w:val="auto"/>
        </w:rPr>
        <w:t>. No delay or omission of the Mortgagee to exercise any right or power vested in it under this Mortgage shall impair such right or power or be construed as a waiver thereof or as an acquiescence in any default by the Owner hereunder or under the Loan Agreement, the Notes or any other Loan Document, nor shall the acceptance by the Mortgagee or any other Secured Party of any payments concerning this Mortgage from any source be deemed a waiver hereunder. However, if at any time after an Event of Default and before the actual sale of the Vessels by the Mortgagee or before any foreclosure proceedings, the Owner cures completely and promptly all Events of Default and pays promptly all expenses, advances and damages to the Mortgagee arising from such Events of Default, with interest at the Default Rate from the date when such expenses, advances and damages were incurred until full payment is received, then the Mortgagee may, in its sole discretion, accept such cure and payment and restore the Owner to its former position, but such action shall not affect any subsequent Event of Default or impair any rights consequent thereon.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2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both"/>
        <w:ind w:left="-40" w:right="20" w:firstLine="464"/>
        <w:spacing w:after="0" w:line="264" w:lineRule="auto"/>
        <w:tabs>
          <w:tab w:leader="none" w:pos="596"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Delegation of Mortgagee’s Powers</w:t>
      </w:r>
      <w:r>
        <w:rPr>
          <w:rFonts w:ascii="Arial" w:cs="Arial" w:eastAsia="Arial" w:hAnsi="Arial"/>
          <w:sz w:val="18"/>
          <w:szCs w:val="18"/>
          <w:color w:val="auto"/>
        </w:rPr>
        <w:t>. The Mortgagee shall be entitled at any time and as often as may be expedient to delegate all or any of the powers and discretions vested in it by this Mortgage (including the power vested in it by virtue of Section 10 hereof) in such manner and upon such terms and to such Persons as the Mortgagee in its absolute discretion may think fit.</w:t>
      </w:r>
    </w:p>
    <w:p>
      <w:pPr>
        <w:spacing w:after="0" w:line="181" w:lineRule="exact"/>
        <w:rPr>
          <w:rFonts w:ascii="Arial" w:cs="Arial" w:eastAsia="Arial" w:hAnsi="Arial"/>
          <w:sz w:val="18"/>
          <w:szCs w:val="18"/>
          <w:color w:val="auto"/>
        </w:rPr>
      </w:pPr>
    </w:p>
    <w:p>
      <w:pPr>
        <w:ind w:left="-40" w:right="20" w:firstLine="464"/>
        <w:spacing w:after="0" w:line="271" w:lineRule="auto"/>
        <w:tabs>
          <w:tab w:leader="none" w:pos="596"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Owner’s Indemnity</w:t>
      </w:r>
      <w:r>
        <w:rPr>
          <w:rFonts w:ascii="Arial" w:cs="Arial" w:eastAsia="Arial" w:hAnsi="Arial"/>
          <w:sz w:val="17"/>
          <w:szCs w:val="17"/>
          <w:color w:val="auto"/>
        </w:rPr>
        <w:t xml:space="preserve">. Without prejudice to any other rights and remedies of the Mortgagee arising under this Mortgage, the Owner hereby agrees and undertakes to indemnify the Mortgagee and the other Secured Parties from and against any and all obligations and liabilities whatsoever and whensoever incurred by the Mortgagee or the other Secured Parties in the enforcement of the Mortgagee’s rights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bad faith or willful misconduct of such Indemnitee (or such Indemnitee’s Related Parties) or result from a claim brought by the Borrower or the Guarantor against an Indemnitee for breach in bad faith of such Indemnitee’s obligations hereunder or under any other Loan Document, if the Borrower or the Guarantor has obtained a final and nonappealable judgment in its favor on such claim as determined by a court of competent jurisdiction.</w:t>
      </w:r>
    </w:p>
    <w:p>
      <w:pPr>
        <w:spacing w:after="0" w:line="178" w:lineRule="exact"/>
        <w:rPr>
          <w:rFonts w:ascii="Arial" w:cs="Arial" w:eastAsia="Arial" w:hAnsi="Arial"/>
          <w:sz w:val="17"/>
          <w:szCs w:val="17"/>
          <w:color w:val="auto"/>
        </w:rPr>
      </w:pPr>
    </w:p>
    <w:p>
      <w:pPr>
        <w:ind w:left="700" w:hanging="276"/>
        <w:spacing w:after="0"/>
        <w:tabs>
          <w:tab w:leader="none" w:pos="70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Power of Attorney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921"/>
        <w:spacing w:after="0" w:line="270" w:lineRule="auto"/>
        <w:tabs>
          <w:tab w:leader="none" w:pos="1118" w:val="left"/>
        </w:tabs>
        <w:numPr>
          <w:ilvl w:val="1"/>
          <w:numId w:val="201"/>
        </w:numPr>
        <w:rPr>
          <w:rFonts w:ascii="Arial" w:cs="Arial" w:eastAsia="Arial" w:hAnsi="Arial"/>
          <w:sz w:val="17"/>
          <w:szCs w:val="17"/>
          <w:color w:val="auto"/>
        </w:rPr>
      </w:pPr>
      <w:r>
        <w:rPr>
          <w:rFonts w:ascii="Arial" w:cs="Arial" w:eastAsia="Arial" w:hAnsi="Arial"/>
          <w:sz w:val="17"/>
          <w:szCs w:val="17"/>
          <w:color w:val="auto"/>
        </w:rPr>
        <w:t>The Owner hereby irrevocably appoints the Mortgagee, for the benefit of the Secured Parties, as its attorney-in-fact (which appointment is irrevocable and coupled with an interest) for the duration of the term hereof to do in the name of the Owner or in the Mortgagee’s own name while an Event of Default has occurred and is continuing, all acts that the Owner, or its successors or assigns, could do in relation to the Vessels, including, without limitation, to demand, collect, receive, compromise, settle and sue for (insofar as the Mortgagee lawfully may), all amounts due from underwriters under the Insurances as payment for losses or as return of premiums or otherwise, salvage awards and recoveries, in general average or otherwise, and all other sums due or to become due to the Owner or arising from the Vessels, and to make, give and execute in the name of the Owner acquittance, receipts, releases, or other discharges for the same, whether under seal or otherwise, to take possession of, sell or otherwise dispose of or manage or employ the Vessels, to execute and deliver charters and a bill of sale for the Vessels, and to endorse and accept in the name of the Owner all checks, notes, drafts, warrants, agreements and all other instruments in writing with respect to the foregoing.</w:t>
      </w:r>
    </w:p>
    <w:p>
      <w:pPr>
        <w:spacing w:after="0" w:line="181" w:lineRule="exact"/>
        <w:rPr>
          <w:rFonts w:ascii="Arial" w:cs="Arial" w:eastAsia="Arial" w:hAnsi="Arial"/>
          <w:sz w:val="17"/>
          <w:szCs w:val="17"/>
          <w:color w:val="auto"/>
        </w:rPr>
      </w:pPr>
    </w:p>
    <w:p>
      <w:pPr>
        <w:ind w:left="-40" w:right="60" w:firstLine="921"/>
        <w:spacing w:after="0" w:line="259" w:lineRule="auto"/>
        <w:tabs>
          <w:tab w:leader="none" w:pos="112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 xml:space="preserve">The exercise by or on behalf of the Mortgagee of the power granted in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not require any Person dealing with the Mortgagee to conduct any inquiry as to whether any Event of Default has occurred, nor shall such Person be in any way affected by notice that any Event of Default does not exist, and the exercise by the Mortgagee of such power shall, with regard to such Person, be conclusive evidence of the Mortgagee’s right to exercise the same.</w:t>
      </w:r>
    </w:p>
    <w:p>
      <w:pPr>
        <w:spacing w:after="0" w:line="186" w:lineRule="exact"/>
        <w:rPr>
          <w:rFonts w:ascii="Arial" w:cs="Arial" w:eastAsia="Arial" w:hAnsi="Arial"/>
          <w:sz w:val="18"/>
          <w:szCs w:val="18"/>
          <w:color w:val="auto"/>
        </w:rPr>
      </w:pPr>
    </w:p>
    <w:p>
      <w:pPr>
        <w:ind w:left="-40" w:right="20" w:firstLine="464"/>
        <w:spacing w:after="0" w:line="277" w:lineRule="auto"/>
        <w:tabs>
          <w:tab w:leader="none" w:pos="68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Arrest by a Third Party</w:t>
      </w:r>
      <w:r>
        <w:rPr>
          <w:rFonts w:ascii="Arial" w:cs="Arial" w:eastAsia="Arial" w:hAnsi="Arial"/>
          <w:sz w:val="18"/>
          <w:szCs w:val="18"/>
          <w:color w:val="auto"/>
        </w:rPr>
        <w:t>. If an Event of Default shall have occurred and be continuing and one or more of the Vessels shall be arrested or detained by a marshal or other officer of any court of law, equity or admiralty jurisdiction in any country of the world or by 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274" w:right="259" w:bottom="1440" w:gutter="0" w:footer="0" w:header="0"/>
        </w:sectPr>
      </w:pPr>
    </w:p>
    <w:bookmarkStart w:id="208" w:name="page209"/>
    <w:bookmarkEnd w:id="208"/>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government or other authority and shall not be released from arrest or detention within thirty (30) days from the date of arrest or detention, the Owner hereby authorizes the Mortgagee, in the name of the Owner, to apply for and receive possession of and to take possession of such Vessel(s) with all of the rights and powers that the Owner might have, possess and exercise in any such event. This authorization is irrevocable and coupled with an interest.</w:t>
      </w:r>
    </w:p>
    <w:p>
      <w:pPr>
        <w:spacing w:after="0" w:line="147" w:lineRule="exact"/>
        <w:rPr>
          <w:sz w:val="20"/>
          <w:szCs w:val="20"/>
          <w:color w:val="auto"/>
        </w:rPr>
      </w:pPr>
    </w:p>
    <w:p>
      <w:pPr>
        <w:ind w:right="100" w:firstLine="464"/>
        <w:spacing w:after="0" w:line="276" w:lineRule="auto"/>
        <w:tabs>
          <w:tab w:leader="none" w:pos="726"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The Mortgagee shall have the right to commence proceedings in the courts of any country having jurisdiction over any Vessel. In particular, the Mortgagee shall have the right to arrest and take action against the Vessels at whatever places the Vessels shall be found lying and for the purpose of any such action, before the local court or other judicial authority with jurisdiction over the Vessels. The Owner agrees that for the purpose of proceedings against the Vessels, any writ, notice, judgment or other legal process or documents may be served upon the respective Masters of the Vessels (or upon anyone acting as the Master) and that such service shall be deemed good service on the Owner for all purposes.</w:t>
      </w:r>
    </w:p>
    <w:p>
      <w:pPr>
        <w:spacing w:after="0" w:line="172" w:lineRule="exact"/>
        <w:rPr>
          <w:rFonts w:ascii="Arial" w:cs="Arial" w:eastAsia="Arial" w:hAnsi="Arial"/>
          <w:sz w:val="17"/>
          <w:szCs w:val="17"/>
          <w:color w:val="auto"/>
        </w:rPr>
      </w:pPr>
    </w:p>
    <w:p>
      <w:pPr>
        <w:ind w:right="100" w:firstLine="464"/>
        <w:spacing w:after="0" w:line="276" w:lineRule="auto"/>
        <w:tabs>
          <w:tab w:leader="none" w:pos="726"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Invalid Provisions</w:t>
      </w:r>
      <w:r>
        <w:rPr>
          <w:rFonts w:ascii="Arial" w:cs="Arial" w:eastAsia="Arial" w:hAnsi="Arial"/>
          <w:sz w:val="17"/>
          <w:szCs w:val="17"/>
          <w:color w:val="auto"/>
        </w:rPr>
        <w:t>. If any provision or provisions of this Mortgage shall be declared invalid, void or otherwise inoperative by any present or future court of competent jurisdiction in any country, the Owner will, without prejudice to any other right and remedy of the Mortgagee under this Mortgage, execute and deliver such other and further instruments and do such things as in the opinion of the Mortgagee or its counsel will be necessary or advisable to carry out the intent and spirit of this Mortgage. In any event, any such declaration of partial invalidity shall not affect the validity of any other provision or provisions of this Mortgage, which shall remain in full force and effect, or the validity of this Mortgage as a whole.</w:t>
      </w:r>
    </w:p>
    <w:p>
      <w:pPr>
        <w:spacing w:after="0" w:line="172" w:lineRule="exact"/>
        <w:rPr>
          <w:rFonts w:ascii="Arial" w:cs="Arial" w:eastAsia="Arial" w:hAnsi="Arial"/>
          <w:sz w:val="17"/>
          <w:szCs w:val="17"/>
          <w:color w:val="auto"/>
        </w:rPr>
      </w:pPr>
    </w:p>
    <w:p>
      <w:pPr>
        <w:jc w:val="both"/>
        <w:ind w:right="460" w:firstLine="464"/>
        <w:spacing w:after="0" w:line="264" w:lineRule="auto"/>
        <w:tabs>
          <w:tab w:leader="none" w:pos="726"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Further Assurance</w:t>
      </w:r>
      <w:r>
        <w:rPr>
          <w:rFonts w:ascii="Arial" w:cs="Arial" w:eastAsia="Arial" w:hAnsi="Arial"/>
          <w:sz w:val="18"/>
          <w:szCs w:val="18"/>
          <w:color w:val="auto"/>
        </w:rPr>
        <w:t>. The Owner hereby further undertakes at its own expense to execute, sign, perfect, do and (if required), register every such further assurance, document, act or thing reasonably requested by the Mortgagee for the purpose of maintaining or perfecting or exercising the security constituted by this Mortgage.</w:t>
      </w:r>
    </w:p>
    <w:p>
      <w:pPr>
        <w:spacing w:after="0" w:line="181" w:lineRule="exact"/>
        <w:rPr>
          <w:rFonts w:ascii="Arial" w:cs="Arial" w:eastAsia="Arial" w:hAnsi="Arial"/>
          <w:sz w:val="18"/>
          <w:szCs w:val="18"/>
          <w:color w:val="auto"/>
        </w:rPr>
      </w:pPr>
    </w:p>
    <w:p>
      <w:pPr>
        <w:ind w:right="100" w:firstLine="464"/>
        <w:spacing w:after="0" w:line="276" w:lineRule="auto"/>
        <w:tabs>
          <w:tab w:leader="none" w:pos="726"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Cumulative Remedies</w:t>
      </w:r>
      <w:r>
        <w:rPr>
          <w:rFonts w:ascii="Arial" w:cs="Arial" w:eastAsia="Arial" w:hAnsi="Arial"/>
          <w:sz w:val="17"/>
          <w:szCs w:val="17"/>
          <w:color w:val="auto"/>
        </w:rPr>
        <w:t>. Each and every power and remedy in this Mortgage specifically given to the Mortgagee shall be in addition to every other power and remedy herein specifically given or now or hereafter existing at law, in equity, admiralty, or by statute, and each and every power and remedy, whether specifically in this Mortgage given or otherwise existing, may be exercised from time to time and as often and in such order as may be deemed expedient by the Mortgagee, and the exercise or the commencement of the exercise of any such power or remedy shall not be construed to be a waiver of the right to exercise at the same time or thereafter any other power or remedy under this Mortgage.</w:t>
      </w:r>
    </w:p>
    <w:p>
      <w:pPr>
        <w:spacing w:after="0" w:line="172" w:lineRule="exact"/>
        <w:rPr>
          <w:rFonts w:ascii="Arial" w:cs="Arial" w:eastAsia="Arial" w:hAnsi="Arial"/>
          <w:sz w:val="17"/>
          <w:szCs w:val="17"/>
          <w:color w:val="auto"/>
        </w:rPr>
      </w:pPr>
    </w:p>
    <w:p>
      <w:pPr>
        <w:ind w:right="360" w:firstLine="464"/>
        <w:spacing w:after="0" w:line="277" w:lineRule="auto"/>
        <w:tabs>
          <w:tab w:leader="none" w:pos="726"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Amount of Mortgage</w:t>
      </w:r>
      <w:r>
        <w:rPr>
          <w:rFonts w:ascii="Arial" w:cs="Arial" w:eastAsia="Arial" w:hAnsi="Arial"/>
          <w:sz w:val="18"/>
          <w:szCs w:val="18"/>
          <w:color w:val="auto"/>
        </w:rPr>
        <w:t>. The total amount of obligations secured this Mortgage is Fifty Million United States Dollars ($50,000,000) (exclusive of interest, fees, costs and expenses). The discharge amount is the same as the total amount.</w:t>
      </w:r>
    </w:p>
    <w:p>
      <w:pPr>
        <w:spacing w:after="0" w:line="170" w:lineRule="exact"/>
        <w:rPr>
          <w:rFonts w:ascii="Arial" w:cs="Arial" w:eastAsia="Arial" w:hAnsi="Arial"/>
          <w:sz w:val="18"/>
          <w:szCs w:val="18"/>
          <w:color w:val="auto"/>
        </w:rPr>
      </w:pPr>
    </w:p>
    <w:p>
      <w:pPr>
        <w:ind w:firstLine="464"/>
        <w:spacing w:after="0" w:line="264" w:lineRule="auto"/>
        <w:tabs>
          <w:tab w:leader="none" w:pos="726"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Preferred Status</w:t>
      </w:r>
      <w:r>
        <w:rPr>
          <w:rFonts w:ascii="Arial" w:cs="Arial" w:eastAsia="Arial" w:hAnsi="Arial"/>
          <w:sz w:val="18"/>
          <w:szCs w:val="18"/>
          <w:color w:val="auto"/>
        </w:rPr>
        <w:t>. Anything herein to the contrary notwithstanding, it is intended that nothing herein shall waive the preferred status of this Mortgage and that, if any provision or portion of this Mortgage shall be construed to waive its preferred status, then such provision or portion to such extent shall be void and of no effect.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09" w:name="page210"/>
    <w:bookmarkEnd w:id="209"/>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80" w:right="4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220" w:firstLine="464"/>
        <w:spacing w:after="0" w:line="259" w:lineRule="auto"/>
        <w:tabs>
          <w:tab w:leader="none" w:pos="726"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and other communications required or permitted by this Mortgage shall, until further notice in writing of a change therein, be in writing and shall be deemed to be duly given or made when delivered (in the case of personal delivery or letter) and when dispatched (in the case of facsimile) to such party addressed to it at the address stated below (or at such address as such party may hereafter specify for such purpose to the other by notice in writing):</w:t>
      </w:r>
    </w:p>
    <w:p>
      <w:pPr>
        <w:sectPr>
          <w:pgSz w:w="11900" w:h="16838" w:orient="portrait"/>
          <w:cols w:equalWidth="0" w:num="1">
            <w:col w:w="11380"/>
          </w:cols>
          <w:pgMar w:left="240" w:top="274" w:right="279" w:bottom="1440" w:gutter="0" w:footer="0" w:header="0"/>
        </w:sectPr>
      </w:pPr>
    </w:p>
    <w:p>
      <w:pPr>
        <w:spacing w:after="0" w:line="21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to the Owner: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Great Lakes Dredge &amp; Dock Company,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2122 York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 Brook, IL 60523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W. Marinko</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(630) 574-3007</w:t>
      </w:r>
    </w:p>
    <w:p>
      <w:pPr>
        <w:spacing w:after="0" w:line="200" w:lineRule="exact"/>
        <w:rPr>
          <w:sz w:val="20"/>
          <w:szCs w:val="20"/>
          <w:color w:val="auto"/>
        </w:rPr>
      </w:pPr>
    </w:p>
    <w:p>
      <w:pPr>
        <w:sectPr>
          <w:pgSz w:w="11900" w:h="16838" w:orient="portrait"/>
          <w:cols w:equalWidth="0" w:num="2">
            <w:col w:w="4160" w:space="720"/>
            <w:col w:w="6500"/>
          </w:cols>
          <w:pgMar w:left="240" w:top="274" w:right="279" w:bottom="1440" w:gutter="0" w:footer="0" w:header="0"/>
          <w:type w:val="continuous"/>
        </w:sectPr>
      </w:pPr>
    </w:p>
    <w:p>
      <w:pPr>
        <w:spacing w:after="0" w:line="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with copies 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Jenner &amp; Block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353 N. Clark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Brian S. Hart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(312) 923-2718</w:t>
      </w:r>
    </w:p>
    <w:p>
      <w:pPr>
        <w:spacing w:after="0" w:line="200" w:lineRule="exact"/>
        <w:rPr>
          <w:sz w:val="20"/>
          <w:szCs w:val="20"/>
          <w:color w:val="auto"/>
        </w:rPr>
      </w:pPr>
    </w:p>
    <w:p>
      <w:pPr>
        <w:sectPr>
          <w:pgSz w:w="11900" w:h="16838" w:orient="portrait"/>
          <w:cols w:equalWidth="0" w:num="2">
            <w:col w:w="4160" w:space="720"/>
            <w:col w:w="6500"/>
          </w:cols>
          <w:pgMar w:left="240" w:top="274" w:right="279" w:bottom="1440" w:gutter="0" w:footer="0" w:header="0"/>
          <w:type w:val="continuous"/>
        </w:sectPr>
      </w:pPr>
    </w:p>
    <w:p>
      <w:pPr>
        <w:spacing w:after="0" w:line="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to the Mortgagee: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Bank of America, N.A., as Administrative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901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75202-3714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Diana Lopez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(214) 290-8384</w:t>
      </w:r>
    </w:p>
    <w:p>
      <w:pPr>
        <w:spacing w:after="0" w:line="200" w:lineRule="exact"/>
        <w:rPr>
          <w:sz w:val="20"/>
          <w:szCs w:val="20"/>
          <w:color w:val="auto"/>
        </w:rPr>
      </w:pPr>
    </w:p>
    <w:p>
      <w:pPr>
        <w:sectPr>
          <w:pgSz w:w="11900" w:h="16838" w:orient="portrait"/>
          <w:cols w:equalWidth="0" w:num="2">
            <w:col w:w="4160" w:space="720"/>
            <w:col w:w="6500"/>
          </w:cols>
          <w:pgMar w:left="240" w:top="274" w:right="279" w:bottom="1440" w:gutter="0" w:footer="0" w:header="0"/>
          <w:type w:val="continuous"/>
        </w:sectPr>
      </w:pPr>
    </w:p>
    <w:p>
      <w:pPr>
        <w:spacing w:after="0" w:line="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written notice includes a notice by facsimile. A notice or other communication received on a non-working day or after business hours in the place of receipt, shall be deemed to be served on the next following working day in such place.</w:t>
      </w:r>
    </w:p>
    <w:p>
      <w:pPr>
        <w:spacing w:after="0" w:line="170" w:lineRule="exact"/>
        <w:rPr>
          <w:sz w:val="20"/>
          <w:szCs w:val="20"/>
          <w:color w:val="auto"/>
        </w:rPr>
      </w:pPr>
    </w:p>
    <w:p>
      <w:pPr>
        <w:jc w:val="both"/>
        <w:ind w:firstLine="464"/>
        <w:spacing w:after="0" w:line="264" w:lineRule="auto"/>
        <w:tabs>
          <w:tab w:leader="none" w:pos="726"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Parties Bound</w:t>
      </w:r>
      <w:r>
        <w:rPr>
          <w:rFonts w:ascii="Arial" w:cs="Arial" w:eastAsia="Arial" w:hAnsi="Arial"/>
          <w:sz w:val="18"/>
          <w:szCs w:val="18"/>
          <w:color w:val="auto"/>
        </w:rPr>
        <w:t>. All the covenants, promises, stipulations and agreements of the Owner and all the rights and remedies of the Mortgagee contained in this Mortgage shall bind the Owner, its successors and assigns, and shall inure to the benefit of the Mortgagee, for the benefit of the Secured Parties and their respective successors and assigns, whether or not so expressed.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type w:val="continuous"/>
        </w:sectPr>
      </w:pPr>
    </w:p>
    <w:bookmarkStart w:id="210" w:name="page211"/>
    <w:bookmarkEnd w:id="210"/>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60" w:right="180" w:firstLine="464"/>
        <w:spacing w:after="0" w:line="264" w:lineRule="auto"/>
        <w:tabs>
          <w:tab w:leader="none" w:pos="666"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Waiver of Demand</w:t>
      </w:r>
      <w:r>
        <w:rPr>
          <w:rFonts w:ascii="Arial" w:cs="Arial" w:eastAsia="Arial" w:hAnsi="Arial"/>
          <w:sz w:val="18"/>
          <w:szCs w:val="18"/>
          <w:color w:val="auto"/>
        </w:rPr>
        <w:t>. The Owner hereby expressly waives demand and presentment for payment, notice of nonpayment, protest, notice of protest, notice of dishonor, bringing of suit, and diligence in taking any action to collect amounts called for under this Mortgage or the Notes and in the handling of collateral for the Notes at any time in connection herewith and therewith.</w:t>
      </w:r>
    </w:p>
    <w:p>
      <w:pPr>
        <w:spacing w:after="0" w:line="181" w:lineRule="exact"/>
        <w:rPr>
          <w:rFonts w:ascii="Arial" w:cs="Arial" w:eastAsia="Arial" w:hAnsi="Arial"/>
          <w:sz w:val="18"/>
          <w:szCs w:val="18"/>
          <w:color w:val="auto"/>
        </w:rPr>
      </w:pPr>
    </w:p>
    <w:p>
      <w:pPr>
        <w:ind w:left="-60" w:firstLine="464"/>
        <w:spacing w:after="0" w:line="255" w:lineRule="auto"/>
        <w:tabs>
          <w:tab w:leader="none" w:pos="666"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Owner shall reimburse the Mortgagee for all reasonable and documented out-of-pocket costs and expenses, which the Mortgagee may from time to time incur, lay out or expend during the existence of an Event of Default, together with interest at the Default Rate in insuring the Vessels, discharging liens, paying taxes, dues, assessments, governmental charges, fines and penalties that may be lawfully imposed, making repairs or in performing any other duty that the Owner is obligated to perform hereunder, but otherwise fails to perform. The obligation to reimburse the Mortgagee for such costs and expenses shall be a Secured Indebtedness due from the Owner, secured by this Mortgage, and shall be payable by the Owner on demand. The Mortgagee, though privileged so to do, shall be under no obligation to make any such expenditures, nor shall the making thereof relieve the Owner of any default in that respect.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300" w:top="274" w:right="299" w:bottom="1440" w:gutter="0" w:footer="0" w:header="0"/>
        </w:sectPr>
      </w:pPr>
    </w:p>
    <w:bookmarkStart w:id="211" w:name="page212"/>
    <w:bookmarkEnd w:id="211"/>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20" w:right="20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WITNESS WHEREOF, the Owner has executed this Mortgage by its duly authorized officer effective as of the day, month and year first above written.</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GREAT LAKES DREDGE &amp; DOCK COMPANY, LLC</w:t>
      </w:r>
    </w:p>
    <w:p>
      <w:pPr>
        <w:spacing w:after="0" w:line="225"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Mark W. Marinko</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ACKNOWLEDGMENT</w:t>
      </w:r>
    </w:p>
    <w:p>
      <w:pPr>
        <w:spacing w:after="0" w:line="252"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STATE OF ILLINOIS</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3020" w:hanging="347"/>
        <w:spacing w:after="0"/>
        <w:tabs>
          <w:tab w:leader="none" w:pos="30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ss.:</w:t>
      </w:r>
    </w:p>
    <w:p>
      <w:pPr>
        <w:spacing w:after="0" w:line="9"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COUNTY OF DUPAGE</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260" w:firstLine="913"/>
        <w:spacing w:after="0" w:line="342" w:lineRule="auto"/>
        <w:rPr>
          <w:sz w:val="20"/>
          <w:szCs w:val="20"/>
          <w:color w:val="auto"/>
        </w:rPr>
      </w:pPr>
      <w:r>
        <w:rPr>
          <w:rFonts w:ascii="Arial" w:cs="Arial" w:eastAsia="Arial" w:hAnsi="Arial"/>
          <w:sz w:val="16"/>
          <w:szCs w:val="16"/>
          <w:color w:val="auto"/>
        </w:rPr>
        <w:t>The foregoing instrument was acknowledged before me this 4</w:t>
      </w:r>
      <w:r>
        <w:rPr>
          <w:rFonts w:ascii="Arial" w:cs="Arial" w:eastAsia="Arial" w:hAnsi="Arial"/>
          <w:sz w:val="13"/>
          <w:szCs w:val="13"/>
          <w:color w:val="auto"/>
        </w:rPr>
        <w:t>th</w:t>
      </w:r>
      <w:r>
        <w:rPr>
          <w:rFonts w:ascii="Arial" w:cs="Arial" w:eastAsia="Arial" w:hAnsi="Arial"/>
          <w:sz w:val="16"/>
          <w:szCs w:val="16"/>
          <w:color w:val="auto"/>
        </w:rPr>
        <w:t xml:space="preserve"> day of November, 2014, by Mark W. Marinko, the Senior Vice President and Chief Financial Officer of GREAT LAKES DREDGE &amp; DOCK COMPANY, LLC, a Delaware limited liability company, on behalf of the company.</w:t>
      </w:r>
    </w:p>
    <w:p>
      <w:pPr>
        <w:spacing w:after="0" w:line="1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Notary Public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OFFICIAL SEAL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JENNIFER LYNN BEITZEL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NOTARY PUBLIC - STATE OF ILLINOIS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MY COMMISSION EXPIRES 09/27/16</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Jennifer Lynn Beitzel</w:t>
      </w:r>
    </w:p>
    <w:p>
      <w:pPr>
        <w:sectPr>
          <w:pgSz w:w="11900" w:h="16838" w:orient="portrait"/>
          <w:cols w:equalWidth="0" w:num="1">
            <w:col w:w="11340"/>
          </w:cols>
          <w:pgMar w:left="240" w:top="274" w:right="31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Attached)</w:t>
      </w:r>
    </w:p>
    <w:p>
      <w:pPr>
        <w:sectPr>
          <w:pgSz w:w="11900" w:h="16838" w:orient="portrait"/>
          <w:cols w:equalWidth="0" w:num="1">
            <w:col w:w="11260"/>
          </w:cols>
          <w:pgMar w:left="320" w:top="274" w:right="31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Guaranty</w:t>
      </w:r>
    </w:p>
    <w:p>
      <w:pPr>
        <w:sectPr>
          <w:pgSz w:w="11900" w:h="16838" w:orient="portrait"/>
          <w:cols w:equalWidth="0" w:num="1">
            <w:col w:w="11260"/>
          </w:cols>
          <w:pgMar w:left="320" w:top="274" w:right="31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COPY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GUARANTY</w:t>
      </w:r>
    </w:p>
    <w:p>
      <w:pPr>
        <w:spacing w:after="0" w:line="22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THIS GUARANTY (this “</w:t>
      </w:r>
      <w:r>
        <w:rPr>
          <w:rFonts w:ascii="Arial" w:cs="Arial" w:eastAsia="Arial" w:hAnsi="Arial"/>
          <w:sz w:val="18"/>
          <w:szCs w:val="18"/>
          <w:u w:val="single" w:color="auto"/>
          <w:color w:val="auto"/>
        </w:rPr>
        <w:t>Guaranty</w:t>
      </w:r>
      <w:r>
        <w:rPr>
          <w:rFonts w:ascii="Arial" w:cs="Arial" w:eastAsia="Arial" w:hAnsi="Arial"/>
          <w:sz w:val="18"/>
          <w:szCs w:val="18"/>
          <w:color w:val="auto"/>
        </w:rPr>
        <w:t>”), dated as of November 4, 2014, is made by Great Lakes Dredge &amp; Dock Company, LLC, a Delaware limited liability company (“</w:t>
      </w:r>
      <w:r>
        <w:rPr>
          <w:rFonts w:ascii="Arial" w:cs="Arial" w:eastAsia="Arial" w:hAnsi="Arial"/>
          <w:sz w:val="18"/>
          <w:szCs w:val="18"/>
          <w:u w:val="single" w:color="auto"/>
          <w:color w:val="auto"/>
        </w:rPr>
        <w:t>Guarantor</w:t>
      </w:r>
      <w:r>
        <w:rPr>
          <w:rFonts w:ascii="Arial" w:cs="Arial" w:eastAsia="Arial" w:hAnsi="Arial"/>
          <w:sz w:val="18"/>
          <w:szCs w:val="18"/>
          <w:color w:val="auto"/>
        </w:rPr>
        <w:t>”), for the benefit of Bank of America,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each of the other Secured Parties (as defined in the hereinafter defined Loan Agreement). Capitalized terms used herein shall, unless otherwise defined herein, have the meanings provided in the Loan Agreement referred to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Guarantor is a direct, wholly-owned subsidiary of Great Lakes Dredge &amp; Dock Corporation,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w:t>
      </w:r>
    </w:p>
    <w:p>
      <w:pPr>
        <w:spacing w:after="0" w:line="23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WHEREAS, the Borrower has entered into that certain Loan and Security Agreement dated as of November 4, 2014 by and among the Borrower, Guarantor, the financial institutions from time to time party thereto as Lenders and the Administrative Agent (as the same may be amended, restated, supplemented or otherwise modified from time to time in writing, the “</w:t>
      </w:r>
      <w:r>
        <w:rPr>
          <w:rFonts w:ascii="Arial" w:cs="Arial" w:eastAsia="Arial" w:hAnsi="Arial"/>
          <w:sz w:val="18"/>
          <w:szCs w:val="18"/>
          <w:u w:val="single" w:color="auto"/>
          <w:color w:val="auto"/>
        </w:rPr>
        <w:t>Loan Agreement</w:t>
      </w:r>
      <w:r>
        <w:rPr>
          <w:rFonts w:ascii="Arial" w:cs="Arial" w:eastAsia="Arial" w:hAnsi="Arial"/>
          <w:sz w:val="18"/>
          <w:szCs w:val="18"/>
          <w:color w:val="auto"/>
        </w:rPr>
        <w:t>”), under which loans and other financial accommodations heretofore have been and may hereafter be made to or for the benefit of the Borrower; and</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WHEREAS, it is a condition precedent to the Lenders and the Administrative Agent entering into the Loan Agreement that Guarantor guaranty the obligations of the Borrower under the Loan Agreement and the other Loan Documents;</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NOW, THEREFORE, in order to induce the Administrative Agent and the Lenders to enter into the Loan Agreement, and for other good and valuable consideration, the receipt of which is hereby acknowledged, Guarantor hereby agrees as follows:</w:t>
      </w:r>
    </w:p>
    <w:p>
      <w:pPr>
        <w:spacing w:after="0" w:line="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Guarantor hereby unconditionally and irrevocably guarantees to the Administrative Agent and each of the other Secured Parties, as a primary obligor and not merely as a surety, (i) the due, regular and punctual performance of the obligations of the Borrower arising under or pursuant to the Loan Documents and (ii) the due and punctual payment when due of any and all sums which are now or hereafter imposed on or payable by the Borrower pursuant to any provisions of the Loan Documents, including without limitation all Secured Obligations (all such payment and performance obligations being collectively referred to as “</w:t>
      </w:r>
      <w:r>
        <w:rPr>
          <w:rFonts w:ascii="Arial" w:cs="Arial" w:eastAsia="Arial" w:hAnsi="Arial"/>
          <w:sz w:val="18"/>
          <w:szCs w:val="18"/>
          <w:u w:val="single" w:color="auto"/>
          <w:color w:val="auto"/>
        </w:rPr>
        <w:t>Obligations</w:t>
      </w:r>
      <w:r>
        <w:rPr>
          <w:rFonts w:ascii="Arial" w:cs="Arial" w:eastAsia="Arial" w:hAnsi="Arial"/>
          <w:sz w:val="18"/>
          <w:szCs w:val="18"/>
          <w:color w:val="auto"/>
        </w:rPr>
        <w:t>”). Guarantor does hereby further guarantee to pay upon demand all losses, costs, attorneys’ fees and expenses which may be incurred by reason of any Event of Default.</w:t>
      </w:r>
    </w:p>
    <w:p>
      <w:pPr>
        <w:spacing w:after="0" w:line="19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This Guaranty is a guaranty of prompt payment and performance (and not merely a guaranty of collection). Nothing herein shall require any Person to first seek or exhaust any remedy against the Borrower, its successors and assigns, or any other person obligated with respect to the Obligations, or to first foreclose, exhaust or otherwise proceed against any collateral or security which may be given in connection with the Obligations. It is agreed that the Administrative Agent may, upon the occurrence and during the continuance of any Event of Default, make demand upon Guarantor and receive payment and performance of the Obligations,</w:t>
      </w:r>
    </w:p>
    <w:p>
      <w:pPr>
        <w:sectPr>
          <w:pgSz w:w="11900" w:h="16838" w:orient="portrait"/>
          <w:cols w:equalWidth="0" w:num="1">
            <w:col w:w="11420"/>
          </w:cols>
          <w:pgMar w:left="240" w:top="274" w:right="239"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with or without notice or demand for payment or performance by Guarantor, its successors or assigns, or any other Person. Suit may be brought and maintained against Guarantor, at the Administrative Agent’s election, without joinder of the Borrower or any other Person as parties thereto. The obligations of the Guarantor hereunder, and each other guarantor of the Obligations, shall be joint and several.</w:t>
      </w:r>
    </w:p>
    <w:p>
      <w:pPr>
        <w:spacing w:after="0" w:line="18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Guarantor agrees that its obligations under this Guaranty shall be primary, absolute, continuing and unconditional, irrespective of and unaffected by any of the following actions or circumstances (regardless of any notice to or consent of Guarantor): (a) the genuineness, validity, regularity and enforceability of the Loan Documents or any other document; (b) any extension, renewal, amendment, change, waiver or other modification of the Loan Documents or any other document; (c) the absence of, or delay in, any action to enforce the Guaranty or any other Loan Documents or any other document; (d) the release of, extension of time for payment or performance by, or any other indulgence granted to the Borrower or any other Person with respect to the Obligations by operation of law or otherwise; (e) the existence, value, condition, loss, subordination or release (with or without substitution) of, or failure to have title to or perfect and maintain a security interest in, or the time, place and manner of any sale or other disposition of any leased equipment, collateral or security given in connection with the Obligations, or any other impairment (whether intentional or negligent, by operation of law or otherwise) of the rights of Guarantor;</w:t>
      </w:r>
    </w:p>
    <w:p>
      <w:pPr>
        <w:spacing w:after="0" w:line="1" w:lineRule="exact"/>
        <w:rPr>
          <w:sz w:val="20"/>
          <w:szCs w:val="20"/>
          <w:color w:val="auto"/>
        </w:rPr>
      </w:pPr>
    </w:p>
    <w:p>
      <w:pPr>
        <w:ind w:right="100" w:firstLine="8"/>
        <w:spacing w:after="0" w:line="255" w:lineRule="auto"/>
        <w:tabs>
          <w:tab w:leader="none" w:pos="22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Borrower’s voluntary or involuntary bankruptcy, assignment for the benefit of creditors, reorganization, or similar proceedings affecting the Borrower or any of its assets; or (g) any other action or circumstances which might otherwise constitute a legal or equitable discharge or defense of a surety or guarantor.</w:t>
      </w:r>
    </w:p>
    <w:p>
      <w:pPr>
        <w:spacing w:after="0" w:line="190"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This Guaranty, the other Loan Documents and the Obligations may be assigned by the Administrative Agent, without the consent of Guarantor. Guarantor agrees that if it receives written notice of an assignment from the Administrative Agent, Guarantor will pay all amounts due hereunder to such assignee or as instructed by the Administrative Agent. Guarantor also agrees to confirm in writing receipt of the notice of assignment as may be reasonably requested by assignee. Guarantor hereby waives and agrees not to assert against any such assignee any of the defenses set forth in the first sentence of the immediate preceding paragraph.</w:t>
      </w:r>
    </w:p>
    <w:p>
      <w:pPr>
        <w:spacing w:after="0" w:line="18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(a) the Borrower defaults in the payment or performance of any Obligation, or (b) if there exists any event or condition which, with notice and/or the passage of time, would constitute an Event of Default (including any default relating to Guarantor or this Guaranty), or (c) any representation or warranty of Guarantor herein or in any certificate, agreement, statement or document furnished at any time to the Administrative Agent for the benefit of the Secured Parties by or on behalf of Guarantor (including without limitation, any financial information), shall prove to be or to have been false or incorrect in any material respect when made; or (d) Guarantor shall fail to perform or observe any covenant (including without limitation, any financial covenants), condition or agreement required to be performed or observed by it hereunder or in connection with any Obligation, and such failure shall continue for 30 days after written notice thereof to Guarantor; or (e), or if there is a liquidation, bankruptcy, assignment for the benefit of creditors or similar proceeding affecting the status, existence, assets or obligations of Guarantor (each of the foregoing being hereinafter referred to as a “</w:t>
      </w:r>
      <w:r>
        <w:rPr>
          <w:rFonts w:ascii="Arial" w:cs="Arial" w:eastAsia="Arial" w:hAnsi="Arial"/>
          <w:sz w:val="16"/>
          <w:szCs w:val="16"/>
          <w:u w:val="single" w:color="auto"/>
          <w:color w:val="auto"/>
        </w:rPr>
        <w:t>Default</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then</w:t>
      </w:r>
      <w:r>
        <w:rPr>
          <w:rFonts w:ascii="Arial" w:cs="Arial" w:eastAsia="Arial" w:hAnsi="Arial"/>
          <w:sz w:val="16"/>
          <w:szCs w:val="16"/>
          <w:color w:val="auto"/>
        </w:rPr>
        <w:t xml:space="preserve"> the Obligations of the Borrower shall, at the sole option of the Administrative Agent, be deemed to be accelerated and become immediately due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16" w:name="page217"/>
    <w:bookmarkEnd w:id="216"/>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80" w:right="24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payable by Guarantor for all purposes of this Guaranty, and Guarantor shall (i) immediately pay directly to Administrative Agent for the benefit of the Secured Parties all such Obligations for the payment of money owing to Administrative Agent for the benefit of the Secured Parties by reason of acceleration or otherwise (including without limitation, any rent, liquidated damages, principal or interest payments or balances, fees, other installments or any other accrued or unaccrued amounts with respect to such Obligations), irrespective of whether a Default exists relating to the Borrower, and notwithstanding any stay, injunction or other prohibition preventing acceleration of any Obligations against the Borrower, and (ii) promptly perform all other Obligations. Guarantor shall be liable, as principal obligor and not as a surety or guarantor only, for all attorneys’ fees and other costs and expenses incurred by Administrative Agent for the benefit of the Secured Parties in connection with Administrative Agent’s enforcement of this Guaranty), together with interest at the Default Rate on all amounts recoverable under this Guaranty, from the time such amounts become due and payable until the date such payments are received (without duplication). If Administrative Agent is required to return any payment made to Administrative Agent by or on behalf of the Borrower, whether as a result of the Borrower’s bankruptcy, reorganization or otherwise, Guarantor acknowledges that this Guaranty covers all such amounts, notwithstanding that the original of this Guaranty may have been returned to Guarantor and/or otherwise canceled.</w:t>
      </w:r>
    </w:p>
    <w:p>
      <w:pPr>
        <w:spacing w:after="0" w:line="173"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This Guaranty may be terminated upon delivery to the Administrative Agent (at the address provided in the Loan Agreement) of a written termination notice from Guarantor. However, as to all Obligations (whether matured, unmatured, absolute, contingent or otherwise) incurred by the Borrower prior to the Administrative Agent’s receipt of such written termination notice (and regardless of any subsequent amendment, extension or other modification which may be made with respect to such Obligations), this Guaranty shall nevertheless continue and remain undischarged until all such Obligations are indefeasibly paid and performed in full.</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Guarantor agrees that this Guaranty shall remain in full force and effect or be reinstated (as the case may be) if at any time payment or performance of any of the Obligations (or any part thereof) is rescinded, reduced or must otherwise be restored or returned by the Administrative Agent, all as though such payment or performance had not been made. If, by reason of any bankruptcy, insolvency or similar laws effecting the rights of creditors, the Administrative Agent shall be prohibited from exercising any of the Administrative Agent’s rights or remedies against the Borrower or any other Person or against any property, then, as between the Administrative Agent and Guarantor, such prohibition shall be of no force and effect, and the Administrative Agent shall have the right to make demand upon, and receive payment from, Guarantor of all amounts and other sums that would be due to the Administrative Agent upon a default with respect to the Obligations.</w:t>
      </w:r>
    </w:p>
    <w:p>
      <w:pPr>
        <w:spacing w:after="0" w:line="189"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Notice of acceptance of this Guaranty and of any default by the Borrower or any other Person is hereby waived. Presentment, protest demand, and notice of protest, demand and dishonor of any of the Obligations, and the exercise of possessory, collection or other remedies for the Obligations, are hereby waived. Guarantor warrants that it has adequate means to obtain from the Borrower on a continuing basis financial data and other information regarding the Borrower and is not relying upon the Administrative Agent to provide any such data or other information. Without limiting the foregoing, notice of adverse change in the Borrower’s financial condition or of any other fact which might materially increase the risk of Guarantor is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also waived. All settlements, compromises, accounts stated and agreed balances made in good faith between the Borrower, its successors or assigns, and the Administrative Agent shall be binding upon and shall not affect the liability of Guarantor.</w:t>
      </w:r>
    </w:p>
    <w:p>
      <w:pPr>
        <w:spacing w:after="0" w:line="17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Payment of all amounts now or hereafter owed to Guarantor by the Borrower or any other obligor for any of the Obligations is hereby subordinated in right of payment to the indefeasible payment in full to the Administrative Agent of all Obligations and is hereby assigned to the Administrative Agent as a security therefor. Guarantor hereby irrevocably and unconditionally waives and relinquishes all statutory, contractual, common law, equitable and all other claims against the Borrower, any other obligor for any of the Obligations, any collateral therefor, or any other assets of the Borrower or any such other obligor, for subrogation, reimbursement, exoneration, contribution, indemnification, setoff or other recourse in respect of sums paid or payable to the Administrative Agent by Guarantor hereunder, and Guarantor hereby further irrevocably and unconditionally waives and relinquishes any and all other benefits which it might otherwise directly or indirectly receive or be entitled to receive by reason of any amounts paid by, or collected or due from, it, the Borrower or any other obligor for any of the Obligations, or realized from any of their respective assets.</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GUARANTOR HEREBY UNCONDITIONALLY WAIVES ITS RIGHT TO A JURY TRIAL OF ANY CLAIM OR CAUSE OF ACTION BASED UPON OR ARISING OUT OF, DIRECTLY OR INDIRECTLY, THIS GUARANTY, THE OBLIGATIONS GUARANTEED HEREBY, ANY OF THE RELATED DOCUMENTS, ANY DEALINGS BETWEEN US RELATING TO THE SUBJECT MATTER HEREOF OR THEREOF, AND/OR THE RELATIONSHIP THAT IS BEING ESTABLISHED BETWEEN US. THE SCOPE OF THIS WAIVER IS INTENDED TO BE ALL ENCOMPASSING OF ANY AND ALL DISPUTES THAT MAY BE FILED IN ANY COURT (INCLUDING, WITHOUT LIMITATION, CONTRACT CLAIMS, TORT CLAIMS, BREACH OF DUTY CLAIMS, AND ALL OTHER COMMON LAW AND STATUTORY CLAIMS). THIS WAIVER IS IRREVOCABLE MEANING THAT IT MAY NOT BE MODIFIED EITHER ORALLY OR IN WRITING, AND SHALL APPLY TO ANY SUBSEQUENT AMENDMENTS, RENEWALS, SUPPLEMENTS OR MODIFICATIONS TO THIS GUARANTY, THE OBLIGATIONS GUARANTEED HEREBY, OR ANY RELATED DOCUMENTS. IN THE EVENT OF LITIGATION, THIS GUARANTY MAY BE FILED AS A WRITTEN CONSENT TO A TRIAL BY THE COURT.</w:t>
      </w:r>
    </w:p>
    <w:p>
      <w:pPr>
        <w:spacing w:after="0" w:line="18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Guaranty is intended by the parties as a final expression of the guaranty of Guarantor and is also intended as a complete and exclusive statement of the terms thereof. No course of dealing, course of performance or trade usage, nor any paid evidence of any kind, shall be used to supplement or modify any of the terms hereof. Nor are there any conditions to the full effectiveness of this Guaranty. This Guaranty and each of its provisions may only be waived, modified, varied, released, terminated or surrendered, in whole or in part, by a duly authorized written instrument signed by the Administrative Agent. No failure by the Administrative Agent to exercise the Administrative Agent’s rights hereunder shall give rise to any estoppel against the Administrative Agent, or excuse Guarantor from performing hereunder. The Administrative Agent’s waiver of any right to demand performance hereunder shall not be a waiver of any subsequent or other right to demand performance hereunder.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18" w:name="page219"/>
    <w:bookmarkEnd w:id="218"/>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Guaranty shall be governed by, or construed in accordance with, the laws of the State of New York (excluding its conflict of laws rules other than Section 5-1401 of the General Obligations Law). This Guaranty shall bind Guarantor’s successors and assigns and the benefits thereof shall extend to and include the Administrative Agent’s successors and assigns. In addition, if an Event of Default exists, the Administrative Agent may at any time inspect Guarantor’s records.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Guarantor hereby represents and warrants to the Administrative Agent as of the date hereof that (i) Guarantor’s execution, delivery and performance hereof does not and will not violate any judgment, order or law applicable to Guarantor, or constitute a breach of or default under any indenture, mortgage, deed of trust, or other agreement entered into by Guarantor with Guarantor’s creditors or any other party; (ii) no approval, consent or withholding of objections is required from any Governmental Authority or any other entity with respect to the execution, delivery and performance by Guarantor of this Guaranty; (iii) this Guaranty constitutes a valid, legal and binding obligation of Guarantor, enforceable in accordance with its terms, except as may be limited by bankruptcy, insolvency, reorganization, moratorium or similar state or federal debtor relief laws from time to time in effect which affect the enforcement of creditors’ rights in general and the availability of equitable remedies; (iv) there are no proceedings presently pending or threatened against Guarantor which will impair its ability to perform under this Guaranty; (v) since the date of Guarantor’s most recent financial statement, there has been no material adverse change in the financial condition of Guarantor; and (vi) Guarantor is and will remain in full compliance with all Applicable Laws, except where the failure to comply could not reasonably be expected to have a Material Adverse Effect, and it neither is nor shall be (Y) listed on the Specially Designated Nationals and Blocked Person List maintained by the Office of Foreign Assets Control (“</w:t>
      </w:r>
      <w:r>
        <w:rPr>
          <w:rFonts w:ascii="Arial" w:cs="Arial" w:eastAsia="Arial" w:hAnsi="Arial"/>
          <w:sz w:val="16"/>
          <w:szCs w:val="16"/>
          <w:u w:val="single" w:color="auto"/>
          <w:color w:val="auto"/>
        </w:rPr>
        <w:t>OFAC</w:t>
      </w:r>
      <w:r>
        <w:rPr>
          <w:rFonts w:ascii="Arial" w:cs="Arial" w:eastAsia="Arial" w:hAnsi="Arial"/>
          <w:sz w:val="16"/>
          <w:szCs w:val="16"/>
          <w:color w:val="auto"/>
        </w:rPr>
        <w:t>”), Department of the Treasury, and/or any other similar lists maintained by OFAC pursuant to any authorizing statute, Executive Order or regulation or (Z) a Person designated under Section 1(b), (c) or (d) of Executive Order No. 13224 (September 23, 2001), any related enabling legislation or any other similar Executive Orders.</w:t>
      </w:r>
    </w:p>
    <w:p>
      <w:pPr>
        <w:spacing w:after="0" w:line="17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If any provisions of this Guaranty are in conflict with any applicable statute, rule or law, then such provisions shall be deemed null and void to the extent that they may conflict therewith, but without invalidating any other provisions hereof.</w:t>
      </w:r>
    </w:p>
    <w:p>
      <w:pPr>
        <w:spacing w:after="0" w:line="17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GUARANTOR IRREVOCABLY SUBMITS TO THE NON-EXCLUSIVE JURISDICTION OF THE STATE AND FEDERAL COURTS LOCATED IN THE STATE OF NEW YORK TO HEAR AND DETERMINE ANY SUIT, ACTION OR PROCEEDING AND TO SETTLE ANY DISPUTES, WHICH MAY ARISE OUT OF OR IN CONNECTION HEREWITH AND WITH THE LOAN DOCUMENTS (COLLECTIVELY, THE “</w:t>
      </w:r>
      <w:r>
        <w:rPr>
          <w:rFonts w:ascii="Arial" w:cs="Arial" w:eastAsia="Arial" w:hAnsi="Arial"/>
          <w:sz w:val="18"/>
          <w:szCs w:val="18"/>
          <w:u w:val="single" w:color="auto"/>
          <w:color w:val="auto"/>
        </w:rPr>
        <w:t>PROCEEDINGS</w:t>
      </w:r>
      <w:r>
        <w:rPr>
          <w:rFonts w:ascii="Arial" w:cs="Arial" w:eastAsia="Arial" w:hAnsi="Arial"/>
          <w:sz w:val="18"/>
          <w:szCs w:val="18"/>
          <w:color w:val="auto"/>
        </w:rPr>
        <w:t>”), AND GUARANTOR FURTHER IRREVOCABLY WAIVES ANY RIGHT IT MAY HAVE TO REMOVE ANY SUCH PROCEEDINGS FROM ANY SUCH COURT (EVEN IF REMOVAL IS SOUGHT TO ANOTHER OF THE ABOVE-NAMED COURTS). GUARANTOR IRREVOCABLY WAIVES ANY OBJECTION WHICH IT MIGHT NOW OR HEREAFTER HAVE TO THE ABOVE-NAMED COURTS BEING NOMINATED AS THE EXCLUSIVE FORUM TO HEAR AND DETERMINE ANY SUCH PROCEEDINGS AND AGREES NOT TO CLAIM THAT IT IS NOT PERSONALLY SUBJECT TO THE JURISDICTION OF THE ABOVE-NAMED COURTS FOR ANY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60" w:right="26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REASON WHATSOEVER, THAT IT OR ITS PROPERTY IS IMMUNE FROM LEGAL PROCESS FOR ANY REASON WHATSOEVER, THAT ANY SUCH COURT IS NOT A CONVENIENT OR APPROPRIATE FORUM IN EACH CASE WHETHER ON THE GROUNDS OF VENUE OR FORUM NON-CONVENIENS OR OTHERWISE. GUARANTOR ACKNOWLEDGES THAT BRINGING ANY SUCH SUIT, ACTION OR PROCEEDING IN ANY COURT OTHER THAN THE COURTS SET FORTH ABOVE WILL CAUSE IRREPARABLE HARM TO PAYEE WHICH COULD NOT ADEQUATELY BE COMPENSATED BY MONETARY DAMAGES, AND, AS SUCH, GUARANTOR AGREES THAT, IN ADDITION TO ANY OF THE REMEDIES TO WHICH PAYEE MAY BE ENTITLED AT LAW OR IN EQUITY, THE ADMINISTRATIVE AGENT WILL BE ENTITLED TO AN INJUNCTION OR INJUNCTIONS (WITHOUT THE POSTING OF ANY BOND AND WITHOUT PROOF OF ACTUAL DAMAGES) TO ENJOIN THE PROSECUTION OF ANY SUCH PROCEEDINGS IN ANY OTHER COURT. Notwithstanding the foregoing, the Administrative Agent and Guarantor shall have the right to apply to a court of competent jurisdiction in the United States of America or abroad for equitable relief as is necessary to preserve, protect and enforce its respective rights under this Guaranty and the other Loan Documents, including, but not limited to orders of attachment or injunction necessary to maintain the status quo pending litigation or to enforce judgments against Guarantor, the Borrower or the collateral pledged to the Administrative Agent pursuant to any Loan Document or to gain possession of such collateral.</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to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20" w:name="page221"/>
    <w:bookmarkEnd w:id="220"/>
    <w:p>
      <w:pPr>
        <w:jc w:val="center"/>
        <w:ind w:right="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right="8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COPY</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Guaranty has been duly executed as of the day and year above written.</w:t>
      </w:r>
    </w:p>
    <w:p>
      <w:pPr>
        <w:spacing w:after="0" w:line="252"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GREAT LAKES DREDGE &amp; DOCK COMPANY, LLC</w:t>
      </w:r>
    </w:p>
    <w:p>
      <w:pPr>
        <w:spacing w:after="0" w:line="229" w:lineRule="exact"/>
        <w:rPr>
          <w:sz w:val="20"/>
          <w:szCs w:val="20"/>
          <w:color w:val="auto"/>
        </w:rPr>
      </w:pPr>
    </w:p>
    <w:p>
      <w:pPr>
        <w:ind w:left="678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4568190</wp:posOffset>
            </wp:positionH>
            <wp:positionV relativeFrom="paragraph">
              <wp:posOffset>14605</wp:posOffset>
            </wp:positionV>
            <wp:extent cx="263271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Mark W. Marinko</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Senior Vice President and Chief</w:t>
      </w:r>
    </w:p>
    <w:p>
      <w:pPr>
        <w:spacing w:after="0" w:line="9"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Signature Page to Guaranty</w:t>
      </w:r>
    </w:p>
    <w:p>
      <w:pPr>
        <w:sectPr>
          <w:pgSz w:w="11900" w:h="16838" w:orient="portrait"/>
          <w:cols w:equalWidth="0" w:num="1">
            <w:col w:w="11340"/>
          </w:cols>
          <w:pgMar w:left="320" w:top="274" w:right="2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Loan Notice</w:t>
      </w:r>
    </w:p>
    <w:p>
      <w:pPr>
        <w:sectPr>
          <w:pgSz w:w="11900" w:h="16838" w:orient="portrait"/>
          <w:cols w:equalWidth="0" w:num="1">
            <w:col w:w="11260"/>
          </w:cols>
          <w:pgMar w:left="320" w:top="274" w:right="31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EXHIBIT 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LOAN NOTICE</w:t>
      </w:r>
    </w:p>
    <w:p>
      <w:pPr>
        <w:spacing w:after="0" w:line="229" w:lineRule="exact"/>
        <w:rPr>
          <w:sz w:val="20"/>
          <w:szCs w:val="20"/>
          <w:color w:val="auto"/>
        </w:rPr>
      </w:pPr>
    </w:p>
    <w:p>
      <w:pPr>
        <w:ind w:left="9640"/>
        <w:spacing w:after="0"/>
        <w:tabs>
          <w:tab w:leader="none" w:pos="10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Bank of America, N.A., as Administrative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Reference is made to that certain Loan and Security Agreement, dated as of November 4, 2014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herein shall, unless otherwise defined herein, have the meanings provided in the Agreement), among GREAT LAKES DREDGE &amp; DOCK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GREAT LAKES DREDGE &amp; DOCK COMPANY, LLC, a Delaware limited liability company, as Guarantor, the Lenders from time to time party thereto, and Bank of America, N.A., as Administrative Agent.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Borrower hereby requests the Borrowing of Loans:</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80" w:type="dxa"/>
            <w:vAlign w:val="bottom"/>
          </w:tcPr>
          <w:p>
            <w:pPr>
              <w:jc w:val="right"/>
              <w:ind w:right="75"/>
              <w:spacing w:after="0"/>
              <w:rPr>
                <w:sz w:val="20"/>
                <w:szCs w:val="20"/>
                <w:color w:val="auto"/>
              </w:rPr>
            </w:pPr>
            <w:r>
              <w:rPr>
                <w:rFonts w:ascii="Arial" w:cs="Arial" w:eastAsia="Arial" w:hAnsi="Arial"/>
                <w:sz w:val="17"/>
                <w:szCs w:val="17"/>
                <w:color w:val="auto"/>
                <w:w w:val="70"/>
              </w:rPr>
              <w:t>1.</w:t>
            </w:r>
          </w:p>
        </w:tc>
        <w:tc>
          <w:tcPr>
            <w:tcW w:w="860" w:type="dxa"/>
            <w:vAlign w:val="bottom"/>
          </w:tcPr>
          <w:p>
            <w:pPr>
              <w:ind w:left="160"/>
              <w:spacing w:after="0"/>
              <w:rPr>
                <w:sz w:val="20"/>
                <w:szCs w:val="20"/>
                <w:color w:val="auto"/>
              </w:rPr>
            </w:pPr>
            <w:r>
              <w:rPr>
                <w:rFonts w:ascii="Arial" w:cs="Arial" w:eastAsia="Arial" w:hAnsi="Arial"/>
                <w:sz w:val="18"/>
                <w:szCs w:val="18"/>
                <w:color w:val="auto"/>
              </w:rPr>
              <w:t>On</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(a Business Day).</w:t>
            </w:r>
          </w:p>
        </w:tc>
      </w:tr>
      <w:tr>
        <w:trPr>
          <w:trHeight w:val="338"/>
        </w:trPr>
        <w:tc>
          <w:tcPr>
            <w:tcW w:w="280" w:type="dxa"/>
            <w:vAlign w:val="bottom"/>
          </w:tcPr>
          <w:p>
            <w:pPr>
              <w:jc w:val="right"/>
              <w:ind w:right="75"/>
              <w:spacing w:after="0"/>
              <w:rPr>
                <w:sz w:val="20"/>
                <w:szCs w:val="20"/>
                <w:color w:val="auto"/>
              </w:rPr>
            </w:pPr>
            <w:r>
              <w:rPr>
                <w:rFonts w:ascii="Arial" w:cs="Arial" w:eastAsia="Arial" w:hAnsi="Arial"/>
                <w:sz w:val="17"/>
                <w:szCs w:val="17"/>
                <w:color w:val="auto"/>
                <w:w w:val="70"/>
              </w:rPr>
              <w:t>2.</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In the amount of $</w:t>
            </w:r>
          </w:p>
        </w:tc>
        <w:tc>
          <w:tcPr>
            <w:tcW w:w="940" w:type="dxa"/>
            <w:vAlign w:val="bottom"/>
          </w:tcPr>
          <w:p>
            <w:pPr>
              <w:jc w:val="right"/>
              <w:ind w:right="6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GREAT LAKES DREDGE &amp; DOCK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6539865</wp:posOffset>
            </wp:positionH>
            <wp:positionV relativeFrom="paragraph">
              <wp:posOffset>14605</wp:posOffset>
            </wp:positionV>
            <wp:extent cx="7118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14605</wp:posOffset>
            </wp:positionV>
            <wp:extent cx="24352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14605</wp:posOffset>
            </wp:positionV>
            <wp:extent cx="249555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Administrative Questionnaire</w:t>
      </w:r>
    </w:p>
    <w:p>
      <w:pPr>
        <w:sectPr>
          <w:pgSz w:w="11900" w:h="16838" w:orient="portrait"/>
          <w:cols w:equalWidth="0" w:num="1">
            <w:col w:w="11260"/>
          </w:cols>
          <w:pgMar w:left="320" w:top="274" w:right="31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QUESTIONNAIRE – (US DOLLAR ONLY)</w:t>
      </w:r>
    </w:p>
    <w:p>
      <w:pPr>
        <w:spacing w:after="0" w:line="103"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p>
      <w:pPr>
        <w:ind w:left="460" w:hanging="452"/>
        <w:spacing w:after="0"/>
        <w:tabs>
          <w:tab w:leader="none" w:pos="4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Borrower or Deal Name: Great Lakes Dredge &amp; Dock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this document with your commitment letter to: </w:t>
      </w:r>
      <w:r>
        <w:rPr>
          <w:rFonts w:ascii="Arial" w:cs="Arial" w:eastAsia="Arial" w:hAnsi="Arial"/>
          <w:sz w:val="18"/>
          <w:szCs w:val="18"/>
          <w:b w:val="1"/>
          <w:bCs w:val="1"/>
          <w:color w:val="auto"/>
        </w:rPr>
        <w:t>Bridgett J. Manduk Mowry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recipient: bridgett.manduk@baml.com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0"/>
          <w:szCs w:val="20"/>
          <w:color w:val="auto"/>
        </w:rPr>
      </w:pPr>
    </w:p>
    <w:p>
      <w:pPr>
        <w:ind w:left="460" w:right="6900" w:hanging="452"/>
        <w:spacing w:after="0" w:line="378" w:lineRule="auto"/>
        <w:tabs>
          <w:tab w:leader="none" w:pos="449"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Legal Name of Lender of Record for Signature Page: Markit Entity Identifier (MEI) #:</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Fund Manager Name (if applicable):</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Legal Address from Tax Document of Lender of Record: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Country: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ectPr>
          <w:pgSz w:w="11900" w:h="16838" w:orient="portrait"/>
          <w:cols w:equalWidth="0" w:num="1">
            <w:col w:w="11420"/>
          </w:cols>
          <w:pgMar w:left="240" w:top="274" w:right="239" w:bottom="1440" w:gutter="0" w:footer="0" w:header="0"/>
        </w:sectPr>
      </w:pP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City:</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State/Province: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114935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1280" w:space="720"/>
            <w:col w:w="1680" w:space="720"/>
            <w:col w:w="7020"/>
          </w:cols>
          <w:pgMar w:left="240" w:top="274" w:right="239" w:bottom="1440" w:gutter="0" w:footer="0" w:header="0"/>
          <w:type w:val="continuous"/>
        </w:sectPr>
      </w:pP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3.</w:t>
            </w:r>
          </w:p>
        </w:tc>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Domestic Funding Address:</w:t>
            </w:r>
          </w:p>
        </w:tc>
        <w:tc>
          <w:tcPr>
            <w:tcW w:w="2000" w:type="dxa"/>
            <w:vAlign w:val="bottom"/>
          </w:tcPr>
          <w:p>
            <w:pPr>
              <w:ind w:left="1620"/>
              <w:spacing w:after="0"/>
              <w:rPr>
                <w:sz w:val="20"/>
                <w:szCs w:val="20"/>
                <w:color w:val="auto"/>
              </w:rPr>
            </w:pPr>
            <w:r>
              <w:rPr>
                <w:rFonts w:ascii="Arial" w:cs="Arial" w:eastAsia="Arial" w:hAnsi="Arial"/>
                <w:sz w:val="18"/>
                <w:szCs w:val="18"/>
                <w:b w:val="1"/>
                <w:bCs w:val="1"/>
                <w:color w:val="auto"/>
              </w:rPr>
              <w:t>4.</w:t>
            </w:r>
          </w:p>
        </w:tc>
        <w:tc>
          <w:tcPr>
            <w:tcW w:w="386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Eurodollar Funding Address (</w:t>
            </w:r>
            <w:r>
              <w:rPr>
                <w:rFonts w:ascii="Arial" w:cs="Arial" w:eastAsia="Arial" w:hAnsi="Arial"/>
                <w:sz w:val="18"/>
                <w:szCs w:val="18"/>
                <w:b w:val="1"/>
                <w:bCs w:val="1"/>
                <w:i w:val="1"/>
                <w:iCs w:val="1"/>
                <w:color w:val="auto"/>
                <w:w w:val="90"/>
              </w:rPr>
              <w:t>if different than #3</w:t>
            </w:r>
            <w:r>
              <w:rPr>
                <w:rFonts w:ascii="Arial" w:cs="Arial" w:eastAsia="Arial" w:hAnsi="Arial"/>
                <w:sz w:val="18"/>
                <w:szCs w:val="18"/>
                <w:b w:val="1"/>
                <w:bCs w:val="1"/>
                <w:color w:val="auto"/>
                <w:w w:val="90"/>
              </w:rPr>
              <w:t>):</w:t>
            </w:r>
          </w:p>
        </w:tc>
      </w:tr>
      <w:tr>
        <w:trPr>
          <w:trHeight w:val="324"/>
        </w:trPr>
        <w:tc>
          <w:tcPr>
            <w:tcW w:w="1400" w:type="dxa"/>
            <w:vAlign w:val="bottom"/>
            <w:gridSpan w:val="2"/>
          </w:tcPr>
          <w:p>
            <w:pPr>
              <w:spacing w:after="0"/>
              <w:rPr>
                <w:sz w:val="20"/>
                <w:szCs w:val="20"/>
                <w:color w:val="auto"/>
              </w:rPr>
            </w:pPr>
            <w:r>
              <w:rPr>
                <w:rFonts w:ascii="Arial" w:cs="Arial" w:eastAsia="Arial" w:hAnsi="Arial"/>
                <w:sz w:val="18"/>
                <w:szCs w:val="18"/>
                <w:color w:val="auto"/>
              </w:rPr>
              <w:t>Street Address:</w:t>
            </w:r>
          </w:p>
        </w:tc>
        <w:tc>
          <w:tcPr>
            <w:tcW w:w="2820" w:type="dxa"/>
            <w:vAlign w:val="bottom"/>
          </w:tcPr>
          <w:p>
            <w:pPr>
              <w:spacing w:after="0"/>
              <w:rPr>
                <w:sz w:val="24"/>
                <w:szCs w:val="24"/>
                <w:color w:val="auto"/>
              </w:rPr>
            </w:pPr>
          </w:p>
        </w:tc>
        <w:tc>
          <w:tcPr>
            <w:tcW w:w="3000" w:type="dxa"/>
            <w:vAlign w:val="bottom"/>
            <w:gridSpan w:val="2"/>
          </w:tcPr>
          <w:p>
            <w:pPr>
              <w:ind w:left="1620"/>
              <w:spacing w:after="0"/>
              <w:rPr>
                <w:sz w:val="20"/>
                <w:szCs w:val="20"/>
                <w:color w:val="auto"/>
              </w:rPr>
            </w:pPr>
            <w:r>
              <w:rPr>
                <w:rFonts w:ascii="Arial" w:cs="Arial" w:eastAsia="Arial" w:hAnsi="Arial"/>
                <w:sz w:val="18"/>
                <w:szCs w:val="18"/>
                <w:color w:val="auto"/>
              </w:rPr>
              <w:t>Street Address:</w:t>
            </w:r>
          </w:p>
        </w:tc>
        <w:tc>
          <w:tcPr>
            <w:tcW w:w="2860" w:type="dxa"/>
            <w:vAlign w:val="bottom"/>
          </w:tcPr>
          <w:p>
            <w:pPr>
              <w:spacing w:after="0"/>
              <w:rPr>
                <w:sz w:val="24"/>
                <w:szCs w:val="24"/>
                <w:color w:val="auto"/>
              </w:rPr>
            </w:pPr>
          </w:p>
        </w:tc>
      </w:tr>
      <w:tr>
        <w:trPr>
          <w:trHeight w:val="324"/>
        </w:trPr>
        <w:tc>
          <w:tcPr>
            <w:tcW w:w="1400" w:type="dxa"/>
            <w:vAlign w:val="bottom"/>
            <w:gridSpan w:val="2"/>
          </w:tcPr>
          <w:p>
            <w:pPr>
              <w:spacing w:after="0"/>
              <w:rPr>
                <w:sz w:val="20"/>
                <w:szCs w:val="20"/>
                <w:color w:val="auto"/>
              </w:rPr>
            </w:pPr>
            <w:r>
              <w:rPr>
                <w:rFonts w:ascii="Arial" w:cs="Arial" w:eastAsia="Arial" w:hAnsi="Arial"/>
                <w:sz w:val="18"/>
                <w:szCs w:val="18"/>
                <w:color w:val="auto"/>
              </w:rPr>
              <w:t>Suite/ Mail Code:</w:t>
            </w:r>
          </w:p>
        </w:tc>
        <w:tc>
          <w:tcPr>
            <w:tcW w:w="2820" w:type="dxa"/>
            <w:vAlign w:val="bottom"/>
          </w:tcPr>
          <w:p>
            <w:pPr>
              <w:spacing w:after="0"/>
              <w:rPr>
                <w:sz w:val="24"/>
                <w:szCs w:val="24"/>
                <w:color w:val="auto"/>
              </w:rPr>
            </w:pPr>
          </w:p>
        </w:tc>
        <w:tc>
          <w:tcPr>
            <w:tcW w:w="3000" w:type="dxa"/>
            <w:vAlign w:val="bottom"/>
            <w:gridSpan w:val="2"/>
          </w:tcPr>
          <w:p>
            <w:pPr>
              <w:ind w:left="1620"/>
              <w:spacing w:after="0"/>
              <w:rPr>
                <w:sz w:val="20"/>
                <w:szCs w:val="20"/>
                <w:color w:val="auto"/>
              </w:rPr>
            </w:pPr>
            <w:r>
              <w:rPr>
                <w:rFonts w:ascii="Arial" w:cs="Arial" w:eastAsia="Arial" w:hAnsi="Arial"/>
                <w:sz w:val="18"/>
                <w:szCs w:val="18"/>
                <w:color w:val="auto"/>
                <w:w w:val="99"/>
              </w:rPr>
              <w:t>Suite/ Mail Code:</w:t>
            </w:r>
          </w:p>
        </w:tc>
        <w:tc>
          <w:tcPr>
            <w:tcW w:w="2860" w:type="dxa"/>
            <w:vAlign w:val="bottom"/>
          </w:tcPr>
          <w:p>
            <w:pPr>
              <w:spacing w:after="0"/>
              <w:rPr>
                <w:sz w:val="24"/>
                <w:szCs w:val="24"/>
                <w:color w:val="auto"/>
              </w:rPr>
            </w:pP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City:</w:t>
            </w:r>
          </w:p>
        </w:tc>
        <w:tc>
          <w:tcPr>
            <w:tcW w:w="1000" w:type="dxa"/>
            <w:vAlign w:val="bottom"/>
          </w:tcPr>
          <w:p>
            <w:pPr>
              <w:spacing w:after="0"/>
              <w:rPr>
                <w:sz w:val="24"/>
                <w:szCs w:val="24"/>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rPr>
              <w:t>State:</w:t>
            </w:r>
          </w:p>
        </w:tc>
        <w:tc>
          <w:tcPr>
            <w:tcW w:w="2000" w:type="dxa"/>
            <w:vAlign w:val="bottom"/>
          </w:tcPr>
          <w:p>
            <w:pPr>
              <w:ind w:left="1620"/>
              <w:spacing w:after="0"/>
              <w:rPr>
                <w:sz w:val="20"/>
                <w:szCs w:val="20"/>
                <w:color w:val="auto"/>
              </w:rPr>
            </w:pPr>
            <w:r>
              <w:rPr>
                <w:rFonts w:ascii="Arial" w:cs="Arial" w:eastAsia="Arial" w:hAnsi="Arial"/>
                <w:sz w:val="18"/>
                <w:szCs w:val="18"/>
                <w:color w:val="auto"/>
                <w:w w:val="99"/>
              </w:rPr>
              <w:t>City:</w:t>
            </w:r>
          </w:p>
        </w:tc>
        <w:tc>
          <w:tcPr>
            <w:tcW w:w="1000" w:type="dxa"/>
            <w:vAlign w:val="bottom"/>
          </w:tcPr>
          <w:p>
            <w:pPr>
              <w:spacing w:after="0"/>
              <w:rPr>
                <w:sz w:val="24"/>
                <w:szCs w:val="24"/>
                <w:color w:val="auto"/>
              </w:rPr>
            </w:pPr>
          </w:p>
        </w:tc>
        <w:tc>
          <w:tcPr>
            <w:tcW w:w="2860" w:type="dxa"/>
            <w:vAlign w:val="bottom"/>
          </w:tcPr>
          <w:p>
            <w:pPr>
              <w:ind w:left="100"/>
              <w:spacing w:after="0"/>
              <w:rPr>
                <w:sz w:val="20"/>
                <w:szCs w:val="20"/>
                <w:color w:val="auto"/>
              </w:rPr>
            </w:pPr>
            <w:r>
              <w:rPr>
                <w:rFonts w:ascii="Arial" w:cs="Arial" w:eastAsia="Arial" w:hAnsi="Arial"/>
                <w:sz w:val="18"/>
                <w:szCs w:val="18"/>
                <w:color w:val="auto"/>
              </w:rPr>
              <w:t>State:</w:t>
            </w:r>
          </w:p>
        </w:tc>
      </w:tr>
      <w:tr>
        <w:trPr>
          <w:trHeight w:val="324"/>
        </w:trPr>
        <w:tc>
          <w:tcPr>
            <w:tcW w:w="1400" w:type="dxa"/>
            <w:vAlign w:val="bottom"/>
            <w:gridSpan w:val="2"/>
          </w:tcPr>
          <w:p>
            <w:pPr>
              <w:spacing w:after="0"/>
              <w:rPr>
                <w:sz w:val="20"/>
                <w:szCs w:val="20"/>
                <w:color w:val="auto"/>
              </w:rPr>
            </w:pPr>
            <w:r>
              <w:rPr>
                <w:rFonts w:ascii="Arial" w:cs="Arial" w:eastAsia="Arial" w:hAnsi="Arial"/>
                <w:sz w:val="18"/>
                <w:szCs w:val="18"/>
                <w:color w:val="auto"/>
              </w:rPr>
              <w:t>Postal Code:</w:t>
            </w:r>
          </w:p>
        </w:tc>
        <w:tc>
          <w:tcPr>
            <w:tcW w:w="2820" w:type="dxa"/>
            <w:vAlign w:val="bottom"/>
          </w:tcPr>
          <w:p>
            <w:pPr>
              <w:ind w:left="560"/>
              <w:spacing w:after="0"/>
              <w:rPr>
                <w:sz w:val="20"/>
                <w:szCs w:val="20"/>
                <w:color w:val="auto"/>
              </w:rPr>
            </w:pPr>
            <w:r>
              <w:rPr>
                <w:rFonts w:ascii="Arial" w:cs="Arial" w:eastAsia="Arial" w:hAnsi="Arial"/>
                <w:sz w:val="18"/>
                <w:szCs w:val="18"/>
                <w:color w:val="auto"/>
              </w:rPr>
              <w:t>Country:</w:t>
            </w:r>
          </w:p>
        </w:tc>
        <w:tc>
          <w:tcPr>
            <w:tcW w:w="3000" w:type="dxa"/>
            <w:vAlign w:val="bottom"/>
            <w:gridSpan w:val="2"/>
          </w:tcPr>
          <w:p>
            <w:pPr>
              <w:ind w:left="1620"/>
              <w:spacing w:after="0"/>
              <w:rPr>
                <w:sz w:val="20"/>
                <w:szCs w:val="20"/>
                <w:color w:val="auto"/>
              </w:rPr>
            </w:pPr>
            <w:r>
              <w:rPr>
                <w:rFonts w:ascii="Arial" w:cs="Arial" w:eastAsia="Arial" w:hAnsi="Arial"/>
                <w:sz w:val="18"/>
                <w:szCs w:val="18"/>
                <w:color w:val="auto"/>
              </w:rPr>
              <w:t>Postal Code:</w:t>
            </w:r>
          </w:p>
        </w:tc>
        <w:tc>
          <w:tcPr>
            <w:tcW w:w="2860" w:type="dxa"/>
            <w:vAlign w:val="bottom"/>
          </w:tcPr>
          <w:p>
            <w:pPr>
              <w:ind w:left="560"/>
              <w:spacing w:after="0"/>
              <w:rPr>
                <w:sz w:val="20"/>
                <w:szCs w:val="20"/>
                <w:color w:val="auto"/>
              </w:rPr>
            </w:pPr>
            <w:r>
              <w:rPr>
                <w:rFonts w:ascii="Arial" w:cs="Arial" w:eastAsia="Arial" w:hAnsi="Arial"/>
                <w:sz w:val="18"/>
                <w:szCs w:val="18"/>
                <w:color w:val="auto"/>
              </w:rPr>
              <w:t>Country: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ind w:left="460" w:hanging="452"/>
        <w:spacing w:after="0"/>
        <w:tabs>
          <w:tab w:leader="none" w:pos="4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Credit Contact Information:</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b w:val="1"/>
          <w:bCs w:val="1"/>
          <w:i w:val="1"/>
          <w:iCs w:val="1"/>
          <w:color w:val="auto"/>
        </w:rPr>
        <w:t>Syndicate level information (which may contain material non-public information about the Borrower and its related parties or their respective securities will be made available to the Credit Contact(s). The Credit Contacts identified must be able to receive such information in accordance with his/her institution’s compliance procedures and applicable laws, including Federal and State securities laws.</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26"/>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Primary Credit Contact:</w:t>
            </w:r>
          </w:p>
        </w:tc>
        <w:tc>
          <w:tcPr>
            <w:tcW w:w="2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1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Secondary Credit Contact:</w:t>
            </w:r>
          </w:p>
        </w:tc>
        <w:tc>
          <w:tcPr>
            <w:tcW w:w="0" w:type="dxa"/>
            <w:vAlign w:val="bottom"/>
          </w:tcPr>
          <w:p>
            <w:pPr>
              <w:spacing w:after="0" w:line="20" w:lineRule="exact"/>
              <w:rPr>
                <w:sz w:val="1"/>
                <w:szCs w:val="1"/>
                <w:color w:val="auto"/>
              </w:rPr>
            </w:pPr>
          </w:p>
        </w:tc>
      </w:tr>
      <w:tr>
        <w:trPr>
          <w:trHeight w:val="135"/>
        </w:trPr>
        <w:tc>
          <w:tcPr>
            <w:tcW w:w="566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20" w:type="dxa"/>
            <w:vAlign w:val="bottom"/>
            <w:vMerge w:val="continue"/>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 Name:</w:t>
            </w:r>
          </w:p>
        </w:tc>
        <w:tc>
          <w:tcPr>
            <w:tcW w:w="42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 Name:</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5660" w:type="dxa"/>
            <w:vAlign w:val="bottom"/>
            <w:gridSpan w:val="2"/>
          </w:tcPr>
          <w:p>
            <w:pPr>
              <w:spacing w:after="0"/>
              <w:rPr>
                <w:sz w:val="20"/>
                <w:szCs w:val="20"/>
                <w:color w:val="auto"/>
              </w:rPr>
            </w:pPr>
            <w:r>
              <w:rPr>
                <w:rFonts w:ascii="Arial" w:cs="Arial" w:eastAsia="Arial" w:hAnsi="Arial"/>
                <w:sz w:val="18"/>
                <w:szCs w:val="18"/>
                <w:color w:val="auto"/>
              </w:rPr>
              <w:t>Middle Name:</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Arial" w:cs="Arial" w:eastAsia="Arial" w:hAnsi="Arial"/>
                <w:sz w:val="18"/>
                <w:szCs w:val="18"/>
                <w:color w:val="auto"/>
              </w:rPr>
              <w:t>Last Name:</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Last Name:</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Arial" w:cs="Arial" w:eastAsia="Arial" w:hAnsi="Arial"/>
                <w:sz w:val="18"/>
                <w:szCs w:val="18"/>
                <w:color w:val="auto"/>
              </w:rPr>
              <w:t>Street Address:</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Street Address:</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Arial" w:cs="Arial" w:eastAsia="Arial" w:hAnsi="Arial"/>
                <w:sz w:val="18"/>
                <w:szCs w:val="18"/>
                <w:color w:val="auto"/>
              </w:rPr>
              <w:t>Suite/Mail Code:</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Suite/Mail Code:</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Arial" w:cs="Arial" w:eastAsia="Arial" w:hAnsi="Arial"/>
                <w:sz w:val="18"/>
                <w:szCs w:val="18"/>
                <w:color w:val="auto"/>
              </w:rPr>
              <w:t>City:</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City:</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State:</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Arial" w:cs="Arial" w:eastAsia="Arial" w:hAnsi="Arial"/>
                <w:sz w:val="18"/>
                <w:szCs w:val="18"/>
                <w:color w:val="auto"/>
              </w:rPr>
              <w:t>Postal Code:</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Postal Code:</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Arial" w:cs="Arial" w:eastAsia="Arial" w:hAnsi="Arial"/>
                <w:sz w:val="18"/>
                <w:szCs w:val="18"/>
                <w:color w:val="auto"/>
              </w:rPr>
              <w:t>Country:</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Country:</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Arial" w:cs="Arial" w:eastAsia="Arial" w:hAnsi="Arial"/>
                <w:sz w:val="18"/>
                <w:szCs w:val="18"/>
                <w:color w:val="auto"/>
              </w:rPr>
              <w:t>Office Telephone #:</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Office Telephone #:</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Arial" w:cs="Arial" w:eastAsia="Arial" w:hAnsi="Arial"/>
                <w:sz w:val="18"/>
                <w:szCs w:val="18"/>
                <w:color w:val="auto"/>
              </w:rPr>
              <w:t>Office Facsimile #:</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Office Facsimile #:</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Arial" w:cs="Arial" w:eastAsia="Arial" w:hAnsi="Arial"/>
                <w:sz w:val="18"/>
                <w:szCs w:val="18"/>
                <w:color w:val="auto"/>
              </w:rPr>
              <w:t>Work E-Mail Address:</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Work E-Mail Address:</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Arial" w:cs="Arial" w:eastAsia="Arial" w:hAnsi="Arial"/>
                <w:sz w:val="18"/>
                <w:szCs w:val="18"/>
                <w:color w:val="auto"/>
              </w:rPr>
              <w:t>SyndTrak E-Mail Address:</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w w:val="91"/>
              </w:rPr>
              <w:t>SyndTrak E-Mail Address:</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Additional Syndtrak User Access</w:t>
      </w:r>
      <w:r>
        <w:rPr>
          <w:rFonts w:ascii="Arial" w:cs="Arial" w:eastAsia="Arial" w:hAnsi="Arial"/>
          <w:sz w:val="14"/>
          <w:szCs w:val="14"/>
          <w:b w:val="1"/>
          <w:bCs w:val="1"/>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 E-Mail Addresses of any respective contact who should have access to Syndtrak below.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SyndTrak E-Mail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92075</wp:posOffset>
            </wp:positionV>
            <wp:extent cx="6586220" cy="4286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586220" cy="42862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225" w:name="page226"/>
    <w:bookmarkEnd w:id="225"/>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QUESTIONNAIRE – (US DOLLAR ONLY)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i w:val="1"/>
                <w:iCs w:val="1"/>
                <w:color w:val="auto"/>
              </w:rPr>
              <w:t>CONFIDENTIAL</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6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Primary Operations Contact:</w:t>
            </w:r>
          </w:p>
        </w:tc>
        <w:tc>
          <w:tcPr>
            <w:tcW w:w="2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Secondary Operations Contact:</w:t>
            </w:r>
          </w:p>
        </w:tc>
        <w:tc>
          <w:tcPr>
            <w:tcW w:w="2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gridSpan w:val="4"/>
            <w:vMerge w:val="continue"/>
          </w:tcPr>
          <w:p>
            <w:pPr>
              <w:spacing w:after="0"/>
              <w:rPr>
                <w:sz w:val="12"/>
                <w:szCs w:val="12"/>
                <w:color w:val="auto"/>
              </w:rPr>
            </w:pPr>
          </w:p>
        </w:tc>
        <w:tc>
          <w:tcPr>
            <w:tcW w:w="22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7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w:t>
            </w: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MI:</w:t>
            </w:r>
          </w:p>
        </w:tc>
        <w:tc>
          <w:tcPr>
            <w:tcW w:w="220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Last:</w:t>
            </w:r>
          </w:p>
        </w:tc>
        <w:tc>
          <w:tcPr>
            <w:tcW w:w="30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w:t>
            </w:r>
          </w:p>
        </w:tc>
        <w:tc>
          <w:tcPr>
            <w:tcW w:w="560" w:type="dxa"/>
            <w:vAlign w:val="bottom"/>
            <w:tcBorders>
              <w:top w:val="single" w:sz="8" w:color="auto"/>
            </w:tcBorders>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MI:</w:t>
            </w:r>
          </w:p>
        </w:tc>
        <w:tc>
          <w:tcPr>
            <w:tcW w:w="220" w:type="dxa"/>
            <w:vAlign w:val="bottom"/>
          </w:tcPr>
          <w:p>
            <w:pPr>
              <w:spacing w:after="0"/>
              <w:rPr>
                <w:sz w:val="19"/>
                <w:szCs w:val="19"/>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Last:</w:t>
            </w:r>
          </w:p>
        </w:tc>
        <w:tc>
          <w:tcPr>
            <w:tcW w:w="0" w:type="dxa"/>
            <w:vAlign w:val="bottom"/>
          </w:tcPr>
          <w:p>
            <w:pPr>
              <w:spacing w:after="0"/>
              <w:rPr>
                <w:sz w:val="1"/>
                <w:szCs w:val="1"/>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Title:</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Street Address: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Street Address: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Suite/ Mail Code: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Suite/ Mail Code:</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8"/>
                <w:szCs w:val="18"/>
                <w:color w:val="auto"/>
              </w:rPr>
              <w:t>State:</w:t>
            </w: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Postal Code: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ind w:left="220"/>
              <w:spacing w:after="0"/>
              <w:rPr>
                <w:sz w:val="20"/>
                <w:szCs w:val="20"/>
                <w:color w:val="auto"/>
              </w:rPr>
            </w:pPr>
            <w:r>
              <w:rPr>
                <w:rFonts w:ascii="Arial" w:cs="Arial" w:eastAsia="Arial" w:hAnsi="Arial"/>
                <w:sz w:val="18"/>
                <w:szCs w:val="18"/>
                <w:color w:val="auto"/>
              </w:rPr>
              <w:t>Country:</w:t>
            </w: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Postal Code:</w:t>
            </w:r>
          </w:p>
        </w:tc>
        <w:tc>
          <w:tcPr>
            <w:tcW w:w="56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Country:</w:t>
            </w: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Telephone: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Arial" w:cs="Arial" w:eastAsia="Arial" w:hAnsi="Arial"/>
                <w:sz w:val="18"/>
                <w:szCs w:val="18"/>
                <w:color w:val="auto"/>
              </w:rPr>
              <w:t>Facsimile:</w:t>
            </w: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Telephone:</w:t>
            </w:r>
          </w:p>
        </w:tc>
        <w:tc>
          <w:tcPr>
            <w:tcW w:w="1360" w:type="dxa"/>
            <w:vAlign w:val="bottom"/>
            <w:gridSpan w:val="2"/>
          </w:tcPr>
          <w:p>
            <w:pPr>
              <w:ind w:left="540"/>
              <w:spacing w:after="0"/>
              <w:rPr>
                <w:sz w:val="20"/>
                <w:szCs w:val="20"/>
                <w:color w:val="auto"/>
              </w:rPr>
            </w:pPr>
            <w:r>
              <w:rPr>
                <w:rFonts w:ascii="Arial" w:cs="Arial" w:eastAsia="Arial" w:hAnsi="Arial"/>
                <w:sz w:val="18"/>
                <w:szCs w:val="18"/>
                <w:color w:val="auto"/>
                <w:w w:val="98"/>
              </w:rPr>
              <w:t>Facsimile:</w:t>
            </w: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E-Mail Address: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E-Mail Address: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780" w:type="dxa"/>
            <w:vAlign w:val="bottom"/>
            <w:gridSpan w:val="4"/>
          </w:tcPr>
          <w:p>
            <w:pPr>
              <w:spacing w:after="0"/>
              <w:rPr>
                <w:sz w:val="20"/>
                <w:szCs w:val="20"/>
                <w:color w:val="auto"/>
              </w:rPr>
            </w:pPr>
            <w:r>
              <w:rPr>
                <w:rFonts w:ascii="Arial" w:cs="Arial" w:eastAsia="Arial" w:hAnsi="Arial"/>
                <w:sz w:val="18"/>
                <w:szCs w:val="18"/>
                <w:color w:val="auto"/>
              </w:rPr>
              <w:t>SyndTrak E-Mail Address:</w:t>
            </w: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auto"/>
              </w:rPr>
              <w:t>SyndTrak E-Mail Address:</w:t>
            </w: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60" w:type="dxa"/>
            <w:vAlign w:val="bottom"/>
            <w:gridSpan w:val="5"/>
          </w:tcPr>
          <w:p>
            <w:pPr>
              <w:ind w:left="20"/>
              <w:spacing w:after="0" w:line="207" w:lineRule="exact"/>
              <w:rPr>
                <w:sz w:val="20"/>
                <w:szCs w:val="20"/>
                <w:color w:val="auto"/>
              </w:rPr>
            </w:pPr>
            <w:r>
              <w:rPr>
                <w:rFonts w:ascii="Arial" w:cs="Arial" w:eastAsia="Arial" w:hAnsi="Arial"/>
                <w:sz w:val="18"/>
                <w:szCs w:val="18"/>
                <w:b w:val="1"/>
                <w:bCs w:val="1"/>
                <w:i w:val="1"/>
                <w:iCs w:val="1"/>
                <w:color w:val="auto"/>
                <w:w w:val="89"/>
              </w:rPr>
              <w:t xml:space="preserve">Does Secondary Operations Contact need copy of notices?   </w:t>
            </w:r>
            <w:r>
              <w:rPr>
                <w:rFonts w:ascii="Arial" w:cs="Arial" w:eastAsia="Arial" w:hAnsi="Arial"/>
                <w:sz w:val="18"/>
                <w:szCs w:val="18"/>
                <w:b w:val="1"/>
                <w:bCs w:val="1"/>
                <w:color w:val="auto"/>
                <w:w w:val="89"/>
              </w:rPr>
              <w:t>YES</w:t>
            </w:r>
            <w:r>
              <w:rPr>
                <w:rFonts w:ascii="Arial" w:cs="Arial" w:eastAsia="Arial" w:hAnsi="Arial"/>
                <w:sz w:val="18"/>
                <w:szCs w:val="18"/>
                <w:b w:val="1"/>
                <w:bCs w:val="1"/>
                <w:i w:val="1"/>
                <w:iCs w:val="1"/>
                <w:color w:val="auto"/>
                <w:w w:val="89"/>
              </w:rPr>
              <w:t xml:space="preserve"> </w:t>
            </w:r>
            <w:r>
              <w:rPr>
                <w:rFonts w:ascii="MS PGothic" w:cs="MS PGothic" w:eastAsia="MS PGothic" w:hAnsi="MS PGothic"/>
                <w:sz w:val="18"/>
                <w:szCs w:val="18"/>
                <w:color w:val="auto"/>
                <w:w w:val="89"/>
              </w:rPr>
              <w:t>☐</w:t>
            </w:r>
          </w:p>
        </w:tc>
        <w:tc>
          <w:tcPr>
            <w:tcW w:w="3380" w:type="dxa"/>
            <w:vAlign w:val="bottom"/>
            <w:gridSpan w:val="2"/>
          </w:tcPr>
          <w:p>
            <w:pPr>
              <w:ind w:left="80"/>
              <w:spacing w:after="0" w:line="207" w:lineRule="exact"/>
              <w:rPr>
                <w:sz w:val="20"/>
                <w:szCs w:val="20"/>
                <w:color w:val="auto"/>
              </w:rPr>
            </w:pP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Letter of Credit Contact:</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Draft Documentation Contact or Legal Counsel:</w:t>
            </w:r>
          </w:p>
        </w:tc>
        <w:tc>
          <w:tcPr>
            <w:tcW w:w="0" w:type="dxa"/>
            <w:vAlign w:val="bottom"/>
          </w:tcPr>
          <w:p>
            <w:pPr>
              <w:spacing w:after="0"/>
              <w:rPr>
                <w:sz w:val="1"/>
                <w:szCs w:val="1"/>
                <w:color w:val="auto"/>
              </w:rPr>
            </w:pPr>
          </w:p>
        </w:tc>
      </w:tr>
      <w:tr>
        <w:trPr>
          <w:trHeight w:val="149"/>
        </w:trPr>
        <w:tc>
          <w:tcPr>
            <w:tcW w:w="2780" w:type="dxa"/>
            <w:vAlign w:val="bottom"/>
            <w:gridSpan w:val="4"/>
            <w:vMerge w:val="continue"/>
          </w:tcPr>
          <w:p>
            <w:pPr>
              <w:spacing w:after="0"/>
              <w:rPr>
                <w:sz w:val="12"/>
                <w:szCs w:val="12"/>
                <w:color w:val="auto"/>
              </w:rPr>
            </w:pPr>
          </w:p>
        </w:tc>
        <w:tc>
          <w:tcPr>
            <w:tcW w:w="22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1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w:t>
            </w:r>
          </w:p>
        </w:tc>
        <w:tc>
          <w:tcPr>
            <w:tcW w:w="1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MI:</w:t>
            </w:r>
          </w:p>
        </w:tc>
        <w:tc>
          <w:tcPr>
            <w:tcW w:w="220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Last:</w:t>
            </w:r>
          </w:p>
        </w:tc>
        <w:tc>
          <w:tcPr>
            <w:tcW w:w="30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w:t>
            </w:r>
          </w:p>
        </w:tc>
        <w:tc>
          <w:tcPr>
            <w:tcW w:w="5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MI:</w:t>
            </w:r>
          </w:p>
        </w:tc>
        <w:tc>
          <w:tcPr>
            <w:tcW w:w="220" w:type="dxa"/>
            <w:vAlign w:val="bottom"/>
            <w:tcBorders>
              <w:top w:val="single" w:sz="8" w:color="auto"/>
            </w:tcBorders>
          </w:tcPr>
          <w:p>
            <w:pPr>
              <w:spacing w:after="0"/>
              <w:rPr>
                <w:sz w:val="19"/>
                <w:szCs w:val="19"/>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Last:</w:t>
            </w:r>
          </w:p>
        </w:tc>
        <w:tc>
          <w:tcPr>
            <w:tcW w:w="0" w:type="dxa"/>
            <w:vAlign w:val="bottom"/>
          </w:tcPr>
          <w:p>
            <w:pPr>
              <w:spacing w:after="0"/>
              <w:rPr>
                <w:sz w:val="1"/>
                <w:szCs w:val="1"/>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Title:</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Street Address: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Street Address: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Suite/ Mail Code: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Suite/ Mail Code:</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8"/>
                <w:szCs w:val="18"/>
                <w:color w:val="auto"/>
              </w:rPr>
              <w:t>State:</w:t>
            </w: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Postal Code: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ind w:left="220"/>
              <w:spacing w:after="0"/>
              <w:rPr>
                <w:sz w:val="20"/>
                <w:szCs w:val="20"/>
                <w:color w:val="auto"/>
              </w:rPr>
            </w:pPr>
            <w:r>
              <w:rPr>
                <w:rFonts w:ascii="Arial" w:cs="Arial" w:eastAsia="Arial" w:hAnsi="Arial"/>
                <w:sz w:val="18"/>
                <w:szCs w:val="18"/>
                <w:color w:val="auto"/>
              </w:rPr>
              <w:t>Country:</w:t>
            </w: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Postal Code:</w:t>
            </w:r>
          </w:p>
        </w:tc>
        <w:tc>
          <w:tcPr>
            <w:tcW w:w="56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Country:</w:t>
            </w: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Telephone: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Arial" w:cs="Arial" w:eastAsia="Arial" w:hAnsi="Arial"/>
                <w:sz w:val="18"/>
                <w:szCs w:val="18"/>
                <w:color w:val="auto"/>
              </w:rPr>
              <w:t>Facsimile:</w:t>
            </w: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Telephone:</w:t>
            </w:r>
          </w:p>
        </w:tc>
        <w:tc>
          <w:tcPr>
            <w:tcW w:w="1360" w:type="dxa"/>
            <w:vAlign w:val="bottom"/>
            <w:gridSpan w:val="2"/>
          </w:tcPr>
          <w:p>
            <w:pPr>
              <w:ind w:left="540"/>
              <w:spacing w:after="0"/>
              <w:rPr>
                <w:sz w:val="20"/>
                <w:szCs w:val="20"/>
                <w:color w:val="auto"/>
              </w:rPr>
            </w:pPr>
            <w:r>
              <w:rPr>
                <w:rFonts w:ascii="Arial" w:cs="Arial" w:eastAsia="Arial" w:hAnsi="Arial"/>
                <w:sz w:val="18"/>
                <w:szCs w:val="18"/>
                <w:color w:val="auto"/>
                <w:w w:val="98"/>
              </w:rPr>
              <w:t>Facsimile:</w:t>
            </w: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E-Mail Address: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E-Mail Address: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Lender’s Fed Wire Payment Instructions: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Pay 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 Name: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ABA #:</w:t>
      </w:r>
    </w:p>
    <w:p>
      <w:pPr>
        <w:spacing w:after="0" w:line="117" w:lineRule="exact"/>
        <w:rPr>
          <w:sz w:val="20"/>
          <w:szCs w:val="20"/>
          <w:color w:val="auto"/>
        </w:rPr>
      </w:pPr>
    </w:p>
    <w:p>
      <w:pPr>
        <w:ind w:left="460"/>
        <w:spacing w:after="0"/>
        <w:tabs>
          <w:tab w:leader="none" w:pos="192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 Name: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0"/>
          <w:szCs w:val="20"/>
          <w:color w:val="auto"/>
        </w:rPr>
      </w:pPr>
    </w:p>
    <w:p>
      <w:pPr>
        <w:ind w:left="460" w:hanging="452"/>
        <w:spacing w:after="0"/>
        <w:tabs>
          <w:tab w:leader="none" w:pos="460"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t>Lender’s Standby Letter of Credit, Commercial Letter of Credit, and Bankers’ Acceptance Fed Wire Payment Instructions (if applicable):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Pay 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 Name: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ABA #:</w:t>
      </w:r>
    </w:p>
    <w:p>
      <w:pPr>
        <w:spacing w:after="0" w:line="117"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 Name: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w:t>
      </w:r>
    </w:p>
    <w:p>
      <w:pPr>
        <w:spacing w:after="0" w:line="193" w:lineRule="exact"/>
        <w:rPr>
          <w:sz w:val="20"/>
          <w:szCs w:val="20"/>
          <w:color w:val="auto"/>
        </w:rPr>
      </w:pPr>
    </w:p>
    <w:p>
      <w:pPr>
        <w:jc w:val="center"/>
        <w:ind w:right="-19"/>
        <w:spacing w:after="0" w:line="207" w:lineRule="exact"/>
        <w:tabs>
          <w:tab w:leader="none" w:pos="160" w:val="left"/>
          <w:tab w:leader="none" w:pos="160" w:val="left"/>
        </w:tabs>
        <w:rPr>
          <w:sz w:val="20"/>
          <w:szCs w:val="20"/>
          <w:color w:val="auto"/>
        </w:rPr>
      </w:pPr>
      <w:r>
        <w:rPr>
          <w:rFonts w:ascii="Arial" w:cs="Arial" w:eastAsia="Arial" w:hAnsi="Arial"/>
          <w:sz w:val="18"/>
          <w:szCs w:val="18"/>
          <w:b w:val="1"/>
          <w:bCs w:val="1"/>
          <w:color w:val="auto"/>
        </w:rPr>
        <w:t>Use Lender’s Fed Wire Payment Instructions in Section #6 above?</w:t>
        <w:tab/>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113030</wp:posOffset>
            </wp:positionV>
            <wp:extent cx="6586220" cy="4286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586220" cy="42862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QUESTIONNAIRE – (US DOLLAR ONLY)</w:t>
      </w:r>
    </w:p>
    <w:p>
      <w:pPr>
        <w:spacing w:after="0" w:line="103"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p>
      <w:pPr>
        <w:ind w:left="460" w:hanging="452"/>
        <w:spacing w:after="0"/>
        <w:tabs>
          <w:tab w:leader="none" w:pos="46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Lender’s Organizational Structure and Tax Status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refer to the enclosed withholding tax instructions below and then complete this section accordingly:</w:t>
      </w:r>
    </w:p>
    <w:p>
      <w:pPr>
        <w:spacing w:after="0" w:line="121"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color w:val="auto"/>
        </w:rPr>
        <w:t>Lender Taxpayer Identification Number (TIN):</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2183765</wp:posOffset>
            </wp:positionH>
            <wp:positionV relativeFrom="paragraph">
              <wp:posOffset>-10160</wp:posOffset>
            </wp:positionV>
            <wp:extent cx="12668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Tax Withholding Form Delivered to Bank of America (check applicable one):</w:t>
      </w:r>
    </w:p>
    <w:p>
      <w:pPr>
        <w:spacing w:after="0" w:line="84" w:lineRule="exact"/>
        <w:rPr>
          <w:sz w:val="20"/>
          <w:szCs w:val="20"/>
          <w:color w:val="auto"/>
        </w:rPr>
      </w:pPr>
    </w:p>
    <w:p>
      <w:pPr>
        <w:spacing w:after="0" w:line="207" w:lineRule="exact"/>
        <w:tabs>
          <w:tab w:leader="none" w:pos="1140" w:val="left"/>
          <w:tab w:leader="none" w:pos="2620" w:val="left"/>
          <w:tab w:leader="none" w:pos="4100" w:val="left"/>
          <w:tab w:leader="none" w:pos="5560" w:val="left"/>
        </w:tabs>
        <w:rPr>
          <w:sz w:val="20"/>
          <w:szCs w:val="20"/>
          <w:color w:val="auto"/>
        </w:rPr>
      </w:pPr>
      <w:r>
        <w:rPr>
          <w:rFonts w:ascii="Arial" w:cs="Arial" w:eastAsia="Arial" w:hAnsi="Arial"/>
          <w:sz w:val="18"/>
          <w:szCs w:val="18"/>
          <w:b w:val="1"/>
          <w:bCs w:val="1"/>
          <w:color w:val="auto"/>
        </w:rPr>
        <w:t xml:space="preserve">W-9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W-8BEN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W-8ECI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W-8EXP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W-8IMY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Contact:</w:t>
      </w:r>
    </w:p>
    <w:p>
      <w:pPr>
        <w:spacing w:after="0" w:line="27" w:lineRule="exact"/>
        <w:rPr>
          <w:sz w:val="20"/>
          <w:szCs w:val="20"/>
          <w:color w:val="auto"/>
        </w:rPr>
      </w:pPr>
    </w:p>
    <w:p>
      <w:pPr>
        <w:spacing w:after="0"/>
        <w:tabs>
          <w:tab w:leader="none" w:pos="1500" w:val="left"/>
          <w:tab w:leader="none" w:pos="2880" w:val="left"/>
        </w:tabs>
        <w:rPr>
          <w:sz w:val="20"/>
          <w:szCs w:val="20"/>
          <w:color w:val="auto"/>
        </w:rPr>
      </w:pPr>
      <w:r>
        <w:rPr>
          <w:rFonts w:ascii="Arial" w:cs="Arial" w:eastAsia="Arial" w:hAnsi="Arial"/>
          <w:sz w:val="18"/>
          <w:szCs w:val="18"/>
          <w:color w:val="auto"/>
        </w:rPr>
        <w:t>First:</w:t>
      </w:r>
      <w:r>
        <w:rPr>
          <w:sz w:val="20"/>
          <w:szCs w:val="20"/>
          <w:color w:val="auto"/>
        </w:rPr>
        <w:tab/>
      </w:r>
      <w:r>
        <w:rPr>
          <w:rFonts w:ascii="Arial" w:cs="Arial" w:eastAsia="Arial" w:hAnsi="Arial"/>
          <w:sz w:val="18"/>
          <w:szCs w:val="18"/>
          <w:color w:val="auto"/>
        </w:rPr>
        <w:t>MI:</w:t>
      </w:r>
      <w:r>
        <w:rPr>
          <w:sz w:val="20"/>
          <w:szCs w:val="20"/>
          <w:color w:val="auto"/>
        </w:rPr>
        <w:tab/>
      </w:r>
      <w:r>
        <w:rPr>
          <w:rFonts w:ascii="Arial" w:cs="Arial" w:eastAsia="Arial" w:hAnsi="Arial"/>
          <w:sz w:val="16"/>
          <w:szCs w:val="16"/>
          <w:color w:val="auto"/>
        </w:rPr>
        <w:t>Last: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Suite/ Mail Code:</w:t>
      </w:r>
    </w:p>
    <w:p>
      <w:pPr>
        <w:spacing w:after="0" w:line="11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p>
    <w:p>
      <w:pPr>
        <w:spacing w:after="0" w:line="11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Postal Code:</w:t>
      </w:r>
      <w:r>
        <w:rPr>
          <w:sz w:val="20"/>
          <w:szCs w:val="20"/>
          <w:color w:val="auto"/>
        </w:rPr>
        <w:tab/>
      </w:r>
      <w:r>
        <w:rPr>
          <w:rFonts w:ascii="Arial" w:cs="Arial" w:eastAsia="Arial" w:hAnsi="Arial"/>
          <w:sz w:val="16"/>
          <w:szCs w:val="16"/>
          <w:color w:val="auto"/>
        </w:rPr>
        <w:t>Country:</w:t>
      </w:r>
    </w:p>
    <w:p>
      <w:pPr>
        <w:spacing w:after="0" w:line="117"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Facsimile: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SyndTrak E-Mail Address: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LENDER INSTITUTIONS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Corporations: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your institution is incorporated outside of the United States for U.S. federal income tax purposes, and is the beneficial owner of the interest and other income it receives, you must complete one of the following three tax forms, as applicable to your institution: a.) Form W-8BEN (Certificate of Foreign Status of Beneficial Owner), b.) Form W-8ECI (Income Effectively Connected to a U.S. Trade or Business), or c.) Form W-8EXP (Certificate of Foreign Government or Governmental Agency).</w:t>
      </w:r>
    </w:p>
    <w:p>
      <w:pPr>
        <w:spacing w:after="0" w:line="18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 xml:space="preserve">A U.S. taxpayer identification number is required for any institution submitting a Form W-8 ECI. It is also required on Form W-8BEN for certain institutions claiming the benefits of a tax treaty with the U.S. Please refer to the instructions when completing the form applicable to your institution. In addition, please be advised that U.S. tax regulations do not permit the acceptance of faxed forms. </w:t>
      </w:r>
      <w:r>
        <w:rPr>
          <w:rFonts w:ascii="Arial" w:cs="Arial" w:eastAsia="Arial" w:hAnsi="Arial"/>
          <w:sz w:val="17"/>
          <w:szCs w:val="17"/>
          <w:b w:val="1"/>
          <w:bCs w:val="1"/>
          <w:color w:val="auto"/>
        </w:rPr>
        <w:t>An original tax form must be submitted</w:t>
      </w:r>
      <w:r>
        <w:rPr>
          <w:rFonts w:ascii="Arial" w:cs="Arial" w:eastAsia="Arial" w:hAnsi="Arial"/>
          <w:sz w:val="17"/>
          <w:szCs w:val="17"/>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2. Flow-Through Entities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If your institution is organized outside the U.S., and is classified for U.S. federal income tax purposes as either a Partnership, Trust, Qualified or Non-Qualified Intermediary, or other non-U.S. flow-through entity, an original Form W-8IMY (Certificate of Foreign Intermediary, Foreign Flow-Through Entity, or Certain U.S. branches for United States Tax Withholding) must be completed by the intermediary together with a withholding statement. Flow-through entities other than Qualified Intermediaries are required to include tax forms for each of the underlying beneficial owners.</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Please refer to the instructions when completing this form. In addition, please be advised that U.S. tax regulations do not permit the acceptance of faxed forms. </w:t>
      </w:r>
      <w:r>
        <w:rPr>
          <w:rFonts w:ascii="Arial" w:cs="Arial" w:eastAsia="Arial" w:hAnsi="Arial"/>
          <w:sz w:val="18"/>
          <w:szCs w:val="18"/>
          <w:b w:val="1"/>
          <w:bCs w:val="1"/>
          <w:color w:val="auto"/>
        </w:rPr>
        <w:t>Original tax form(s) must be submitted.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LENDER INSTITUTIONS: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If your institution is incorporated or organized within the United States, you must complete and return Form W-9 (Request for Taxpayer Identification Number and Certification). </w:t>
      </w:r>
      <w:r>
        <w:rPr>
          <w:rFonts w:ascii="Arial" w:cs="Arial" w:eastAsia="Arial" w:hAnsi="Arial"/>
          <w:sz w:val="18"/>
          <w:szCs w:val="18"/>
          <w:b w:val="1"/>
          <w:bCs w:val="1"/>
          <w:color w:val="auto"/>
        </w:rPr>
        <w:t>Please be advised that we require an original form W-9.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57150</wp:posOffset>
            </wp:positionV>
            <wp:extent cx="6586220" cy="4286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586220" cy="42862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QUESTIONNAIRE – (US DOLLAR ONLY)</w:t>
      </w:r>
    </w:p>
    <w:p>
      <w:pPr>
        <w:spacing w:after="0" w:line="103"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Pursuant to the language contained in the tax section of the Credit Agreement, the applicable tax form for your institution must be completed and returned on or prior to the date on which your institution becomes a lender under this Credit Agreement. Failure to provide the proper tax form when requested will subject your institution to U.S. tax withholding.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*Additionalguidance and instructions as to where to submit this documentation can be found at this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428625" cy="2743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2862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hanging="452"/>
        <w:spacing w:after="0"/>
        <w:tabs>
          <w:tab w:leader="none" w:pos="4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Bank of America’s Payment Instructions:</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Pay to:</w:t>
      </w:r>
      <w:r>
        <w:rPr>
          <w:sz w:val="20"/>
          <w:szCs w:val="20"/>
          <w:color w:val="auto"/>
        </w:rPr>
        <w:tab/>
      </w:r>
      <w:r>
        <w:rPr>
          <w:rFonts w:ascii="Arial" w:cs="Arial" w:eastAsia="Arial" w:hAnsi="Arial"/>
          <w:sz w:val="17"/>
          <w:szCs w:val="17"/>
          <w:color w:val="auto"/>
        </w:rPr>
        <w:t>Bank of America, N.A.</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XXXXXXX</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XXXX: XXXXXX</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Attn: Corporate Credit Services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Ref: Great Lakes Dredge &amp; Dock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83185</wp:posOffset>
            </wp:positionV>
            <wp:extent cx="6586220" cy="4286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586220" cy="42862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1">
            <w:col w:w="11260"/>
          </w:cols>
          <w:pgMar w:left="320" w:top="274" w:right="31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EXHIBIT 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AND ASSUMPTION</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Assignment and Assumption (this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[the][each] Assignor identified in item 1 below ([the][each, an] “</w:t>
      </w:r>
      <w:r>
        <w:rPr>
          <w:rFonts w:ascii="Arial" w:cs="Arial" w:eastAsia="Arial" w:hAnsi="Arial"/>
          <w:sz w:val="18"/>
          <w:szCs w:val="18"/>
          <w:u w:val="single" w:color="auto"/>
          <w:color w:val="auto"/>
        </w:rPr>
        <w:t>Assignor</w:t>
      </w:r>
      <w:r>
        <w:rPr>
          <w:rFonts w:ascii="Arial" w:cs="Arial" w:eastAsia="Arial" w:hAnsi="Arial"/>
          <w:sz w:val="18"/>
          <w:szCs w:val="18"/>
          <w:color w:val="auto"/>
        </w:rPr>
        <w:t>”) and [the][each] Assignee identified in item 2 below ([the][each, an] “</w:t>
      </w:r>
      <w:r>
        <w:rPr>
          <w:rFonts w:ascii="Arial" w:cs="Arial" w:eastAsia="Arial" w:hAnsi="Arial"/>
          <w:sz w:val="18"/>
          <w:szCs w:val="18"/>
          <w:u w:val="single" w:color="auto"/>
          <w:color w:val="auto"/>
        </w:rPr>
        <w:t>Assignee</w:t>
      </w:r>
      <w:r>
        <w:rPr>
          <w:rFonts w:ascii="Arial" w:cs="Arial" w:eastAsia="Arial" w:hAnsi="Arial"/>
          <w:sz w:val="18"/>
          <w:szCs w:val="18"/>
          <w:color w:val="auto"/>
        </w:rPr>
        <w:t>”). [It is understood and agreed that the rights and obligations of [the Assignors][the Assignees] hereunder are several and not joint.] Capitalized terms used but not defined herein shall have the meanings given to them in the Loan and Security Agreement identified below (as amended, restated, extended, supplemented or otherwise modified in writing, the “</w:t>
      </w:r>
      <w:r>
        <w:rPr>
          <w:rFonts w:ascii="Arial" w:cs="Arial" w:eastAsia="Arial" w:hAnsi="Arial"/>
          <w:sz w:val="18"/>
          <w:szCs w:val="18"/>
          <w:u w:val="single" w:color="auto"/>
          <w:color w:val="auto"/>
        </w:rPr>
        <w:t>Loan Agreement</w:t>
      </w:r>
      <w:r>
        <w:rPr>
          <w:rFonts w:ascii="Arial" w:cs="Arial" w:eastAsia="Arial" w:hAnsi="Arial"/>
          <w:sz w:val="18"/>
          <w:szCs w:val="18"/>
          <w:color w:val="auto"/>
        </w:rPr>
        <w:t xml:space="preserve">”), receipt of a copy of which is hereby acknowledged by [the][each] Assignee. The Standard Terms and Conditions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attached hereto are hereby agreed to and incorporated herein by reference and made a part of this Assignment and Assumption as if set forth herein in full.</w:t>
      </w:r>
    </w:p>
    <w:p>
      <w:pPr>
        <w:spacing w:after="0" w:line="18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Loan Agreement, as of the Effective Date inserted by the Administrative Agent as contemplated below (i) all of [the Assignor’s][the respective Assignors’] rights and obligations in [its capacity as a Lender][their respective capacities as Lenders] under the Loan Agreement and any other documents or instruments delivered pursuant thereto to the extent related to the amount</w:t>
      </w:r>
      <w:r>
        <w:rPr>
          <w:rFonts w:ascii="Arial" w:cs="Arial" w:eastAsia="Arial" w:hAnsi="Arial"/>
          <w:sz w:val="16"/>
          <w:szCs w:val="16"/>
          <w:b w:val="1"/>
          <w:bCs w:val="1"/>
          <w:color w:val="auto"/>
        </w:rPr>
        <w:t>[s]</w:t>
      </w:r>
      <w:r>
        <w:rPr>
          <w:rFonts w:ascii="Arial" w:cs="Arial" w:eastAsia="Arial" w:hAnsi="Arial"/>
          <w:sz w:val="16"/>
          <w:szCs w:val="16"/>
          <w:color w:val="auto"/>
        </w:rPr>
        <w:t xml:space="preserve"> and the percentage interest[s] identified below of all the outstanding rights and obligations under the respective facilities identified below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Loan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6"/>
          <w:szCs w:val="16"/>
          <w:u w:val="single" w:color="auto"/>
          <w:color w:val="auto"/>
        </w:rPr>
        <w:t>Assigned Interest</w:t>
      </w:r>
      <w:r>
        <w:rPr>
          <w:rFonts w:ascii="Arial" w:cs="Arial" w:eastAsia="Arial" w:hAnsi="Arial"/>
          <w:sz w:val="16"/>
          <w:szCs w:val="16"/>
          <w:color w:val="auto"/>
        </w:rPr>
        <w:t>”). Each such sale and assignment is without recourse to [the][any] Assignor and, except as expressly provided in this Assignment and Assumption, without representation or warranty by [the][any] Assignor.</w:t>
      </w:r>
    </w:p>
    <w:p>
      <w:pPr>
        <w:spacing w:after="0" w:line="229" w:lineRule="exact"/>
        <w:rPr>
          <w:sz w:val="20"/>
          <w:szCs w:val="20"/>
          <w:color w:val="auto"/>
        </w:rPr>
      </w:pPr>
    </w:p>
    <w:p>
      <w:pPr>
        <w:ind w:left="480" w:hanging="472"/>
        <w:spacing w:after="0"/>
        <w:tabs>
          <w:tab w:leader="none" w:pos="48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Assignor[s]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80" w:hanging="472"/>
        <w:spacing w:after="0"/>
        <w:tabs>
          <w:tab w:leader="none" w:pos="48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Assignee[s]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[for each Assignee, indicate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Borrower</w:t>
      </w:r>
      <w:r>
        <w:rPr>
          <w:rFonts w:ascii="Arial" w:cs="Arial" w:eastAsia="Arial" w:hAnsi="Arial"/>
          <w:sz w:val="18"/>
          <w:szCs w:val="18"/>
          <w:color w:val="auto"/>
        </w:rPr>
        <w:t>:   Great Lakes Dredge &amp; Dock Corporation</w:t>
      </w:r>
    </w:p>
    <w:p>
      <w:pPr>
        <w:spacing w:after="0" w:line="117" w:lineRule="exact"/>
        <w:rPr>
          <w:rFonts w:ascii="Arial" w:cs="Arial" w:eastAsia="Arial" w:hAnsi="Arial"/>
          <w:sz w:val="18"/>
          <w:szCs w:val="18"/>
          <w:color w:val="auto"/>
        </w:rPr>
      </w:pPr>
    </w:p>
    <w:p>
      <w:pPr>
        <w:ind w:left="480" w:hanging="418"/>
        <w:spacing w:after="0"/>
        <w:tabs>
          <w:tab w:leader="none" w:pos="480" w:val="left"/>
        </w:tabs>
        <w:numPr>
          <w:ilvl w:val="1"/>
          <w:numId w:val="215"/>
        </w:numPr>
        <w:rPr>
          <w:rFonts w:ascii="Arial" w:cs="Arial" w:eastAsia="Arial" w:hAnsi="Arial"/>
          <w:sz w:val="18"/>
          <w:szCs w:val="18"/>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  Bank of America, N.A., as the administrative agent under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-1476375</wp:posOffset>
            </wp:positionV>
            <wp:extent cx="264985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-1184910</wp:posOffset>
            </wp:positionV>
            <wp:extent cx="264985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-893445</wp:posOffset>
            </wp:positionV>
            <wp:extent cx="264985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-636270</wp:posOffset>
            </wp:positionV>
            <wp:extent cx="264985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0" w:name="page231"/>
    <w:bookmarkEnd w:id="230"/>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20" w:right="20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520" w:right="20" w:hanging="512"/>
        <w:spacing w:after="0" w:line="264" w:lineRule="auto"/>
        <w:tabs>
          <w:tab w:leader="none" w:pos="52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Loan Agreement</w:t>
      </w:r>
      <w:r>
        <w:rPr>
          <w:rFonts w:ascii="Arial" w:cs="Arial" w:eastAsia="Arial" w:hAnsi="Arial"/>
          <w:sz w:val="18"/>
          <w:szCs w:val="18"/>
          <w:color w:val="auto"/>
        </w:rPr>
        <w:t>: Loan and Security Agreement, dated as of November 4, 2014, among Great Lakes Dredge &amp; Dock Corporation, as Borrower, Great Lakes Dredge &amp; Dock Company, LLC, as Guarantor, the Lenders from time to time party thereto, and Bank of America, N.A., as Administrative Agent.</w:t>
      </w:r>
    </w:p>
    <w:p>
      <w:pPr>
        <w:spacing w:after="0" w:line="73" w:lineRule="exact"/>
        <w:rPr>
          <w:rFonts w:ascii="Arial" w:cs="Arial" w:eastAsia="Arial" w:hAnsi="Arial"/>
          <w:sz w:val="18"/>
          <w:szCs w:val="18"/>
          <w:color w:val="auto"/>
        </w:rPr>
      </w:pPr>
    </w:p>
    <w:p>
      <w:pPr>
        <w:ind w:left="520" w:hanging="512"/>
        <w:spacing w:after="0"/>
        <w:tabs>
          <w:tab w:leader="none" w:pos="52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Assigned Interest[s]</w:t>
      </w:r>
      <w:r>
        <w:rPr>
          <w:rFonts w:ascii="Arial" w:cs="Arial" w:eastAsia="Arial" w:hAnsi="Arial"/>
          <w:sz w:val="18"/>
          <w:szCs w:val="18"/>
          <w:color w:val="auto"/>
        </w:rPr>
        <w: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gridSpan w:val="2"/>
          </w:tcPr>
          <w:p>
            <w:pPr>
              <w:jc w:val="center"/>
              <w:ind w:right="1040"/>
              <w:spacing w:after="0"/>
              <w:rPr>
                <w:sz w:val="20"/>
                <w:szCs w:val="20"/>
                <w:color w:val="auto"/>
              </w:rPr>
            </w:pPr>
            <w:r>
              <w:rPr>
                <w:rFonts w:ascii="Arial" w:cs="Arial" w:eastAsia="Arial" w:hAnsi="Arial"/>
                <w:sz w:val="14"/>
                <w:szCs w:val="14"/>
                <w:color w:val="auto"/>
                <w:w w:val="92"/>
              </w:rPr>
              <w:t>Aggregate</w:t>
            </w:r>
          </w:p>
        </w:tc>
        <w:tc>
          <w:tcPr>
            <w:tcW w:w="1840" w:type="dxa"/>
            <w:vAlign w:val="bottom"/>
            <w:gridSpan w:val="2"/>
          </w:tcPr>
          <w:p>
            <w:pPr>
              <w:jc w:val="center"/>
              <w:ind w:right="1040"/>
              <w:spacing w:after="0"/>
              <w:rPr>
                <w:sz w:val="20"/>
                <w:szCs w:val="20"/>
                <w:color w:val="auto"/>
              </w:rPr>
            </w:pPr>
            <w:r>
              <w:rPr>
                <w:rFonts w:ascii="Arial" w:cs="Arial" w:eastAsia="Arial" w:hAnsi="Arial"/>
                <w:sz w:val="14"/>
                <w:szCs w:val="14"/>
                <w:color w:val="auto"/>
              </w:rPr>
              <w:t>Amount of</w:t>
            </w:r>
          </w:p>
        </w:tc>
        <w:tc>
          <w:tcPr>
            <w:tcW w:w="820" w:type="dxa"/>
            <w:vAlign w:val="bottom"/>
          </w:tcPr>
          <w:p>
            <w:pPr>
              <w:jc w:val="center"/>
              <w:spacing w:after="0"/>
              <w:rPr>
                <w:sz w:val="20"/>
                <w:szCs w:val="20"/>
                <w:color w:val="auto"/>
              </w:rPr>
            </w:pPr>
            <w:r>
              <w:rPr>
                <w:rFonts w:ascii="Arial" w:cs="Arial" w:eastAsia="Arial" w:hAnsi="Arial"/>
                <w:sz w:val="14"/>
                <w:szCs w:val="14"/>
                <w:color w:val="auto"/>
                <w:w w:val="86"/>
              </w:rPr>
              <w:t>Percentage</w:t>
            </w: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7"/>
              </w:rPr>
              <w:t>Amount of</w:t>
            </w:r>
          </w:p>
        </w:tc>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Commitment/</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Assigned of</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3"/>
            <w:vMerge w:val="restart"/>
          </w:tcPr>
          <w:p>
            <w:pPr>
              <w:ind w:left="400"/>
              <w:spacing w:after="0"/>
              <w:rPr>
                <w:sz w:val="20"/>
                <w:szCs w:val="20"/>
                <w:color w:val="auto"/>
              </w:rPr>
            </w:pPr>
            <w:r>
              <w:rPr>
                <w:rFonts w:ascii="Arial" w:cs="Arial" w:eastAsia="Arial" w:hAnsi="Arial"/>
                <w:sz w:val="14"/>
                <w:szCs w:val="14"/>
                <w:color w:val="auto"/>
              </w:rPr>
              <w:t>Assignor[s]</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Commitment/Loans</w:t>
            </w:r>
          </w:p>
        </w:tc>
        <w:tc>
          <w:tcPr>
            <w:tcW w:w="1840" w:type="dxa"/>
            <w:vAlign w:val="bottom"/>
            <w:gridSpan w:val="2"/>
          </w:tcPr>
          <w:p>
            <w:pPr>
              <w:jc w:val="center"/>
              <w:ind w:right="1040"/>
              <w:spacing w:after="0" w:line="149" w:lineRule="exact"/>
              <w:rPr>
                <w:sz w:val="20"/>
                <w:szCs w:val="20"/>
                <w:color w:val="auto"/>
              </w:rPr>
            </w:pPr>
            <w:r>
              <w:rPr>
                <w:rFonts w:ascii="Arial" w:cs="Arial" w:eastAsia="Arial" w:hAnsi="Arial"/>
                <w:sz w:val="14"/>
                <w:szCs w:val="14"/>
                <w:color w:val="auto"/>
                <w:w w:val="94"/>
              </w:rPr>
              <w:t>Loans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Commitment/</w:t>
            </w:r>
          </w:p>
        </w:tc>
        <w:tc>
          <w:tcPr>
            <w:tcW w:w="11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93"/>
              </w:rPr>
              <w:t>CUSIP</w:t>
            </w:r>
          </w:p>
        </w:tc>
        <w:tc>
          <w:tcPr>
            <w:tcW w:w="0" w:type="dxa"/>
            <w:vAlign w:val="bottom"/>
          </w:tcPr>
          <w:p>
            <w:pPr>
              <w:spacing w:after="0"/>
              <w:rPr>
                <w:sz w:val="1"/>
                <w:szCs w:val="1"/>
                <w:color w:val="auto"/>
              </w:rPr>
            </w:pPr>
          </w:p>
        </w:tc>
      </w:tr>
      <w:tr>
        <w:trPr>
          <w:trHeight w:val="161"/>
        </w:trPr>
        <w:tc>
          <w:tcPr>
            <w:tcW w:w="2420" w:type="dxa"/>
            <w:vAlign w:val="bottom"/>
            <w:gridSpan w:val="3"/>
            <w:vMerge w:val="continue"/>
          </w:tcPr>
          <w:p>
            <w:pPr>
              <w:spacing w:after="0"/>
              <w:rPr>
                <w:sz w:val="13"/>
                <w:szCs w:val="13"/>
                <w:color w:val="auto"/>
              </w:rPr>
            </w:pPr>
          </w:p>
        </w:tc>
        <w:tc>
          <w:tcPr>
            <w:tcW w:w="1620" w:type="dxa"/>
            <w:vAlign w:val="bottom"/>
            <w:gridSpan w:val="2"/>
          </w:tcPr>
          <w:p>
            <w:pPr>
              <w:spacing w:after="0" w:line="154" w:lineRule="exact"/>
              <w:rPr>
                <w:sz w:val="20"/>
                <w:szCs w:val="20"/>
                <w:color w:val="auto"/>
              </w:rPr>
            </w:pPr>
            <w:r>
              <w:rPr>
                <w:rFonts w:ascii="Arial" w:cs="Arial" w:eastAsia="Arial" w:hAnsi="Arial"/>
                <w:sz w:val="14"/>
                <w:szCs w:val="14"/>
                <w:color w:val="auto"/>
              </w:rPr>
              <w:t>Assignee[s]</w:t>
            </w:r>
          </w:p>
        </w:tc>
        <w:tc>
          <w:tcPr>
            <w:tcW w:w="2200" w:type="dxa"/>
            <w:vAlign w:val="bottom"/>
            <w:gridSpan w:val="2"/>
          </w:tcPr>
          <w:p>
            <w:pPr>
              <w:jc w:val="center"/>
              <w:ind w:right="1060"/>
              <w:spacing w:after="0" w:line="154" w:lineRule="exact"/>
              <w:rPr>
                <w:sz w:val="20"/>
                <w:szCs w:val="20"/>
                <w:color w:val="auto"/>
              </w:rPr>
            </w:pPr>
            <w:r>
              <w:rPr>
                <w:rFonts w:ascii="Arial" w:cs="Arial" w:eastAsia="Arial" w:hAnsi="Arial"/>
                <w:sz w:val="14"/>
                <w:szCs w:val="14"/>
                <w:color w:val="auto"/>
                <w:w w:val="94"/>
              </w:rPr>
              <w:t>for all Lenders</w:t>
            </w:r>
            <w:r>
              <w:rPr>
                <w:rFonts w:ascii="Arial" w:cs="Arial" w:eastAsia="Arial" w:hAnsi="Arial"/>
                <w:sz w:val="12"/>
                <w:szCs w:val="12"/>
                <w:color w:val="auto"/>
                <w:w w:val="94"/>
              </w:rPr>
              <w:t>1</w:t>
            </w:r>
          </w:p>
        </w:tc>
        <w:tc>
          <w:tcPr>
            <w:tcW w:w="1840" w:type="dxa"/>
            <w:vAlign w:val="bottom"/>
            <w:gridSpan w:val="2"/>
          </w:tcPr>
          <w:p>
            <w:pPr>
              <w:jc w:val="center"/>
              <w:ind w:right="1040"/>
              <w:spacing w:after="0" w:line="154" w:lineRule="exact"/>
              <w:rPr>
                <w:sz w:val="20"/>
                <w:szCs w:val="20"/>
                <w:color w:val="auto"/>
              </w:rPr>
            </w:pPr>
            <w:r>
              <w:rPr>
                <w:rFonts w:ascii="Arial" w:cs="Arial" w:eastAsia="Arial" w:hAnsi="Arial"/>
                <w:sz w:val="14"/>
                <w:szCs w:val="14"/>
                <w:color w:val="auto"/>
                <w:w w:val="90"/>
              </w:rPr>
              <w:t>Assigned</w:t>
            </w:r>
          </w:p>
        </w:tc>
        <w:tc>
          <w:tcPr>
            <w:tcW w:w="820" w:type="dxa"/>
            <w:vAlign w:val="bottom"/>
          </w:tcPr>
          <w:p>
            <w:pPr>
              <w:jc w:val="center"/>
              <w:spacing w:after="0" w:line="154" w:lineRule="exact"/>
              <w:rPr>
                <w:sz w:val="20"/>
                <w:szCs w:val="20"/>
                <w:color w:val="auto"/>
              </w:rPr>
            </w:pPr>
            <w:r>
              <w:rPr>
                <w:rFonts w:ascii="Arial" w:cs="Arial" w:eastAsia="Arial" w:hAnsi="Arial"/>
                <w:sz w:val="14"/>
                <w:szCs w:val="14"/>
                <w:color w:val="auto"/>
                <w:w w:val="93"/>
              </w:rPr>
              <w:t>Loans</w:t>
            </w:r>
            <w:r>
              <w:rPr>
                <w:rFonts w:ascii="Arial" w:cs="Arial" w:eastAsia="Arial" w:hAnsi="Arial"/>
                <w:sz w:val="12"/>
                <w:szCs w:val="12"/>
                <w:color w:val="auto"/>
                <w:w w:val="93"/>
              </w:rPr>
              <w:t>2</w:t>
            </w:r>
          </w:p>
        </w:tc>
        <w:tc>
          <w:tcPr>
            <w:tcW w:w="1120" w:type="dxa"/>
            <w:vAlign w:val="bottom"/>
          </w:tcPr>
          <w:p>
            <w:pPr>
              <w:spacing w:after="0"/>
              <w:rPr>
                <w:sz w:val="13"/>
                <w:szCs w:val="13"/>
                <w:color w:val="auto"/>
              </w:rPr>
            </w:pPr>
          </w:p>
        </w:tc>
        <w:tc>
          <w:tcPr>
            <w:tcW w:w="480" w:type="dxa"/>
            <w:vAlign w:val="bottom"/>
          </w:tcPr>
          <w:p>
            <w:pPr>
              <w:jc w:val="center"/>
              <w:spacing w:after="0" w:line="154" w:lineRule="exact"/>
              <w:rPr>
                <w:sz w:val="20"/>
                <w:szCs w:val="20"/>
                <w:color w:val="auto"/>
              </w:rPr>
            </w:pPr>
            <w:r>
              <w:rPr>
                <w:rFonts w:ascii="Arial" w:cs="Arial" w:eastAsia="Arial" w:hAnsi="Arial"/>
                <w:sz w:val="14"/>
                <w:szCs w:val="14"/>
                <w:color w:val="auto"/>
                <w:w w:val="96"/>
              </w:rPr>
              <w:t>Number</w:t>
            </w:r>
          </w:p>
        </w:tc>
        <w:tc>
          <w:tcPr>
            <w:tcW w:w="0" w:type="dxa"/>
            <w:vAlign w:val="bottom"/>
          </w:tcPr>
          <w:p>
            <w:pPr>
              <w:spacing w:after="0"/>
              <w:rPr>
                <w:sz w:val="1"/>
                <w:szCs w:val="1"/>
                <w:color w:val="auto"/>
              </w:rPr>
            </w:pPr>
          </w:p>
        </w:tc>
      </w:tr>
      <w:tr>
        <w:trPr>
          <w:trHeight w:val="216"/>
        </w:trPr>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4"/>
              </w:rPr>
              <w:t>%</w:t>
            </w: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jc w:val="right"/>
              <w:ind w:right="890"/>
              <w:spacing w:after="0"/>
              <w:rPr>
                <w:sz w:val="20"/>
                <w:szCs w:val="20"/>
                <w:color w:val="auto"/>
              </w:rPr>
            </w:pPr>
            <w:r>
              <w:rPr>
                <w:rFonts w:ascii="Arial" w:cs="Arial" w:eastAsia="Arial" w:hAnsi="Arial"/>
                <w:sz w:val="18"/>
                <w:szCs w:val="18"/>
                <w:color w:val="auto"/>
                <w:w w:val="74"/>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4"/>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gridSpan w:val="3"/>
          </w:tcPr>
          <w:p>
            <w:pPr>
              <w:spacing w:after="0"/>
              <w:rPr>
                <w:sz w:val="20"/>
                <w:szCs w:val="20"/>
                <w:color w:val="auto"/>
              </w:rPr>
            </w:pPr>
            <w:r>
              <w:rPr>
                <w:rFonts w:ascii="Arial" w:cs="Arial" w:eastAsia="Arial" w:hAnsi="Arial"/>
                <w:sz w:val="18"/>
                <w:szCs w:val="18"/>
                <w:color w:val="auto"/>
                <w:w w:val="88"/>
              </w:rPr>
              <w:t>[7.Trade Date:</w:t>
            </w:r>
          </w:p>
        </w:tc>
        <w:tc>
          <w:tcPr>
            <w:tcW w:w="8960" w:type="dxa"/>
            <w:vAlign w:val="bottom"/>
          </w:tcPr>
          <w:p>
            <w:pPr>
              <w:jc w:val="right"/>
              <w:ind w:right="817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w:t>
            </w:r>
          </w:p>
        </w:tc>
      </w:tr>
      <w:tr>
        <w:trPr>
          <w:trHeight w:val="20"/>
        </w:trPr>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453"/>
        </w:trPr>
        <w:tc>
          <w:tcPr>
            <w:tcW w:w="1720" w:type="dxa"/>
            <w:vAlign w:val="bottom"/>
            <w:gridSpan w:val="3"/>
          </w:tcPr>
          <w:p>
            <w:pPr>
              <w:spacing w:after="0"/>
              <w:rPr>
                <w:sz w:val="20"/>
                <w:szCs w:val="20"/>
                <w:color w:val="auto"/>
              </w:rPr>
            </w:pPr>
            <w:r>
              <w:rPr>
                <w:rFonts w:ascii="Arial" w:cs="Arial" w:eastAsia="Arial" w:hAnsi="Arial"/>
                <w:sz w:val="18"/>
                <w:szCs w:val="18"/>
                <w:color w:val="auto"/>
              </w:rPr>
              <w:t>Effective Date:</w:t>
            </w:r>
          </w:p>
        </w:tc>
        <w:tc>
          <w:tcPr>
            <w:tcW w:w="8960" w:type="dxa"/>
            <w:vAlign w:val="bottom"/>
          </w:tcPr>
          <w:p>
            <w:pPr>
              <w:jc w:val="right"/>
              <w:spacing w:after="0"/>
              <w:rPr>
                <w:sz w:val="20"/>
                <w:szCs w:val="20"/>
                <w:color w:val="auto"/>
              </w:rPr>
            </w:pPr>
            <w:r>
              <w:rPr>
                <w:rFonts w:ascii="Arial" w:cs="Arial" w:eastAsia="Arial" w:hAnsi="Arial"/>
                <w:sz w:val="18"/>
                <w:szCs w:val="18"/>
                <w:color w:val="auto"/>
              </w:rPr>
              <w:t>, 20   [TO BE INSERTED BY ADMINISTRATIVE AGENT AND WHICH SHALL BE THE EFFECTIVE DATE OF</w:t>
            </w:r>
          </w:p>
        </w:tc>
      </w:tr>
    </w:tbl>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ASSIGNOR[S]</w:t>
      </w:r>
      <w:r>
        <w:rPr>
          <w:rFonts w:ascii="Arial" w:cs="Arial" w:eastAsia="Arial" w:hAnsi="Arial"/>
          <w:sz w:val="15"/>
          <w:szCs w:val="15"/>
          <w:u w:val="single" w:color="auto"/>
          <w:color w:val="auto"/>
        </w:rPr>
        <w:t>4</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0326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0326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ASSIGNEE[S]</w:t>
      </w:r>
      <w:r>
        <w:rPr>
          <w:rFonts w:ascii="Arial" w:cs="Arial" w:eastAsia="Arial" w:hAnsi="Arial"/>
          <w:sz w:val="15"/>
          <w:szCs w:val="15"/>
          <w:u w:val="single" w:color="auto"/>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217"/>
        </w:numPr>
        <w:rPr>
          <w:rFonts w:ascii="Arial" w:cs="Arial" w:eastAsia="Arial" w:hAnsi="Arial"/>
          <w:sz w:val="14"/>
          <w:szCs w:val="14"/>
          <w:color w:val="auto"/>
        </w:rPr>
      </w:pPr>
      <w:r>
        <w:rPr>
          <w:rFonts w:ascii="Arial" w:cs="Arial" w:eastAsia="Arial" w:hAnsi="Arial"/>
          <w:sz w:val="16"/>
          <w:szCs w:val="16"/>
          <w:color w:val="auto"/>
        </w:rPr>
        <w:t>Amounts in this column and in the column immediately to the right to be adjusted by the counterparties to take into account any payments or prepayments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made between the Trade Date and the Effective Date.</w:t>
      </w:r>
    </w:p>
    <w:p>
      <w:pPr>
        <w:spacing w:after="0" w:line="8" w:lineRule="exact"/>
        <w:rPr>
          <w:sz w:val="20"/>
          <w:szCs w:val="20"/>
          <w:color w:val="auto"/>
        </w:rPr>
      </w:pPr>
    </w:p>
    <w:p>
      <w:pPr>
        <w:ind w:left="220" w:hanging="212"/>
        <w:spacing w:after="0"/>
        <w:tabs>
          <w:tab w:leader="none" w:pos="220" w:val="left"/>
        </w:tabs>
        <w:numPr>
          <w:ilvl w:val="0"/>
          <w:numId w:val="218"/>
        </w:numPr>
        <w:rPr>
          <w:rFonts w:ascii="Arial" w:cs="Arial" w:eastAsia="Arial" w:hAnsi="Arial"/>
          <w:sz w:val="15"/>
          <w:szCs w:val="15"/>
          <w:color w:val="auto"/>
        </w:rPr>
      </w:pPr>
      <w:r>
        <w:rPr>
          <w:rFonts w:ascii="Arial" w:cs="Arial" w:eastAsia="Arial" w:hAnsi="Arial"/>
          <w:sz w:val="18"/>
          <w:szCs w:val="18"/>
          <w:color w:val="auto"/>
        </w:rPr>
        <w:t>Set forth, to at least 9 decimals, as a percentage of the Commitment/Loans of all Lenders thereunder.</w:t>
      </w:r>
    </w:p>
    <w:p>
      <w:pPr>
        <w:spacing w:after="0" w:line="9" w:lineRule="exact"/>
        <w:rPr>
          <w:sz w:val="20"/>
          <w:szCs w:val="20"/>
          <w:color w:val="auto"/>
        </w:rPr>
      </w:pPr>
    </w:p>
    <w:p>
      <w:pPr>
        <w:ind w:left="220" w:hanging="212"/>
        <w:spacing w:after="0"/>
        <w:tabs>
          <w:tab w:leader="none" w:pos="220" w:val="left"/>
        </w:tabs>
        <w:numPr>
          <w:ilvl w:val="0"/>
          <w:numId w:val="219"/>
        </w:numPr>
        <w:rPr>
          <w:rFonts w:ascii="Arial" w:cs="Arial" w:eastAsia="Arial" w:hAnsi="Arial"/>
          <w:sz w:val="15"/>
          <w:szCs w:val="15"/>
          <w:color w:val="auto"/>
        </w:rPr>
      </w:pPr>
      <w:r>
        <w:rPr>
          <w:rFonts w:ascii="Arial" w:cs="Arial" w:eastAsia="Arial" w:hAnsi="Arial"/>
          <w:sz w:val="18"/>
          <w:szCs w:val="18"/>
          <w:color w:val="auto"/>
        </w:rPr>
        <w:t>To be completed if the Assignor and the Assignee intend that the minimum assignment amount is to be determined as of the Trade Date.</w:t>
      </w:r>
    </w:p>
    <w:p>
      <w:pPr>
        <w:spacing w:after="0" w:line="9" w:lineRule="exact"/>
        <w:rPr>
          <w:sz w:val="20"/>
          <w:szCs w:val="20"/>
          <w:color w:val="auto"/>
        </w:rPr>
      </w:pPr>
    </w:p>
    <w:p>
      <w:pPr>
        <w:ind w:left="220" w:hanging="212"/>
        <w:spacing w:after="0"/>
        <w:tabs>
          <w:tab w:leader="none" w:pos="220" w:val="left"/>
        </w:tabs>
        <w:numPr>
          <w:ilvl w:val="0"/>
          <w:numId w:val="220"/>
        </w:numPr>
        <w:rPr>
          <w:rFonts w:ascii="Arial" w:cs="Arial" w:eastAsia="Arial" w:hAnsi="Arial"/>
          <w:sz w:val="15"/>
          <w:szCs w:val="15"/>
          <w:color w:val="auto"/>
        </w:rPr>
      </w:pPr>
      <w:r>
        <w:rPr>
          <w:rFonts w:ascii="Arial" w:cs="Arial" w:eastAsia="Arial" w:hAnsi="Arial"/>
          <w:sz w:val="18"/>
          <w:szCs w:val="18"/>
          <w:color w:val="auto"/>
        </w:rPr>
        <w:t>Add additional signature blocks as needed. Include both Fund/Pension Plan and manager making the trade (if applicable).</w:t>
      </w:r>
    </w:p>
    <w:p>
      <w:pPr>
        <w:spacing w:after="0" w:line="9" w:lineRule="exact"/>
        <w:rPr>
          <w:sz w:val="20"/>
          <w:szCs w:val="20"/>
          <w:color w:val="auto"/>
        </w:rPr>
      </w:pPr>
    </w:p>
    <w:p>
      <w:pPr>
        <w:ind w:left="220" w:hanging="212"/>
        <w:spacing w:after="0"/>
        <w:tabs>
          <w:tab w:leader="none" w:pos="220" w:val="left"/>
        </w:tabs>
        <w:numPr>
          <w:ilvl w:val="0"/>
          <w:numId w:val="221"/>
        </w:numPr>
        <w:rPr>
          <w:rFonts w:ascii="Arial" w:cs="Arial" w:eastAsia="Arial" w:hAnsi="Arial"/>
          <w:sz w:val="15"/>
          <w:szCs w:val="15"/>
          <w:color w:val="auto"/>
        </w:rPr>
      </w:pPr>
      <w:r>
        <w:rPr>
          <w:rFonts w:ascii="Arial" w:cs="Arial" w:eastAsia="Arial" w:hAnsi="Arial"/>
          <w:sz w:val="18"/>
          <w:szCs w:val="18"/>
          <w:color w:val="auto"/>
        </w:rPr>
        <w:t>Add additional signature blocks as needed. Include both Fund/Pension Plan and manager making the trade (if applicable).</w:t>
      </w:r>
    </w:p>
    <w:p>
      <w:pPr>
        <w:sectPr>
          <w:pgSz w:w="11900" w:h="16838" w:orient="portrait"/>
          <w:cols w:equalWidth="0" w:num="1">
            <w:col w:w="11340"/>
          </w:cols>
          <w:pgMar w:left="240" w:top="274" w:right="319" w:bottom="1440" w:gutter="0" w:footer="0" w:header="0"/>
        </w:sectPr>
      </w:pPr>
    </w:p>
    <w:bookmarkStart w:id="231" w:name="page232"/>
    <w:bookmarkEnd w:id="231"/>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20" w:right="20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16979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16979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15"/>
          <w:szCs w:val="15"/>
          <w:color w:val="auto"/>
        </w:rPr>
        <w:t>6</w:t>
      </w:r>
      <w:r>
        <w:rPr>
          <w:rFonts w:ascii="Arial" w:cs="Arial" w:eastAsia="Arial" w:hAnsi="Arial"/>
          <w:sz w:val="18"/>
          <w:szCs w:val="18"/>
          <w:color w:val="auto"/>
        </w:rPr>
        <w:t xml:space="preserve">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13550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5"/>
          <w:szCs w:val="15"/>
          <w:color w:val="auto"/>
        </w:rPr>
        <w:t>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13550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222"/>
        </w:numPr>
        <w:rPr>
          <w:rFonts w:ascii="Arial" w:cs="Arial" w:eastAsia="Arial" w:hAnsi="Arial"/>
          <w:sz w:val="15"/>
          <w:szCs w:val="15"/>
          <w:color w:val="auto"/>
        </w:rPr>
      </w:pPr>
      <w:r>
        <w:rPr>
          <w:rFonts w:ascii="Arial" w:cs="Arial" w:eastAsia="Arial" w:hAnsi="Arial"/>
          <w:sz w:val="18"/>
          <w:szCs w:val="18"/>
          <w:color w:val="auto"/>
        </w:rPr>
        <w:t>To be added only if the consent of the Administrative Agent is required by the terms of the Loan Agreement.</w:t>
      </w:r>
    </w:p>
    <w:p>
      <w:pPr>
        <w:spacing w:after="0" w:line="22" w:lineRule="exact"/>
        <w:rPr>
          <w:sz w:val="20"/>
          <w:szCs w:val="20"/>
          <w:color w:val="auto"/>
        </w:rPr>
      </w:pPr>
    </w:p>
    <w:p>
      <w:pPr>
        <w:ind w:left="220" w:hanging="212"/>
        <w:spacing w:after="0"/>
        <w:tabs>
          <w:tab w:leader="none" w:pos="220" w:val="left"/>
        </w:tabs>
        <w:numPr>
          <w:ilvl w:val="0"/>
          <w:numId w:val="223"/>
        </w:numPr>
        <w:rPr>
          <w:rFonts w:ascii="Arial" w:cs="Arial" w:eastAsia="Arial" w:hAnsi="Arial"/>
          <w:sz w:val="15"/>
          <w:szCs w:val="15"/>
          <w:color w:val="auto"/>
        </w:rPr>
      </w:pPr>
      <w:r>
        <w:rPr>
          <w:rFonts w:ascii="Arial" w:cs="Arial" w:eastAsia="Arial" w:hAnsi="Arial"/>
          <w:sz w:val="18"/>
          <w:szCs w:val="18"/>
          <w:color w:val="auto"/>
        </w:rPr>
        <w:t>To be added only if the consent of the Borrower is required by the terms of the Loan Agreement.</w:t>
      </w:r>
    </w:p>
    <w:p>
      <w:pPr>
        <w:sectPr>
          <w:pgSz w:w="11900" w:h="16838" w:orient="portrait"/>
          <w:cols w:equalWidth="0" w:num="1">
            <w:col w:w="11340"/>
          </w:cols>
          <w:pgMar w:left="240" w:top="274" w:right="31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7540"/>
        <w:spacing w:after="0"/>
        <w:rPr>
          <w:sz w:val="20"/>
          <w:szCs w:val="20"/>
          <w:color w:val="auto"/>
        </w:rPr>
      </w:pPr>
      <w:r>
        <w:rPr>
          <w:rFonts w:ascii="Arial" w:cs="Arial" w:eastAsia="Arial" w:hAnsi="Arial"/>
          <w:sz w:val="17"/>
          <w:szCs w:val="17"/>
          <w:b w:val="1"/>
          <w:bCs w:val="1"/>
          <w:i w:val="1"/>
          <w:iCs w:val="1"/>
          <w:color w:val="auto"/>
        </w:rPr>
        <w:t>ANNEX 1 TO ASSIGNMENT AND ASSUMPTION</w:t>
      </w:r>
    </w:p>
    <w:p>
      <w:pPr>
        <w:spacing w:after="0" w:line="23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Loan and Security Agreement, dated as of November 4, 2014, among Great Lakes Dredge &amp; Dock Corporation, as Borrower, Great Lakes Dredge &amp; Dock Company, LLC, as Guarantor, the Lenders from time to time party thereto, and Bank of America, N.A., as Administrative Agent.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ind w:left="640" w:hanging="176"/>
        <w:spacing w:after="0"/>
        <w:tabs>
          <w:tab w:leader="none" w:pos="64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Assignor</w:t>
      </w:r>
      <w:r>
        <w:rPr>
          <w:rFonts w:ascii="Arial" w:cs="Arial" w:eastAsia="Arial" w:hAnsi="Arial"/>
          <w:sz w:val="17"/>
          <w:szCs w:val="17"/>
          <w:color w:val="auto"/>
        </w:rPr>
        <w:t>. [The][Each] Assignor (a) represents and warrants that (i) it is the legal and beneficial owner of [the][[the relevant] Assigned Interest,</w:t>
      </w:r>
    </w:p>
    <w:p>
      <w:pPr>
        <w:spacing w:after="0" w:line="35" w:lineRule="exact"/>
        <w:rPr>
          <w:sz w:val="20"/>
          <w:szCs w:val="20"/>
          <w:color w:val="auto"/>
        </w:rPr>
      </w:pPr>
    </w:p>
    <w:p>
      <w:pPr>
        <w:ind w:right="140" w:firstLine="8"/>
        <w:spacing w:after="0" w:line="252" w:lineRule="auto"/>
        <w:tabs>
          <w:tab w:leader="none" w:pos="26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Loan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93" w:lineRule="exact"/>
        <w:rPr>
          <w:sz w:val="20"/>
          <w:szCs w:val="20"/>
          <w:color w:val="auto"/>
        </w:rPr>
      </w:pPr>
    </w:p>
    <w:p>
      <w:pPr>
        <w:jc w:val="both"/>
        <w:ind w:right="220" w:firstLine="456"/>
        <w:spacing w:after="0" w:line="29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Loan Agreement,</w:t>
      </w:r>
    </w:p>
    <w:p>
      <w:pPr>
        <w:ind w:right="20" w:firstLine="8"/>
        <w:spacing w:after="0" w:line="285" w:lineRule="auto"/>
        <w:tabs>
          <w:tab w:leader="none" w:pos="265"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it meets all the requirements to be an assignee under </w:t>
      </w:r>
      <w:r>
        <w:rPr>
          <w:rFonts w:ascii="Arial" w:cs="Arial" w:eastAsia="Arial" w:hAnsi="Arial"/>
          <w:sz w:val="16"/>
          <w:szCs w:val="16"/>
          <w:u w:val="single" w:color="auto"/>
          <w:color w:val="auto"/>
        </w:rPr>
        <w:t>Section 9.13(b)(iii)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of the Loan Agreement (subject to such consents, if any, as may be required under </w:t>
      </w:r>
      <w:r>
        <w:rPr>
          <w:rFonts w:ascii="Arial" w:cs="Arial" w:eastAsia="Arial" w:hAnsi="Arial"/>
          <w:sz w:val="16"/>
          <w:szCs w:val="16"/>
          <w:u w:val="single" w:color="auto"/>
          <w:color w:val="auto"/>
        </w:rPr>
        <w:t>Section 9.13(b)(iii)</w:t>
      </w:r>
      <w:r>
        <w:rPr>
          <w:rFonts w:ascii="Arial" w:cs="Arial" w:eastAsia="Arial" w:hAnsi="Arial"/>
          <w:sz w:val="16"/>
          <w:szCs w:val="16"/>
          <w:color w:val="auto"/>
        </w:rPr>
        <w:t xml:space="preserve"> of the Loan Agreement), (iii) from and after the Effective Date, it shall be bound by the provisions of the Loan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Loan Agreement, and has received or has been accorded the opportunity to receive copies of the most recent financial statements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Loan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ectPr>
          <w:pgSz w:w="11900" w:h="16838" w:orient="portrait"/>
          <w:cols w:equalWidth="0" w:num="1">
            <w:col w:w="11420"/>
          </w:cols>
          <w:pgMar w:left="240" w:top="274" w:right="2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20" w:firstLine="464"/>
        <w:spacing w:after="0" w:line="302" w:lineRule="auto"/>
        <w:tabs>
          <w:tab w:leader="none" w:pos="616"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 Notwithstanding the foregoing, the Administrative Agent shall make all payments of interest, fees or other amounts paid or payable in kind from and after the Effective Date to [the][the relevant] Assignee.</w:t>
      </w:r>
    </w:p>
    <w:p>
      <w:pPr>
        <w:spacing w:after="0" w:line="154" w:lineRule="exact"/>
        <w:rPr>
          <w:rFonts w:ascii="Arial" w:cs="Arial" w:eastAsia="Arial" w:hAnsi="Arial"/>
          <w:sz w:val="16"/>
          <w:szCs w:val="16"/>
          <w:color w:val="auto"/>
        </w:rPr>
      </w:pPr>
    </w:p>
    <w:p>
      <w:pPr>
        <w:ind w:left="-20" w:right="100" w:firstLine="464"/>
        <w:spacing w:after="0" w:line="276" w:lineRule="auto"/>
        <w:tabs>
          <w:tab w:leader="none" w:pos="616"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Assignment and Assumption shall be binding upon, and inure to the benefit of, the parties hereto and their respective successors and assigns permitted by the terms of the Loan Agreement. This Assignment and Assumption may be executed in any number of counterparts, which together shall constitute one instrument. Delivery of an executed counterpart of a signature page of this Assignment and Assumption by telecopy or in electronic (</w:t>
      </w:r>
      <w:r>
        <w:rPr>
          <w:rFonts w:ascii="Arial" w:cs="Arial" w:eastAsia="Arial" w:hAnsi="Arial"/>
          <w:sz w:val="17"/>
          <w:szCs w:val="17"/>
          <w:i w:val="1"/>
          <w:iCs w:val="1"/>
          <w:color w:val="auto"/>
        </w:rPr>
        <w:t>i.e.</w:t>
      </w:r>
      <w:r>
        <w:rPr>
          <w:rFonts w:ascii="Arial" w:cs="Arial" w:eastAsia="Arial" w:hAnsi="Arial"/>
          <w:sz w:val="17"/>
          <w:szCs w:val="17"/>
          <w:color w:val="auto"/>
        </w:rPr>
        <w:t>, “pdf” or “tif”) format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1380"/>
          </w:cols>
          <w:pgMar w:left="260" w:top="274" w:right="25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U.S. Tax Compliance Certificate</w:t>
      </w:r>
    </w:p>
    <w:p>
      <w:pPr>
        <w:sectPr>
          <w:pgSz w:w="11900" w:h="16838" w:orient="portrait"/>
          <w:cols w:equalWidth="0" w:num="1">
            <w:col w:w="11260"/>
          </w:cols>
          <w:pgMar w:left="320" w:top="274" w:right="319" w:bottom="1440" w:gutter="0" w:footer="0" w:header="0"/>
        </w:sectPr>
      </w:pPr>
    </w:p>
    <w:bookmarkStart w:id="235" w:name="page236"/>
    <w:bookmarkEnd w:id="235"/>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80" w:right="24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G-1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21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Reference is hereby made to the Loan and Security Agreement dated as of November 4, 2014 (as amended, supplemented or otherwise modified from time to time, the “</w:t>
      </w:r>
      <w:r>
        <w:rPr>
          <w:rFonts w:ascii="Arial" w:cs="Arial" w:eastAsia="Arial" w:hAnsi="Arial"/>
          <w:sz w:val="17"/>
          <w:szCs w:val="17"/>
          <w:u w:val="single" w:color="auto"/>
          <w:color w:val="auto"/>
        </w:rPr>
        <w:t>Loan Agreement</w:t>
      </w:r>
      <w:r>
        <w:rPr>
          <w:rFonts w:ascii="Arial" w:cs="Arial" w:eastAsia="Arial" w:hAnsi="Arial"/>
          <w:sz w:val="17"/>
          <w:szCs w:val="17"/>
          <w:color w:val="auto"/>
        </w:rPr>
        <w:t>”), among Great Lakes Dredge &amp; Dock Corporation, as borrower, Great Lakes Dredge &amp; Dock Company, LLC, as guarantor, each lender from time to time party thereto and Bank of America, N.A., as Administrative Agent.</w:t>
      </w:r>
    </w:p>
    <w:p>
      <w:pPr>
        <w:spacing w:after="0" w:line="166"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Pursuant to the provisions of Section 10.01 of the Loan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IRS Form W-8BEN-E.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defined herein, terms defined in the Loan Agreement and used herein shall have the meanings given to them in the Loan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Date:</w:t>
            </w:r>
          </w:p>
        </w:tc>
        <w:tc>
          <w:tcPr>
            <w:tcW w:w="1160" w:type="dxa"/>
            <w:vAlign w:val="bottom"/>
          </w:tcPr>
          <w:p>
            <w:pPr>
              <w:jc w:val="right"/>
              <w:spacing w:after="0"/>
              <w:rPr>
                <w:sz w:val="20"/>
                <w:szCs w:val="20"/>
                <w:color w:val="auto"/>
              </w:rPr>
            </w:pPr>
            <w:r>
              <w:rPr>
                <w:rFonts w:ascii="Arial" w:cs="Arial" w:eastAsia="Arial" w:hAnsi="Arial"/>
                <w:sz w:val="18"/>
                <w:szCs w:val="18"/>
                <w:color w:val="auto"/>
              </w:rPr>
              <w:t>, 20[  ]</w:t>
            </w:r>
          </w:p>
        </w:tc>
      </w:tr>
    </w:tbl>
    <w:p>
      <w:pPr>
        <w:sectPr>
          <w:pgSz w:w="11900" w:h="16838" w:orient="portrait"/>
          <w:cols w:equalWidth="0" w:num="1">
            <w:col w:w="11380"/>
          </w:cols>
          <w:pgMar w:left="240" w:top="274" w:right="279" w:bottom="1440" w:gutter="0" w:footer="0" w:header="0"/>
        </w:sectPr>
      </w:pPr>
    </w:p>
    <w:bookmarkStart w:id="236" w:name="page237"/>
    <w:bookmarkEnd w:id="236"/>
    <w:p>
      <w:pPr>
        <w:jc w:val="center"/>
        <w:ind w:right="-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280" w:right="24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G-2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21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Reference is hereby made to the Loan and Security Agreement dated as of November 4, 2014 (as amended, supplemented or otherwise modified from time to time, the “</w:t>
      </w:r>
      <w:r>
        <w:rPr>
          <w:rFonts w:ascii="Arial" w:cs="Arial" w:eastAsia="Arial" w:hAnsi="Arial"/>
          <w:sz w:val="17"/>
          <w:szCs w:val="17"/>
          <w:u w:val="single" w:color="auto"/>
          <w:color w:val="auto"/>
        </w:rPr>
        <w:t>Loan Agreement</w:t>
      </w:r>
      <w:r>
        <w:rPr>
          <w:rFonts w:ascii="Arial" w:cs="Arial" w:eastAsia="Arial" w:hAnsi="Arial"/>
          <w:sz w:val="17"/>
          <w:szCs w:val="17"/>
          <w:color w:val="auto"/>
        </w:rPr>
        <w:t>”), among Great Lakes Dredge &amp; Dock Corporation, as borrower, Great Lakes Dredge &amp; Dock Company, LLC, as guarantor, each lender from time to time party thereto and Bank of America, N.A., as Administrative Agent.</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provisions of Section 10.01 of the Loan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The undersigned has furnished its participating Lender with a certificate of its non-U.S. Person status on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defined herein, terms defined in the Loan Agreement and used herein shall have the meanings given to them in the Loan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 20[  ]</w:t>
            </w:r>
          </w:p>
        </w:tc>
      </w:tr>
    </w:tbl>
    <w:p>
      <w:pPr>
        <w:sectPr>
          <w:pgSz w:w="11900" w:h="16838" w:orient="portrait"/>
          <w:cols w:equalWidth="0" w:num="1">
            <w:col w:w="11380"/>
          </w:cols>
          <w:pgMar w:left="240" w:top="274" w:right="279" w:bottom="1440" w:gutter="0" w:footer="0" w:header="0"/>
        </w:sectPr>
      </w:pPr>
    </w:p>
    <w:bookmarkStart w:id="237" w:name="page238"/>
    <w:bookmarkEnd w:id="237"/>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G-3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21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Reference is hereby made to the Loan and Security Agreement dated as of November 4, 2014 (as amended, supplemented or otherwise modified from time to time, the “</w:t>
      </w:r>
      <w:r>
        <w:rPr>
          <w:rFonts w:ascii="Arial" w:cs="Arial" w:eastAsia="Arial" w:hAnsi="Arial"/>
          <w:sz w:val="17"/>
          <w:szCs w:val="17"/>
          <w:u w:val="single" w:color="auto"/>
          <w:color w:val="auto"/>
        </w:rPr>
        <w:t>Loan Agreement</w:t>
      </w:r>
      <w:r>
        <w:rPr>
          <w:rFonts w:ascii="Arial" w:cs="Arial" w:eastAsia="Arial" w:hAnsi="Arial"/>
          <w:sz w:val="17"/>
          <w:szCs w:val="17"/>
          <w:color w:val="auto"/>
        </w:rPr>
        <w:t>”), among Great Lakes Dredge &amp; Dock Corporation, as borrower, Great Lakes Dredge &amp; Dock Company, LLC, as guarantor, each lender from time to time party thereto and Bank of America, N.A., as Administrative Agent.</w:t>
      </w:r>
    </w:p>
    <w:p>
      <w:pPr>
        <w:spacing w:after="0" w:line="16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Pursuant to the provisions of Section 10.01 of the Loan Agreement, the undersigned hereby certifies that (i) it is the sole record owner of the participation in respect of which it is providing this certificate, (ii) its direct or indirect partners/members are the sole beneficial owners of such participation,</w:t>
      </w:r>
    </w:p>
    <w:p>
      <w:pPr>
        <w:ind w:left="320" w:hanging="312"/>
        <w:spacing w:after="0"/>
        <w:tabs>
          <w:tab w:leader="none" w:pos="32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with respect such participation, neither the undersigned nor any of its direct or indirect partners/members is a bank extending credit pursuant to a loan</w:t>
      </w:r>
    </w:p>
    <w:p>
      <w:pPr>
        <w:spacing w:after="0" w:line="32"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7"/>
          <w:szCs w:val="17"/>
          <w:color w:val="auto"/>
        </w:rPr>
        <w:t>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73"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The undersigned has furnished its participating Lender with IRS Form W-8IMY accompanied by one of the following forms from each of its partners/members that is claiming the portfolio interest exemption: (i) an IRS Form W-8BEN-E or (ii) an IRS Form W-8IMY accompanied by an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defined herein, terms defined in the Loan Agreement and used herein shall have the meanings given to them in the Loan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 20[  ]</w:t>
            </w:r>
          </w:p>
        </w:tc>
      </w:tr>
    </w:tbl>
    <w:p>
      <w:pPr>
        <w:sectPr>
          <w:pgSz w:w="11900" w:h="16838" w:orient="portrait"/>
          <w:cols w:equalWidth="0" w:num="1">
            <w:col w:w="11420"/>
          </w:cols>
          <w:pgMar w:left="240" w:top="274" w:right="239" w:bottom="1440" w:gutter="0" w:footer="0" w:header="0"/>
        </w:sectPr>
      </w:pPr>
    </w:p>
    <w:bookmarkStart w:id="238" w:name="page239"/>
    <w:bookmarkEnd w:id="238"/>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ind w:left="320" w:right="200"/>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G-4</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21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Reference is hereby made to the Loan and Security Agreement dated as of November 4, 2014 (as amended, supplemented or otherwise modified from time to time, the “</w:t>
      </w:r>
      <w:r>
        <w:rPr>
          <w:rFonts w:ascii="Arial" w:cs="Arial" w:eastAsia="Arial" w:hAnsi="Arial"/>
          <w:sz w:val="17"/>
          <w:szCs w:val="17"/>
          <w:u w:val="single" w:color="auto"/>
          <w:color w:val="auto"/>
        </w:rPr>
        <w:t>Loan Agreement</w:t>
      </w:r>
      <w:r>
        <w:rPr>
          <w:rFonts w:ascii="Arial" w:cs="Arial" w:eastAsia="Arial" w:hAnsi="Arial"/>
          <w:sz w:val="17"/>
          <w:szCs w:val="17"/>
          <w:color w:val="auto"/>
        </w:rPr>
        <w:t>”), among Great Lakes Dredge &amp; Dock Corporation, as borrower, Great Lakes Dredge &amp; Dock Company, LLC, as guarantor, each lender from time to time party thereto and Bank of America, N.A., as Administrative Agent.</w:t>
      </w:r>
    </w:p>
    <w:p>
      <w:pPr>
        <w:spacing w:after="0" w:line="16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Pursuant to the provisions of Section 10.01 of the Loan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W-8BEN-E or (ii) an IRS Form W-8IMY accompanied by an IRS Form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defined herein, terms defined in the Loan Agreement and used herein shall have the meanings given to them in the Loan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 20[  ]</w:t>
            </w:r>
          </w:p>
        </w:tc>
      </w:tr>
    </w:tbl>
    <w:p>
      <w:pPr>
        <w:sectPr>
          <w:pgSz w:w="11900" w:h="16838" w:orient="portrait"/>
          <w:cols w:equalWidth="0" w:num="1">
            <w:col w:w="11340"/>
          </w:cols>
          <w:pgMar w:left="240" w:top="274" w:right="31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H</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Notice of Loan Prepayment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274" w:right="31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5" w:lineRule="exact"/>
        <w:rPr>
          <w:sz w:val="20"/>
          <w:szCs w:val="20"/>
          <w:color w:val="auto"/>
        </w:rPr>
      </w:pPr>
    </w:p>
    <w:p>
      <w:pPr>
        <w:jc w:val="center"/>
        <w:spacing w:after="0" w:line="290" w:lineRule="auto"/>
        <w:rPr>
          <w:sz w:val="20"/>
          <w:szCs w:val="20"/>
          <w:color w:val="auto"/>
        </w:rPr>
      </w:pPr>
      <w:r>
        <w:rPr>
          <w:rFonts w:ascii="Arial" w:cs="Arial" w:eastAsia="Arial" w:hAnsi="Arial"/>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EXHIBIT H</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LOAN PREPAYMENT</w:t>
      </w:r>
    </w:p>
    <w:p>
      <w:pPr>
        <w:spacing w:after="0" w:line="229" w:lineRule="exact"/>
        <w:rPr>
          <w:sz w:val="20"/>
          <w:szCs w:val="20"/>
          <w:color w:val="auto"/>
        </w:rPr>
      </w:pPr>
    </w:p>
    <w:p>
      <w:pPr>
        <w:ind w:left="9640"/>
        <w:spacing w:after="0"/>
        <w:tabs>
          <w:tab w:leader="none" w:pos="10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6394450</wp:posOffset>
            </wp:positionH>
            <wp:positionV relativeFrom="paragraph">
              <wp:posOffset>-10160</wp:posOffset>
            </wp:positionV>
            <wp:extent cx="85725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Reference is made to that certain Loan and Security Agreement, dated as of November 4, 2014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herein shall, unless otherwise defined herein, have the meanings provided in the Agreement), among GREAT LAKES DREDGE &amp; DOCK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GREAT LAKES DREDGE &amp; DOCK COMPANY, LLC, a Delaware limited liability company, as Guarantor, the Lenders from time to time party thereto, and Bank of America, N.A., as Administrative Agent.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Borrower hereby notifies the Administrative Agent and the Lenders that the Borrower intends to prepay the Loans:</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80" w:type="dxa"/>
            <w:vAlign w:val="bottom"/>
          </w:tcPr>
          <w:p>
            <w:pPr>
              <w:jc w:val="right"/>
              <w:ind w:right="75"/>
              <w:spacing w:after="0"/>
              <w:rPr>
                <w:sz w:val="20"/>
                <w:szCs w:val="20"/>
                <w:color w:val="auto"/>
              </w:rPr>
            </w:pPr>
            <w:r>
              <w:rPr>
                <w:rFonts w:ascii="Arial" w:cs="Arial" w:eastAsia="Arial" w:hAnsi="Arial"/>
                <w:sz w:val="17"/>
                <w:szCs w:val="17"/>
                <w:color w:val="auto"/>
                <w:w w:val="70"/>
              </w:rPr>
              <w:t>1.</w:t>
            </w:r>
          </w:p>
        </w:tc>
        <w:tc>
          <w:tcPr>
            <w:tcW w:w="420" w:type="dxa"/>
            <w:vAlign w:val="bottom"/>
          </w:tcPr>
          <w:p>
            <w:pPr>
              <w:ind w:left="160"/>
              <w:spacing w:after="0"/>
              <w:rPr>
                <w:sz w:val="20"/>
                <w:szCs w:val="20"/>
                <w:color w:val="auto"/>
              </w:rPr>
            </w:pPr>
            <w:r>
              <w:rPr>
                <w:rFonts w:ascii="Arial" w:cs="Arial" w:eastAsia="Arial" w:hAnsi="Arial"/>
                <w:sz w:val="18"/>
                <w:szCs w:val="18"/>
                <w:color w:val="auto"/>
                <w:w w:val="99"/>
              </w:rPr>
              <w:t>On</w:t>
            </w:r>
          </w:p>
        </w:tc>
        <w:tc>
          <w:tcPr>
            <w:tcW w:w="900" w:type="dxa"/>
            <w:vAlign w:val="bottom"/>
            <w:tcBorders>
              <w:bottom w:val="single" w:sz="8" w:color="auto"/>
            </w:tcBorders>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w w:val="91"/>
              </w:rPr>
              <w:t>(a Business Day).</w:t>
            </w:r>
          </w:p>
        </w:tc>
      </w:tr>
      <w:tr>
        <w:trPr>
          <w:trHeight w:val="318"/>
        </w:trPr>
        <w:tc>
          <w:tcPr>
            <w:tcW w:w="280" w:type="dxa"/>
            <w:vAlign w:val="bottom"/>
          </w:tcPr>
          <w:p>
            <w:pPr>
              <w:jc w:val="right"/>
              <w:ind w:right="75"/>
              <w:spacing w:after="0"/>
              <w:rPr>
                <w:sz w:val="20"/>
                <w:szCs w:val="20"/>
                <w:color w:val="auto"/>
              </w:rPr>
            </w:pPr>
            <w:r>
              <w:rPr>
                <w:rFonts w:ascii="Arial" w:cs="Arial" w:eastAsia="Arial" w:hAnsi="Arial"/>
                <w:sz w:val="17"/>
                <w:szCs w:val="17"/>
                <w:color w:val="auto"/>
                <w:w w:val="70"/>
              </w:rPr>
              <w:t>2.</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9"/>
              </w:rPr>
              <w:t>In the amount of $</w:t>
            </w:r>
          </w:p>
        </w:tc>
        <w:tc>
          <w:tcPr>
            <w:tcW w:w="360" w:type="dxa"/>
            <w:vAlign w:val="bottom"/>
            <w:tcBorders>
              <w:bottom w:val="single" w:sz="8" w:color="auto"/>
            </w:tcBorders>
          </w:tcPr>
          <w:p>
            <w:pPr>
              <w:spacing w:after="0"/>
              <w:rPr>
                <w:sz w:val="24"/>
                <w:szCs w:val="24"/>
                <w:color w:val="auto"/>
              </w:rPr>
            </w:pPr>
          </w:p>
        </w:tc>
        <w:tc>
          <w:tcPr>
            <w:tcW w:w="800" w:type="dxa"/>
            <w:vAlign w:val="bottom"/>
          </w:tcPr>
          <w:p>
            <w:pPr>
              <w:jc w:val="right"/>
              <w:ind w:right="650"/>
              <w:spacing w:after="0"/>
              <w:rPr>
                <w:sz w:val="20"/>
                <w:szCs w:val="20"/>
                <w:color w:val="auto"/>
              </w:rPr>
            </w:pPr>
            <w:r>
              <w:rPr>
                <w:rFonts w:ascii="Arial" w:cs="Arial" w:eastAsia="Arial" w:hAnsi="Arial"/>
                <w:sz w:val="18"/>
                <w:szCs w:val="18"/>
                <w:color w:val="auto"/>
                <w:w w:val="78"/>
              </w:rPr>
              <w:t>.</w:t>
            </w:r>
          </w:p>
        </w:tc>
      </w:tr>
    </w:tbl>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GREAT LAKES DREDGE &amp; DOCK CORPORATION</w:t>
      </w:r>
    </w:p>
    <w:p>
      <w:pPr>
        <w:spacing w:after="0" w:line="2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14605</wp:posOffset>
            </wp:positionV>
            <wp:extent cx="302704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31.5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252" w:lineRule="exact"/>
        <w:rPr>
          <w:sz w:val="20"/>
          <w:szCs w:val="20"/>
          <w:color w:val="auto"/>
        </w:rPr>
      </w:pPr>
    </w:p>
    <w:p>
      <w:pPr>
        <w:ind w:left="460" w:hanging="452"/>
        <w:spacing w:after="0"/>
        <w:tabs>
          <w:tab w:leader="none" w:pos="4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Great Lakes Dredge &amp; Dock Corporation; and</w:t>
      </w:r>
    </w:p>
    <w:p>
      <w:pPr>
        <w:spacing w:after="0" w:line="252"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24, 2015</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Jonathan W. Berger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31.6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Mark W. Marinko, certify that:</w:t>
      </w:r>
    </w:p>
    <w:p>
      <w:pPr>
        <w:spacing w:after="0" w:line="252" w:lineRule="exact"/>
        <w:rPr>
          <w:sz w:val="20"/>
          <w:szCs w:val="20"/>
          <w:color w:val="auto"/>
        </w:rPr>
      </w:pPr>
    </w:p>
    <w:p>
      <w:pPr>
        <w:ind w:left="460" w:hanging="452"/>
        <w:spacing w:after="0"/>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Great Lakes Dredge &amp; Dock Corporation; and</w:t>
      </w:r>
    </w:p>
    <w:p>
      <w:pPr>
        <w:spacing w:after="0" w:line="252"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24, 2015</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W. Marinko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DF6A55"/>
    <w:multiLevelType w:val="hybridMultilevel"/>
    <w:lvl w:ilvl="0">
      <w:lvlJc w:val="left"/>
      <w:lvlText w:val="☒"/>
      <w:numFmt w:val="bullet"/>
      <w:start w:val="1"/>
    </w:lvl>
  </w:abstractNum>
  <w:abstractNum w:abstractNumId="1">
    <w:nsid w:val="39B7AAA2"/>
    <w:multiLevelType w:val="hybridMultilevel"/>
    <w:lvl w:ilvl="0">
      <w:lvlJc w:val="left"/>
      <w:lvlText w:val="☐"/>
      <w:numFmt w:val="bullet"/>
      <w:start w:val="1"/>
    </w:lvl>
  </w:abstractNum>
  <w:abstractNum w:abstractNumId="2">
    <w:nsid w:val="2B0D8DBE"/>
    <w:multiLevelType w:val="hybridMultilevel"/>
    <w:lvl w:ilvl="0">
      <w:lvlJc w:val="left"/>
      <w:lvlText w:val="(%1)"/>
      <w:numFmt w:val="lowerLetter"/>
      <w:start w:val="1"/>
    </w:lvl>
  </w:abstractNum>
  <w:abstractNum w:abstractNumId="3">
    <w:nsid w:val="6C80EC70"/>
    <w:multiLevelType w:val="hybridMultilevel"/>
    <w:lvl w:ilvl="0">
      <w:lvlJc w:val="left"/>
      <w:lvlText w:val="%1."/>
      <w:numFmt w:val="decimal"/>
      <w:start w:val="3"/>
    </w:lvl>
  </w:abstractNum>
  <w:abstractNum w:abstractNumId="4">
    <w:nsid w:val="379E21B5"/>
    <w:multiLevelType w:val="hybridMultilevel"/>
    <w:lvl w:ilvl="0">
      <w:lvlJc w:val="left"/>
      <w:lvlText w:val="#"/>
      <w:numFmt w:val="bullet"/>
      <w:start w:val="1"/>
    </w:lvl>
  </w:abstractNum>
  <w:abstractNum w:abstractNumId="5">
    <w:nsid w:val="69E373"/>
    <w:multiLevelType w:val="hybridMultilevel"/>
    <w:lvl w:ilvl="0">
      <w:lvlJc w:val="left"/>
      <w:lvlText w:val="(%1)"/>
      <w:numFmt w:val="lowerLetter"/>
      <w:start w:val="1"/>
    </w:lvl>
  </w:abstractNum>
  <w:abstractNum w:abstractNumId="6">
    <w:nsid w:val="2C27173B"/>
    <w:multiLevelType w:val="hybridMultilevel"/>
    <w:lvl w:ilvl="0">
      <w:lvlJc w:val="left"/>
      <w:lvlText w:val="(%1)"/>
      <w:numFmt w:val="lowerLetter"/>
      <w:start w:val="1"/>
    </w:lvl>
    <w:lvl w:ilvl="1">
      <w:lvlJc w:val="left"/>
      <w:lvlText w:val="-"/>
      <w:numFmt w:val="bullet"/>
      <w:start w:val="1"/>
    </w:lvl>
  </w:abstractNum>
  <w:abstractNum w:abstractNumId="7">
    <w:nsid w:val="4C9B0904"/>
    <w:multiLevelType w:val="hybridMultilevel"/>
    <w:lvl w:ilvl="0">
      <w:lvlJc w:val="left"/>
      <w:lvlText w:val="(%1)"/>
      <w:numFmt w:val="lowerLetter"/>
      <w:start w:val="4"/>
    </w:lvl>
  </w:abstractNum>
  <w:abstractNum w:abstractNumId="8">
    <w:nsid w:val="6AA7B75C"/>
    <w:multiLevelType w:val="hybridMultilevel"/>
    <w:lvl w:ilvl="0">
      <w:lvlJc w:val="left"/>
      <w:lvlText w:val="(%1)"/>
      <w:numFmt w:val="lowerLetter"/>
      <w:start w:val="1"/>
    </w:lvl>
  </w:abstractNum>
  <w:abstractNum w:abstractNumId="9">
    <w:nsid w:val="1DF029D3"/>
    <w:multiLevelType w:val="hybridMultilevel"/>
    <w:lvl w:ilvl="0">
      <w:lvlJc w:val="left"/>
      <w:lvlText w:val="(%1)"/>
      <w:numFmt w:val="lowerLetter"/>
      <w:start w:val="1"/>
    </w:lvl>
    <w:lvl w:ilvl="1">
      <w:lvlJc w:val="left"/>
      <w:lvlText w:val="-"/>
      <w:numFmt w:val="bullet"/>
      <w:start w:val="1"/>
    </w:lvl>
  </w:abstractNum>
  <w:abstractNum w:abstractNumId="10">
    <w:nsid w:val="5675FF36"/>
    <w:multiLevelType w:val="hybridMultilevel"/>
    <w:lvl w:ilvl="0">
      <w:lvlJc w:val="left"/>
      <w:lvlText w:val="(%1)"/>
      <w:numFmt w:val="lowerLetter"/>
      <w:start w:val="3"/>
    </w:lvl>
  </w:abstractNum>
  <w:abstractNum w:abstractNumId="11">
    <w:nsid w:val="3DD15094"/>
    <w:multiLevelType w:val="hybridMultilevel"/>
    <w:lvl w:ilvl="0">
      <w:lvlJc w:val="left"/>
      <w:lvlText w:val="(%1)"/>
      <w:numFmt w:val="lowerLetter"/>
      <w:start w:val="1"/>
    </w:lvl>
    <w:lvl w:ilvl="1">
      <w:lvlJc w:val="left"/>
      <w:lvlText w:val="-"/>
      <w:numFmt w:val="bullet"/>
      <w:start w:val="1"/>
    </w:lvl>
  </w:abstractNum>
  <w:abstractNum w:abstractNumId="12">
    <w:nsid w:val="3DB012B3"/>
    <w:multiLevelType w:val="hybridMultilevel"/>
    <w:lvl w:ilvl="0">
      <w:lvlJc w:val="left"/>
      <w:lvlText w:val="(%1)"/>
      <w:numFmt w:val="lowerLetter"/>
      <w:start w:val="2"/>
    </w:lvl>
  </w:abstractNum>
  <w:abstractNum w:abstractNumId="13">
    <w:nsid w:val="2708C9AF"/>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4">
    <w:nsid w:val="5B25ACE2"/>
    <w:multiLevelType w:val="hybridMultilevel"/>
    <w:lvl w:ilvl="0">
      <w:lvlJc w:val="left"/>
      <w:lvlText w:val="(%1)"/>
      <w:numFmt w:val="decimal"/>
      <w:start w:val="30"/>
    </w:lvl>
    <w:lvl w:ilvl="1">
      <w:lvlJc w:val="left"/>
      <w:lvlText w:val="(%2)"/>
      <w:numFmt w:val="lowerLetter"/>
      <w:start w:val="4"/>
    </w:lvl>
    <w:lvl w:ilvl="2">
      <w:lvlJc w:val="left"/>
      <w:lvlText w:val="-"/>
      <w:numFmt w:val="bullet"/>
      <w:start w:val="1"/>
    </w:lvl>
  </w:abstractNum>
  <w:abstractNum w:abstractNumId="15">
    <w:nsid w:val="175DFCF0"/>
    <w:multiLevelType w:val="hybridMultilevel"/>
    <w:lvl w:ilvl="0">
      <w:lvlJc w:val="left"/>
      <w:lvlText w:val="(%1)"/>
      <w:numFmt w:val="lowerLetter"/>
      <w:start w:val="7"/>
    </w:lvl>
  </w:abstractNum>
  <w:abstractNum w:abstractNumId="16">
    <w:nsid w:val="4F97E3E4"/>
    <w:multiLevelType w:val="hybridMultilevel"/>
    <w:lvl w:ilvl="0">
      <w:lvlJc w:val="left"/>
      <w:lvlText w:val="(%1)"/>
      <w:numFmt w:val="lowerLetter"/>
      <w:start w:val="1"/>
    </w:lvl>
    <w:lvl w:ilvl="1">
      <w:lvlJc w:val="left"/>
      <w:lvlText w:val="-"/>
      <w:numFmt w:val="bullet"/>
      <w:start w:val="1"/>
    </w:lvl>
  </w:abstractNum>
  <w:abstractNum w:abstractNumId="17">
    <w:nsid w:val="53B0A9E"/>
    <w:multiLevelType w:val="hybridMultilevel"/>
    <w:lvl w:ilvl="0">
      <w:lvlJc w:val="left"/>
      <w:lvlText w:val="(%1)"/>
      <w:numFmt w:val="lowerLetter"/>
      <w:start w:val="5"/>
    </w:lvl>
  </w:abstractNum>
  <w:abstractNum w:abstractNumId="18">
    <w:nsid w:val="34FD6B4F"/>
    <w:multiLevelType w:val="hybridMultilevel"/>
    <w:lvl w:ilvl="0">
      <w:lvlJc w:val="left"/>
      <w:lvlText w:val="(%1)"/>
      <w:numFmt w:val="lowerLetter"/>
      <w:start w:val="1"/>
    </w:lvl>
  </w:abstractNum>
  <w:abstractNum w:abstractNumId="19">
    <w:nsid w:val="5915FF32"/>
    <w:multiLevelType w:val="hybridMultilevel"/>
    <w:lvl w:ilvl="0">
      <w:lvlJc w:val="left"/>
      <w:lvlText w:val="(%1)"/>
      <w:numFmt w:val="lowerLetter"/>
      <w:start w:val="1"/>
    </w:lvl>
    <w:lvl w:ilvl="1">
      <w:lvlJc w:val="left"/>
      <w:lvlText w:val="-"/>
      <w:numFmt w:val="bullet"/>
      <w:start w:val="1"/>
    </w:lvl>
  </w:abstractNum>
  <w:abstractNum w:abstractNumId="20">
    <w:nsid w:val="56438D15"/>
    <w:multiLevelType w:val="hybridMultilevel"/>
    <w:lvl w:ilvl="0">
      <w:lvlJc w:val="left"/>
      <w:lvlText w:val="(%1)"/>
      <w:numFmt w:val="lowerLetter"/>
      <w:start w:val="1"/>
    </w:lvl>
    <w:lvl w:ilvl="1">
      <w:lvlJc w:val="left"/>
      <w:lvlText w:val="-"/>
      <w:numFmt w:val="bullet"/>
      <w:start w:val="1"/>
    </w:lvl>
  </w:abstractNum>
  <w:abstractNum w:abstractNumId="21">
    <w:nsid w:val="519E3149"/>
    <w:multiLevelType w:val="hybridMultilevel"/>
    <w:lvl w:ilvl="0">
      <w:lvlJc w:val="left"/>
      <w:lvlText w:val="(%1)"/>
      <w:numFmt w:val="lowerLetter"/>
      <w:start w:val="2"/>
    </w:lvl>
  </w:abstractNum>
  <w:abstractNum w:abstractNumId="22">
    <w:nsid w:val="2C6E4AFD"/>
    <w:multiLevelType w:val="hybridMultilevel"/>
    <w:lvl w:ilvl="0">
      <w:lvlJc w:val="left"/>
      <w:lvlText w:val="(%1)"/>
      <w:numFmt w:val="lowerLetter"/>
      <w:start w:val="1"/>
    </w:lvl>
    <w:lvl w:ilvl="1">
      <w:lvlJc w:val="left"/>
      <w:lvlText w:val="-"/>
      <w:numFmt w:val="bullet"/>
      <w:start w:val="1"/>
    </w:lvl>
  </w:abstractNum>
  <w:abstractNum w:abstractNumId="23">
    <w:nsid w:val="17A1B582"/>
    <w:multiLevelType w:val="hybridMultilevel"/>
    <w:lvl w:ilvl="0">
      <w:lvlJc w:val="left"/>
      <w:lvlText w:val="(%1)"/>
      <w:numFmt w:val="lowerLetter"/>
      <w:start w:val="2"/>
    </w:lvl>
    <w:lvl w:ilvl="1">
      <w:lvlJc w:val="left"/>
      <w:lvlText w:val="-"/>
      <w:numFmt w:val="bullet"/>
      <w:start w:val="1"/>
    </w:lvl>
  </w:abstractNum>
  <w:abstractNum w:abstractNumId="24">
    <w:nsid w:val="4DF72E4E"/>
    <w:multiLevelType w:val="hybridMultilevel"/>
    <w:lvl w:ilvl="0">
      <w:lvlJc w:val="left"/>
      <w:lvlText w:val="(%1)"/>
      <w:numFmt w:val="lowerLetter"/>
      <w:start w:val="1"/>
    </w:lvl>
    <w:lvl w:ilvl="1">
      <w:lvlJc w:val="left"/>
      <w:lvlText w:val="-"/>
      <w:numFmt w:val="bullet"/>
      <w:start w:val="1"/>
    </w:lvl>
  </w:abstractNum>
  <w:abstractNum w:abstractNumId="25">
    <w:nsid w:val="5046B5A9"/>
    <w:multiLevelType w:val="hybridMultilevel"/>
    <w:lvl w:ilvl="0">
      <w:lvlJc w:val="left"/>
      <w:lvlText w:val="(%1)"/>
      <w:numFmt w:val="lowerLetter"/>
      <w:start w:val="11"/>
    </w:lvl>
    <w:lvl w:ilvl="1">
      <w:lvlJc w:val="left"/>
      <w:lvlText w:val="-"/>
      <w:numFmt w:val="bullet"/>
      <w:start w:val="1"/>
    </w:lvl>
  </w:abstractNum>
  <w:abstractNum w:abstractNumId="26">
    <w:nsid w:val="5D888A08"/>
    <w:multiLevelType w:val="hybridMultilevel"/>
    <w:lvl w:ilvl="0">
      <w:lvlJc w:val="left"/>
      <w:lvlText w:val="(%1)"/>
      <w:numFmt w:val="lowerLetter"/>
      <w:start w:val="24"/>
    </w:lvl>
  </w:abstractNum>
  <w:abstractNum w:abstractNumId="27">
    <w:nsid w:val="2A082C70"/>
    <w:multiLevelType w:val="hybridMultilevel"/>
    <w:lvl w:ilvl="0">
      <w:lvlJc w:val="left"/>
      <w:lvlText w:val="(%1)"/>
      <w:numFmt w:val="lowerLetter"/>
      <w:start w:val="1"/>
    </w:lvl>
    <w:lvl w:ilvl="1">
      <w:lvlJc w:val="left"/>
      <w:lvlText w:val="-"/>
      <w:numFmt w:val="bullet"/>
      <w:start w:val="1"/>
    </w:lvl>
  </w:abstractNum>
  <w:abstractNum w:abstractNumId="28">
    <w:nsid w:val="5EC6AFD4"/>
    <w:multiLevelType w:val="hybridMultilevel"/>
    <w:lvl w:ilvl="0">
      <w:lvlJc w:val="left"/>
      <w:lvlText w:val="(%1)"/>
      <w:numFmt w:val="lowerLetter"/>
      <w:start w:val="3"/>
    </w:lvl>
    <w:lvl w:ilvl="1">
      <w:lvlJc w:val="left"/>
      <w:lvlText w:val="-"/>
      <w:numFmt w:val="bullet"/>
      <w:start w:val="1"/>
    </w:lvl>
  </w:abstractNum>
  <w:abstractNum w:abstractNumId="29">
    <w:nsid w:val="19E21BB2"/>
    <w:multiLevelType w:val="hybridMultilevel"/>
    <w:lvl w:ilvl="0">
      <w:lvlJc w:val="left"/>
      <w:lvlText w:val="(%1)"/>
      <w:numFmt w:val="lowerLetter"/>
      <w:start w:val="9"/>
    </w:lvl>
  </w:abstractNum>
  <w:abstractNum w:abstractNumId="30">
    <w:nsid w:val="75E0858A"/>
    <w:multiLevelType w:val="hybridMultilevel"/>
    <w:lvl w:ilvl="0">
      <w:lvlJc w:val="left"/>
      <w:lvlText w:val="(%1)"/>
      <w:numFmt w:val="lowerLetter"/>
      <w:start w:val="1"/>
    </w:lvl>
    <w:lvl w:ilvl="1">
      <w:lvlJc w:val="left"/>
      <w:lvlText w:val="-"/>
      <w:numFmt w:val="bullet"/>
      <w:start w:val="1"/>
    </w:lvl>
  </w:abstractNum>
  <w:abstractNum w:abstractNumId="31">
    <w:nsid w:val="57A61A29"/>
    <w:multiLevelType w:val="hybridMultilevel"/>
    <w:lvl w:ilvl="0">
      <w:lvlJc w:val="left"/>
      <w:lvlText w:val="%1"/>
      <w:numFmt w:val="lowerLetter"/>
      <w:start w:val="1"/>
    </w:lvl>
    <w:lvl w:ilvl="1">
      <w:lvlJc w:val="left"/>
      <w:lvlText w:val="(%2)"/>
      <w:numFmt w:val="lowerLetter"/>
      <w:start w:val="2"/>
    </w:lvl>
  </w:abstractNum>
  <w:abstractNum w:abstractNumId="32">
    <w:nsid w:val="5399C654"/>
    <w:multiLevelType w:val="hybridMultilevel"/>
    <w:lvl w:ilvl="0">
      <w:lvlJc w:val="left"/>
      <w:lvlText w:val="(%1)"/>
      <w:numFmt w:val="lowerLetter"/>
      <w:start w:val="9"/>
    </w:lvl>
    <w:lvl w:ilvl="1">
      <w:lvlJc w:val="left"/>
      <w:lvlText w:val="%2"/>
      <w:numFmt w:val="lowerLetter"/>
      <w:start w:val="1"/>
    </w:lvl>
  </w:abstractNum>
  <w:abstractNum w:abstractNumId="33">
    <w:nsid w:val="20EE1348"/>
    <w:multiLevelType w:val="hybridMultilevel"/>
    <w:lvl w:ilvl="0">
      <w:lvlJc w:val="left"/>
      <w:lvlText w:val="(%1)"/>
      <w:numFmt w:val="lowerLetter"/>
      <w:start w:val="1"/>
    </w:lvl>
  </w:abstractNum>
  <w:abstractNum w:abstractNumId="34">
    <w:nsid w:val="4427069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5">
    <w:nsid w:val="B37E80A"/>
    <w:multiLevelType w:val="hybridMultilevel"/>
    <w:lvl w:ilvl="0">
      <w:lvlJc w:val="left"/>
      <w:lvlText w:val="(%1)"/>
      <w:numFmt w:val="decimal"/>
      <w:start w:val="90"/>
    </w:lvl>
    <w:lvl w:ilvl="1">
      <w:lvlJc w:val="left"/>
      <w:lvlText w:val="(%2)"/>
      <w:numFmt w:val="lowerLetter"/>
      <w:start w:val="2"/>
    </w:lvl>
    <w:lvl w:ilvl="2">
      <w:lvlJc w:val="left"/>
      <w:lvlText w:val="-"/>
      <w:numFmt w:val="bullet"/>
      <w:start w:val="1"/>
    </w:lvl>
  </w:abstractNum>
  <w:abstractNum w:abstractNumId="36">
    <w:nsid w:val="2157F6BC"/>
    <w:multiLevelType w:val="hybridMultilevel"/>
    <w:lvl w:ilvl="0">
      <w:lvlJc w:val="left"/>
      <w:lvlText w:val="(%1)"/>
      <w:numFmt w:val="lowerLetter"/>
      <w:start w:val="1"/>
    </w:lvl>
  </w:abstractNum>
  <w:abstractNum w:abstractNumId="37">
    <w:nsid w:val="704E1DD5"/>
    <w:multiLevelType w:val="hybridMultilevel"/>
    <w:lvl w:ilvl="0">
      <w:lvlJc w:val="left"/>
      <w:lvlText w:val="(%1)"/>
      <w:numFmt w:val="lowerLetter"/>
      <w:start w:val="1"/>
    </w:lvl>
    <w:lvl w:ilvl="1">
      <w:lvlJc w:val="left"/>
      <w:lvlText w:val="-"/>
      <w:numFmt w:val="bullet"/>
      <w:start w:val="1"/>
    </w:lvl>
  </w:abstractNum>
  <w:abstractNum w:abstractNumId="38">
    <w:nsid w:val="57D2F10E"/>
    <w:multiLevelType w:val="hybridMultilevel"/>
    <w:lvl w:ilvl="0">
      <w:lvlJc w:val="left"/>
      <w:lvlText w:val="(%1)"/>
      <w:numFmt w:val="lowerLetter"/>
      <w:start w:val="3"/>
    </w:lvl>
    <w:lvl w:ilvl="1">
      <w:lvlJc w:val="left"/>
      <w:lvlText w:val="-"/>
      <w:numFmt w:val="bullet"/>
      <w:start w:val="1"/>
    </w:lvl>
  </w:abstractNum>
  <w:abstractNum w:abstractNumId="39">
    <w:nsid w:val="BFFAE18"/>
    <w:multiLevelType w:val="hybridMultilevel"/>
    <w:lvl w:ilvl="0">
      <w:lvlJc w:val="left"/>
      <w:lvlText w:val="(%1)"/>
      <w:numFmt w:val="lowerLetter"/>
      <w:start w:val="1"/>
    </w:lvl>
    <w:lvl w:ilvl="1">
      <w:lvlJc w:val="left"/>
      <w:lvlText w:val="-"/>
      <w:numFmt w:val="bullet"/>
      <w:start w:val="1"/>
    </w:lvl>
  </w:abstractNum>
  <w:abstractNum w:abstractNumId="40">
    <w:nsid w:val="E3E47A8"/>
    <w:multiLevelType w:val="hybridMultilevel"/>
    <w:lvl w:ilvl="0">
      <w:lvlJc w:val="left"/>
      <w:lvlText w:val="%1"/>
      <w:numFmt w:val="lowerLetter"/>
      <w:start w:val="1"/>
    </w:lvl>
    <w:lvl w:ilvl="1">
      <w:lvlJc w:val="left"/>
      <w:lvlText w:val="(%2)"/>
      <w:numFmt w:val="lowerLetter"/>
      <w:start w:val="7"/>
    </w:lvl>
    <w:lvl w:ilvl="2">
      <w:lvlJc w:val="left"/>
      <w:lvlText w:val="-"/>
      <w:numFmt w:val="bullet"/>
      <w:start w:val="1"/>
    </w:lvl>
  </w:abstractNum>
  <w:abstractNum w:abstractNumId="41">
    <w:nsid w:val="2E48F044"/>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42">
    <w:nsid w:val="49D0FEAC"/>
    <w:multiLevelType w:val="hybridMultilevel"/>
    <w:lvl w:ilvl="0">
      <w:lvlJc w:val="left"/>
      <w:lvlText w:val="(%1)"/>
      <w:numFmt w:val="lowerLetter"/>
      <w:start w:val="14"/>
    </w:lvl>
  </w:abstractNum>
  <w:abstractNum w:abstractNumId="43">
    <w:nsid w:val="4BEE5A5B"/>
    <w:multiLevelType w:val="hybridMultilevel"/>
    <w:lvl w:ilvl="0">
      <w:lvlJc w:val="left"/>
      <w:lvlText w:val="(%1)"/>
      <w:numFmt w:val="lowerLetter"/>
      <w:start w:val="1"/>
    </w:lvl>
    <w:lvl w:ilvl="1">
      <w:lvlJc w:val="left"/>
      <w:lvlText w:val="-"/>
      <w:numFmt w:val="bullet"/>
      <w:start w:val="1"/>
    </w:lvl>
  </w:abstractNum>
  <w:abstractNum w:abstractNumId="44">
    <w:nsid w:val="5551B9F3"/>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45">
    <w:nsid w:val="24F6AB8E"/>
    <w:multiLevelType w:val="hybridMultilevel"/>
    <w:lvl w:ilvl="0">
      <w:lvlJc w:val="left"/>
      <w:lvlText w:val="(%1)"/>
      <w:numFmt w:val="lowerLetter"/>
      <w:start w:val="35"/>
    </w:lvl>
    <w:lvl w:ilvl="1">
      <w:lvlJc w:val="left"/>
      <w:lvlText w:val="(%2)"/>
      <w:numFmt w:val="lowerLetter"/>
      <w:start w:val="4"/>
    </w:lvl>
    <w:lvl w:ilvl="2">
      <w:lvlJc w:val="left"/>
      <w:lvlText w:val="-"/>
      <w:numFmt w:val="bullet"/>
      <w:start w:val="1"/>
    </w:lvl>
  </w:abstractNum>
  <w:abstractNum w:abstractNumId="46">
    <w:nsid w:val="634C574C"/>
    <w:multiLevelType w:val="hybridMultilevel"/>
    <w:lvl w:ilvl="0">
      <w:lvlJc w:val="left"/>
      <w:lvlText w:val="(%1)"/>
      <w:numFmt w:val="lowerLetter"/>
      <w:start w:val="5"/>
    </w:lvl>
  </w:abstractNum>
  <w:abstractNum w:abstractNumId="47">
    <w:nsid w:val="24E99DD7"/>
    <w:multiLevelType w:val="hybridMultilevel"/>
    <w:lvl w:ilvl="0">
      <w:lvlJc w:val="left"/>
      <w:lvlText w:val="(%1)"/>
      <w:numFmt w:val="lowerLetter"/>
      <w:start w:val="1"/>
    </w:lvl>
    <w:lvl w:ilvl="1">
      <w:lvlJc w:val="left"/>
      <w:lvlText w:val="-"/>
      <w:numFmt w:val="bullet"/>
      <w:start w:val="1"/>
    </w:lvl>
  </w:abstractNum>
  <w:abstractNum w:abstractNumId="48">
    <w:nsid w:val="2A31B62D"/>
    <w:multiLevelType w:val="hybridMultilevel"/>
    <w:lvl w:ilvl="0">
      <w:lvlJc w:val="left"/>
      <w:lvlText w:val="(%1)"/>
      <w:numFmt w:val="lowerLetter"/>
      <w:start w:val="2"/>
    </w:lvl>
  </w:abstractNum>
  <w:abstractNum w:abstractNumId="49">
    <w:nsid w:val="1849C29B"/>
    <w:multiLevelType w:val="hybridMultilevel"/>
    <w:lvl w:ilvl="0">
      <w:lvlJc w:val="left"/>
      <w:lvlText w:val="(%1)"/>
      <w:numFmt w:val="lowerLetter"/>
      <w:start w:val="1"/>
    </w:lvl>
  </w:abstractNum>
  <w:abstractNum w:abstractNumId="50">
    <w:nsid w:val="7DFF9D09"/>
    <w:multiLevelType w:val="hybridMultilevel"/>
    <w:lvl w:ilvl="0">
      <w:lvlJc w:val="left"/>
      <w:lvlText w:val="(%1)"/>
      <w:numFmt w:val="lowerLetter"/>
      <w:start w:val="1"/>
    </w:lvl>
    <w:lvl w:ilvl="1">
      <w:lvlJc w:val="left"/>
      <w:lvlText w:val="-"/>
      <w:numFmt w:val="bullet"/>
      <w:start w:val="1"/>
    </w:lvl>
  </w:abstractNum>
  <w:abstractNum w:abstractNumId="51">
    <w:nsid w:val="754342"/>
    <w:multiLevelType w:val="hybridMultilevel"/>
    <w:lvl w:ilvl="0">
      <w:lvlJc w:val="left"/>
      <w:lvlText w:val="(%1)"/>
      <w:numFmt w:val="lowerLetter"/>
      <w:start w:val="2"/>
    </w:lvl>
  </w:abstractNum>
  <w:abstractNum w:abstractNumId="52">
    <w:nsid w:val="69E7F3E5"/>
    <w:multiLevelType w:val="hybridMultilevel"/>
    <w:lvl w:ilvl="0">
      <w:lvlJc w:val="left"/>
      <w:lvlText w:val="(%1)"/>
      <w:numFmt w:val="lowerLetter"/>
      <w:start w:val="2"/>
    </w:lvl>
  </w:abstractNum>
  <w:abstractNum w:abstractNumId="53">
    <w:nsid w:val="2A6DE806"/>
    <w:multiLevelType w:val="hybridMultilevel"/>
    <w:lvl w:ilvl="0">
      <w:lvlJc w:val="left"/>
      <w:lvlText w:val="(%1)"/>
      <w:numFmt w:val="lowerLetter"/>
      <w:start w:val="1"/>
    </w:lvl>
    <w:lvl w:ilvl="1">
      <w:lvlJc w:val="left"/>
      <w:lvlText w:val="-"/>
      <w:numFmt w:val="bullet"/>
      <w:start w:val="1"/>
    </w:lvl>
  </w:abstractNum>
  <w:abstractNum w:abstractNumId="54">
    <w:nsid w:val="1816F8C4"/>
    <w:multiLevelType w:val="hybridMultilevel"/>
    <w:lvl w:ilvl="0">
      <w:lvlJc w:val="left"/>
      <w:lvlText w:val="(%1)"/>
      <w:numFmt w:val="lowerLetter"/>
      <w:start w:val="3"/>
    </w:lvl>
  </w:abstractNum>
  <w:abstractNum w:abstractNumId="55">
    <w:nsid w:val="37DF2233"/>
    <w:multiLevelType w:val="hybridMultilevel"/>
    <w:lvl w:ilvl="0">
      <w:lvlJc w:val="left"/>
      <w:lvlText w:val="(%1)"/>
      <w:numFmt w:val="lowerLetter"/>
      <w:start w:val="1"/>
    </w:lvl>
    <w:lvl w:ilvl="1">
      <w:lvlJc w:val="left"/>
      <w:lvlText w:val="-"/>
      <w:numFmt w:val="bullet"/>
      <w:start w:val="1"/>
    </w:lvl>
  </w:abstractNum>
  <w:abstractNum w:abstractNumId="56">
    <w:nsid w:val="7AB49DAF"/>
    <w:multiLevelType w:val="hybridMultilevel"/>
    <w:lvl w:ilvl="0">
      <w:lvlJc w:val="left"/>
      <w:lvlText w:val="(%1)"/>
      <w:numFmt w:val="lowerLetter"/>
      <w:start w:val="1"/>
    </w:lvl>
  </w:abstractNum>
  <w:abstractNum w:abstractNumId="57">
    <w:nsid w:val="759F82C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8">
    <w:nsid w:val="61E74EA3"/>
    <w:multiLevelType w:val="hybridMultilevel"/>
    <w:lvl w:ilvl="0">
      <w:lvlJc w:val="left"/>
      <w:lvlText w:val="%1"/>
      <w:numFmt w:val="lowerLetter"/>
      <w:start w:val="1"/>
    </w:lvl>
    <w:lvl w:ilvl="1">
      <w:lvlJc w:val="left"/>
      <w:lvlText w:val="(%2)"/>
      <w:numFmt w:val="lowerLetter"/>
      <w:start w:val="35"/>
    </w:lvl>
  </w:abstractNum>
  <w:abstractNum w:abstractNumId="59">
    <w:nsid w:val="597B4D84"/>
    <w:multiLevelType w:val="hybridMultilevel"/>
    <w:lvl w:ilvl="0">
      <w:lvlJc w:val="left"/>
      <w:lvlText w:val="(%1)"/>
      <w:numFmt w:val="lowerLetter"/>
      <w:start w:val="2"/>
    </w:lvl>
    <w:lvl w:ilvl="1">
      <w:lvlJc w:val="left"/>
      <w:lvlText w:val="%2"/>
      <w:numFmt w:val="lowerLetter"/>
      <w:start w:val="1"/>
    </w:lvl>
  </w:abstractNum>
  <w:abstractNum w:abstractNumId="60">
    <w:nsid w:val="F819E7F"/>
    <w:multiLevelType w:val="hybridMultilevel"/>
    <w:lvl w:ilvl="0">
      <w:lvlJc w:val="left"/>
      <w:lvlText w:val="(%1)"/>
      <w:numFmt w:val="lowerLetter"/>
      <w:start w:val="2"/>
    </w:lvl>
  </w:abstractNum>
  <w:abstractNum w:abstractNumId="61">
    <w:nsid w:val="57C7D42D"/>
    <w:multiLevelType w:val="hybridMultilevel"/>
    <w:lvl w:ilvl="0">
      <w:lvlJc w:val="left"/>
      <w:lvlText w:val="(%1)"/>
      <w:numFmt w:val="lowerLetter"/>
      <w:start w:val="1"/>
    </w:lvl>
    <w:lvl w:ilvl="1">
      <w:lvlJc w:val="left"/>
      <w:lvlText w:val="-"/>
      <w:numFmt w:val="bullet"/>
      <w:start w:val="1"/>
    </w:lvl>
  </w:abstractNum>
  <w:abstractNum w:abstractNumId="62">
    <w:nsid w:val="312167AD"/>
    <w:multiLevelType w:val="hybridMultilevel"/>
    <w:lvl w:ilvl="0">
      <w:lvlJc w:val="left"/>
      <w:lvlText w:val="(%1)"/>
      <w:numFmt w:val="lowerLetter"/>
      <w:start w:val="2"/>
    </w:lvl>
  </w:abstractNum>
  <w:abstractNum w:abstractNumId="63">
    <w:nsid w:val="631B64D4"/>
    <w:multiLevelType w:val="hybridMultilevel"/>
    <w:lvl w:ilvl="0">
      <w:lvlJc w:val="left"/>
      <w:lvlText w:val="(%1)"/>
      <w:numFmt w:val="lowerLetter"/>
      <w:start w:val="1"/>
    </w:lvl>
    <w:lvl w:ilvl="1">
      <w:lvlJc w:val="left"/>
      <w:lvlText w:val="-"/>
      <w:numFmt w:val="bullet"/>
      <w:start w:val="1"/>
    </w:lvl>
  </w:abstractNum>
  <w:abstractNum w:abstractNumId="64">
    <w:nsid w:val="78B5E776"/>
    <w:multiLevelType w:val="hybridMultilevel"/>
    <w:lvl w:ilvl="0">
      <w:lvlJc w:val="left"/>
      <w:lvlText w:val="(%1)"/>
      <w:numFmt w:val="lowerLetter"/>
      <w:start w:val="2"/>
    </w:lvl>
    <w:lvl w:ilvl="1">
      <w:lvlJc w:val="left"/>
      <w:lvlText w:val="(%2)"/>
      <w:numFmt w:val="upperLetter"/>
      <w:start w:val="1"/>
    </w:lvl>
    <w:lvl w:ilvl="2">
      <w:lvlJc w:val="left"/>
      <w:lvlText w:val="-"/>
      <w:numFmt w:val="bullet"/>
      <w:start w:val="1"/>
    </w:lvl>
  </w:abstractNum>
  <w:abstractNum w:abstractNumId="65">
    <w:nsid w:val="75486E47"/>
    <w:multiLevelType w:val="hybridMultilevel"/>
    <w:lvl w:ilvl="0">
      <w:lvlJc w:val="left"/>
      <w:lvlText w:val="%1"/>
      <w:numFmt w:val="lowerLetter"/>
      <w:start w:val="1"/>
    </w:lvl>
    <w:lvl w:ilvl="1">
      <w:lvlJc w:val="left"/>
      <w:lvlText w:val="(%2)"/>
      <w:numFmt w:val="upperLetter"/>
      <w:start w:val="7"/>
    </w:lvl>
  </w:abstractNum>
  <w:abstractNum w:abstractNumId="66">
    <w:nsid w:val="6E534CDE"/>
    <w:multiLevelType w:val="hybridMultilevel"/>
    <w:lvl w:ilvl="0">
      <w:lvlJc w:val="left"/>
      <w:lvlText w:val="(%1)"/>
      <w:numFmt w:val="lowerLetter"/>
      <w:start w:val="3"/>
    </w:lvl>
    <w:lvl w:ilvl="1">
      <w:lvlJc w:val="left"/>
      <w:lvlText w:val="%2"/>
      <w:numFmt w:val="upperLetter"/>
      <w:start w:val="1"/>
    </w:lvl>
  </w:abstractNum>
  <w:abstractNum w:abstractNumId="67">
    <w:nsid w:val="1A0DDE32"/>
    <w:multiLevelType w:val="hybridMultilevel"/>
    <w:lvl w:ilvl="0">
      <w:lvlJc w:val="left"/>
      <w:lvlText w:val="(%1)"/>
      <w:numFmt w:val="lowerLetter"/>
      <w:start w:val="1"/>
    </w:lvl>
    <w:lvl w:ilvl="1">
      <w:lvlJc w:val="left"/>
      <w:lvlText w:val="-"/>
      <w:numFmt w:val="bullet"/>
      <w:start w:val="1"/>
    </w:lvl>
  </w:abstractNum>
  <w:abstractNum w:abstractNumId="68">
    <w:nsid w:val="65968C1C"/>
    <w:multiLevelType w:val="hybridMultilevel"/>
    <w:lvl w:ilvl="0">
      <w:lvlJc w:val="left"/>
      <w:lvlText w:val="(%1)"/>
      <w:numFmt w:val="lowerLetter"/>
      <w:start w:val="2"/>
    </w:lvl>
  </w:abstractNum>
  <w:abstractNum w:abstractNumId="69">
    <w:nsid w:val="46263DEC"/>
    <w:multiLevelType w:val="hybridMultilevel"/>
    <w:lvl w:ilvl="0">
      <w:lvlJc w:val="left"/>
      <w:lvlText w:val="(%1)"/>
      <w:numFmt w:val="lowerLetter"/>
      <w:start w:val="1"/>
    </w:lvl>
    <w:lvl w:ilvl="1">
      <w:lvlJc w:val="left"/>
      <w:lvlText w:val="-"/>
      <w:numFmt w:val="bullet"/>
      <w:start w:val="1"/>
    </w:lvl>
  </w:abstractNum>
  <w:abstractNum w:abstractNumId="70">
    <w:nsid w:val="260D8C4A"/>
    <w:multiLevelType w:val="hybridMultilevel"/>
    <w:lvl w:ilvl="0">
      <w:lvlJc w:val="left"/>
      <w:lvlText w:val="(%1)"/>
      <w:numFmt w:val="lowerLetter"/>
      <w:start w:val="3"/>
    </w:lvl>
  </w:abstractNum>
  <w:abstractNum w:abstractNumId="71">
    <w:nsid w:val="73D4D3C4"/>
    <w:multiLevelType w:val="hybridMultilevel"/>
    <w:lvl w:ilvl="0">
      <w:lvlJc w:val="left"/>
      <w:lvlText w:val="(%1)"/>
      <w:numFmt w:val="lowerLetter"/>
      <w:start w:val="1"/>
    </w:lvl>
    <w:lvl w:ilvl="1">
      <w:lvlJc w:val="left"/>
      <w:lvlText w:val="-"/>
      <w:numFmt w:val="bullet"/>
      <w:start w:val="1"/>
    </w:lvl>
  </w:abstractNum>
  <w:abstractNum w:abstractNumId="72">
    <w:nsid w:val="746F2E30"/>
    <w:multiLevelType w:val="hybridMultilevel"/>
    <w:lvl w:ilvl="0">
      <w:lvlJc w:val="left"/>
      <w:lvlText w:val="(%1)"/>
      <w:numFmt w:val="lowerLetter"/>
      <w:start w:val="2"/>
    </w:lvl>
  </w:abstractNum>
  <w:abstractNum w:abstractNumId="73">
    <w:nsid w:val="6FDE8AF6"/>
    <w:multiLevelType w:val="hybridMultilevel"/>
    <w:lvl w:ilvl="0">
      <w:lvlJc w:val="left"/>
      <w:lvlText w:val="(%1)"/>
      <w:numFmt w:val="lowerLetter"/>
      <w:start w:val="1"/>
    </w:lvl>
    <w:lvl w:ilvl="1">
      <w:lvlJc w:val="left"/>
      <w:lvlText w:val="-"/>
      <w:numFmt w:val="bullet"/>
      <w:start w:val="1"/>
    </w:lvl>
  </w:abstractNum>
  <w:abstractNum w:abstractNumId="74">
    <w:nsid w:val="3FC32E20"/>
    <w:multiLevelType w:val="hybridMultilevel"/>
    <w:lvl w:ilvl="0">
      <w:lvlJc w:val="left"/>
      <w:lvlText w:val="(%1)"/>
      <w:numFmt w:val="lowerLetter"/>
      <w:start w:val="2"/>
    </w:lvl>
  </w:abstractNum>
  <w:abstractNum w:abstractNumId="75">
    <w:nsid w:val="49C0E823"/>
    <w:multiLevelType w:val="hybridMultilevel"/>
    <w:lvl w:ilvl="0">
      <w:lvlJc w:val="left"/>
      <w:lvlText w:val="(%1)"/>
      <w:numFmt w:val="lowerLetter"/>
      <w:start w:val="1"/>
    </w:lvl>
    <w:lvl w:ilvl="1">
      <w:lvlJc w:val="left"/>
      <w:lvlText w:val="-"/>
      <w:numFmt w:val="bullet"/>
      <w:start w:val="1"/>
    </w:lvl>
  </w:abstractNum>
  <w:abstractNum w:abstractNumId="76">
    <w:nsid w:val="14D53685"/>
    <w:multiLevelType w:val="hybridMultilevel"/>
    <w:lvl w:ilvl="0">
      <w:lvlJc w:val="left"/>
      <w:lvlText w:val="%1"/>
      <w:numFmt w:val="upperLetter"/>
      <w:start w:val="1"/>
    </w:lvl>
    <w:lvl w:ilvl="1">
      <w:lvlJc w:val="left"/>
      <w:lvlText w:val="(%2)"/>
      <w:numFmt w:val="lowerLetter"/>
      <w:start w:val="3"/>
    </w:lvl>
  </w:abstractNum>
  <w:abstractNum w:abstractNumId="77">
    <w:nsid w:val="230F856C"/>
    <w:multiLevelType w:val="hybridMultilevel"/>
    <w:lvl w:ilvl="0">
      <w:lvlJc w:val="left"/>
      <w:lvlText w:val="(%1)"/>
      <w:numFmt w:val="upperLetter"/>
      <w:start w:val="2"/>
    </w:lvl>
    <w:lvl w:ilvl="1">
      <w:lvlJc w:val="left"/>
      <w:lvlText w:val="%2"/>
      <w:numFmt w:val="lowerLetter"/>
      <w:start w:val="1"/>
    </w:lvl>
  </w:abstractNum>
  <w:abstractNum w:abstractNumId="78">
    <w:nsid w:val="6EAA85FB"/>
    <w:multiLevelType w:val="hybridMultilevel"/>
    <w:lvl w:ilvl="0">
      <w:lvlJc w:val="left"/>
      <w:lvlText w:val="(%1)"/>
      <w:numFmt w:val="lowerLetter"/>
      <w:start w:val="1"/>
    </w:lvl>
    <w:lvl w:ilvl="1">
      <w:lvlJc w:val="left"/>
      <w:lvlText w:val="-"/>
      <w:numFmt w:val="bullet"/>
      <w:start w:val="1"/>
    </w:lvl>
  </w:abstractNum>
  <w:abstractNum w:abstractNumId="79">
    <w:nsid w:val="3F06ECB2"/>
    <w:multiLevelType w:val="hybridMultilevel"/>
    <w:lvl w:ilvl="0">
      <w:lvlJc w:val="left"/>
      <w:lvlText w:val="(%1)"/>
      <w:numFmt w:val="lowerLetter"/>
      <w:start w:val="2"/>
    </w:lvl>
  </w:abstractNum>
  <w:abstractNum w:abstractNumId="80">
    <w:nsid w:val="3B594807"/>
    <w:multiLevelType w:val="hybridMultilevel"/>
    <w:lvl w:ilvl="0">
      <w:lvlJc w:val="left"/>
      <w:lvlText w:val="(%1)"/>
      <w:numFmt w:val="lowerLetter"/>
      <w:start w:val="2"/>
    </w:lvl>
  </w:abstractNum>
  <w:abstractNum w:abstractNumId="81">
    <w:nsid w:val="6CAA2304"/>
    <w:multiLevelType w:val="hybridMultilevel"/>
    <w:lvl w:ilvl="0">
      <w:lvlJc w:val="left"/>
      <w:lvlText w:val="(%1)"/>
      <w:numFmt w:val="lowerLetter"/>
      <w:start w:val="7"/>
    </w:lvl>
  </w:abstractNum>
  <w:abstractNum w:abstractNumId="82">
    <w:nsid w:val="3F7C2FF4"/>
    <w:multiLevelType w:val="hybridMultilevel"/>
    <w:lvl w:ilvl="0">
      <w:lvlJc w:val="left"/>
      <w:lvlText w:val="(%1)"/>
      <w:numFmt w:val="lowerLetter"/>
      <w:start w:val="2"/>
    </w:lvl>
  </w:abstractNum>
  <w:abstractNum w:abstractNumId="83">
    <w:nsid w:val="25413BEC"/>
    <w:multiLevelType w:val="hybridMultilevel"/>
    <w:lvl w:ilvl="0">
      <w:lvlJc w:val="left"/>
      <w:lvlText w:val="(%1)"/>
      <w:numFmt w:val="lowerLetter"/>
      <w:start w:val="1"/>
    </w:lvl>
  </w:abstractNum>
  <w:abstractNum w:abstractNumId="84">
    <w:nsid w:val="17180B0B"/>
    <w:multiLevelType w:val="hybridMultilevel"/>
    <w:lvl w:ilvl="0">
      <w:lvlJc w:val="left"/>
      <w:lvlText w:val="(%1)"/>
      <w:numFmt w:val="lowerLetter"/>
      <w:start w:val="1"/>
    </w:lvl>
  </w:abstractNum>
  <w:abstractNum w:abstractNumId="85">
    <w:nsid w:val="579328B9"/>
    <w:multiLevelType w:val="hybridMultilevel"/>
    <w:lvl w:ilvl="0">
      <w:lvlJc w:val="left"/>
      <w:lvlText w:val="(%1)"/>
      <w:numFmt w:val="lowerLetter"/>
      <w:start w:val="1"/>
    </w:lvl>
    <w:lvl w:ilvl="1">
      <w:lvlJc w:val="left"/>
      <w:lvlText w:val="-"/>
      <w:numFmt w:val="bullet"/>
      <w:start w:val="1"/>
    </w:lvl>
  </w:abstractNum>
  <w:abstractNum w:abstractNumId="86">
    <w:nsid w:val="5D205E20"/>
    <w:multiLevelType w:val="hybridMultilevel"/>
    <w:lvl w:ilvl="0">
      <w:lvlJc w:val="left"/>
      <w:lvlText w:val="(%1)"/>
      <w:numFmt w:val="lowerLetter"/>
      <w:start w:val="4"/>
    </w:lvl>
  </w:abstractNum>
  <w:abstractNum w:abstractNumId="87">
    <w:nsid w:val="11CCA8BA"/>
    <w:multiLevelType w:val="hybridMultilevel"/>
    <w:lvl w:ilvl="0">
      <w:lvlJc w:val="left"/>
      <w:lvlText w:val="(%1)"/>
      <w:numFmt w:val="lowerLetter"/>
      <w:start w:val="1"/>
    </w:lvl>
    <w:lvl w:ilvl="1">
      <w:lvlJc w:val="left"/>
      <w:lvlText w:val="-"/>
      <w:numFmt w:val="bullet"/>
      <w:start w:val="1"/>
    </w:lvl>
  </w:abstractNum>
  <w:abstractNum w:abstractNumId="88">
    <w:nsid w:val="4D32AB86"/>
    <w:multiLevelType w:val="hybridMultilevel"/>
    <w:lvl w:ilvl="0">
      <w:lvlJc w:val="left"/>
      <w:lvlText w:val="(%1)"/>
      <w:numFmt w:val="lowerLetter"/>
      <w:start w:val="1"/>
    </w:lvl>
  </w:abstractNum>
  <w:abstractNum w:abstractNumId="89">
    <w:nsid w:val="3F07ACC3"/>
    <w:multiLevelType w:val="hybridMultilevel"/>
    <w:lvl w:ilvl="0">
      <w:lvlJc w:val="left"/>
      <w:lvlText w:val="%1."/>
      <w:numFmt w:val="decimal"/>
      <w:start w:val="1"/>
    </w:lvl>
  </w:abstractNum>
  <w:abstractNum w:abstractNumId="90">
    <w:nsid w:val="6B47F63E"/>
    <w:multiLevelType w:val="hybridMultilevel"/>
    <w:lvl w:ilvl="0">
      <w:lvlJc w:val="left"/>
      <w:lvlText w:val="%1."/>
      <w:numFmt w:val="decimal"/>
      <w:start w:val="5"/>
    </w:lvl>
  </w:abstractNum>
  <w:abstractNum w:abstractNumId="91">
    <w:nsid w:val="5CB44A05"/>
    <w:multiLevelType w:val="hybridMultilevel"/>
    <w:lvl w:ilvl="0">
      <w:lvlJc w:val="left"/>
      <w:lvlText w:val="%1."/>
      <w:numFmt w:val="decimal"/>
      <w:start w:val="10"/>
    </w:lvl>
    <w:lvl w:ilvl="1">
      <w:lvlJc w:val="left"/>
      <w:lvlText w:val="(%2)"/>
      <w:numFmt w:val="lowerLetter"/>
      <w:start w:val="1"/>
    </w:lvl>
  </w:abstractNum>
  <w:abstractNum w:abstractNumId="92">
    <w:nsid w:val="16CF80F1"/>
    <w:multiLevelType w:val="hybridMultilevel"/>
    <w:lvl w:ilvl="0">
      <w:lvlJc w:val="left"/>
      <w:lvlText w:val="%1."/>
      <w:numFmt w:val="decimal"/>
      <w:start w:val="11"/>
    </w:lvl>
  </w:abstractNum>
  <w:abstractNum w:abstractNumId="93">
    <w:nsid w:val="1C695DEC"/>
    <w:multiLevelType w:val="hybridMultilevel"/>
    <w:lvl w:ilvl="0">
      <w:lvlJc w:val="left"/>
      <w:lvlText w:val="%1."/>
      <w:numFmt w:val="decimal"/>
      <w:start w:val="17"/>
    </w:lvl>
  </w:abstractNum>
  <w:abstractNum w:abstractNumId="94">
    <w:nsid w:val="3FCFAED9"/>
    <w:multiLevelType w:val="hybridMultilevel"/>
    <w:lvl w:ilvl="0">
      <w:lvlJc w:val="left"/>
      <w:lvlText w:val="(%1)"/>
      <w:numFmt w:val="lowerRoman"/>
      <w:start w:val="1"/>
    </w:lvl>
  </w:abstractNum>
  <w:abstractNum w:abstractNumId="95">
    <w:nsid w:val="F856867"/>
    <w:multiLevelType w:val="hybridMultilevel"/>
    <w:lvl w:ilvl="0">
      <w:lvlJc w:val="left"/>
      <w:lvlText w:val="%1"/>
      <w:numFmt w:val="lowerLetter"/>
      <w:start w:val="1"/>
    </w:lvl>
    <w:lvl w:ilvl="1">
      <w:lvlJc w:val="left"/>
      <w:lvlText w:val="(%2)"/>
      <w:numFmt w:val="lowerLetter"/>
      <w:start w:val="1"/>
    </w:lvl>
  </w:abstractNum>
  <w:abstractNum w:abstractNumId="96">
    <w:nsid w:val="11B1CC33"/>
    <w:multiLevelType w:val="hybridMultilevel"/>
    <w:lvl w:ilvl="0">
      <w:lvlJc w:val="left"/>
      <w:lvlText w:val="(%1)"/>
      <w:numFmt w:val="lowerLetter"/>
      <w:start w:val="35"/>
    </w:lvl>
    <w:lvl w:ilvl="1">
      <w:lvlJc w:val="left"/>
      <w:lvlText w:val="(%2)"/>
      <w:numFmt w:val="lowerLetter"/>
      <w:start w:val="4"/>
    </w:lvl>
  </w:abstractNum>
  <w:abstractNum w:abstractNumId="97">
    <w:nsid w:val="2E22FBB7"/>
    <w:multiLevelType w:val="hybridMultilevel"/>
    <w:lvl w:ilvl="0">
      <w:lvlJc w:val="left"/>
      <w:lvlText w:val="(%1)"/>
      <w:numFmt w:val="lowerLetter"/>
      <w:start w:val="7"/>
    </w:lvl>
  </w:abstractNum>
  <w:abstractNum w:abstractNumId="98">
    <w:nsid w:val="29934699"/>
    <w:multiLevelType w:val="hybridMultilevel"/>
    <w:lvl w:ilvl="0">
      <w:lvlJc w:val="left"/>
      <w:lvlText w:val="%1"/>
      <w:numFmt w:val="decimal"/>
      <w:start w:val="1"/>
    </w:lvl>
    <w:lvl w:ilvl="1">
      <w:lvlJc w:val="left"/>
      <w:lvlText w:val="(%2)"/>
      <w:numFmt w:val="lowerRoman"/>
      <w:start w:val="1"/>
    </w:lvl>
  </w:abstractNum>
  <w:abstractNum w:abstractNumId="99">
    <w:nsid w:val="77485850"/>
    <w:multiLevelType w:val="hybridMultilevel"/>
    <w:lvl w:ilvl="0">
      <w:lvlJc w:val="left"/>
      <w:lvlText w:val="(%1)"/>
      <w:numFmt w:val="decimal"/>
      <w:start w:val="90"/>
    </w:lvl>
    <w:lvl w:ilvl="1">
      <w:lvlJc w:val="left"/>
      <w:lvlText w:val="(%2)"/>
      <w:numFmt w:val="lowerRoman"/>
      <w:start w:val="4"/>
    </w:lvl>
  </w:abstractNum>
  <w:abstractNum w:abstractNumId="100">
    <w:nsid w:val="744939A3"/>
    <w:multiLevelType w:val="hybridMultilevel"/>
    <w:lvl w:ilvl="0">
      <w:lvlJc w:val="left"/>
      <w:lvlText w:val="(%1)"/>
      <w:numFmt w:val="decimal"/>
      <w:start w:val="30"/>
    </w:lvl>
    <w:lvl w:ilvl="1">
      <w:lvlJc w:val="left"/>
      <w:lvlText w:val="%2"/>
      <w:numFmt w:val="lowerRoman"/>
      <w:start w:val="1"/>
    </w:lvl>
  </w:abstractNum>
  <w:abstractNum w:abstractNumId="101">
    <w:nsid w:val="4FA0D2E3"/>
    <w:multiLevelType w:val="hybridMultilevel"/>
    <w:lvl w:ilvl="0">
      <w:lvlJc w:val="left"/>
      <w:lvlText w:val="(%1)"/>
      <w:numFmt w:val="upperLetter"/>
      <w:start w:val="2"/>
    </w:lvl>
    <w:lvl w:ilvl="1">
      <w:lvlJc w:val="left"/>
      <w:lvlText w:val="(%2)"/>
      <w:numFmt w:val="lowerRoman"/>
      <w:start w:val="1"/>
    </w:lvl>
  </w:abstractNum>
  <w:abstractNum w:abstractNumId="102">
    <w:nsid w:val="6B1D2C14"/>
    <w:multiLevelType w:val="hybridMultilevel"/>
    <w:lvl w:ilvl="0">
      <w:lvlJc w:val="left"/>
      <w:lvlText w:val="(%1)"/>
      <w:numFmt w:val="lowerRoman"/>
      <w:start w:val="2"/>
    </w:lvl>
  </w:abstractNum>
  <w:abstractNum w:abstractNumId="103">
    <w:nsid w:val="68B867D3"/>
    <w:multiLevelType w:val="hybridMultilevel"/>
    <w:lvl w:ilvl="0">
      <w:lvlJc w:val="left"/>
      <w:lvlText w:val="(%1)"/>
      <w:numFmt w:val="lowerLetter"/>
      <w:start w:val="1"/>
    </w:lvl>
  </w:abstractNum>
  <w:abstractNum w:abstractNumId="104">
    <w:nsid w:val="3F7F5DD9"/>
    <w:multiLevelType w:val="hybridMultilevel"/>
    <w:lvl w:ilvl="0">
      <w:lvlJc w:val="left"/>
      <w:lvlText w:val="(%1)"/>
      <w:numFmt w:val="lowerLetter"/>
      <w:start w:val="2"/>
    </w:lvl>
  </w:abstractNum>
  <w:abstractNum w:abstractNumId="105">
    <w:nsid w:val="2AE05A34"/>
    <w:multiLevelType w:val="hybridMultilevel"/>
    <w:lvl w:ilvl="0">
      <w:lvlJc w:val="left"/>
      <w:lvlText w:val="%1"/>
      <w:numFmt w:val="lowerLetter"/>
      <w:start w:val="1"/>
    </w:lvl>
    <w:lvl w:ilvl="1">
      <w:lvlJc w:val="left"/>
      <w:lvlText w:val="(%2)"/>
      <w:numFmt w:val="lowerLetter"/>
      <w:start w:val="4"/>
    </w:lvl>
  </w:abstractNum>
  <w:abstractNum w:abstractNumId="106">
    <w:nsid w:val="32794FF7"/>
    <w:multiLevelType w:val="hybridMultilevel"/>
    <w:lvl w:ilvl="0">
      <w:lvlJc w:val="left"/>
      <w:lvlText w:val="(%1)"/>
      <w:numFmt w:val="lowerLetter"/>
      <w:start w:val="61"/>
    </w:lvl>
    <w:lvl w:ilvl="1">
      <w:lvlJc w:val="left"/>
      <w:lvlText w:val="%2"/>
      <w:numFmt w:val="lowerLetter"/>
      <w:start w:val="1"/>
    </w:lvl>
  </w:abstractNum>
  <w:abstractNum w:abstractNumId="107">
    <w:nsid w:val="5454945E"/>
    <w:multiLevelType w:val="hybridMultilevel"/>
    <w:lvl w:ilvl="0">
      <w:lvlJc w:val="left"/>
      <w:lvlText w:val="(%1)"/>
      <w:numFmt w:val="lowerLetter"/>
      <w:start w:val="2"/>
    </w:lvl>
    <w:lvl w:ilvl="1">
      <w:lvlJc w:val="left"/>
      <w:lvlText w:val="(%2)"/>
      <w:numFmt w:val="lowerRoman"/>
      <w:start w:val="1"/>
    </w:lvl>
  </w:abstractNum>
  <w:abstractNum w:abstractNumId="108">
    <w:nsid w:val="4DEFDFA0"/>
    <w:multiLevelType w:val="hybridMultilevel"/>
    <w:lvl w:ilvl="0">
      <w:lvlJc w:val="left"/>
      <w:lvlText w:val="[*]"/>
      <w:numFmt w:val="bullet"/>
      <w:start w:val="1"/>
    </w:lvl>
  </w:abstractNum>
  <w:abstractNum w:abstractNumId="109">
    <w:nsid w:val="2123D5F2"/>
    <w:multiLevelType w:val="hybridMultilevel"/>
    <w:lvl w:ilvl="0">
      <w:lvlJc w:val="left"/>
      <w:lvlText w:val="(%1)"/>
      <w:numFmt w:val="lowerLetter"/>
      <w:start w:val="1"/>
    </w:lvl>
  </w:abstractNum>
  <w:abstractNum w:abstractNumId="110">
    <w:nsid w:val="135B811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1">
    <w:nsid w:val="94927A8"/>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3"/>
    </w:lvl>
  </w:abstractNum>
  <w:abstractNum w:abstractNumId="112">
    <w:nsid w:val="DCDF8F6"/>
    <w:multiLevelType w:val="hybridMultilevel"/>
    <w:lvl w:ilvl="0">
      <w:lvlJc w:val="left"/>
      <w:lvlText w:val="(%1)"/>
      <w:numFmt w:val="lowerRoman"/>
      <w:start w:val="1"/>
    </w:lvl>
  </w:abstractNum>
  <w:abstractNum w:abstractNumId="113">
    <w:nsid w:val="52D7B105"/>
    <w:multiLevelType w:val="hybridMultilevel"/>
    <w:lvl w:ilvl="0">
      <w:lvlJc w:val="left"/>
      <w:lvlText w:val="(%1)"/>
      <w:numFmt w:val="lowerRoman"/>
      <w:start w:val="1"/>
    </w:lvl>
  </w:abstractNum>
  <w:abstractNum w:abstractNumId="114">
    <w:nsid w:val="2E8A6394"/>
    <w:multiLevelType w:val="hybridMultilevel"/>
    <w:lvl w:ilvl="0">
      <w:lvlJc w:val="left"/>
      <w:lvlText w:val="(%1)"/>
      <w:numFmt w:val="lowerRoman"/>
      <w:start w:val="10"/>
    </w:lvl>
    <w:lvl w:ilvl="1">
      <w:lvlJc w:val="left"/>
      <w:lvlText w:val="(%2)"/>
      <w:numFmt w:val="lowerRoman"/>
      <w:start w:val="1"/>
    </w:lvl>
  </w:abstractNum>
  <w:abstractNum w:abstractNumId="115">
    <w:nsid w:val="24E60401"/>
    <w:multiLevelType w:val="hybridMultilevel"/>
    <w:lvl w:ilvl="0">
      <w:lvlJc w:val="left"/>
      <w:lvlText w:val="(%1)"/>
      <w:numFmt w:val="lowerLetter"/>
      <w:start w:val="1"/>
    </w:lvl>
    <w:lvl w:ilvl="1">
      <w:lvlJc w:val="left"/>
      <w:lvlText w:val="(%2)"/>
      <w:numFmt w:val="lowerRoman"/>
      <w:start w:val="1"/>
    </w:lvl>
  </w:abstractNum>
  <w:abstractNum w:abstractNumId="116">
    <w:nsid w:val="2A6AD9BE"/>
    <w:multiLevelType w:val="hybridMultilevel"/>
    <w:lvl w:ilvl="0">
      <w:lvlJc w:val="left"/>
      <w:lvlText w:val="(%1)"/>
      <w:numFmt w:val="lowerLetter"/>
      <w:start w:val="4"/>
    </w:lvl>
  </w:abstractNum>
  <w:abstractNum w:abstractNumId="117">
    <w:nsid w:val="BAAC1B4"/>
    <w:multiLevelType w:val="hybridMultilevel"/>
    <w:lvl w:ilvl="0">
      <w:lvlJc w:val="left"/>
      <w:lvlText w:val="(%1)"/>
      <w:numFmt w:val="lowerLetter"/>
      <w:start w:val="1"/>
    </w:lvl>
  </w:abstractNum>
  <w:abstractNum w:abstractNumId="118">
    <w:nsid w:val="36B2ACBC"/>
    <w:multiLevelType w:val="hybridMultilevel"/>
    <w:lvl w:ilvl="0">
      <w:lvlJc w:val="left"/>
      <w:lvlText w:val="(%1)"/>
      <w:numFmt w:val="lowerLetter"/>
      <w:start w:val="5"/>
    </w:lvl>
  </w:abstractNum>
  <w:abstractNum w:abstractNumId="119">
    <w:nsid w:val="779D8544"/>
    <w:multiLevelType w:val="hybridMultilevel"/>
    <w:lvl w:ilvl="0">
      <w:lvlJc w:val="left"/>
      <w:lvlText w:val="(%1)"/>
      <w:numFmt w:val="lowerLetter"/>
      <w:start w:val="9"/>
    </w:lvl>
    <w:lvl w:ilvl="1">
      <w:lvlJc w:val="left"/>
      <w:lvlText w:val="(%2)"/>
      <w:numFmt w:val="lowerRoman"/>
      <w:start w:val="1"/>
    </w:lvl>
  </w:abstractNum>
  <w:abstractNum w:abstractNumId="120">
    <w:nsid w:val="4AB26E78"/>
    <w:multiLevelType w:val="hybridMultilevel"/>
    <w:lvl w:ilvl="0">
      <w:lvlJc w:val="left"/>
      <w:lvlText w:val="%1"/>
      <w:numFmt w:val="decimal"/>
      <w:start w:val="1"/>
    </w:lvl>
    <w:lvl w:ilvl="1">
      <w:lvlJc w:val="left"/>
      <w:lvlText w:val="(%2)"/>
      <w:numFmt w:val="lowerLetter"/>
      <w:start w:val="1"/>
    </w:lvl>
  </w:abstractNum>
  <w:abstractNum w:abstractNumId="121">
    <w:nsid w:val="21FAA2FA"/>
    <w:multiLevelType w:val="hybridMultilevel"/>
    <w:lvl w:ilvl="0">
      <w:lvlJc w:val="left"/>
      <w:lvlText w:val="(%1)"/>
      <w:numFmt w:val="decimal"/>
      <w:start w:val="120"/>
    </w:lvl>
    <w:lvl w:ilvl="1">
      <w:lvlJc w:val="left"/>
      <w:lvlText w:val="%2"/>
      <w:numFmt w:val="lowerLetter"/>
      <w:start w:val="1"/>
    </w:lvl>
  </w:abstractNum>
  <w:abstractNum w:abstractNumId="122">
    <w:nsid w:val="5451CF49"/>
    <w:multiLevelType w:val="hybridMultilevel"/>
    <w:lvl w:ilvl="0">
      <w:lvlJc w:val="left"/>
      <w:lvlText w:val="(%1)"/>
      <w:numFmt w:val="decimal"/>
      <w:start w:val="45"/>
    </w:lvl>
    <w:lvl w:ilvl="1">
      <w:lvlJc w:val="left"/>
      <w:lvlText w:val="%2"/>
      <w:numFmt w:val="lowerLetter"/>
      <w:start w:val="1"/>
    </w:lvl>
  </w:abstractNum>
  <w:abstractNum w:abstractNumId="123">
    <w:nsid w:val="6181EF69"/>
    <w:multiLevelType w:val="hybridMultilevel"/>
    <w:lvl w:ilvl="0">
      <w:lvlJc w:val="left"/>
      <w:lvlText w:val="(%1)"/>
      <w:numFmt w:val="lowerLetter"/>
      <w:start w:val="2"/>
    </w:lvl>
  </w:abstractNum>
  <w:abstractNum w:abstractNumId="124">
    <w:nsid w:val="3E6400E6"/>
    <w:multiLevelType w:val="hybridMultilevel"/>
    <w:lvl w:ilvl="0">
      <w:lvlJc w:val="left"/>
      <w:lvlText w:val="(%1)"/>
      <w:numFmt w:val="lowerLetter"/>
      <w:start w:val="7"/>
    </w:lvl>
  </w:abstractNum>
  <w:abstractNum w:abstractNumId="125">
    <w:nsid w:val="14217E23"/>
    <w:multiLevelType w:val="hybridMultilevel"/>
    <w:lvl w:ilvl="0">
      <w:lvlJc w:val="left"/>
      <w:lvlText w:val="(%1)"/>
      <w:numFmt w:val="lowerLetter"/>
      <w:start w:val="13"/>
    </w:lvl>
    <w:lvl w:ilvl="1">
      <w:lvlJc w:val="left"/>
      <w:lvlText w:val="(%2)"/>
      <w:numFmt w:val="lowerRoman"/>
      <w:start w:val="1"/>
    </w:lvl>
    <w:lvl w:ilvl="2">
      <w:lvlJc w:val="left"/>
      <w:lvlText w:val="(%3)"/>
      <w:numFmt w:val="upperLetter"/>
      <w:start w:val="1"/>
    </w:lvl>
  </w:abstractNum>
  <w:abstractNum w:abstractNumId="126">
    <w:nsid w:val="710757D0"/>
    <w:multiLevelType w:val="hybridMultilevel"/>
    <w:lvl w:ilvl="0">
      <w:lvlJc w:val="left"/>
      <w:lvlText w:val="(%1)"/>
      <w:numFmt w:val="upperLetter"/>
      <w:start w:val="3"/>
    </w:lvl>
  </w:abstractNum>
  <w:abstractNum w:abstractNumId="127">
    <w:nsid w:val="5015CD1A"/>
    <w:multiLevelType w:val="hybridMultilevel"/>
    <w:lvl w:ilvl="0">
      <w:lvlJc w:val="left"/>
      <w:lvlText w:val="%1"/>
      <w:numFmt w:val="lowerRoman"/>
      <w:start w:val="1"/>
    </w:lvl>
    <w:lvl w:ilvl="1">
      <w:lvlJc w:val="left"/>
      <w:lvlText w:val="(%2)"/>
      <w:numFmt w:val="upperLetter"/>
      <w:start w:val="8"/>
    </w:lvl>
  </w:abstractNum>
  <w:abstractNum w:abstractNumId="128">
    <w:nsid w:val="424479DA"/>
    <w:multiLevelType w:val="hybridMultilevel"/>
    <w:lvl w:ilvl="0">
      <w:lvlJc w:val="left"/>
      <w:lvlText w:val="(%1)"/>
      <w:numFmt w:val="lowerRoman"/>
      <w:start w:val="2"/>
    </w:lvl>
    <w:lvl w:ilvl="1">
      <w:lvlJc w:val="left"/>
      <w:lvlText w:val="%2"/>
      <w:numFmt w:val="upperLetter"/>
      <w:start w:val="1"/>
    </w:lvl>
  </w:abstractNum>
  <w:abstractNum w:abstractNumId="129">
    <w:nsid w:val="1A9A9E69"/>
    <w:multiLevelType w:val="hybridMultilevel"/>
    <w:lvl w:ilvl="0">
      <w:lvlJc w:val="left"/>
      <w:lvlText w:val="(%1)"/>
      <w:numFmt w:val="upperLetter"/>
      <w:start w:val="1"/>
    </w:lvl>
    <w:lvl w:ilvl="1">
      <w:lvlJc w:val="left"/>
      <w:lvlText w:val="(%2)"/>
      <w:numFmt w:val="decimal"/>
      <w:start w:val="1"/>
    </w:lvl>
  </w:abstractNum>
  <w:abstractNum w:abstractNumId="130">
    <w:nsid w:val="475E256A"/>
    <w:multiLevelType w:val="hybridMultilevel"/>
    <w:lvl w:ilvl="0">
      <w:lvlJc w:val="left"/>
      <w:lvlText w:val="(%1)"/>
      <w:numFmt w:val="decimal"/>
      <w:start w:val="1"/>
    </w:lvl>
  </w:abstractNum>
  <w:abstractNum w:abstractNumId="131">
    <w:nsid w:val="368DB37E"/>
    <w:multiLevelType w:val="hybridMultilevel"/>
    <w:lvl w:ilvl="0">
      <w:lvlJc w:val="left"/>
      <w:lvlText w:val="(%1)"/>
      <w:numFmt w:val="decimal"/>
      <w:start w:val="2"/>
    </w:lvl>
  </w:abstractNum>
  <w:abstractNum w:abstractNumId="132">
    <w:nsid w:val="6A3B714C"/>
    <w:multiLevelType w:val="hybridMultilevel"/>
    <w:lvl w:ilvl="0">
      <w:lvlJc w:val="left"/>
      <w:lvlText w:val="%1"/>
      <w:numFmt w:val="lowerLetter"/>
      <w:start w:val="1"/>
    </w:lvl>
    <w:lvl w:ilvl="1">
      <w:lvlJc w:val="left"/>
      <w:lvlText w:val="(%2)"/>
      <w:numFmt w:val="lowerLetter"/>
      <w:start w:val="61"/>
    </w:lvl>
  </w:abstractNum>
  <w:abstractNum w:abstractNumId="133">
    <w:nsid w:val="327B517E"/>
    <w:multiLevelType w:val="hybridMultilevel"/>
    <w:lvl w:ilvl="0">
      <w:lvlJc w:val="left"/>
      <w:lvlText w:val="(%1)"/>
      <w:numFmt w:val="lowerLetter"/>
      <w:start w:val="16"/>
    </w:lvl>
    <w:lvl w:ilvl="1">
      <w:lvlJc w:val="left"/>
      <w:lvlText w:val="(%2)"/>
      <w:numFmt w:val="lowerLetter"/>
      <w:start w:val="9"/>
    </w:lvl>
  </w:abstractNum>
  <w:abstractNum w:abstractNumId="134">
    <w:nsid w:val="1F461B51"/>
    <w:multiLevelType w:val="hybridMultilevel"/>
    <w:lvl w:ilvl="0">
      <w:lvlJc w:val="left"/>
      <w:lvlText w:val="%1"/>
      <w:numFmt w:val="lowerLetter"/>
      <w:start w:val="1"/>
    </w:lvl>
    <w:lvl w:ilvl="1">
      <w:lvlJc w:val="left"/>
      <w:lvlText w:val="(%2)"/>
      <w:numFmt w:val="lowerRoman"/>
      <w:start w:val="2"/>
    </w:lvl>
  </w:abstractNum>
  <w:abstractNum w:abstractNumId="135">
    <w:nsid w:val="29BACF25"/>
    <w:multiLevelType w:val="hybridMultilevel"/>
    <w:lvl w:ilvl="0">
      <w:lvlJc w:val="left"/>
      <w:lvlText w:val="(%1)"/>
      <w:numFmt w:val="lowerLetter"/>
      <w:start w:val="25"/>
    </w:lvl>
    <w:lvl w:ilvl="1">
      <w:lvlJc w:val="left"/>
      <w:lvlText w:val="(%2)"/>
      <w:numFmt w:val="lowerRoman"/>
      <w:start w:val="5"/>
    </w:lvl>
  </w:abstractNum>
  <w:abstractNum w:abstractNumId="136">
    <w:nsid w:val="5D5BABB3"/>
    <w:multiLevelType w:val="hybridMultilevel"/>
    <w:lvl w:ilvl="0">
      <w:lvlJc w:val="left"/>
      <w:lvlText w:val="(%1)"/>
      <w:numFmt w:val="lowerRoman"/>
      <w:start w:val="6"/>
    </w:lvl>
  </w:abstractNum>
  <w:abstractNum w:abstractNumId="137">
    <w:nsid w:val="51BF6B48"/>
    <w:multiLevelType w:val="hybridMultilevel"/>
    <w:lvl w:ilvl="0">
      <w:lvlJc w:val="left"/>
      <w:lvlText w:val="(%1)"/>
      <w:numFmt w:val="lowerRoman"/>
      <w:start w:val="9"/>
    </w:lvl>
  </w:abstractNum>
  <w:abstractNum w:abstractNumId="138">
    <w:nsid w:val="7E0F6384"/>
    <w:multiLevelType w:val="hybridMultilevel"/>
    <w:lvl w:ilvl="0">
      <w:lvlJc w:val="left"/>
      <w:lvlText w:val="%1"/>
      <w:numFmt w:val="lowerLetter"/>
      <w:start w:val="1"/>
    </w:lvl>
    <w:lvl w:ilvl="1">
      <w:lvlJc w:val="left"/>
      <w:lvlText w:val="(%2)"/>
      <w:numFmt w:val="lowerRoman"/>
      <w:start w:val="10"/>
    </w:lvl>
  </w:abstractNum>
  <w:abstractNum w:abstractNumId="139">
    <w:nsid w:val="2B4B8B53"/>
    <w:multiLevelType w:val="hybridMultilevel"/>
    <w:lvl w:ilvl="0">
      <w:lvlJc w:val="left"/>
      <w:lvlText w:val="(%1)"/>
      <w:numFmt w:val="lowerLetter"/>
      <w:start w:val="17"/>
    </w:lvl>
    <w:lvl w:ilvl="1">
      <w:lvlJc w:val="left"/>
      <w:lvlText w:val="(%2)"/>
      <w:numFmt w:val="lowerRoman"/>
      <w:start w:val="1"/>
    </w:lvl>
  </w:abstractNum>
  <w:abstractNum w:abstractNumId="140">
    <w:nsid w:val="72E3413A"/>
    <w:multiLevelType w:val="hybridMultilevel"/>
    <w:lvl w:ilvl="0">
      <w:lvlJc w:val="left"/>
      <w:lvlText w:val="%1"/>
      <w:numFmt w:val="lowerLetter"/>
      <w:start w:val="1"/>
    </w:lvl>
    <w:lvl w:ilvl="1">
      <w:lvlJc w:val="left"/>
      <w:lvlText w:val="(%2)"/>
      <w:numFmt w:val="lowerRoman"/>
      <w:start w:val="6"/>
    </w:lvl>
  </w:abstractNum>
  <w:abstractNum w:abstractNumId="141">
    <w:nsid w:val="116AE494"/>
    <w:multiLevelType w:val="hybridMultilevel"/>
    <w:lvl w:ilvl="0">
      <w:lvlJc w:val="left"/>
      <w:lvlText w:val="(%1)"/>
      <w:numFmt w:val="lowerLetter"/>
      <w:start w:val="18"/>
    </w:lvl>
    <w:lvl w:ilvl="1">
      <w:lvlJc w:val="left"/>
      <w:lvlText w:val="(%2)"/>
      <w:numFmt w:val="lowerRoman"/>
      <w:start w:val="1"/>
    </w:lvl>
  </w:abstractNum>
  <w:abstractNum w:abstractNumId="142">
    <w:nsid w:val="3494B2FB"/>
    <w:multiLevelType w:val="hybridMultilevel"/>
    <w:lvl w:ilvl="0">
      <w:lvlJc w:val="left"/>
      <w:lvlText w:val="(%1)"/>
      <w:numFmt w:val="lowerLetter"/>
      <w:start w:val="1"/>
    </w:lvl>
  </w:abstractNum>
  <w:abstractNum w:abstractNumId="143">
    <w:nsid w:val="B13A31"/>
    <w:multiLevelType w:val="hybridMultilevel"/>
    <w:lvl w:ilvl="0">
      <w:lvlJc w:val="left"/>
      <w:lvlText w:val="(%1)"/>
      <w:numFmt w:val="lowerLetter"/>
      <w:start w:val="1"/>
    </w:lvl>
  </w:abstractNum>
  <w:abstractNum w:abstractNumId="144">
    <w:nsid w:val="64429599"/>
    <w:multiLevelType w:val="hybridMultilevel"/>
    <w:lvl w:ilvl="0">
      <w:lvlJc w:val="left"/>
      <w:lvlText w:val="%1"/>
      <w:numFmt w:val="lowerLetter"/>
      <w:start w:val="1"/>
    </w:lvl>
    <w:lvl w:ilvl="1">
      <w:lvlJc w:val="left"/>
      <w:lvlText w:val="(%2)"/>
      <w:numFmt w:val="lowerLetter"/>
      <w:start w:val="2"/>
    </w:lvl>
  </w:abstractNum>
  <w:abstractNum w:abstractNumId="145">
    <w:nsid w:val="631F1690"/>
    <w:multiLevelType w:val="hybridMultilevel"/>
    <w:lvl w:ilvl="0">
      <w:lvlJc w:val="left"/>
      <w:lvlText w:val="(%1)"/>
      <w:numFmt w:val="lowerLetter"/>
      <w:start w:val="35"/>
    </w:lvl>
    <w:lvl w:ilvl="1">
      <w:lvlJc w:val="left"/>
      <w:lvlText w:val="(%2)"/>
      <w:numFmt w:val="lowerLetter"/>
      <w:start w:val="6"/>
    </w:lvl>
  </w:abstractNum>
  <w:abstractNum w:abstractNumId="146">
    <w:nsid w:val="25973E32"/>
    <w:multiLevelType w:val="hybridMultilevel"/>
    <w:lvl w:ilvl="0">
      <w:lvlJc w:val="left"/>
      <w:lvlText w:val="(%1)"/>
      <w:numFmt w:val="lowerLetter"/>
      <w:start w:val="9"/>
    </w:lvl>
  </w:abstractNum>
  <w:abstractNum w:abstractNumId="147">
    <w:nsid w:val="EAD6F57"/>
    <w:multiLevelType w:val="hybridMultilevel"/>
    <w:lvl w:ilvl="0">
      <w:lvlJc w:val="left"/>
      <w:lvlText w:val="(%1)"/>
      <w:numFmt w:val="lowerLetter"/>
      <w:start w:val="13"/>
    </w:lvl>
  </w:abstractNum>
  <w:abstractNum w:abstractNumId="148">
    <w:nsid w:val="6EC9D844"/>
    <w:multiLevelType w:val="hybridMultilevel"/>
    <w:lvl w:ilvl="0">
      <w:lvlJc w:val="left"/>
      <w:lvlText w:val="(%1)"/>
      <w:numFmt w:val="upperLetter"/>
      <w:start w:val="4"/>
    </w:lvl>
  </w:abstractNum>
  <w:abstractNum w:abstractNumId="149">
    <w:nsid w:val="5C49EAEE"/>
    <w:multiLevelType w:val="hybridMultilevel"/>
    <w:lvl w:ilvl="0">
      <w:lvlJc w:val="left"/>
      <w:lvlText w:val="(%1)"/>
      <w:numFmt w:val="lowerLetter"/>
      <w:start w:val="1"/>
    </w:lvl>
  </w:abstractNum>
  <w:abstractNum w:abstractNumId="150">
    <w:nsid w:val="64AF49B"/>
    <w:multiLevelType w:val="hybridMultilevel"/>
    <w:lvl w:ilvl="0">
      <w:lvlJc w:val="left"/>
      <w:lvlText w:val="(%1)"/>
      <w:numFmt w:val="lowerLetter"/>
      <w:start w:val="3"/>
    </w:lvl>
    <w:lvl w:ilvl="1">
      <w:lvlJc w:val="left"/>
      <w:lvlText w:val="(%2)"/>
      <w:numFmt w:val="lowerRoman"/>
      <w:start w:val="1"/>
    </w:lvl>
  </w:abstractNum>
  <w:abstractNum w:abstractNumId="151">
    <w:nsid w:val="397C46BC"/>
    <w:multiLevelType w:val="hybridMultilevel"/>
    <w:lvl w:ilvl="0">
      <w:lvlJc w:val="left"/>
      <w:lvlText w:val="(%1)"/>
      <w:numFmt w:val="lowerLetter"/>
      <w:start w:val="9"/>
    </w:lvl>
  </w:abstractNum>
  <w:abstractNum w:abstractNumId="152">
    <w:nsid w:val="7E448DE9"/>
    <w:multiLevelType w:val="hybridMultilevel"/>
    <w:lvl w:ilvl="0">
      <w:lvlJc w:val="left"/>
      <w:lvlText w:val="(%1)"/>
      <w:numFmt w:val="lowerLetter"/>
      <w:start w:val="1"/>
    </w:lvl>
  </w:abstractNum>
  <w:abstractNum w:abstractNumId="153">
    <w:nsid w:val="5A9CC3E5"/>
    <w:multiLevelType w:val="hybridMultilevel"/>
    <w:lvl w:ilvl="0">
      <w:lvlJc w:val="left"/>
      <w:lvlText w:val="(%1)"/>
      <w:numFmt w:val="lowerLetter"/>
      <w:start w:val="7"/>
    </w:lvl>
  </w:abstractNum>
  <w:abstractNum w:abstractNumId="154">
    <w:nsid w:val="1AFE3625"/>
    <w:multiLevelType w:val="hybridMultilevel"/>
    <w:lvl w:ilvl="0">
      <w:lvlJc w:val="left"/>
      <w:lvlText w:val="(%1)"/>
      <w:numFmt w:val="lowerLetter"/>
      <w:start w:val="1"/>
    </w:lvl>
    <w:lvl w:ilvl="1">
      <w:lvlJc w:val="left"/>
      <w:lvlText w:val="(%2)"/>
      <w:numFmt w:val="lowerLetter"/>
      <w:start w:val="9"/>
    </w:lvl>
  </w:abstractNum>
  <w:abstractNum w:abstractNumId="155">
    <w:nsid w:val="3CA88ECF"/>
    <w:multiLevelType w:val="hybridMultilevel"/>
    <w:lvl w:ilvl="0">
      <w:lvlJc w:val="left"/>
      <w:lvlText w:val="(%1)"/>
      <w:numFmt w:val="lowerRoman"/>
      <w:start w:val="2"/>
    </w:lvl>
  </w:abstractNum>
  <w:abstractNum w:abstractNumId="156">
    <w:nsid w:val="6EBE4208"/>
    <w:multiLevelType w:val="hybridMultilevel"/>
    <w:lvl w:ilvl="0">
      <w:lvlJc w:val="left"/>
      <w:lvlText w:val="(%1)"/>
      <w:numFmt w:val="lowerLetter"/>
      <w:start w:val="2"/>
    </w:lvl>
  </w:abstractNum>
  <w:abstractNum w:abstractNumId="157">
    <w:nsid w:val="C058DF5"/>
    <w:multiLevelType w:val="hybridMultilevel"/>
    <w:lvl w:ilvl="0">
      <w:lvlJc w:val="left"/>
      <w:lvlText w:val="(%1)"/>
      <w:numFmt w:val="lowerLetter"/>
      <w:start w:val="3"/>
    </w:lvl>
  </w:abstractNum>
  <w:abstractNum w:abstractNumId="158">
    <w:nsid w:val="CBE5BE9"/>
    <w:multiLevelType w:val="hybridMultilevel"/>
    <w:lvl w:ilvl="0">
      <w:lvlJc w:val="left"/>
      <w:lvlText w:val="(%1)"/>
      <w:numFmt w:val="lowerLetter"/>
      <w:start w:val="4"/>
    </w:lvl>
  </w:abstractNum>
  <w:abstractNum w:abstractNumId="159">
    <w:nsid w:val="3102BBE2"/>
    <w:multiLevelType w:val="hybridMultilevel"/>
    <w:lvl w:ilvl="0">
      <w:lvlJc w:val="left"/>
      <w:lvlText w:val="(%1)"/>
      <w:numFmt w:val="lowerLetter"/>
      <w:start w:val="1"/>
    </w:lvl>
  </w:abstractNum>
  <w:abstractNum w:abstractNumId="160">
    <w:nsid w:val="26A02C5E"/>
    <w:multiLevelType w:val="hybridMultilevel"/>
    <w:lvl w:ilvl="0">
      <w:lvlJc w:val="left"/>
      <w:lvlText w:val="%1"/>
      <w:numFmt w:val="lowerLetter"/>
      <w:start w:val="1"/>
    </w:lvl>
    <w:lvl w:ilvl="1">
      <w:lvlJc w:val="left"/>
      <w:lvlText w:val="(%2)"/>
      <w:numFmt w:val="lowerLetter"/>
      <w:start w:val="3"/>
    </w:lvl>
  </w:abstractNum>
  <w:abstractNum w:abstractNumId="161">
    <w:nsid w:val="541C8153"/>
    <w:multiLevelType w:val="hybridMultilevel"/>
    <w:lvl w:ilvl="0">
      <w:lvlJc w:val="left"/>
      <w:lvlText w:val="(%1)"/>
      <w:numFmt w:val="lowerLetter"/>
      <w:start w:val="2"/>
    </w:lvl>
    <w:lvl w:ilvl="1">
      <w:lvlJc w:val="left"/>
      <w:lvlText w:val="(%2)"/>
      <w:numFmt w:val="lowerLetter"/>
      <w:start w:val="4"/>
    </w:lvl>
  </w:abstractNum>
  <w:abstractNum w:abstractNumId="162">
    <w:nsid w:val="67906F6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3">
    <w:nsid w:val="10DB9DAA"/>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164">
    <w:nsid w:val="697D2D2"/>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165">
    <w:nsid w:val="6D68AB2"/>
    <w:multiLevelType w:val="hybridMultilevel"/>
    <w:lvl w:ilvl="0">
      <w:lvlJc w:val="left"/>
      <w:lvlText w:val="(%1)"/>
      <w:numFmt w:val="lowerLetter"/>
      <w:start w:val="3"/>
    </w:lvl>
  </w:abstractNum>
  <w:abstractNum w:abstractNumId="166">
    <w:nsid w:val="3A966CD0"/>
    <w:multiLevelType w:val="hybridMultilevel"/>
    <w:lvl w:ilvl="0">
      <w:lvlJc w:val="left"/>
      <w:lvlText w:val="(%1)"/>
      <w:numFmt w:val="lowerLetter"/>
      <w:start w:val="5"/>
    </w:lvl>
  </w:abstractNum>
  <w:abstractNum w:abstractNumId="167">
    <w:nsid w:val="63F37E85"/>
    <w:multiLevelType w:val="hybridMultilevel"/>
    <w:lvl w:ilvl="0">
      <w:lvlJc w:val="left"/>
      <w:lvlText w:val="(%1)"/>
      <w:numFmt w:val="lowerLetter"/>
      <w:start w:val="1"/>
    </w:lvl>
  </w:abstractNum>
  <w:abstractNum w:abstractNumId="168">
    <w:nsid w:val="5895F5FA"/>
    <w:multiLevelType w:val="hybridMultilevel"/>
    <w:lvl w:ilvl="0">
      <w:lvlJc w:val="left"/>
      <w:lvlText w:val="(%1)"/>
      <w:numFmt w:val="lowerLetter"/>
      <w:start w:val="2"/>
    </w:lvl>
  </w:abstractNum>
  <w:abstractNum w:abstractNumId="169">
    <w:nsid w:val="38A5D054"/>
    <w:multiLevelType w:val="hybridMultilevel"/>
    <w:lvl w:ilvl="0">
      <w:lvlJc w:val="left"/>
      <w:lvlText w:val="(%1)"/>
      <w:numFmt w:val="lowerLetter"/>
      <w:start w:val="1"/>
    </w:lvl>
    <w:lvl w:ilvl="1">
      <w:lvlJc w:val="left"/>
      <w:lvlText w:val="(%2)"/>
      <w:numFmt w:val="lowerLetter"/>
      <w:start w:val="9"/>
    </w:lvl>
  </w:abstractNum>
  <w:abstractNum w:abstractNumId="170">
    <w:nsid w:val="F3F09D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71">
    <w:nsid w:val="4B793735"/>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61"/>
    </w:lvl>
  </w:abstractNum>
  <w:abstractNum w:abstractNumId="172">
    <w:nsid w:val="4A10B4E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73">
    <w:nsid w:val="43D3BCD4"/>
    <w:multiLevelType w:val="hybridMultilevel"/>
    <w:lvl w:ilvl="0">
      <w:lvlJc w:val="left"/>
      <w:lvlText w:val="%1"/>
      <w:numFmt w:val="lowerLetter"/>
      <w:start w:val="1"/>
    </w:lvl>
    <w:lvl w:ilvl="1">
      <w:lvlJc w:val="left"/>
      <w:lvlText w:val="(%2)"/>
      <w:numFmt w:val="lowerLetter"/>
      <w:start w:val="35"/>
    </w:lvl>
  </w:abstractNum>
  <w:abstractNum w:abstractNumId="174">
    <w:nsid w:val="4C2A7166"/>
    <w:multiLevelType w:val="hybridMultilevel"/>
    <w:lvl w:ilvl="0">
      <w:lvlJc w:val="left"/>
      <w:lvlText w:val="(%1)"/>
      <w:numFmt w:val="lowerLetter"/>
      <w:start w:val="4"/>
    </w:lvl>
    <w:lvl w:ilvl="1">
      <w:lvlJc w:val="left"/>
      <w:lvlText w:val="(%2)"/>
      <w:numFmt w:val="lowerLetter"/>
      <w:start w:val="9"/>
    </w:lvl>
  </w:abstractNum>
  <w:abstractNum w:abstractNumId="175">
    <w:nsid w:val="2E534A82"/>
    <w:multiLevelType w:val="hybridMultilevel"/>
    <w:lvl w:ilvl="0">
      <w:lvlJc w:val="left"/>
      <w:lvlText w:val="(%1)"/>
      <w:numFmt w:val="upperLetter"/>
      <w:start w:val="1"/>
    </w:lvl>
    <w:lvl w:ilvl="1">
      <w:lvlJc w:val="left"/>
      <w:lvlText w:val="(%2)"/>
      <w:numFmt w:val="decimal"/>
      <w:start w:val="1"/>
    </w:lvl>
  </w:abstractNum>
  <w:abstractNum w:abstractNumId="176">
    <w:nsid w:val="26F2D364"/>
    <w:multiLevelType w:val="hybridMultilevel"/>
    <w:lvl w:ilvl="0">
      <w:lvlJc w:val="left"/>
      <w:lvlText w:val="%1"/>
      <w:numFmt w:val="lowerLetter"/>
      <w:start w:val="1"/>
    </w:lvl>
    <w:lvl w:ilvl="1">
      <w:lvlJc w:val="left"/>
      <w:lvlText w:val="(%2)"/>
      <w:numFmt w:val="upperLetter"/>
      <w:start w:val="3"/>
    </w:lvl>
    <w:lvl w:ilvl="2">
      <w:lvlJc w:val="left"/>
      <w:lvlText w:val="(%3)"/>
      <w:numFmt w:val="lowerLetter"/>
      <w:start w:val="61"/>
    </w:lvl>
  </w:abstractNum>
  <w:abstractNum w:abstractNumId="177">
    <w:nsid w:val="71C1AF98"/>
    <w:multiLevelType w:val="hybridMultilevel"/>
    <w:lvl w:ilvl="0">
      <w:lvlJc w:val="left"/>
      <w:lvlText w:val="(%1)"/>
      <w:numFmt w:val="lowerLetter"/>
      <w:start w:val="6"/>
    </w:lvl>
    <w:lvl w:ilvl="1">
      <w:lvlJc w:val="left"/>
      <w:lvlText w:val="%2"/>
      <w:numFmt w:val="upperLetter"/>
      <w:start w:val="1"/>
    </w:lvl>
    <w:lvl w:ilvl="2">
      <w:lvlJc w:val="left"/>
      <w:lvlText w:val="%3"/>
      <w:numFmt w:val="lowerLetter"/>
      <w:start w:val="1"/>
    </w:lvl>
  </w:abstractNum>
  <w:abstractNum w:abstractNumId="178">
    <w:nsid w:val="3D00B9D9"/>
    <w:multiLevelType w:val="hybridMultilevel"/>
    <w:lvl w:ilvl="0">
      <w:lvlJc w:val="left"/>
      <w:lvlText w:val="(%1)"/>
      <w:numFmt w:val="lowerLetter"/>
      <w:start w:val="7"/>
    </w:lvl>
  </w:abstractNum>
  <w:abstractNum w:abstractNumId="179">
    <w:nsid w:val="15BCABA8"/>
    <w:multiLevelType w:val="hybridMultilevel"/>
    <w:lvl w:ilvl="0">
      <w:lvlJc w:val="left"/>
      <w:lvlText w:val="(%1)"/>
      <w:numFmt w:val="lowerLetter"/>
      <w:start w:val="1"/>
    </w:lvl>
    <w:lvl w:ilvl="1">
      <w:lvlJc w:val="left"/>
      <w:lvlText w:val="(%2)"/>
      <w:numFmt w:val="lowerRoman"/>
      <w:start w:val="1"/>
    </w:lvl>
  </w:abstractNum>
  <w:abstractNum w:abstractNumId="180">
    <w:nsid w:val="4E0B9A87"/>
    <w:multiLevelType w:val="hybridMultilevel"/>
    <w:lvl w:ilvl="0">
      <w:lvlJc w:val="left"/>
      <w:lvlText w:val="%1"/>
      <w:numFmt w:val="decimal"/>
      <w:start w:val="1"/>
    </w:lvl>
    <w:lvl w:ilvl="1">
      <w:lvlJc w:val="left"/>
      <w:lvlText w:val="(%2)"/>
      <w:numFmt w:val="lowerLetter"/>
      <w:start w:val="2"/>
    </w:lvl>
  </w:abstractNum>
  <w:abstractNum w:abstractNumId="181">
    <w:nsid w:val="434BAE75"/>
    <w:multiLevelType w:val="hybridMultilevel"/>
    <w:lvl w:ilvl="0">
      <w:lvlJc w:val="left"/>
      <w:lvlText w:val="(%1)"/>
      <w:numFmt w:val="decimal"/>
      <w:start w:val="15"/>
    </w:lvl>
    <w:lvl w:ilvl="1">
      <w:lvlJc w:val="left"/>
      <w:lvlText w:val="(%2)"/>
      <w:numFmt w:val="lowerLetter"/>
      <w:start w:val="4"/>
    </w:lvl>
  </w:abstractNum>
  <w:abstractNum w:abstractNumId="182">
    <w:nsid w:val="4F38F265"/>
    <w:multiLevelType w:val="hybridMultilevel"/>
    <w:lvl w:ilvl="0">
      <w:lvlJc w:val="left"/>
      <w:lvlText w:val="(%1)"/>
      <w:numFmt w:val="lowerLetter"/>
      <w:start w:val="1"/>
    </w:lvl>
  </w:abstractNum>
  <w:abstractNum w:abstractNumId="183">
    <w:nsid w:val="4C502870"/>
    <w:multiLevelType w:val="hybridMultilevel"/>
    <w:lvl w:ilvl="0">
      <w:lvlJc w:val="left"/>
      <w:lvlText w:val="(%1)"/>
      <w:numFmt w:val="lowerLetter"/>
      <w:start w:val="2"/>
    </w:lvl>
  </w:abstractNum>
  <w:abstractNum w:abstractNumId="184">
    <w:nsid w:val="1DE8725A"/>
    <w:multiLevelType w:val="hybridMultilevel"/>
    <w:lvl w:ilvl="0">
      <w:lvlJc w:val="left"/>
      <w:lvlText w:val="(%1)"/>
      <w:numFmt w:val="lowerLetter"/>
      <w:start w:val="1"/>
    </w:lvl>
  </w:abstractNum>
  <w:abstractNum w:abstractNumId="185">
    <w:nsid w:val="6A37288A"/>
    <w:multiLevelType w:val="hybridMultilevel"/>
    <w:lvl w:ilvl="0">
      <w:lvlJc w:val="left"/>
      <w:lvlText w:val="(%1)"/>
      <w:numFmt w:val="lowerLetter"/>
      <w:start w:val="1"/>
    </w:lvl>
  </w:abstractNum>
  <w:abstractNum w:abstractNumId="186">
    <w:nsid w:val="8F8B73F"/>
    <w:multiLevelType w:val="hybridMultilevel"/>
    <w:lvl w:ilvl="0">
      <w:lvlJc w:val="left"/>
      <w:lvlText w:val="(%1)"/>
      <w:numFmt w:val="lowerLetter"/>
      <w:start w:val="1"/>
    </w:lvl>
  </w:abstractNum>
  <w:abstractNum w:abstractNumId="187">
    <w:nsid w:val="CA6B462"/>
    <w:multiLevelType w:val="hybridMultilevel"/>
    <w:lvl w:ilvl="0">
      <w:lvlJc w:val="left"/>
      <w:lvlText w:val="(%1)"/>
      <w:numFmt w:val="lowerLetter"/>
      <w:start w:val="1"/>
    </w:lvl>
  </w:abstractNum>
  <w:abstractNum w:abstractNumId="188">
    <w:nsid w:val="763CB680"/>
    <w:multiLevelType w:val="hybridMultilevel"/>
    <w:lvl w:ilvl="0">
      <w:lvlJc w:val="left"/>
      <w:lvlText w:val="(%1)"/>
      <w:numFmt w:val="lowerLetter"/>
      <w:start w:val="1"/>
    </w:lvl>
  </w:abstractNum>
  <w:abstractNum w:abstractNumId="189">
    <w:nsid w:val="15B71329"/>
    <w:multiLevelType w:val="hybridMultilevel"/>
    <w:lvl w:ilvl="0">
      <w:lvlJc w:val="left"/>
      <w:lvlText w:val="%1."/>
      <w:numFmt w:val="decimal"/>
      <w:start w:val="1"/>
    </w:lvl>
    <w:lvl w:ilvl="1">
      <w:lvlJc w:val="left"/>
      <w:lvlText w:val="%2."/>
      <w:numFmt w:val="lowerLetter"/>
      <w:start w:val="1"/>
    </w:lvl>
  </w:abstractNum>
  <w:abstractNum w:abstractNumId="190">
    <w:nsid w:val="3DA97044"/>
    <w:multiLevelType w:val="hybridMultilevel"/>
    <w:lvl w:ilvl="0">
      <w:lvlJc w:val="left"/>
      <w:lvlText w:val="%1."/>
      <w:numFmt w:val="decimal"/>
      <w:start w:val="1"/>
    </w:lvl>
  </w:abstractNum>
  <w:abstractNum w:abstractNumId="191">
    <w:nsid w:val="1CDCE2DE"/>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92">
    <w:nsid w:val="69D3947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7"/>
    </w:lvl>
  </w:abstractNum>
  <w:abstractNum w:abstractNumId="193">
    <w:nsid w:val="2539DFA5"/>
    <w:multiLevelType w:val="hybridMultilevel"/>
    <w:lvl w:ilvl="0">
      <w:lvlJc w:val="left"/>
      <w:lvlText w:val="(%1)"/>
      <w:numFmt w:val="lowerLetter"/>
      <w:start w:val="8"/>
    </w:lvl>
  </w:abstractNum>
  <w:abstractNum w:abstractNumId="194">
    <w:nsid w:val="2DB88089"/>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95">
    <w:nsid w:val="706B674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96">
    <w:nsid w:val="2C106A57"/>
    <w:multiLevelType w:val="hybridMultilevel"/>
    <w:lvl w:ilvl="0">
      <w:lvlJc w:val="left"/>
      <w:lvlText w:val="%1."/>
      <w:numFmt w:val="decimal"/>
      <w:start w:val="5"/>
    </w:lvl>
    <w:lvl w:ilvl="1">
      <w:lvlJc w:val="left"/>
      <w:lvlText w:val="(%2)"/>
      <w:numFmt w:val="lowerLetter"/>
      <w:start w:val="1"/>
    </w:lvl>
  </w:abstractNum>
  <w:abstractNum w:abstractNumId="197">
    <w:nsid w:val="684EED59"/>
    <w:multiLevelType w:val="hybridMultilevel"/>
    <w:lvl w:ilvl="0">
      <w:lvlJc w:val="left"/>
      <w:lvlText w:val="(%1)"/>
      <w:numFmt w:val="lowerRoman"/>
      <w:start w:val="1"/>
    </w:lvl>
    <w:lvl w:ilvl="1">
      <w:lvlJc w:val="left"/>
      <w:lvlText w:val="(%2)"/>
      <w:numFmt w:val="lowerRoman"/>
      <w:start w:val="1"/>
    </w:lvl>
  </w:abstractNum>
  <w:abstractNum w:abstractNumId="198">
    <w:nsid w:val="545EE5D3"/>
    <w:multiLevelType w:val="hybridMultilevel"/>
    <w:lvl w:ilvl="0">
      <w:lvlJc w:val="left"/>
      <w:lvlText w:val="(%1)"/>
      <w:numFmt w:val="lowerLetter"/>
      <w:start w:val="10"/>
    </w:lvl>
  </w:abstractNum>
  <w:abstractNum w:abstractNumId="199">
    <w:nsid w:val="4A66051"/>
    <w:multiLevelType w:val="hybridMultilevel"/>
    <w:lvl w:ilvl="0">
      <w:lvlJc w:val="left"/>
      <w:lvlText w:val="%1."/>
      <w:numFmt w:val="decimal"/>
      <w:start w:val="6"/>
    </w:lvl>
  </w:abstractNum>
  <w:abstractNum w:abstractNumId="200">
    <w:nsid w:val="20F4BDAD"/>
    <w:multiLevelType w:val="hybridMultilevel"/>
    <w:lvl w:ilvl="0">
      <w:lvlJc w:val="left"/>
      <w:lvlText w:val="%1."/>
      <w:numFmt w:val="decimal"/>
      <w:start w:val="8"/>
    </w:lvl>
    <w:lvl w:ilvl="1">
      <w:lvlJc w:val="left"/>
      <w:lvlText w:val="(%2)"/>
      <w:numFmt w:val="lowerLetter"/>
      <w:start w:val="1"/>
    </w:lvl>
  </w:abstractNum>
  <w:abstractNum w:abstractNumId="201">
    <w:nsid w:val="639DEFAC"/>
    <w:multiLevelType w:val="hybridMultilevel"/>
    <w:lvl w:ilvl="0">
      <w:lvlJc w:val="left"/>
      <w:lvlText w:val="%1."/>
      <w:numFmt w:val="decimal"/>
      <w:start w:val="12"/>
    </w:lvl>
  </w:abstractNum>
  <w:abstractNum w:abstractNumId="202">
    <w:nsid w:val="501F9786"/>
    <w:multiLevelType w:val="hybridMultilevel"/>
    <w:lvl w:ilvl="0">
      <w:lvlJc w:val="left"/>
      <w:lvlText w:val="%1."/>
      <w:numFmt w:val="decimal"/>
      <w:start w:val="18"/>
    </w:lvl>
  </w:abstractNum>
  <w:abstractNum w:abstractNumId="203">
    <w:nsid w:val="6B057295"/>
    <w:multiLevelType w:val="hybridMultilevel"/>
    <w:lvl w:ilvl="0">
      <w:lvlJc w:val="left"/>
      <w:lvlText w:val="%1."/>
      <w:numFmt w:val="decimal"/>
      <w:start w:val="19"/>
    </w:lvl>
  </w:abstractNum>
  <w:abstractNum w:abstractNumId="204">
    <w:nsid w:val="2771AC80"/>
    <w:multiLevelType w:val="hybridMultilevel"/>
    <w:lvl w:ilvl="0">
      <w:lvlJc w:val="left"/>
      <w:lvlText w:val="%1."/>
      <w:numFmt w:val="decimal"/>
      <w:start w:val="20"/>
    </w:lvl>
  </w:abstractNum>
  <w:abstractNum w:abstractNumId="205">
    <w:nsid w:val="1C4A08EC"/>
    <w:multiLevelType w:val="hybridMultilevel"/>
    <w:lvl w:ilvl="0">
      <w:lvlJc w:val="left"/>
      <w:lvlText w:val=")"/>
      <w:numFmt w:val="bullet"/>
      <w:start w:val="1"/>
    </w:lvl>
  </w:abstractNum>
  <w:abstractNum w:abstractNumId="206">
    <w:nsid w:val="1958BD17"/>
    <w:multiLevelType w:val="hybridMultilevel"/>
    <w:lvl w:ilvl="0">
      <w:lvlJc w:val="left"/>
      <w:lvlText w:val="(%1)"/>
      <w:numFmt w:val="lowerLetter"/>
      <w:start w:val="6"/>
    </w:lvl>
  </w:abstractNum>
  <w:abstractNum w:abstractNumId="207">
    <w:nsid w:val="4E647FE4"/>
    <w:multiLevelType w:val="hybridMultilevel"/>
    <w:lvl w:ilvl="0">
      <w:lvlJc w:val="left"/>
      <w:lvlText w:val="%1."/>
      <w:numFmt w:val="decimal"/>
      <w:start w:val="1"/>
    </w:lvl>
  </w:abstractNum>
  <w:abstractNum w:abstractNumId="208">
    <w:nsid w:val="E0BB885"/>
    <w:multiLevelType w:val="hybridMultilevel"/>
    <w:lvl w:ilvl="0">
      <w:lvlJc w:val="left"/>
      <w:lvlText w:val="%1."/>
      <w:numFmt w:val="decimal"/>
      <w:start w:val="2"/>
    </w:lvl>
  </w:abstractNum>
  <w:abstractNum w:abstractNumId="209">
    <w:nsid w:val="565976F1"/>
    <w:multiLevelType w:val="hybridMultilevel"/>
    <w:lvl w:ilvl="0">
      <w:lvlJc w:val="left"/>
      <w:lvlText w:val="%1."/>
      <w:numFmt w:val="decimal"/>
      <w:start w:val="5"/>
    </w:lvl>
  </w:abstractNum>
  <w:abstractNum w:abstractNumId="210">
    <w:nsid w:val="64212B8C"/>
    <w:multiLevelType w:val="hybridMultilevel"/>
    <w:lvl w:ilvl="0">
      <w:lvlJc w:val="left"/>
      <w:lvlText w:val="%1."/>
      <w:numFmt w:val="decimal"/>
      <w:start w:val="6"/>
    </w:lvl>
  </w:abstractNum>
  <w:abstractNum w:abstractNumId="211">
    <w:nsid w:val="5C17530C"/>
    <w:multiLevelType w:val="hybridMultilevel"/>
    <w:lvl w:ilvl="0">
      <w:lvlJc w:val="left"/>
      <w:lvlText w:val="%1."/>
      <w:numFmt w:val="decimal"/>
      <w:start w:val="7"/>
    </w:lvl>
  </w:abstractNum>
  <w:abstractNum w:abstractNumId="212">
    <w:nsid w:val="19A52566"/>
    <w:multiLevelType w:val="hybridMultilevel"/>
    <w:lvl w:ilvl="0">
      <w:lvlJc w:val="left"/>
      <w:lvlText w:val="%1."/>
      <w:numFmt w:val="decimal"/>
      <w:start w:val="8"/>
    </w:lvl>
  </w:abstractNum>
  <w:abstractNum w:abstractNumId="213">
    <w:nsid w:val="335A1DF1"/>
    <w:multiLevelType w:val="hybridMultilevel"/>
    <w:lvl w:ilvl="0">
      <w:lvlJc w:val="left"/>
      <w:lvlText w:val="%1."/>
      <w:numFmt w:val="decimal"/>
      <w:start w:val="9"/>
    </w:lvl>
  </w:abstractNum>
  <w:abstractNum w:abstractNumId="214">
    <w:nsid w:val="28677B7C"/>
    <w:multiLevelType w:val="hybridMultilevel"/>
    <w:lvl w:ilvl="0">
      <w:lvlJc w:val="left"/>
      <w:lvlText w:val="%1."/>
      <w:numFmt w:val="decimal"/>
      <w:start w:val="1"/>
    </w:lvl>
    <w:lvl w:ilvl="1">
      <w:lvlJc w:val="left"/>
      <w:lvlText w:val="%2."/>
      <w:numFmt w:val="decimal"/>
      <w:start w:val="4"/>
    </w:lvl>
  </w:abstractNum>
  <w:abstractNum w:abstractNumId="215">
    <w:nsid w:val="378D97C0"/>
    <w:multiLevelType w:val="hybridMultilevel"/>
    <w:lvl w:ilvl="0">
      <w:lvlJc w:val="left"/>
      <w:lvlText w:val="%1."/>
      <w:numFmt w:val="decimal"/>
      <w:start w:val="5"/>
    </w:lvl>
  </w:abstractNum>
  <w:abstractNum w:abstractNumId="216">
    <w:nsid w:val="1D91467C"/>
    <w:multiLevelType w:val="hybridMultilevel"/>
    <w:lvl w:ilvl="0">
      <w:lvlJc w:val="left"/>
      <w:lvlText w:val="1"/>
      <w:numFmt w:val="bullet"/>
      <w:start w:val="1"/>
    </w:lvl>
  </w:abstractNum>
  <w:abstractNum w:abstractNumId="217">
    <w:nsid w:val="316032BB"/>
    <w:multiLevelType w:val="hybridMultilevel"/>
    <w:lvl w:ilvl="0">
      <w:lvlJc w:val="left"/>
      <w:lvlText w:val="2"/>
      <w:numFmt w:val="bullet"/>
      <w:start w:val="1"/>
    </w:lvl>
  </w:abstractNum>
  <w:abstractNum w:abstractNumId="218">
    <w:nsid w:val="44344C22"/>
    <w:multiLevelType w:val="hybridMultilevel"/>
    <w:lvl w:ilvl="0">
      <w:lvlJc w:val="left"/>
      <w:lvlText w:val="3"/>
      <w:numFmt w:val="bullet"/>
      <w:start w:val="1"/>
    </w:lvl>
  </w:abstractNum>
  <w:abstractNum w:abstractNumId="219">
    <w:nsid w:val="13CDFCFC"/>
    <w:multiLevelType w:val="hybridMultilevel"/>
    <w:lvl w:ilvl="0">
      <w:lvlJc w:val="left"/>
      <w:lvlText w:val="4"/>
      <w:numFmt w:val="bullet"/>
      <w:start w:val="1"/>
    </w:lvl>
  </w:abstractNum>
  <w:abstractNum w:abstractNumId="220">
    <w:nsid w:val="471745E4"/>
    <w:multiLevelType w:val="hybridMultilevel"/>
    <w:lvl w:ilvl="0">
      <w:lvlJc w:val="left"/>
      <w:lvlText w:val="5"/>
      <w:numFmt w:val="bullet"/>
      <w:start w:val="1"/>
    </w:lvl>
  </w:abstractNum>
  <w:abstractNum w:abstractNumId="221">
    <w:nsid w:val="1DDBC66"/>
    <w:multiLevelType w:val="hybridMultilevel"/>
    <w:lvl w:ilvl="0">
      <w:lvlJc w:val="left"/>
      <w:lvlText w:val="6"/>
      <w:numFmt w:val="bullet"/>
      <w:start w:val="1"/>
    </w:lvl>
  </w:abstractNum>
  <w:abstractNum w:abstractNumId="222">
    <w:nsid w:val="30AADFDA"/>
    <w:multiLevelType w:val="hybridMultilevel"/>
    <w:lvl w:ilvl="0">
      <w:lvlJc w:val="left"/>
      <w:lvlText w:val="7"/>
      <w:numFmt w:val="bullet"/>
      <w:start w:val="1"/>
    </w:lvl>
  </w:abstractNum>
  <w:abstractNum w:abstractNumId="223">
    <w:nsid w:val="30EADA61"/>
    <w:multiLevelType w:val="hybridMultilevel"/>
    <w:lvl w:ilvl="0">
      <w:lvlJc w:val="left"/>
      <w:lvlText w:val="%1."/>
      <w:numFmt w:val="decimal"/>
      <w:start w:val="1"/>
    </w:lvl>
  </w:abstractNum>
  <w:abstractNum w:abstractNumId="224">
    <w:nsid w:val="27179C0B"/>
    <w:multiLevelType w:val="hybridMultilevel"/>
    <w:lvl w:ilvl="0">
      <w:lvlJc w:val="left"/>
      <w:lvlText w:val="(%1)"/>
      <w:numFmt w:val="lowerRoman"/>
      <w:start w:val="2"/>
    </w:lvl>
  </w:abstractNum>
  <w:abstractNum w:abstractNumId="225">
    <w:nsid w:val="5E636063"/>
    <w:multiLevelType w:val="hybridMultilevel"/>
    <w:lvl w:ilvl="0">
      <w:lvlJc w:val="left"/>
      <w:lvlText w:val="(%1)"/>
      <w:numFmt w:val="lowerRoman"/>
      <w:start w:val="2"/>
    </w:lvl>
  </w:abstractNum>
  <w:abstractNum w:abstractNumId="226">
    <w:nsid w:val="215641AF"/>
    <w:multiLevelType w:val="hybridMultilevel"/>
    <w:lvl w:ilvl="0">
      <w:lvlJc w:val="left"/>
      <w:lvlText w:val="%1."/>
      <w:numFmt w:val="decimal"/>
      <w:start w:val="2"/>
    </w:lvl>
  </w:abstractNum>
  <w:abstractNum w:abstractNumId="227">
    <w:nsid w:val="53280662"/>
    <w:multiLevelType w:val="hybridMultilevel"/>
    <w:lvl w:ilvl="0">
      <w:lvlJc w:val="left"/>
      <w:lvlText w:val="(%1)"/>
      <w:numFmt w:val="lowerRoman"/>
      <w:start w:val="3"/>
    </w:lvl>
  </w:abstractNum>
  <w:abstractNum w:abstractNumId="228">
    <w:nsid w:val="46B24DBC"/>
    <w:multiLevelType w:val="hybridMultilevel"/>
    <w:lvl w:ilvl="0">
      <w:lvlJc w:val="left"/>
      <w:lvlText w:val="%1."/>
      <w:numFmt w:val="decimal"/>
      <w:start w:val="1"/>
    </w:lvl>
  </w:abstractNum>
  <w:abstractNum w:abstractNumId="229">
    <w:nsid w:val="75B5278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2019-12-08T17:43:13Z</dcterms:created>
  <dcterms:modified xsi:type="dcterms:W3CDTF">2019-12-08T17:43:13Z</dcterms:modified>
</cp:coreProperties>
</file>