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2" w:lineRule="exact"/>
        <w:rPr>
          <w:sz w:val="24"/>
          <w:szCs w:val="24"/>
          <w:color w:val="auto"/>
        </w:rPr>
      </w:pPr>
    </w:p>
    <w:p>
      <w:pPr>
        <w:ind w:left="460" w:right="80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7" w:lineRule="exact"/>
        <w:rPr>
          <w:sz w:val="24"/>
          <w:szCs w:val="24"/>
          <w:color w:val="auto"/>
        </w:rPr>
      </w:pPr>
    </w:p>
    <w:tbl>
      <w:tblPr>
        <w:tblLayout w:type="fixed"/>
        <w:tblInd w:w="360" w:type="dxa"/>
        <w:tblCellMar>
          <w:top w:w="0" w:type="dxa"/>
          <w:left w:w="0" w:type="dxa"/>
          <w:bottom w:w="0" w:type="dxa"/>
          <w:right w:w="0" w:type="dxa"/>
        </w:tblCellMar>
      </w:tblPr>
      <w:tr>
        <w:trPr>
          <w:trHeight w:val="262"/>
        </w:trPr>
        <w:tc>
          <w:tcPr>
            <w:tcW w:w="2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For the transition period from</w:t>
            </w:r>
          </w:p>
        </w:tc>
        <w:tc>
          <w:tcPr>
            <w:tcW w:w="3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to</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80" w:type="dxa"/>
            <w:vAlign w:val="bottom"/>
            <w:gridSpan w:val="6"/>
          </w:tcPr>
          <w:p>
            <w:pPr>
              <w:jc w:val="center"/>
              <w:ind w:left="252"/>
              <w:spacing w:after="0"/>
              <w:rPr>
                <w:sz w:val="20"/>
                <w:szCs w:val="20"/>
                <w:color w:val="auto"/>
              </w:rPr>
            </w:pPr>
            <w:r>
              <w:rPr>
                <w:rFonts w:ascii="Times New Roman" w:cs="Times New Roman" w:eastAsia="Times New Roman" w:hAnsi="Times New Roman"/>
                <w:sz w:val="20"/>
                <w:szCs w:val="20"/>
                <w:b w:val="1"/>
                <w:bCs w:val="1"/>
                <w:color w:val="auto"/>
                <w:w w:val="99"/>
              </w:rPr>
              <w:t>Commission file number: 001-33225</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420" w:type="dxa"/>
            <w:vAlign w:val="bottom"/>
            <w:gridSpan w:val="2"/>
          </w:tcPr>
          <w:p>
            <w:pPr>
              <w:spacing w:after="0"/>
              <w:rPr>
                <w:sz w:val="19"/>
                <w:szCs w:val="19"/>
                <w:color w:val="auto"/>
              </w:rPr>
            </w:pPr>
          </w:p>
        </w:tc>
        <w:tc>
          <w:tcPr>
            <w:tcW w:w="26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625"/>
        </w:trPr>
        <w:tc>
          <w:tcPr>
            <w:tcW w:w="9620" w:type="dxa"/>
            <w:vAlign w:val="bottom"/>
            <w:gridSpan w:val="9"/>
          </w:tcPr>
          <w:p>
            <w:pPr>
              <w:jc w:val="center"/>
              <w:ind w:left="1010"/>
              <w:spacing w:after="0"/>
              <w:rPr>
                <w:sz w:val="20"/>
                <w:szCs w:val="20"/>
                <w:color w:val="auto"/>
              </w:rPr>
            </w:pPr>
            <w:r>
              <w:rPr>
                <w:rFonts w:ascii="Times New Roman" w:cs="Times New Roman" w:eastAsia="Times New Roman" w:hAnsi="Times New Roman"/>
                <w:sz w:val="43"/>
                <w:szCs w:val="43"/>
                <w:b w:val="1"/>
                <w:bCs w:val="1"/>
                <w:color w:val="auto"/>
              </w:rPr>
              <w:t>Great Lakes Dredge &amp; Dock Corporation</w:t>
            </w:r>
          </w:p>
        </w:tc>
        <w:tc>
          <w:tcPr>
            <w:tcW w:w="0" w:type="dxa"/>
            <w:vAlign w:val="bottom"/>
          </w:tcPr>
          <w:p>
            <w:pPr>
              <w:spacing w:after="0"/>
              <w:rPr>
                <w:sz w:val="1"/>
                <w:szCs w:val="1"/>
                <w:color w:val="auto"/>
              </w:rPr>
            </w:pPr>
          </w:p>
        </w:tc>
      </w:tr>
      <w:tr>
        <w:trPr>
          <w:trHeight w:val="266"/>
        </w:trPr>
        <w:tc>
          <w:tcPr>
            <w:tcW w:w="2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80" w:type="dxa"/>
            <w:vAlign w:val="bottom"/>
            <w:gridSpan w:val="7"/>
          </w:tcPr>
          <w:p>
            <w:pPr>
              <w:jc w:val="center"/>
              <w:ind w:right="1786"/>
              <w:spacing w:after="0"/>
              <w:rPr>
                <w:sz w:val="20"/>
                <w:szCs w:val="20"/>
                <w:color w:val="auto"/>
              </w:rPr>
            </w:pPr>
            <w:r>
              <w:rPr>
                <w:rFonts w:ascii="Times New Roman" w:cs="Times New Roman" w:eastAsia="Times New Roman" w:hAnsi="Times New Roman"/>
                <w:sz w:val="20"/>
                <w:szCs w:val="20"/>
                <w:b w:val="1"/>
                <w:bCs w:val="1"/>
                <w:color w:val="auto"/>
                <w:w w:val="99"/>
              </w:rPr>
              <w:t>(Exact name of registrant as specified in its charter)</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120" w:type="dxa"/>
            <w:vAlign w:val="bottom"/>
          </w:tcPr>
          <w:p>
            <w:pPr>
              <w:spacing w:after="0"/>
              <w:rPr>
                <w:sz w:val="24"/>
                <w:szCs w:val="24"/>
                <w:color w:val="auto"/>
              </w:rPr>
            </w:pPr>
          </w:p>
        </w:tc>
        <w:tc>
          <w:tcPr>
            <w:tcW w:w="4420" w:type="dxa"/>
            <w:vAlign w:val="bottom"/>
            <w:gridSpan w:val="4"/>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0" w:type="dxa"/>
            <w:vAlign w:val="bottom"/>
          </w:tcPr>
          <w:p>
            <w:pPr>
              <w:jc w:val="right"/>
              <w:ind w:right="826"/>
              <w:spacing w:after="0"/>
              <w:rPr>
                <w:sz w:val="20"/>
                <w:szCs w:val="20"/>
                <w:color w:val="auto"/>
              </w:rPr>
            </w:pPr>
            <w:r>
              <w:rPr>
                <w:rFonts w:ascii="Times New Roman" w:cs="Times New Roman" w:eastAsia="Times New Roman" w:hAnsi="Times New Roman"/>
                <w:sz w:val="18"/>
                <w:szCs w:val="18"/>
                <w:b w:val="1"/>
                <w:bCs w:val="1"/>
                <w:color w:val="auto"/>
              </w:rPr>
              <w:t>20-5336063</w:t>
            </w:r>
          </w:p>
        </w:tc>
        <w:tc>
          <w:tcPr>
            <w:tcW w:w="0" w:type="dxa"/>
            <w:vAlign w:val="bottom"/>
          </w:tcPr>
          <w:p>
            <w:pPr>
              <w:spacing w:after="0"/>
              <w:rPr>
                <w:sz w:val="1"/>
                <w:szCs w:val="1"/>
                <w:color w:val="auto"/>
              </w:rPr>
            </w:pPr>
          </w:p>
        </w:tc>
      </w:tr>
      <w:tr>
        <w:trPr>
          <w:trHeight w:val="149"/>
        </w:trPr>
        <w:tc>
          <w:tcPr>
            <w:tcW w:w="6540" w:type="dxa"/>
            <w:vAlign w:val="bottom"/>
            <w:gridSpan w:val="5"/>
          </w:tcPr>
          <w:p>
            <w:pPr>
              <w:jc w:val="center"/>
              <w:ind w:right="14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0" w:type="dxa"/>
            <w:vAlign w:val="bottom"/>
          </w:tcPr>
          <w:p>
            <w:pPr>
              <w:jc w:val="center"/>
              <w:ind w:right="36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540" w:type="dxa"/>
            <w:vAlign w:val="bottom"/>
            <w:gridSpan w:val="5"/>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tcPr>
          <w:p>
            <w:pPr>
              <w:jc w:val="center"/>
              <w:ind w:right="386"/>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42"/>
        </w:trPr>
        <w:tc>
          <w:tcPr>
            <w:tcW w:w="6540" w:type="dxa"/>
            <w:vAlign w:val="bottom"/>
            <w:gridSpan w:val="5"/>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2122 York Road, Oak Brook, IL</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0" w:type="dxa"/>
            <w:vAlign w:val="bottom"/>
          </w:tcPr>
          <w:p>
            <w:pPr>
              <w:jc w:val="right"/>
              <w:ind w:right="1066"/>
              <w:spacing w:after="0"/>
              <w:rPr>
                <w:sz w:val="20"/>
                <w:szCs w:val="20"/>
                <w:color w:val="auto"/>
              </w:rPr>
            </w:pPr>
            <w:r>
              <w:rPr>
                <w:rFonts w:ascii="Times New Roman" w:cs="Times New Roman" w:eastAsia="Times New Roman" w:hAnsi="Times New Roman"/>
                <w:sz w:val="14"/>
                <w:szCs w:val="14"/>
                <w:b w:val="1"/>
                <w:bCs w:val="1"/>
                <w:color w:val="auto"/>
              </w:rPr>
              <w:t>60523</w:t>
            </w:r>
          </w:p>
        </w:tc>
        <w:tc>
          <w:tcPr>
            <w:tcW w:w="0" w:type="dxa"/>
            <w:vAlign w:val="bottom"/>
          </w:tcPr>
          <w:p>
            <w:pPr>
              <w:spacing w:after="0"/>
              <w:rPr>
                <w:sz w:val="1"/>
                <w:szCs w:val="1"/>
                <w:color w:val="auto"/>
              </w:rPr>
            </w:pPr>
          </w:p>
        </w:tc>
      </w:tr>
      <w:tr>
        <w:trPr>
          <w:trHeight w:val="190"/>
        </w:trPr>
        <w:tc>
          <w:tcPr>
            <w:tcW w:w="6540" w:type="dxa"/>
            <w:vAlign w:val="bottom"/>
            <w:gridSpan w:val="5"/>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tcPr>
          <w:p>
            <w:pPr>
              <w:jc w:val="center"/>
              <w:ind w:right="38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6540" w:type="dxa"/>
            <w:vAlign w:val="bottom"/>
            <w:gridSpan w:val="5"/>
          </w:tcPr>
          <w:p>
            <w:pPr>
              <w:jc w:val="center"/>
              <w:ind w:left="4090"/>
              <w:spacing w:after="0"/>
              <w:rPr>
                <w:sz w:val="20"/>
                <w:szCs w:val="20"/>
                <w:color w:val="auto"/>
              </w:rPr>
            </w:pPr>
            <w:r>
              <w:rPr>
                <w:rFonts w:ascii="Times New Roman" w:cs="Times New Roman" w:eastAsia="Times New Roman" w:hAnsi="Times New Roman"/>
                <w:sz w:val="18"/>
                <w:szCs w:val="18"/>
                <w:b w:val="1"/>
                <w:bCs w:val="1"/>
                <w:color w:val="auto"/>
                <w:w w:val="99"/>
              </w:rPr>
              <w:t>(630) 574-3000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80" w:type="dxa"/>
            <w:vAlign w:val="bottom"/>
            <w:gridSpan w:val="6"/>
          </w:tcPr>
          <w:p>
            <w:pPr>
              <w:jc w:val="center"/>
              <w:ind w:left="252"/>
              <w:spacing w:after="0" w:line="149" w:lineRule="exact"/>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80" w:type="dxa"/>
            <w:vAlign w:val="bottom"/>
            <w:gridSpan w:val="6"/>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120" w:type="dxa"/>
            <w:vAlign w:val="bottom"/>
          </w:tcPr>
          <w:p>
            <w:pPr>
              <w:spacing w:after="0"/>
              <w:rPr>
                <w:sz w:val="23"/>
                <w:szCs w:val="2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3600" w:type="dxa"/>
            <w:vAlign w:val="bottom"/>
            <w:gridSpan w:val="3"/>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6540" w:type="dxa"/>
            <w:vAlign w:val="bottom"/>
            <w:gridSpan w:val="5"/>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Common Stock, (Par Value $0.0001)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0" w:type="dxa"/>
            <w:vAlign w:val="bottom"/>
          </w:tcPr>
          <w:p>
            <w:pPr>
              <w:jc w:val="center"/>
              <w:ind w:right="386"/>
              <w:spacing w:after="0"/>
              <w:rPr>
                <w:sz w:val="20"/>
                <w:szCs w:val="20"/>
                <w:color w:val="auto"/>
              </w:rPr>
            </w:pPr>
            <w:r>
              <w:rPr>
                <w:rFonts w:ascii="Times New Roman" w:cs="Times New Roman" w:eastAsia="Times New Roman" w:hAnsi="Times New Roman"/>
                <w:sz w:val="14"/>
                <w:szCs w:val="14"/>
                <w:b w:val="1"/>
                <w:bCs w:val="1"/>
                <w:color w:val="auto"/>
              </w:rPr>
              <w:t>Nasdaq Stock Market, LLC</w:t>
            </w:r>
          </w:p>
        </w:tc>
        <w:tc>
          <w:tcPr>
            <w:tcW w:w="0" w:type="dxa"/>
            <w:vAlign w:val="bottom"/>
          </w:tcPr>
          <w:p>
            <w:pPr>
              <w:spacing w:after="0"/>
              <w:rPr>
                <w:sz w:val="1"/>
                <w:szCs w:val="1"/>
                <w:color w:val="auto"/>
              </w:rPr>
            </w:pPr>
          </w:p>
        </w:tc>
      </w:tr>
      <w:tr>
        <w:trPr>
          <w:trHeight w:val="269"/>
        </w:trPr>
        <w:tc>
          <w:tcPr>
            <w:tcW w:w="2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80" w:type="dxa"/>
            <w:vAlign w:val="bottom"/>
            <w:gridSpan w:val="7"/>
          </w:tcPr>
          <w:p>
            <w:pPr>
              <w:jc w:val="center"/>
              <w:ind w:right="1766"/>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0" w:type="dxa"/>
            <w:vAlign w:val="bottom"/>
          </w:tcPr>
          <w:p>
            <w:pPr>
              <w:spacing w:after="0"/>
              <w:rPr>
                <w:sz w:val="1"/>
                <w:szCs w:val="1"/>
                <w:color w:val="auto"/>
              </w:rPr>
            </w:pPr>
          </w:p>
        </w:tc>
      </w:tr>
      <w:tr>
        <w:trPr>
          <w:trHeight w:val="243"/>
        </w:trPr>
        <w:tc>
          <w:tcPr>
            <w:tcW w:w="4180" w:type="dxa"/>
            <w:vAlign w:val="bottom"/>
            <w:gridSpan w:val="4"/>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gridSpan w:val="2"/>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20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95"/>
        </w:trPr>
        <w:tc>
          <w:tcPr>
            <w:tcW w:w="68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40" w:type="dxa"/>
            <w:vAlign w:val="bottom"/>
            <w:gridSpan w:val="2"/>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8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80" w:type="dxa"/>
            <w:vAlign w:val="bottom"/>
          </w:tcPr>
          <w:p>
            <w:pPr>
              <w:spacing w:after="0"/>
              <w:rPr>
                <w:sz w:val="24"/>
                <w:szCs w:val="24"/>
                <w:color w:val="auto"/>
              </w:rPr>
            </w:pPr>
          </w:p>
        </w:tc>
        <w:tc>
          <w:tcPr>
            <w:tcW w:w="46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20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8" w:lineRule="exact"/>
        <w:rPr>
          <w:sz w:val="24"/>
          <w:szCs w:val="24"/>
          <w:color w:val="auto"/>
        </w:rPr>
      </w:pPr>
    </w:p>
    <w:p>
      <w:pPr>
        <w:ind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4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28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69" w:lineRule="exact"/>
        <w:rPr>
          <w:sz w:val="24"/>
          <w:szCs w:val="24"/>
          <w:color w:val="auto"/>
        </w:rPr>
      </w:pPr>
    </w:p>
    <w:p>
      <w:pPr>
        <w:ind w:right="20" w:firstLine="342"/>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sectPr>
      </w:pP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300"/>
            <w:col w:w="7040" w:space="720"/>
            <w:col w:w="1200" w:space="720"/>
            <w:col w:w="140"/>
          </w:cols>
          <w:pgMar w:left="240" w:top="226"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5">
            <w:col w:w="1220" w:space="380"/>
            <w:col w:w="140" w:space="60"/>
            <w:col w:w="6840" w:space="720"/>
            <w:col w:w="1560" w:space="360"/>
            <w:col w:w="140"/>
          </w:cols>
          <w:pgMar w:left="240" w:top="226" w:right="239" w:bottom="1440" w:gutter="0" w:footer="0" w:header="0"/>
          <w:type w:val="continuous"/>
        </w:sectPr>
      </w:pPr>
    </w:p>
    <w:p>
      <w:pPr>
        <w:spacing w:after="0" w:line="2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3" w:lineRule="exact"/>
        <w:rPr>
          <w:sz w:val="24"/>
          <w:szCs w:val="24"/>
          <w:color w:val="auto"/>
        </w:rPr>
      </w:pPr>
    </w:p>
    <w:p>
      <w:pPr>
        <w:sectPr>
          <w:pgSz w:w="11900" w:h="16838" w:orient="portrait"/>
          <w:cols w:equalWidth="0" w:num="5">
            <w:col w:w="6880" w:space="140"/>
            <w:col w:w="200" w:space="80"/>
            <w:col w:w="120" w:space="160"/>
            <w:col w:w="180" w:space="60"/>
            <w:col w:w="3600"/>
          </w:cols>
          <w:pgMar w:left="240" w:top="226" w:right="239" w:bottom="1440" w:gutter="0" w:footer="0" w:header="0"/>
          <w:type w:val="continuous"/>
        </w:sectPr>
      </w:pPr>
    </w:p>
    <w:p>
      <w:pPr>
        <w:ind w:firstLine="342"/>
        <w:spacing w:after="0" w:line="262" w:lineRule="auto"/>
        <w:rPr>
          <w:sz w:val="20"/>
          <w:szCs w:val="20"/>
          <w:color w:val="auto"/>
        </w:rPr>
      </w:pPr>
      <w:r>
        <w:rPr>
          <w:rFonts w:ascii="Times New Roman" w:cs="Times New Roman" w:eastAsia="Times New Roman" w:hAnsi="Times New Roman"/>
          <w:sz w:val="14"/>
          <w:szCs w:val="14"/>
          <w:color w:val="auto"/>
        </w:rPr>
        <w:t>The aggregate market value of voting stock held by non-affiliates of the Registrant was $425,660,035 at June 30, 2014. The aggregate market value was computed using the closing price of the common stock as of that date on the Nasdaq Stock Market. (For purposes of a calculating this amount only, all directors and executive officers of the registrant have been treated as affiliates.)</w:t>
      </w:r>
    </w:p>
    <w:p>
      <w:pPr>
        <w:spacing w:after="0" w:line="54"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February 27, 2015, 60,236,620 shares of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1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tc>
      </w:tr>
      <w:tr>
        <w:trPr>
          <w:trHeight w:val="270"/>
        </w:trPr>
        <w:tc>
          <w:tcPr>
            <w:tcW w:w="2500" w:type="dxa"/>
            <w:vAlign w:val="bottom"/>
          </w:tcPr>
          <w:p>
            <w:pPr>
              <w:spacing w:after="0"/>
              <w:rPr>
                <w:sz w:val="23"/>
                <w:szCs w:val="2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10-K</w:t>
            </w:r>
          </w:p>
        </w:tc>
        <w:tc>
          <w:tcPr>
            <w:tcW w:w="4180" w:type="dxa"/>
            <w:vAlign w:val="bottom"/>
          </w:tcPr>
          <w:p>
            <w:pPr>
              <w:spacing w:after="0"/>
              <w:rPr>
                <w:sz w:val="23"/>
                <w:szCs w:val="23"/>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tc>
        <w:tc>
          <w:tcPr>
            <w:tcW w:w="1580" w:type="dxa"/>
            <w:vAlign w:val="bottom"/>
          </w:tcPr>
          <w:p>
            <w:pPr>
              <w:spacing w:after="0"/>
              <w:rPr>
                <w:sz w:val="23"/>
                <w:szCs w:val="23"/>
                <w:color w:val="auto"/>
              </w:rPr>
            </w:pPr>
          </w:p>
        </w:tc>
      </w:tr>
      <w:tr>
        <w:trPr>
          <w:trHeight w:val="119"/>
        </w:trPr>
        <w:tc>
          <w:tcPr>
            <w:tcW w:w="250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Part III</w:t>
            </w:r>
          </w:p>
        </w:tc>
        <w:tc>
          <w:tcPr>
            <w:tcW w:w="8140" w:type="dxa"/>
            <w:vAlign w:val="bottom"/>
            <w:gridSpan w:val="3"/>
          </w:tcPr>
          <w:p>
            <w:pPr>
              <w:jc w:val="center"/>
              <w:ind w:left="2525"/>
              <w:spacing w:after="0" w:line="119" w:lineRule="exact"/>
              <w:rPr>
                <w:sz w:val="20"/>
                <w:szCs w:val="20"/>
                <w:color w:val="auto"/>
              </w:rPr>
            </w:pPr>
            <w:r>
              <w:rPr>
                <w:rFonts w:ascii="Times New Roman" w:cs="Times New Roman" w:eastAsia="Times New Roman" w:hAnsi="Times New Roman"/>
                <w:sz w:val="13"/>
                <w:szCs w:val="13"/>
                <w:color w:val="auto"/>
              </w:rPr>
              <w:t>Portions of the Proxy Statement to be filed with</w:t>
            </w:r>
          </w:p>
        </w:tc>
      </w:tr>
      <w:tr>
        <w:trPr>
          <w:trHeight w:val="149"/>
        </w:trPr>
        <w:tc>
          <w:tcPr>
            <w:tcW w:w="2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140" w:type="dxa"/>
            <w:vAlign w:val="bottom"/>
            <w:gridSpan w:val="3"/>
          </w:tcPr>
          <w:p>
            <w:pPr>
              <w:jc w:val="center"/>
              <w:ind w:left="2525"/>
              <w:spacing w:after="0" w:line="149" w:lineRule="exact"/>
              <w:rPr>
                <w:sz w:val="20"/>
                <w:szCs w:val="20"/>
                <w:color w:val="auto"/>
              </w:rPr>
            </w:pPr>
            <w:r>
              <w:rPr>
                <w:rFonts w:ascii="Times New Roman" w:cs="Times New Roman" w:eastAsia="Times New Roman" w:hAnsi="Times New Roman"/>
                <w:sz w:val="14"/>
                <w:szCs w:val="14"/>
                <w:color w:val="auto"/>
              </w:rPr>
              <w:t>the Securities and Exchange Commission in connection</w:t>
            </w:r>
          </w:p>
        </w:tc>
      </w:tr>
      <w:tr>
        <w:trPr>
          <w:trHeight w:val="188"/>
        </w:trPr>
        <w:tc>
          <w:tcPr>
            <w:tcW w:w="2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140" w:type="dxa"/>
            <w:vAlign w:val="bottom"/>
            <w:gridSpan w:val="3"/>
          </w:tcPr>
          <w:p>
            <w:pPr>
              <w:jc w:val="center"/>
              <w:ind w:left="2525"/>
              <w:spacing w:after="0"/>
              <w:rPr>
                <w:sz w:val="20"/>
                <w:szCs w:val="20"/>
                <w:color w:val="auto"/>
              </w:rPr>
            </w:pPr>
            <w:r>
              <w:rPr>
                <w:rFonts w:ascii="Times New Roman" w:cs="Times New Roman" w:eastAsia="Times New Roman" w:hAnsi="Times New Roman"/>
                <w:sz w:val="14"/>
                <w:szCs w:val="14"/>
                <w:color w:val="auto"/>
              </w:rPr>
              <w:t>with the 2015 Annual Meeting of Stockholders.</w:t>
            </w:r>
          </w:p>
        </w:tc>
      </w:tr>
      <w:tr>
        <w:trPr>
          <w:trHeight w:val="226"/>
        </w:trPr>
        <w:tc>
          <w:tcPr>
            <w:tcW w:w="2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48"/>
        </w:trPr>
        <w:tc>
          <w:tcPr>
            <w:tcW w:w="25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200" w:type="dxa"/>
            <w:vAlign w:val="bottom"/>
            <w:gridSpan w:val="29"/>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120" w:type="dxa"/>
            <w:vAlign w:val="bottom"/>
          </w:tcPr>
          <w:p>
            <w:pPr>
              <w:spacing w:after="0"/>
              <w:rPr>
                <w:sz w:val="17"/>
                <w:szCs w:val="17"/>
                <w:color w:val="auto"/>
              </w:rPr>
            </w:pPr>
          </w:p>
        </w:tc>
      </w:tr>
      <w:tr>
        <w:trPr>
          <w:trHeight w:val="534"/>
        </w:trPr>
        <w:tc>
          <w:tcPr>
            <w:tcW w:w="10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60" w:type="dxa"/>
            <w:vAlign w:val="bottom"/>
            <w:gridSpan w:val="15"/>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4"/>
                <w:szCs w:val="24"/>
                <w:color w:val="auto"/>
              </w:rPr>
            </w:pPr>
          </w:p>
        </w:tc>
      </w:tr>
      <w:tr>
        <w:trPr>
          <w:trHeight w:val="419"/>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0" w:type="dxa"/>
            <w:vAlign w:val="bottom"/>
            <w:gridSpan w:val="10"/>
          </w:tcPr>
          <w:p>
            <w:pPr>
              <w:jc w:val="center"/>
              <w:ind w:right="4020"/>
              <w:spacing w:after="0"/>
              <w:rPr>
                <w:rFonts w:ascii="Times New Roman" w:cs="Times New Roman" w:eastAsia="Times New Roman" w:hAnsi="Times New Roman"/>
                <w:sz w:val="18"/>
                <w:szCs w:val="18"/>
                <w:b w:val="1"/>
                <w:bCs w:val="1"/>
                <w:color w:val="0000EE"/>
                <w:w w:val="95"/>
              </w:rPr>
            </w:pPr>
            <w:hyperlink w:anchor="page4">
              <w:r>
                <w:rPr>
                  <w:rFonts w:ascii="Times New Roman" w:cs="Times New Roman" w:eastAsia="Times New Roman" w:hAnsi="Times New Roman"/>
                  <w:sz w:val="18"/>
                  <w:szCs w:val="18"/>
                  <w:b w:val="1"/>
                  <w:bCs w:val="1"/>
                  <w:color w:val="0000EE"/>
                  <w:w w:val="95"/>
                </w:rPr>
                <w:t>PART I</w:t>
              </w:r>
            </w:hyperlink>
          </w:p>
        </w:tc>
        <w:tc>
          <w:tcPr>
            <w:tcW w:w="1120" w:type="dxa"/>
            <w:vAlign w:val="bottom"/>
          </w:tcPr>
          <w:p>
            <w:pPr>
              <w:spacing w:after="0"/>
              <w:rPr>
                <w:sz w:val="24"/>
                <w:szCs w:val="24"/>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600" w:type="dxa"/>
            <w:vAlign w:val="bottom"/>
            <w:gridSpan w:val="18"/>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580" w:type="dxa"/>
            <w:vAlign w:val="bottom"/>
            <w:tcBorders>
              <w:top w:val="single" w:sz="8" w:color="0000EE"/>
            </w:tcBorders>
          </w:tcPr>
          <w:p>
            <w:pPr>
              <w:spacing w:after="0"/>
              <w:rPr>
                <w:sz w:val="17"/>
                <w:szCs w:val="17"/>
                <w:color w:val="auto"/>
              </w:rPr>
            </w:pPr>
          </w:p>
        </w:tc>
        <w:tc>
          <w:tcPr>
            <w:tcW w:w="4020" w:type="dxa"/>
            <w:vAlign w:val="bottom"/>
            <w:gridSpan w:val="9"/>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Risk Factors</w:t>
              </w:r>
            </w:hyperlink>
          </w:p>
        </w:tc>
        <w:tc>
          <w:tcPr>
            <w:tcW w:w="8280" w:type="dxa"/>
            <w:vAlign w:val="bottom"/>
            <w:gridSpan w:val="2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Unresolved Staff Comments</w:t>
              </w:r>
            </w:hyperlink>
          </w:p>
        </w:tc>
        <w:tc>
          <w:tcPr>
            <w:tcW w:w="7140" w:type="dxa"/>
            <w:vAlign w:val="bottom"/>
            <w:gridSpan w:val="1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Properties</w:t>
              </w:r>
            </w:hyperlink>
          </w:p>
        </w:tc>
        <w:tc>
          <w:tcPr>
            <w:tcW w:w="8460" w:type="dxa"/>
            <w:vAlign w:val="bottom"/>
            <w:gridSpan w:val="2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28"/>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8"/>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Mine Safety Disclosures</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0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gridSpan w:val="11"/>
          </w:tcPr>
          <w:p>
            <w:pPr>
              <w:jc w:val="center"/>
              <w:ind w:right="3980"/>
              <w:spacing w:after="0" w:line="196" w:lineRule="exact"/>
              <w:rPr>
                <w:rFonts w:ascii="Times New Roman" w:cs="Times New Roman" w:eastAsia="Times New Roman" w:hAnsi="Times New Roman"/>
                <w:sz w:val="18"/>
                <w:szCs w:val="18"/>
                <w:b w:val="1"/>
                <w:bCs w:val="1"/>
                <w:color w:val="0000EE"/>
                <w:w w:val="97"/>
              </w:rPr>
            </w:pPr>
            <w:hyperlink w:anchor="page37">
              <w:r>
                <w:rPr>
                  <w:rFonts w:ascii="Times New Roman" w:cs="Times New Roman" w:eastAsia="Times New Roman" w:hAnsi="Times New Roman"/>
                  <w:sz w:val="18"/>
                  <w:szCs w:val="18"/>
                  <w:b w:val="1"/>
                  <w:bCs w:val="1"/>
                  <w:color w:val="0000EE"/>
                  <w:w w:val="97"/>
                </w:rPr>
                <w:t>PART II</w:t>
              </w:r>
            </w:hyperlink>
          </w:p>
        </w:tc>
        <w:tc>
          <w:tcPr>
            <w:tcW w:w="11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28"/>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Market for the Registrant’s Common Equity, Related Stockholder Matters and Issuer Purchases of Equity Securities</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Selected Financial Data</w:t>
              </w:r>
            </w:hyperlink>
          </w:p>
        </w:tc>
        <w:tc>
          <w:tcPr>
            <w:tcW w:w="6620" w:type="dxa"/>
            <w:vAlign w:val="bottom"/>
            <w:tcBorders>
              <w:top w:val="single" w:sz="8" w:color="0000EE"/>
            </w:tcBorders>
            <w:gridSpan w:val="20"/>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00" w:type="dxa"/>
            <w:vAlign w:val="bottom"/>
            <w:gridSpan w:val="28"/>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10"/>
          </w:tcPr>
          <w:p>
            <w:pPr>
              <w:spacing w:after="0"/>
              <w:rPr>
                <w:sz w:val="17"/>
                <w:szCs w:val="17"/>
                <w:color w:val="auto"/>
              </w:rPr>
            </w:pPr>
          </w:p>
        </w:tc>
        <w:tc>
          <w:tcPr>
            <w:tcW w:w="2740" w:type="dxa"/>
            <w:vAlign w:val="bottom"/>
            <w:gridSpan w:val="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Financial Statements and Supplementary Data</w:t>
              </w:r>
            </w:hyperlink>
          </w:p>
        </w:tc>
        <w:tc>
          <w:tcPr>
            <w:tcW w:w="5860" w:type="dxa"/>
            <w:vAlign w:val="bottom"/>
            <w:gridSpan w:val="1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00" w:type="dxa"/>
            <w:vAlign w:val="bottom"/>
            <w:gridSpan w:val="28"/>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17"/>
          </w:tcPr>
          <w:p>
            <w:pPr>
              <w:spacing w:after="0"/>
              <w:rPr>
                <w:sz w:val="17"/>
                <w:szCs w:val="17"/>
                <w:color w:val="auto"/>
              </w:rPr>
            </w:pPr>
          </w:p>
        </w:tc>
        <w:tc>
          <w:tcPr>
            <w:tcW w:w="2720" w:type="dxa"/>
            <w:vAlign w:val="bottom"/>
            <w:gridSpan w:val="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00" w:type="dxa"/>
            <w:vAlign w:val="bottom"/>
            <w:gridSpan w:val="28"/>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Other Information</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0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bottom w:val="single" w:sz="8" w:color="0000EE"/>
            </w:tcBorders>
            <w:gridSpan w:val="6"/>
          </w:tcPr>
          <w:p>
            <w:pPr>
              <w:jc w:val="center"/>
              <w:ind w:right="20"/>
              <w:spacing w:after="0" w:line="196" w:lineRule="exact"/>
              <w:rPr>
                <w:rFonts w:ascii="Times New Roman" w:cs="Times New Roman" w:eastAsia="Times New Roman" w:hAnsi="Times New Roman"/>
                <w:sz w:val="18"/>
                <w:szCs w:val="18"/>
                <w:b w:val="1"/>
                <w:bCs w:val="1"/>
                <w:color w:val="0000EE"/>
                <w:w w:val="96"/>
              </w:rPr>
            </w:pPr>
            <w:hyperlink w:anchor="page66">
              <w:r>
                <w:rPr>
                  <w:rFonts w:ascii="Times New Roman" w:cs="Times New Roman" w:eastAsia="Times New Roman" w:hAnsi="Times New Roman"/>
                  <w:sz w:val="18"/>
                  <w:szCs w:val="18"/>
                  <w:b w:val="1"/>
                  <w:bCs w:val="1"/>
                  <w:color w:val="0000EE"/>
                  <w:w w:val="96"/>
                </w:rPr>
                <w:t>PART III</w:t>
              </w:r>
            </w:hyperlink>
          </w:p>
        </w:tc>
        <w:tc>
          <w:tcPr>
            <w:tcW w:w="392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200" w:type="dxa"/>
            <w:vAlign w:val="bottom"/>
            <w:gridSpan w:val="28"/>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Directors and Executive Officers and Corporate Governance</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Executive Compensation</w:t>
              </w:r>
            </w:hyperlink>
          </w:p>
        </w:tc>
        <w:tc>
          <w:tcPr>
            <w:tcW w:w="2540" w:type="dxa"/>
            <w:vAlign w:val="bottom"/>
            <w:tcBorders>
              <w:top w:val="single" w:sz="8" w:color="0000EE"/>
            </w:tcBorders>
            <w:gridSpan w:val="6"/>
          </w:tcPr>
          <w:p>
            <w:pPr>
              <w:spacing w:after="0"/>
              <w:rPr>
                <w:sz w:val="17"/>
                <w:szCs w:val="17"/>
                <w:color w:val="auto"/>
              </w:rPr>
            </w:pPr>
          </w:p>
        </w:tc>
        <w:tc>
          <w:tcPr>
            <w:tcW w:w="4840" w:type="dxa"/>
            <w:vAlign w:val="bottom"/>
            <w:gridSpan w:val="1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00" w:type="dxa"/>
            <w:vAlign w:val="bottom"/>
            <w:gridSpan w:val="28"/>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2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Certain Relationships and Related Transactions and Director Independence</w:t>
              </w:r>
            </w:hyperlink>
          </w:p>
        </w:tc>
        <w:tc>
          <w:tcPr>
            <w:tcW w:w="1880" w:type="dxa"/>
            <w:vAlign w:val="bottom"/>
            <w:tcBorders>
              <w:top w:val="single" w:sz="8" w:color="0000EE"/>
            </w:tcBorders>
            <w:gridSpan w:val="3"/>
          </w:tcPr>
          <w:p>
            <w:pPr>
              <w:spacing w:after="0"/>
              <w:rPr>
                <w:sz w:val="17"/>
                <w:szCs w:val="17"/>
                <w:color w:val="auto"/>
              </w:rPr>
            </w:pPr>
          </w:p>
        </w:tc>
        <w:tc>
          <w:tcPr>
            <w:tcW w:w="190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00" w:type="dxa"/>
            <w:vAlign w:val="bottom"/>
            <w:gridSpan w:val="28"/>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Principal Accounting Fees and Services</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0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EE"/>
            </w:tcBorders>
            <w:gridSpan w:val="4"/>
          </w:tcPr>
          <w:p>
            <w:pPr>
              <w:jc w:val="center"/>
              <w:spacing w:after="0" w:line="196" w:lineRule="exact"/>
              <w:rPr>
                <w:rFonts w:ascii="Times New Roman" w:cs="Times New Roman" w:eastAsia="Times New Roman" w:hAnsi="Times New Roman"/>
                <w:sz w:val="18"/>
                <w:szCs w:val="18"/>
                <w:b w:val="1"/>
                <w:bCs w:val="1"/>
                <w:color w:val="0000EE"/>
                <w:w w:val="95"/>
              </w:rPr>
            </w:pPr>
            <w:hyperlink w:anchor="page67">
              <w:r>
                <w:rPr>
                  <w:rFonts w:ascii="Times New Roman" w:cs="Times New Roman" w:eastAsia="Times New Roman" w:hAnsi="Times New Roman"/>
                  <w:sz w:val="18"/>
                  <w:szCs w:val="18"/>
                  <w:b w:val="1"/>
                  <w:bCs w:val="1"/>
                  <w:color w:val="0000EE"/>
                  <w:w w:val="95"/>
                </w:rPr>
                <w:t>PART IV</w:t>
              </w:r>
            </w:hyperlink>
          </w:p>
        </w:tc>
        <w:tc>
          <w:tcPr>
            <w:tcW w:w="394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200" w:type="dxa"/>
            <w:vAlign w:val="bottom"/>
            <w:gridSpan w:val="28"/>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Exhibits and Financial Statement Schedules</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10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0" w:type="dxa"/>
            <w:vAlign w:val="bottom"/>
            <w:gridSpan w:val="11"/>
            <w:shd w:val="clear" w:color="auto" w:fill="0000EE"/>
          </w:tcPr>
          <w:p>
            <w:pPr>
              <w:spacing w:after="0" w:line="20" w:lineRule="exact"/>
              <w:rPr>
                <w:sz w:val="1"/>
                <w:szCs w:val="1"/>
                <w:color w:val="auto"/>
              </w:rPr>
            </w:pPr>
          </w:p>
        </w:tc>
        <w:tc>
          <w:tcPr>
            <w:tcW w:w="6040" w:type="dxa"/>
            <w:vAlign w:val="bottom"/>
            <w:gridSpan w:val="1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0" w:type="dxa"/>
            <w:vAlign w:val="bottom"/>
            <w:gridSpan w:val="29"/>
          </w:tcPr>
          <w:p>
            <w:pPr>
              <w:spacing w:after="0" w:line="196" w:lineRule="exact"/>
              <w:rPr>
                <w:rFonts w:ascii="Times New Roman" w:cs="Times New Roman" w:eastAsia="Times New Roman" w:hAnsi="Times New Roman"/>
                <w:sz w:val="18"/>
                <w:szCs w:val="18"/>
                <w:b w:val="1"/>
                <w:bCs w:val="1"/>
                <w:color w:val="0000EE"/>
              </w:rPr>
            </w:pPr>
            <w:hyperlink w:anchor="page111">
              <w:r>
                <w:rPr>
                  <w:rFonts w:ascii="Times New Roman" w:cs="Times New Roman" w:eastAsia="Times New Roman" w:hAnsi="Times New Roman"/>
                  <w:sz w:val="18"/>
                  <w:szCs w:val="18"/>
                  <w:b w:val="1"/>
                  <w:bCs w:val="1"/>
                  <w:color w:val="0000EE"/>
                </w:rPr>
                <w:t>SIGNATURES</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20"/>
        </w:trPr>
        <w:tc>
          <w:tcPr>
            <w:tcW w:w="10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446"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this Annual Report on Form 10-K for the year ended December 31, 2014, and in other securities filings by Great Lakes with the SEC.</w:t>
      </w:r>
    </w:p>
    <w:p>
      <w:pPr>
        <w:spacing w:after="0" w:line="19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Although Great Lakes believes that our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we do does not have or undertake any obligation to update or revise any forward-looking statements whether as a result of new information, subsequent events or otherwise, unless otherwise required by law.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Information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You may read and copy any materials Great Lakes files with the SEC, including without limitation the Company’s Annual Report on Form 10-K, quarterly reports on Form 10-Q, current reports on Form 8-K, and amendments to those reports at the SEC’s Public Reference Room at 100 F Street, N.E., Washington, D.C. 20549. Copies of such materials also can be obtained at the SEC’s website, www.sec.gov or by mail from the Public Reference Room of the SEC, at prescribed rates. Please call the SEC at 1-800-SEC-0330 for further information on the Public Reference Room. Great Lakes’ SEC filings are also available to the public, free of charge, on our corporate website, www.gldd.com as soon as reasonably practicable after Great Lakes electronically files such material with, or furnishes it to, the SEC.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terms “we,” “our,” “ours,” “us,” “Great Lakes” and “Company” refer to Great Lakes Dredge &amp; Dock Corporation and its subsidiaries.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Great Lakes is the largest provider of dredging services in the United States and is the only U.S. dredging service provider with significant international operations. 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Great Lakes now provides dredging services in the East, West, and Gulf Coasts of the United States and worldwide. The Company also owns specialty contracting service providers which primarily offers environmental, remediation and geotechnical services throughout the United States.</w:t>
      </w:r>
    </w:p>
    <w:p>
      <w:pPr>
        <w:spacing w:after="0" w:line="188"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On November 4, 2014, the Company acquired the stock of Magnus Pacific Corporation, a leading provider of environmental remediation, geotechnical construction, demolition, and sediments and wetlands construction headquartered outside of Sacramento, California, for an aggregate purchase price of approximately $40 million. The Magnus Pacific (“Magnus”) business is part of the Company’s environmental &amp; remediation segment.</w:t>
      </w:r>
    </w:p>
    <w:p>
      <w:pPr>
        <w:spacing w:after="0" w:line="176"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7"/>
          <w:szCs w:val="17"/>
          <w:color w:val="auto"/>
        </w:rPr>
        <w:t>On December 31, 2012, the Company acquired the assets and assumed certain liabilities of Terra Contracting, LLC, a respected provider of a wide variety of essential services for environmental, maintenance and infrastructure-related applications headquartered in Kalamazoo, Michigan, for a purchase price of approximately $26 million. The Terra Contracting Services, LLC (“Terra”) business is part of the Company’s environmental &amp; remediation segment.</w:t>
      </w:r>
    </w:p>
    <w:p>
      <w:pPr>
        <w:spacing w:after="0" w:line="15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operates in four operating segments that, through aggregation, comprise two reportable segments: dredging and environmental &amp; remediation.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 Financial information about the Company’s reportable segments and operating revenues by geographic region is provided in Notes 10 and 17 to the Company’s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Dredging Operations (86% of 2014 total revenues)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or other considerations. The Company experienced an average combined bid market share in the U.S. of 46% over the prior three years, including 46%, 58%, 33% and 50% of the domestic capital, coastal protection, maintenance and rivers &amp; lakes sectors, respectively.</w:t>
      </w:r>
    </w:p>
    <w:p>
      <w:pPr>
        <w:spacing w:after="0" w:line="188"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Over its 124 year history, the Company has grown to be a leader in capital, coastal protection and maintenance dredging in the U.S. and is one of the oldest and most experienced dredging companies in the United States. In addition, the Company is the only U.S. dredging service provider with significant international operations. Over the prior three years, foreign dredging operations accounted for an average of 18% of the Company’s dredging revenues. The Company’s foreign projects are typically categorized in the capital work type, but are not included in the aforementioned bid market.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Capital (domestic is 28% of 2014 dredging revenues)</w:t>
      </w:r>
      <w:r>
        <w:rPr>
          <w:rFonts w:ascii="Times New Roman" w:cs="Times New Roman" w:eastAsia="Times New Roman" w:hAnsi="Times New Roman"/>
          <w:sz w:val="18"/>
          <w:szCs w:val="18"/>
          <w:color w:val="auto"/>
        </w:rPr>
        <w:t>. Capital dredging consists primarily of port expansion projects, which involve the deepening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spacing w:after="0" w:line="180" w:lineRule="exact"/>
        <w:rPr>
          <w:sz w:val="20"/>
          <w:szCs w:val="20"/>
          <w:color w:val="auto"/>
        </w:rPr>
      </w:pPr>
    </w:p>
    <w:p>
      <w:pPr>
        <w:ind w:right="1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(22% of 2014 dredging revenues). </w:t>
      </w:r>
      <w:r>
        <w:rPr>
          <w:rFonts w:ascii="Times New Roman" w:cs="Times New Roman" w:eastAsia="Times New Roman" w:hAnsi="Times New Roman"/>
          <w:sz w:val="18"/>
          <w:szCs w:val="18"/>
          <w:color w:val="auto"/>
        </w:rPr>
        <w:t>Foreign capital projects typically involve land reclamations, channel deepening and port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The Company targets foreign opportunities that are well suited to the Company’s equipment and where it faces reduced competition from its European competitors. Maintaining a presence in foreign markets has enabled the Company to diversify its customer base and take advantage of differences in global economic development. Over the last ten years, the Company has performed dredging work in the Middle East, Africa, India, Australia, the Caribbean and Central and South America. Most recently, the Company has focused its efforts on opportunities in Australia, the Middle East and South America.</w:t>
      </w:r>
    </w:p>
    <w:p>
      <w:pPr>
        <w:spacing w:after="0" w:line="18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Coastal protection (28% of 2014 dredging revenues)</w:t>
      </w:r>
      <w:r>
        <w:rPr>
          <w:rFonts w:ascii="Times New Roman" w:cs="Times New Roman" w:eastAsia="Times New Roman" w:hAnsi="Times New Roman"/>
          <w:sz w:val="18"/>
          <w:szCs w:val="18"/>
          <w:color w:val="auto"/>
        </w:rPr>
        <w:t>. Coastal protection was previously referred to as beach nourishment. Coastal protection is a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accurate description of this important dredging work that protects valuable infrastructure along the coast lines. Coastal protection projects generally involve moving sand from the ocean floor to shoreline locations where erosion threatens shoreline assets. Beach erosion is a continuous problem that has intensified with the rise in coastal development and has become an important issue for state and local governments concerned with protecting beachfront tourism and real estate. Coastal protection via beach nourishment is often viewed as a better response to erosion than trapping sand through the use of sea walls and jetties, or relocating buildings and other assets away from the shoreline. Generally, coastal protection projects take place during the fall and winter months to minimize interference with bird and marine life migration and breeding patterns as well as coastal recreation activities.</w:t>
      </w:r>
    </w:p>
    <w:p>
      <w:pPr>
        <w:spacing w:after="0" w:line="183"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Maintenance (18% of 2014 dredging revenues)</w:t>
      </w:r>
      <w:r>
        <w:rPr>
          <w:rFonts w:ascii="Times New Roman" w:cs="Times New Roman" w:eastAsia="Times New Roman" w:hAnsi="Times New Roman"/>
          <w:sz w:val="18"/>
          <w:szCs w:val="18"/>
          <w:color w:val="auto"/>
        </w:rPr>
        <w:t>. Maintenance dredging consists of the re-dredging of previously deepened waterways and harbors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 silt, sand and other accumulated sediments. Due to natural sedimentation, many channels require maintenance dredging every one to three years, thus creating a recurring source of dredging work that is typically non-deferrable if adequate commercial navigability is to be maintained. In addition, severe weather such as hurricanes, flooding and droughts can also cause the accumulation of sediments and drive the need for maintenance dredging.</w:t>
      </w:r>
    </w:p>
    <w:p>
      <w:pPr>
        <w:spacing w:after="0" w:line="180"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Rivers &amp; lakes (4% of 2014 dredging revenues)</w:t>
      </w:r>
      <w:r>
        <w:rPr>
          <w:rFonts w:ascii="Times New Roman" w:cs="Times New Roman" w:eastAsia="Times New Roman" w:hAnsi="Times New Roman"/>
          <w:sz w:val="18"/>
          <w:szCs w:val="18"/>
          <w:color w:val="auto"/>
        </w:rPr>
        <w:t>. Domestic rivers and lakes dredging and related operations typically consist of lake and river dredging,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inland levee and construction dredging, environmental restoration and habitat improvement and other marine construction projects. Although the Mississippi River has a large source of projects on which the Company bids, certain dredges used on these projects are more portable and able to be transported to take advantage of the fragmented market. In addition, many of our dredges can be transported to sites of waterway environmental remediation work to assist our environmental &amp; remediation business on projects. Generally, inland river and lake projects in the northern U.S. take place in non-winter months because frozen waterways significantly reduce the Company’s ability to operate and transport its equipment in the relevant geographies.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 Demand Drivers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believes that the following factors are important drivers of the demand for its dredging services:</w:t>
      </w:r>
    </w:p>
    <w:p>
      <w:pPr>
        <w:spacing w:after="0" w:line="129" w:lineRule="exact"/>
        <w:rPr>
          <w:sz w:val="20"/>
          <w:szCs w:val="20"/>
          <w:color w:val="auto"/>
        </w:rPr>
      </w:pPr>
    </w:p>
    <w:p>
      <w:pPr>
        <w:ind w:left="900" w:hanging="325"/>
        <w:spacing w:after="0" w:line="267"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Deep port capital projects. </w:t>
      </w:r>
      <w:r>
        <w:rPr>
          <w:rFonts w:ascii="Times New Roman" w:cs="Times New Roman" w:eastAsia="Times New Roman" w:hAnsi="Times New Roman"/>
          <w:sz w:val="18"/>
          <w:szCs w:val="18"/>
          <w:color w:val="auto"/>
        </w:rPr>
        <w:t>Most U.S. ports have expansion plans that include deepening and widening in order to better compete for international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International trade, particularly in the intermodal container shipping business, is undergoing significant change as a result of the Panama Canal expansion. Many shipping lines have announced plans to deploy larger ships which, due to the channel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54" w:lineRule="auto"/>
        <w:rPr>
          <w:sz w:val="20"/>
          <w:szCs w:val="20"/>
          <w:color w:val="auto"/>
        </w:rPr>
      </w:pPr>
      <w:r>
        <w:rPr>
          <w:rFonts w:ascii="Times New Roman" w:cs="Times New Roman" w:eastAsia="Times New Roman" w:hAnsi="Times New Roman"/>
          <w:sz w:val="18"/>
          <w:szCs w:val="18"/>
          <w:color w:val="auto"/>
        </w:rPr>
        <w:t>dimension requirements, currently would not be able to use many U.S. ports. Miami’s port deepening project is scheduled for completion in 2015 and its port channels will then be able to accommodate the larger vessels. This is expected to put more pressure on U.S. ports such as Savannah, Jacksonville and Charleston to deepen in order to remain competitive. In addition, the ports of Los Angeles and Long Beach are resuming expansion efforts to remain competitive with deepened East Coast ports. In addition, the Water Resources Reform and Development Act (WRRDA) was signed in the second quarter of 2014 which authorized the U.S. Army Corps of Engineers (the “Corps”) to begin dredging to deepen the Savannah River channel as well as initiate studies to deepen the ports of Jacksonville, Boston and others in the Gulf Coast. The Company views the bill as a positive catalyst for the domestic dredging industry as it authorizes over thirty major projects for the Corps. The Company believes that port deepening and expansion work authorized under current and anticipated future legislation will continue to provide significant opportunities for the domestic dredging industry.</w:t>
      </w:r>
    </w:p>
    <w:p>
      <w:pPr>
        <w:spacing w:after="0" w:line="93" w:lineRule="exact"/>
        <w:rPr>
          <w:sz w:val="20"/>
          <w:szCs w:val="20"/>
          <w:color w:val="auto"/>
        </w:rPr>
      </w:pPr>
    </w:p>
    <w:p>
      <w:pPr>
        <w:ind w:left="900" w:hanging="325"/>
        <w:spacing w:after="0" w:line="259"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Gulf coast restoration. </w:t>
      </w:r>
      <w:r>
        <w:rPr>
          <w:rFonts w:ascii="Times New Roman" w:cs="Times New Roman" w:eastAsia="Times New Roman" w:hAnsi="Times New Roman"/>
          <w:sz w:val="18"/>
          <w:szCs w:val="18"/>
          <w:color w:val="auto"/>
        </w:rPr>
        <w:t>There has been continued focus on restoring the barrier islands and wetlands that provide natural protection from storms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Gulf Coast area. Many restoration projects have commenced to repair coastal areas. Several additional projects are being planned by state and local governments to restore natural barriers. The State of Louisiana has completed a master plan calling for a $50 billion investment in its coastal infrastructure, with a significant portion involving dredging. The annual bid market for domestic capital dredging, which includes deep port capital dredging and Gulf Coast restoration, averaged $349 million over the prior three years.</w:t>
      </w:r>
    </w:p>
    <w:p>
      <w:pPr>
        <w:spacing w:after="0" w:line="85" w:lineRule="exact"/>
        <w:rPr>
          <w:rFonts w:ascii="Times New Roman" w:cs="Times New Roman" w:eastAsia="Times New Roman" w:hAnsi="Times New Roman"/>
          <w:sz w:val="18"/>
          <w:szCs w:val="18"/>
          <w:color w:val="auto"/>
        </w:rPr>
      </w:pPr>
    </w:p>
    <w:p>
      <w:pPr>
        <w:ind w:left="900" w:hanging="325"/>
        <w:spacing w:after="0" w:line="25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Substantial need for coastal protection. </w:t>
      </w:r>
      <w:r>
        <w:rPr>
          <w:rFonts w:ascii="Times New Roman" w:cs="Times New Roman" w:eastAsia="Times New Roman" w:hAnsi="Times New Roman"/>
          <w:sz w:val="18"/>
          <w:szCs w:val="18"/>
          <w:color w:val="auto"/>
        </w:rPr>
        <w:t>Beach erosion is a recurring problem due to the normal ebb and flow of coastlines as well as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severe storm activity. Growing populations in coastal communities and vital beach tourism are drawing attention to the importance of protecting beachfront assets. Over the past few years, both the federal government and state and local entities have funded beach work recognizing the essential role these natural barriers play in absorbing storm energy and protecting public and private property. Superstorm Sandy has highlighted the need for projects that clear the navigation channels, renourish damaged beaches and mitigate shore erosion from future storms. Since the beginning of 2013, the Corps has let for bid over $600 million in projects to repair shorelines in New York and New Jersey damaged as a result of Superstorm Sandy. The annual bid market for coastal protection over the prior three years averaged $320 million.</w:t>
      </w:r>
    </w:p>
    <w:p>
      <w:pPr>
        <w:spacing w:after="0" w:line="88" w:lineRule="exact"/>
        <w:rPr>
          <w:rFonts w:ascii="Times New Roman" w:cs="Times New Roman" w:eastAsia="Times New Roman" w:hAnsi="Times New Roman"/>
          <w:sz w:val="18"/>
          <w:szCs w:val="18"/>
          <w:color w:val="auto"/>
        </w:rPr>
      </w:pPr>
    </w:p>
    <w:p>
      <w:pPr>
        <w:ind w:left="900" w:right="40" w:hanging="325"/>
        <w:spacing w:after="0" w:line="254"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maintenance of U.S. ports. </w:t>
      </w:r>
      <w:r>
        <w:rPr>
          <w:rFonts w:ascii="Times New Roman" w:cs="Times New Roman" w:eastAsia="Times New Roman" w:hAnsi="Times New Roman"/>
          <w:sz w:val="18"/>
          <w:szCs w:val="18"/>
          <w:color w:val="auto"/>
        </w:rPr>
        <w:t>The channels and waterways leading to U.S. ports have stated depths on which shippers rely when entering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ports. Due to naturally occurring sedimentation and severe weather, active channels require maintenance dredging to ensure that stated depths are at authorized levels. Consequently, the need to maintain channel depth creates a recurring source of dredging work that is non-deferrable if optimal navigability is to be preserved. The Corps is responsible for federally funded projects related to navigation and flood control of U.S. waterways. The maritime industry, including the ports, has repeatedly advocated for congressional efforts to ensure that a fully funded, recurring maintenance program is in place. The previously mentioned Water Resources Reform and Development Act calls for full use of the Harbor Maintenance Trust Fund for maintenance of ports and waterways within 10 years. With the mandate to utilize the taxes collected on imports to U.S. ports for their intended purpose of maintaining future access to the waterways and ports that support our nation’s economy, the Company expects the Corps to substantially increase the projects let to bid for maintenance projects in 2015. The annual bid market for maintenance dredging over the prior three years averaged $355 million.</w:t>
      </w:r>
    </w:p>
    <w:p>
      <w:pPr>
        <w:spacing w:after="0" w:line="91" w:lineRule="exact"/>
        <w:rPr>
          <w:rFonts w:ascii="Times New Roman" w:cs="Times New Roman" w:eastAsia="Times New Roman" w:hAnsi="Times New Roman"/>
          <w:sz w:val="18"/>
          <w:szCs w:val="18"/>
          <w:color w:val="auto"/>
        </w:rPr>
      </w:pPr>
    </w:p>
    <w:p>
      <w:pPr>
        <w:ind w:left="900" w:right="60" w:hanging="325"/>
        <w:spacing w:after="0" w:line="25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Need to maintain safe navigability of the U.S. river system</w:t>
      </w:r>
      <w:r>
        <w:rPr>
          <w:rFonts w:ascii="Times New Roman" w:cs="Times New Roman" w:eastAsia="Times New Roman" w:hAnsi="Times New Roman"/>
          <w:sz w:val="18"/>
          <w:szCs w:val="18"/>
          <w:color w:val="auto"/>
        </w:rPr>
        <w:t>. There are over 12 thousand miles of commercially navigable inland waterways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 more than 566 million tons of commercial goods. Transportation by barge requires less energy, and therefore is both better for the environment as well as costs less to move cargo than transportation by airplane, railcar or truck. Many industries rely on safe navigability of U.S. inland waterways as a primary means to transport goods and commodities such as coal, chemicals, petroleum, minerals, stones, metals and agricultural products. Natural sedimentation and other circumstances require that the inland waterway system be periodically dredged so that it can be used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500"/>
        <w:spacing w:after="0" w:line="282" w:lineRule="auto"/>
        <w:rPr>
          <w:sz w:val="20"/>
          <w:szCs w:val="20"/>
          <w:color w:val="auto"/>
        </w:rPr>
      </w:pPr>
      <w:r>
        <w:rPr>
          <w:rFonts w:ascii="Times New Roman" w:cs="Times New Roman" w:eastAsia="Times New Roman" w:hAnsi="Times New Roman"/>
          <w:sz w:val="18"/>
          <w:szCs w:val="18"/>
          <w:color w:val="auto"/>
        </w:rPr>
        <w:t>as intended. The Corps recognizes the need to maintain the safe navigability of U.S. waterways. The annual bid market for rivers and lakes dredging over the prior three years averaged $62 million.</w:t>
      </w:r>
    </w:p>
    <w:p>
      <w:pPr>
        <w:spacing w:after="0" w:line="65" w:lineRule="exact"/>
        <w:rPr>
          <w:sz w:val="20"/>
          <w:szCs w:val="20"/>
          <w:color w:val="auto"/>
        </w:rPr>
      </w:pPr>
    </w:p>
    <w:p>
      <w:pPr>
        <w:ind w:left="900" w:hanging="325"/>
        <w:spacing w:after="0" w:line="25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Domestic and international energy transportation</w:t>
      </w:r>
      <w:r>
        <w:rPr>
          <w:rFonts w:ascii="Times New Roman" w:cs="Times New Roman" w:eastAsia="Times New Roman" w:hAnsi="Times New Roman"/>
          <w:sz w:val="18"/>
          <w:szCs w:val="18"/>
          <w:color w:val="auto"/>
        </w:rPr>
        <w:t>. The growth in demand for transportation of energy worldwide has driven the need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dredging to support new terminals, harbors, channels and pipelines. Great Lakes recently completed dredging work on a project that will create a new shipping channel for a liquid natural gas (“LNG”) terminal being developed to export abundant energy resources from the west coast of Australia. The Company is also widening the Freeport Harbor Ship Channel in Texas, which is being sponsored by Freeport LNG. The significant drop in crude oil prices in 2014 may lead to a slowdown in the development of LNG export plants; however, the Company continues to expect that future global energy demand will necessitate improvements in the infrastructure base around sources of rich resources and countries that import global energy.</w:t>
      </w:r>
    </w:p>
    <w:p>
      <w:pPr>
        <w:spacing w:after="0" w:line="88" w:lineRule="exact"/>
        <w:rPr>
          <w:rFonts w:ascii="Times New Roman" w:cs="Times New Roman" w:eastAsia="Times New Roman" w:hAnsi="Times New Roman"/>
          <w:sz w:val="18"/>
          <w:szCs w:val="18"/>
          <w:color w:val="auto"/>
        </w:rPr>
      </w:pPr>
    </w:p>
    <w:p>
      <w:pPr>
        <w:ind w:left="900" w:right="80" w:hanging="325"/>
        <w:spacing w:after="0" w:line="259"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Middle East market. </w:t>
      </w:r>
      <w:r>
        <w:rPr>
          <w:rFonts w:ascii="Times New Roman" w:cs="Times New Roman" w:eastAsia="Times New Roman" w:hAnsi="Times New Roman"/>
          <w:sz w:val="18"/>
          <w:szCs w:val="18"/>
          <w:color w:val="auto"/>
        </w:rPr>
        <w:t>Over the past ten years, the Middle East has been a strong market for dredging services. With substantial income from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and significant real estate development, these countries have been undergoing extensive infrastructure expansion. Historically lower oil prices and the contraction in Middle East commercial and real estate development have slowed the rate of the region’s infrastructure development. The Company is presently engaged in the widening and deepening of a portion of the Suez Canal to expand the seaborne cargo capacity of this important waterway.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&amp; Remediation Operations (approximately 14% of 2014 total revenues)</w:t>
      </w:r>
    </w:p>
    <w:p>
      <w:pPr>
        <w:spacing w:after="0" w:line="1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environmental &amp; remediation segment provides soil, water and sediment environmental remediation for clients in both the public and private sectors in the United States. Remediation involves the containment, immobilization or removal of contamination from an environment through the use of any combination of isolation, treatment, or exhumation techniques including off-site disposal based on the quantity and severity of the contamination. The Company had historically provided certain environmental remediation services in conjunction with its demolition business, which we divested in April 2014. The Company added additional environmental remediation skillsets through its acquisition of Terra in December 2012 and Magnus Pacific in November 2014. Combined with our dredging segment, we have a set of skills well suited to perform all types of environmental and remediation work on both land and water. Besides environmental remediation, the environmental &amp; remediation segment performs abatement services, industrial cleaning, and waste transportation and disposal. Our recent acquisition of Magnus Pacific expands the geographic footprint of our environmental operations to include the U.S. West Coast and broadens our suite of services to include geotechnical capabilities and other environmental solutions.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&amp; Remediation Demand Drivers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believes that the following factors are important drivers of the demand for its environmental &amp; remediation services:</w:t>
      </w:r>
    </w:p>
    <w:p>
      <w:pPr>
        <w:spacing w:after="0" w:line="129" w:lineRule="exact"/>
        <w:rPr>
          <w:sz w:val="20"/>
          <w:szCs w:val="20"/>
          <w:color w:val="auto"/>
        </w:rPr>
      </w:pPr>
    </w:p>
    <w:p>
      <w:pPr>
        <w:ind w:left="900" w:right="220" w:hanging="325"/>
        <w:spacing w:after="0" w:line="261"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requirements for environmental services. </w:t>
      </w:r>
      <w:r>
        <w:rPr>
          <w:rFonts w:ascii="Times New Roman" w:cs="Times New Roman" w:eastAsia="Times New Roman" w:hAnsi="Times New Roman"/>
          <w:sz w:val="18"/>
          <w:szCs w:val="18"/>
          <w:color w:val="auto"/>
        </w:rPr>
        <w:t>Both the dredging and environmental &amp; remediation businesses have experienced requests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handling contaminated sediments and soils at project sites. The Environmental Protection Agency and several state agencies began to recognize the environmental hazards posed by stored industrial byproducts near waterways. The release of regulated pollutants into major waterways, inland lakes, landfills and public lands require the use of environmental remediation to remove the contaminated sediment.</w:t>
      </w:r>
    </w:p>
    <w:p>
      <w:pPr>
        <w:spacing w:after="0" w:line="18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Government mandated remediation. </w:t>
      </w:r>
      <w:r>
        <w:rPr>
          <w:rFonts w:ascii="Times New Roman" w:cs="Times New Roman" w:eastAsia="Times New Roman" w:hAnsi="Times New Roman"/>
          <w:sz w:val="18"/>
          <w:szCs w:val="18"/>
          <w:color w:val="auto"/>
        </w:rPr>
        <w:t>The Environmental Protection Agency (“EPA”) mandates remediation initiatives that are paid for partially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by responsible parties. The capability to provide the environmental clean-up of not only the waterway, but also the processing of the contaminated sediment or any contaminated soil from other brownfield sites as well as services related to new federal regulations over the storage and disposal of coal ash provides a targeted growth opportunity for Great Lakes.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For additional details regarding Dredging Operations and Environmental &amp; Remediation Operations, including financial information regarding our international and United States revenues and long-lived assets, see Item 7. “Management’s Discussion and Analysis of Financial Condition and Results of Operations,” and Item 8. “Financial Statements and Supplementary Data” in this Annual Report on Form 10-K, including Footnote 17 to the Company’s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dredging industry’s customers include federal, state and local governments, foreign governments and both domestic and foreign private concerns, such as utilities, oil and other energy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2014, approximately 70% of the Company’s dredging revenues were generated from 53 different contracts with federal agencies or third parties operating under contracts with federal agencies.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&amp; remediation</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Environmental &amp; remediation customers include general contractors, corporations, Superfund potentially responsible parties, environmental engineering and construction firms that commission projects and federal as well as municipal government agencies. This segment benefits from key relationships with certain customers in the general contracting and environmental engineering industries. In 2014, two of the environmental &amp; remediation segment’s customers were responsible for approximately 36% and 11% of the environmental &amp; remediation segment’s annual revenues; however, the loss of these customers would not have a material adverse effect on Great Lakes as a whole.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Bidding Process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121"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Most of the Company’s dredging contracts are obtained through competitive bidding on terms specified by the party inviting the bid. The types of equipment required to perform the specified service, the estimated project duration, seasonality, location and complexity of a project affect the cost of performing the contract and the price that dredging contractors will bid.</w:t>
      </w:r>
    </w:p>
    <w:p>
      <w:pPr>
        <w:spacing w:after="0" w:line="176"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on the contractor’s experience, equipment and schedule, as well as price. While substantially all of the Company’s dredging 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 process benefits both Great Lakes and its customers as customers can award contracts based on factors beyond price, including experience and skill.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&amp; remediation</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majority of the environmental &amp; remediation segment’s projects are secured through competitive bidding. When the environmental &amp; remediation segment bids on a project, it evaluates the contract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specifications and develops a cost estimate to which it adds an acceptable margin. While there are numerous competitors in the environmental &amp; remediation services market, the Company benefits from its size, relationships and reputation. Therefore, there are occasions where the Company is not the lowest bidder on a contract, but is still awarded the project based on its reputation and qualifications.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Bonding and Foreign Project Guarantees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so that if a service provider’s bid is chosen, the service provider will sign the contract. The amount of the bond is typically 20% of the service provider’s bid, with a range generally between $1 and $10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spacing w:after="0" w:line="18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Great Lakes has an agreement with Zurich American Insurance Company (“Zurich”) under which the Company can obtain performance, bid and payment bonds. Great Lakes has never experienced difficulty in obtaining bonding for any of its projects; and Great Lakes has never failed to complete a marine project in its 124 year history. For most foreign dredging projects, letters of credit or bank guarantees issued by foreign banks are required as security for the bid, performance and, if applicable, advance payment guarantees. The Company obtains its letters of credit under the Credit Agreement (as defined below). Foreign bid guarantees are usually 2% to 5% of the service provider’s bid. Foreign performance and advance payment guarantees are each typically 5% to 10% of the contract value.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&amp; remediation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environmental &amp; remediation segment contracts with both private, non-governmental customers and governmental entities. In general, it is not required to secure bonding for projects with non-governmental customers but is required to secure bonding for projects with governmental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U.S. dredging industry is highly fragmented with approximately 250 entities in the U.S. presently operating more than 850 dredges, primarily in maintenance dredging. Most of these dredges are smaller and service the inland, as opposed to coastal, waterways, and therefore do not generally compete with Great Lakes except in our rivers &amp; lakes market. Competition is determined by the size and complexity of the job; equipment bonding and certification requirements; and government regulations. Great Lakes and three other companies comprised approximately 80% of the Company’s defined bid market related to domestic capital, coastal protection and maintenance over the prior three years. The foregoing percentage excludes work in the rivers &amp; lakes market. Within the Company’s bid market, competition is determined primarily on the basis of price. In addition, the Foreign Dredge Act of 1906, or “Dredging Act,” and Section 27 of the Merchant Marine Act of 1920, or “Jones Act,” provide significant barriers to entry with respect to foreign competition. Together these two laws prohibit foreign-built, chartered or operated vessels from competing in the U.S. See “Business—Government Regulations” below.</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Great Lakes competes with several smaller competitors in the domestic rivers and lakes market. Competition is determined primarily based on the basis of geographic reach, project execution capability and price.</w:t>
      </w:r>
    </w:p>
    <w:p>
      <w:pPr>
        <w:spacing w:after="0" w:line="16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Competition in the international market is dominated by four large European dredging companies all of which operate larger equipment and fleets that are more extensive than the Company’s. Recently, a large Chinese dredging company has emerged as a key player in the international market. In addition, there are several governmentally supported dredging companies that operate on a local or regional basis. The Company targets opportunities that are well suited to its equipment and where it can be most competitive. Most recently, the Company has focused on opportunities in the Middle East and Brazil where the Company has cultivated close customer relationships and has pursued contracts compatible with the size of the Company’s vessels.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&amp; remediation</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U.S. environmental &amp; remediation and related services industry is highly fragmented and is comprised mostly of small regional companies. The environmental &amp; remediation segment is able to perform both smaller and larger, more complex projects. The environmental &amp; remediation segment competes in the specialty contracting services industry primarily on the basis of its experience, reputation, equipment, key client relationships and price. The ability to deliver a wide range of interdisciplinary capabilities under a single project team is another competitive attribute.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Great Lakes’ fleet of dredges, material barges and other specialized equipment is the largest and most diverse in the U.S. The Company operates three principal types of dredging equipment: hopper dredges, hydraulic dredges and mechanical dredges.</w:t>
      </w:r>
    </w:p>
    <w:p>
      <w:pPr>
        <w:spacing w:after="0" w:line="160"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Hopper Dredges</w:t>
      </w:r>
      <w:r>
        <w:rPr>
          <w:rFonts w:ascii="Times New Roman" w:cs="Times New Roman" w:eastAsia="Times New Roman" w:hAnsi="Times New Roman"/>
          <w:sz w:val="18"/>
          <w:szCs w:val="18"/>
          <w:color w:val="auto"/>
        </w:rPr>
        <w:t>. Hopper dredges are typically self-propelled and have the general appearance of an ocean-going vessel. The dredge has hollow hulls,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“hoppers,” into which material is suctioned hydraulically through drag-arms. Once the hoppers are filled, the dredge sails to the designated disposal site and either (i) 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coastal protection and maintenance projects.</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Hydraulic Dredges</w:t>
      </w:r>
      <w:r>
        <w:rPr>
          <w:rFonts w:ascii="Times New Roman" w:cs="Times New Roman" w:eastAsia="Times New Roman" w:hAnsi="Times New Roman"/>
          <w:sz w:val="18"/>
          <w:szCs w:val="18"/>
          <w:color w:val="auto"/>
        </w:rPr>
        <w:t>. Hydraulic dredges remove material using a revolving cutterhead which cuts and churns the sediment on the channel or ocean floor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hydraulically pumps the material by pipe to the disposal location. These dredges are very powerful and can dredge some types of rock. Certain dredged materials can be directly pumped for miles with the aid of multiple booster pumps. Hydraulic dredges work with an assortment of support equipment, which help with the positioning and movement of the dredge, handling of the pipelines and the placement of the dredged material. Great Lakes operates the only two large electric hydraulic dredges in the U.S., which makes the Company particularly competitive in markets with stringent emissions standards, such as California and Houston. Unlike hopper dredges, relocating hydraulic dredges and all their ancillary equipment requires specialized vessels and additional time and their operations can be impacted by ship traffic and rough waters. There is a wide distribution of hydraulic dredges from our smaller rivers &amp; lakes vessels that use pipe sizes ranging from 10” to 22” and operate at between 365 and 3,200 total horsepower, while the Company’s other hydraulic dredges use pipe sizes ranging from 18” to 36” and operate at between 1,900 and 20,300 total horsepower.</w:t>
      </w:r>
    </w:p>
    <w:p>
      <w:pPr>
        <w:spacing w:after="0" w:line="189" w:lineRule="exact"/>
        <w:rPr>
          <w:sz w:val="20"/>
          <w:szCs w:val="20"/>
          <w:color w:val="auto"/>
        </w:rPr>
      </w:pPr>
    </w:p>
    <w:p>
      <w:pPr>
        <w:ind w:right="3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Mechanical Dredges</w:t>
      </w:r>
      <w:r>
        <w:rPr>
          <w:rFonts w:ascii="Times New Roman" w:cs="Times New Roman" w:eastAsia="Times New Roman" w:hAnsi="Times New Roman"/>
          <w:sz w:val="18"/>
          <w:szCs w:val="18"/>
          <w:color w:val="auto"/>
        </w:rPr>
        <w:t>. There are two basic types of mechanical dredges: clamshell and backhoe. In both types, the dredge uses a bucket to excavate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from the channel or ocean floor. The dredged material is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placed by the bucket into material barges, or “scows,” for transport to the designated disposal area. The scows are emptied by bottom-dumping, direct pump-out or removal by a crane with a bucket. Mechanical dredges are capable of removing hard-packed sediments, blasted rock and debris and can work in tight areas such as along docks or terminals. Clamshell dredges with specialized buckets are ideally suited to handle material requiring environmentally controlled disposal. Additionally, the Company owns an electric clamshell dredge which provides an advantage in those markets with stringent emissions standards.</w:t>
      </w:r>
    </w:p>
    <w:p>
      <w:pPr>
        <w:spacing w:after="0" w:line="17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Scows. </w:t>
      </w:r>
      <w:r>
        <w:rPr>
          <w:rFonts w:ascii="Times New Roman" w:cs="Times New Roman" w:eastAsia="Times New Roman" w:hAnsi="Times New Roman"/>
          <w:sz w:val="18"/>
          <w:szCs w:val="18"/>
          <w:color w:val="auto"/>
        </w:rPr>
        <w:t>The Company has the largest fleet of material barges in the domestic industry, which provides cost advantages when dredged material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disposed far offshore or when material requires controlled disposal. The Company uses scows with its hydraulic dredges and mechanical dredges. Scows are an efficient and cost effective way to move material and increase dredging production. The Company has twelve scows in its fleet with a capacity ranging from 5,000 to 8,800 cubic yards. The Company purchased two new scows in each of 2013 and 2014 to support its operations.</w:t>
      </w:r>
    </w:p>
    <w:p>
      <w:pPr>
        <w:spacing w:after="0" w:line="18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addition, the Company has numerous pieces of smaller equipment that support its dredging operations. Great Lakes’ domestic dredging fleet is typically positioned on the East and Gulf Coasts, with a smaller number of vessels occasionally positioned on the West Coast, and with many of the rivers &amp; lakes dredges on inland rivers and lakes. The mobility of the fleet enables the Company to move equipment in response to changes in demand. Great Lakes’ fleet also includes vessels currently positioned in the Middle East and Brazil.</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continually assesses its need to upgrade and expand its dredging fleet to take advantage of improving technology and to address the changing needs of the dredging market. The Company is also committed to preventive maintenance, which it believes is reflected in the long lives of most if its equipment and its low level of unscheduled downtime on jobs. To the extent that market conditions warrant the expenditures, Great Lakes can prolong the useful life of its vessels. The Company has announced the construction of a dual mode articulated tug/barge trailing suction hopper dredge. The articulated tug and hopper dredge (“ATB”) are expected to be delivered before the end of 2016.</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Certification of equipment by the U.S. Coast Guard and establishment of the permissible loading capacity by the American Bureau of Shipping (“A.B.S.”) are important factors in the Company’s dredging business. Many projects, such as coastal protection projects with offshore sand borrow sites and dredging projects in exposed entrance channels or with offshore disposal areas, are restricted by federal regulations to be performed only by dredges or scows that have U.S. Coast Guard certification and a load line established by the A.B.S. The certifications indicate that the dredge is structurally capable of operating in open waters. The Company has more certified dredging vessels than any of the Company’s domestic competitors and makes substantial investments to maintain these certifications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&amp; remediation</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environmental &amp; remediation segment owns and operates specialized remediation equipment, including a fleet of tracked excavators, haul trucks, dozers, and other earth moving equipment commonly used for remediation earthwork. The group also owns a wide range of specialty equipment commonly used for geotechnical slurry wall construction including long-stick excavators, slurry batch plants, de-sanders, and jet shear mixers as well as a number of mixing augers utilized for in-situ stabilization. Specialty demolition attachments used to support facility remediation includes a limited number of shears, pulverizers, processors, grapples and hydraulic hammers that facilitate processing of construction and demolition debris for recycling, reclamation and disposal. The Company also owns and maintains a large number of skid-steer loaders, high pressure vacuum equipment trucks, heavy-duty large-capacity loaders, off-highway hauling units and a fleet of tractor-trailers for transporting equipment and materials to and from job sites. The Company rents additional equipment on a project-by-project basis, which allows the Company flexibility to adjust costs to the level of project activity.</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Seasonality generally does not have a significant impact on the Company’s dredging operations. However, many East Coast coastal protection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affect dredging operations as well.</w:t>
      </w:r>
    </w:p>
    <w:p>
      <w:pPr>
        <w:spacing w:after="0" w:line="184"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Company’s environmental &amp; remediation segment operates across a national footprint. Similar to the dredging segment, the environmental &amp; remediation segment’s projects are impacted by the freezing rivers and lakes in the northern climates during the winter and by the rainy season on the rivers and levees along the West Coast. The company’s broad spectrum capability and geographical footprint should increasingly allow it to pursue and execute work in the warmer southern climates, eventually diminishing the effects of weather related seasonality.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Company’s ability to perform its contracts may depend on weather conditions. Inclement or hazardous weather conditions can delay the completion of a project, can result in disruption or early termination of a project, unanticipated recovery costs or liability exposure and additional costs. As part of bidding on fixed 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 margins. Conversely, favorable weather can accelerate the completion of the project, resulting in cost savings and increased gross profit margins. Typically, Great Lakes is exposed to significant weather in the first and fourth quarters, and certain projects are required to be performed in environmental windows that occur during these periods. See “Business-Seasonality” above.</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Weather is difficult to predict and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 and experiences both positive and negative deviations from project weather allowances. Accordingly, it is unlikely that future climate change will have a material adverse effect on the Company’s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dredging backlog relates to federal government contracts, which can be canceled at any time without penalty, subject to the Company’s right, in some cases,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Company’s backlog does not necessarily result in an improvement or a deterioration of the Company’s business. The Company’s backlog includes only those projects for which the Company has obtained a signed contract with the customer. The components of the Company’s backlog including dollar amount and other related information are addressed in more detail in Item 7. “Management’s Discussion and Analysis of Financial Condition and Results of Operations— Bidding Activity and Backlog.”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During 2014, the Company employed an average of 466 full-time salaried personnel in the U.S., including those in a corporate function. In addition, the Company employs U.S. hourly personnel, most of whom are unionized, on a project-by-project basis. Crews are generally available for hire on relatively short notice. During 2014, the Company employed a daily average of 679 hourly personnel to meet domestic project requirements.</w:t>
      </w:r>
    </w:p>
    <w:p>
      <w:pPr>
        <w:spacing w:after="0" w:line="176"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2014, the Company employed 29 expatriates, 19 foreign nationals and 69 local staff to manage and administer its Middle East operations. During 2014, the Company also employed a daily average of 192 hourly personnel to meet project requirements in the Middle East.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&amp; remediation</w:t>
      </w:r>
    </w:p>
    <w:p>
      <w:pPr>
        <w:spacing w:after="0" w:line="121"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At December 31, 2014, the environmental &amp; remediation segment employed approximately 202 full-time salaried administrative employees, in addition to an average of 272 hourly employees pursuant to four union agreements. The hourly employees are hired on a project-by-project basis and are generally available for hire on relatively short notice.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Safety of its employees is one of the highest priorities of Great Lakes. The Company embraces an Incident &amp; Injury Free safety culture committed to training, behavioral based awareness and mutual responsibility for the wellbeing of workers. The Company’s goal is sustainable safety excellence. Accident prevention, safety and environmental protection have top priority in the Company’s business planning, in the overall conduct of its business, and in the operation and maintenance of our equipment (marine and land) and facilities.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Unions</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Company is a party to numerous collective bargaining agreements in the U.S. that govern its relationships with its unionized hourly workforce. However, two unions represent a large majority of our dredging employees—the International Union of Operating Engineers (“IUOE”), Local 25 and the Seafarers International Union. The Company’s contracts with IUOE, Local 25 expire in September 2015 and September 2016. Our agreement with Seafarers International Union expired in February 2015 and we have negotiated a new agreement which is subject to ratification by its members. SIU members have continued to work as usual during negotiations and there has been no disruption to our operations. The Company has not experienced any major labor disputes in the past five years and believes it has good relationships with the unions that represent a significant number of its hourly employees; however, there can be no assurances that the Company will not experience labor strikes or disturbances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Company is subject to government regulations pursuant to the Dredging Act, the Jones Act, the Shipping Act, 1916, or “Shipping Act,” and the vessel documentation laws set forth in Chapter 121 of Title 46 of the United States Code. These statutes require vessels engaged in dredging in the navigable waters of the United States to be documented with a coastwise endorsement, to be owned and controlled by U.S. citizens, to be manned by U.S. crews, and to be built in the United States. The U.S. citizen ownership and control standards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the vessel-owning entity to be at least 75% U.S. citizen owned and prohibit the chartering of the vessel to any entity that does not meet the 75%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 ownership test.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The Company’s operations, facilities and vessels are subject to various environmental laws and regulations related to, among other things: dredging operations; the disposal of dredged material; protection of wetlands; storm water and waste water discharges; demolition activities; asbestos removal; transportation and disposal of wastes and materials; air emissions; and remediation of contaminated soil, sediments, surface water and groundwater. The Company is also subject to laws designed to protect certain marine species and habitats. Compliance with these statutes and regulations can delay appropriation and/or performance of particular projects and increase related project costs. Non-compliance can also result in fines, penalties and claims by third parties seeking damages for alleged personal injury, as well as damages to property and natural resources.</w:t>
      </w:r>
    </w:p>
    <w:p>
      <w:pPr>
        <w:spacing w:after="0" w:line="18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Certain environmental laws such as the U.S. Comprehensive Environmental Response, Compensation and Liability Act of 1980,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 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spacing w:after="0" w:line="18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Company’s projects may involve remediation,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 takes steps to limit its potential liability by hiring qualified subcontractors from time to time to remove such materials from our projects and some project contracts require the client to retain liability for hazardous waste generation.</w:t>
      </w:r>
    </w:p>
    <w:p>
      <w:pPr>
        <w:spacing w:after="0" w:line="18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position, results of operations or cash flows.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and ages of all of the Company’s executive officers and the positions and offices presently held by them.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20" w:type="dxa"/>
            <w:vAlign w:val="bottom"/>
          </w:tcPr>
          <w:p>
            <w:pPr>
              <w:spacing w:after="0"/>
              <w:rPr>
                <w:sz w:val="16"/>
                <w:szCs w:val="16"/>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60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W. Berger</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vMerge w:val="continue"/>
            <w:shd w:val="clear" w:color="auto" w:fill="CCEEFF"/>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Kyle D. Johnson</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W. Marinko</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w:t>
            </w: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President—Chief Financial Officer</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E. Simonelli</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Dredging Operations</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Maryann Waryjas</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w:t>
            </w: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President—Chief Legal Officer and Corporate Secretary</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Jonathan W. Berger, Chief Executive Officer</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Mr. Berger was named Chief Executive Officer in September 2010. Mr. Berger was the managing partner at Tellurian Partners, LLC, a consulting firm, from August 2009 until September 2010. From January 2002 until July 2009, Mr. Berger was a managing director and co-head of Corporate Finance for Navigant Consulting, Inc. (“NCI”), a New York Stock Exchange-listed consulting firm. Mr. Berger was also President of Navigant Capital Advisors, LLC, the wholly owned broker-dealer of NCI during a portion of that time. From January 2000 to March 2001, Mr. Berger was president of DotPlanet.com, an Internet services provider. From 1983 to December 1999, Mr. Berger was employed by KPMG, LLP, an independent public accounting firm, where he served as a partner from August 1991 to December 1999; he was in charge of the national corporate finance practice for three of those years. Mr. Berger was a Director and Chair of the Audit and Compensation Committees of Boise, Inc. He is a Certified Public Accountant and holds a Bachelor of Science from Cornell University and an M.B.A. from Emory University.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Kyle D. Johnson, Executive Vice President and Chief Operating Officer</w:t>
      </w:r>
    </w:p>
    <w:p>
      <w:pPr>
        <w:spacing w:after="0" w:line="119"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color w:val="auto"/>
        </w:rPr>
        <w:t>Mr. Johnson was promoted to Executive Vice President and Chief Operating Officer in 2013. He had served the Company as a Senior Vice President of Operations from 2010. Previously, he held the position of Vice President and Chief Contract Manager since 2006. He joined the Company in 1983 as a Mechanical Engineer and has since held positions of increasing responsibility in domestic and international engineering, operations and management.</w:t>
      </w:r>
    </w:p>
    <w:p>
      <w:pPr>
        <w:spacing w:after="0" w:line="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Mr. Johnson was named Vice President in 2002. Mr. Johnson earned a Bachelor of Science degree in Engineering from Purdue University and a Master’s of Science degree in Construction Engineering &amp; Management from Stanford University.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W. Marinko, Senior Vice President and Chief Financial Officer</w:t>
      </w:r>
    </w:p>
    <w:p>
      <w:pPr>
        <w:spacing w:after="0" w:line="11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Mr. Marinko has served as our Senior Vice President and Chief Financial Officer since June 2014. Mr. Marinko has a strong background in operations and finance working for TransUnion, LLC, a global information solutions company, through August 2013. Mr. Marinko was most recently President of the Consumer Services division at TransUnion leading the direct to consumer and business market, customer service, consumer compliance and marketing for the credit information company. Prior to his position as president, Mr. Marinko has been in increasing accounting and financial roles as Controller and Vice President of Finance at TransUnion since 1996. Prior to TransUnion, Mr. Marinko served as controller of Official Airline Guides. In his over 30 years of professional experience, Mr. Marinko has held roles specializing in accounting, finance, sales, systems and business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David E. Simonelli, President of Dredging Operations</w:t>
      </w:r>
    </w:p>
    <w:p>
      <w:pPr>
        <w:spacing w:after="0" w:line="119"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Mr. Simonelli was named President of Dredging Operations in April 2010. Mr. Simonelli has overall responsibility for the Dredging Division which includes safety, estimating, engineering, domestic and international operations and plant and equipment. He was named a Vice President of the Company in 2002 and Special Projects Manager in 1996. He joined the Company in 1978 as a Civil Engineer and has since held positions of increasing responsibility in domestic and international operations and project management. Mr. Simonelli earned a Bachelor of Science degree in Civil and Environmental Engineering from the University of Rhode Island. He is a member of the Hydrographic Society, the American Society of Civil Engineers and the Western Dredging Association.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Maryann Waryjas, Senior Vice President, Chief Legal Officer and Corporate Secretary</w:t>
      </w:r>
    </w:p>
    <w:p>
      <w:pPr>
        <w:spacing w:after="0" w:line="119"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Ms. Waryjas was named Senior Vice President, Chief Legal Officer and Corporate Secretary in August 2012. From 2000 until joining Great Lakes, Ms. Waryjas was a partner at Katten Muchin Rosenman, LLP (“Katten”), where she most recently was co-chair of the firm’s Corporate Governance and Mergers 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Acquisitions Practices. Ms. Waryjas served two consecutive terms on Katten’s Board of Directors. Prior to Katten, Ms. Waryjas was a partner at the Chicago offices of Jenner &amp; Block and Kirkland &amp; Ellis. She received her B.S. degree, magna cum laude, from Loyola University and her J.D. degree, cum laude, from Northwestern University School of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following risk factors address the material risks and uncertainties concerning our business. You should carefully consider the following risks and other information contained or incorporated by reference into this Annual Report on Form 10-K when evaluating our business and financial condition and an investment in our common stock. Should any of the following risks or uncertainties develop into actual events, such developments could have material adverse effects on our business, financial condition, cash flows or results of operations. We have grouped our Risk Factors under captions that we believe describe various categories of potential risk. For the reader’s convenience, we have not duplicated risk factors that could be considered to be included in more than one category.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ability to continue to obtain federal government dredging and other contracts, and are therefore impacted by the amount of government funding for dredging and other projects. A reduction in government funding for dredging or other contracts, or government cancellation of such contracts, could materially adversely affect our business operations, revenues and profits.</w:t>
      </w:r>
    </w:p>
    <w:p>
      <w:pPr>
        <w:spacing w:after="0" w:line="67"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A substantial portion of our revenue is derived from federal government contracts, particularly dredging contracts. Revenues related to dredging contracts with federal agencies or companies operating under contracts with federal agencies and the percentage as a total of dredging revenue for the years ended December 31, 2014, 2013 and 2012 were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116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Pr>
          <w:p>
            <w:pPr>
              <w:spacing w:after="0"/>
              <w:rPr>
                <w:sz w:val="12"/>
                <w:szCs w:val="12"/>
                <w:color w:val="auto"/>
              </w:rPr>
            </w:pPr>
          </w:p>
        </w:tc>
        <w:tc>
          <w:tcPr>
            <w:tcW w:w="7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government dredging revenue (in US $1,000)</w:t>
            </w:r>
          </w:p>
        </w:tc>
        <w:tc>
          <w:tcPr>
            <w:tcW w:w="10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$487,647</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$329,185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$405,434</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Percent of dredging revenue from federal government</w:t>
            </w:r>
          </w:p>
        </w:tc>
        <w:tc>
          <w:tcPr>
            <w:tcW w:w="1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51%</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r>
    </w:tbl>
    <w:p>
      <w:pPr>
        <w:spacing w:after="0" w:line="17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Amounts spent by the federal government on dredging and remediation are subject to the budgetary and legislative processes. We would expect the federal government to continue to improve and maintain ports as it has for many years, which will necessitate a certain level of federal spending. However, there can be no assurance that the federal government will allocate any particular amount or level of funds to be spent on dredging or remediation projects for any specified period.</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potential contract cancellations, modifications, protests, suspensions or terminations may arise from resolution of these issues and could cause our revenues, profits and cash flows to be lower. Federal government contracts can be canceled at any time without penalty to the government, subject to, in most cases, our contractual right to recover our actual committed costs and profit on work performed up to the date of cancellation. Accordingly, there can be no assurance that the federal government will not cancel any federal government contracts that have been or are awarded to us. Even if a contract is not cancelled, the government may elect to not award further work pursuant to a contract. A significant reduction in government funding for dredging or remediation contracts, could materially adversely affect our business, operations, revenues and profits.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ability to qualify as an eligible bidder under government contract criteria and to compete successfully against other qualified bidders in order to obtain government dredging and other contracts. Our inability to qualify or to compete successfully for certain contracts could materially adversely affect our business operations, revenues and profits.</w:t>
      </w:r>
    </w:p>
    <w:p>
      <w:pPr>
        <w:spacing w:after="0" w:line="67"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U.S. government and various state, local and foreign government agencies conduct rigorous competitive processes for awarding many contracts. Some contracts include multiple award task order contracts in which several contractors are selected as eligible bidders for future work. We will face strong competition and pricing pressures for any additional contract awards from the U.S. government and other domestic and foreign government agencies, and we may be required to qualify or continue to qualify under various multiple award task order contract criteria. Our inability to qualify as an eligible bidder under government contract criteria could preclude us from competing for certain government contract awards. In addition, our inability to qualify as an eligible bidder, or to compete successfully when bidding for certain government contracts and to win those contracts, could materially adversely affect our business, operations, revenues and profits.</w:t>
      </w:r>
    </w:p>
    <w:p>
      <w:pPr>
        <w:spacing w:after="0" w:line="293" w:lineRule="exact"/>
        <w:rPr>
          <w:sz w:val="20"/>
          <w:szCs w:val="20"/>
          <w:color w:val="auto"/>
        </w:rPr>
      </w:pPr>
    </w:p>
    <w:p>
      <w:pPr>
        <w:ind w:right="6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nature of our contracts, particularly those that are fixed-price, subjects us to risks associated with cost over-runs, operating cost inflation and potential claims for liquidated damages. If we are unable to accurately estimate our costs to complete our projects, our profitability could suffer.</w:t>
      </w:r>
    </w:p>
    <w:p>
      <w:pPr>
        <w:spacing w:after="0" w:line="28"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We conduct our business under various types of contracts where costs are estimated in advance of our performance. Most dredging contracts are fixed-price contracts where the customer pays a fixed price per unit (e.g., cubic yard) of material dredged. In addition, most of our environmental remediation contracts carry similar risks to our fixed-price dredging contracts. Fixed-price contracts carry inherent risks, including risks of losses from underestimating costs, operational difficulties, and other changes that can occur over the contract period. If our estimates prove inaccurate, if there are errors or ambiguities as to contract specifications, or if circumstances change due to, among other things, unanticipated conditions or technical problems, difficulties in obtaining permits or approvals, changes in local laws or labor conditions, inclement or hazardous weather conditions, changes in cost of equipment or materials, or our suppliers’ or subcontractor’s inability to perform, then cost over-runs and delays in performance are likely to occur. We may not be able to obtain compensation for additional work performed or expenses incurred, or may be delayed in receiving necessary approvals or payments. Additionally, we may be required to pay liquidated damages upon our failure to meet schedule or performance requirements of our contracts. Our failure to accurately estimate the resources and time required for fixed-price contracts or our failure to perform our contractual obligations within the expected time frame and costs could result in reduced profits or, in certain cases, a loss for that contract. If we were to significantly underestimate the costs on one or more significant contracts, the resulting losses could have a material adverse effect on our business, operating results, cash flows or financial condition.</w:t>
      </w:r>
    </w:p>
    <w:p>
      <w:pPr>
        <w:spacing w:after="0" w:line="29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depend on the award of new contracts and the timing of the performance of these contracts. As a result, our quarterly operating results may vary significantly.</w:t>
      </w:r>
    </w:p>
    <w:p>
      <w:pPr>
        <w:spacing w:after="0" w:line="5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quarterly and annual results of operations have fluctuated from period to period in the past and may continue to fluctuate in the future. Accordingly, you should not rely on the results of any past quarter or quarters as an indication of future performance in our business operations or valuation of our stock. Our operating results could vary greatly from period to period due to factors such as:</w:t>
      </w:r>
    </w:p>
    <w:p>
      <w:pPr>
        <w:spacing w:after="0" w:line="82"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contract awards and the commencement or progress of work under awarded contracts;</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inclement or hazardous weather conditions that may result in underestimated delays in dredging or remediation, disruption or early termination of projects, unanticipated recovery costs or liability exposure, and additional contract expenses;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and unplanned equipment downtime;</w:t>
      </w:r>
    </w:p>
    <w:p>
      <w:pPr>
        <w:spacing w:after="0" w:line="130" w:lineRule="exact"/>
        <w:rPr>
          <w:rFonts w:ascii="Times New Roman" w:cs="Times New Roman" w:eastAsia="Times New Roman" w:hAnsi="Times New Roman"/>
          <w:sz w:val="18"/>
          <w:szCs w:val="18"/>
          <w:color w:val="auto"/>
        </w:rPr>
      </w:pPr>
    </w:p>
    <w:p>
      <w:pPr>
        <w:ind w:left="900" w:right="740" w:hanging="325"/>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revenue from pending change orders, which is not recognized until the recovery is probable and collectability is reasonably assured;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restrictions requiring that certain projects be performed in winter months to protect wildlife habitats;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mobilization to and from projects.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our results of operations from quarter to quarter fail to meet the expectations of public market analysts and investors, our stock price could be negatively impacted. See “Management’s Discussion and Analysis of Financial Condition and Results of Operations—Primary Factors that Determine Operating Profitability.”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government contracting regulations, our revenue could suffer, and we could be subject to significant potential liabilities.</w:t>
      </w:r>
    </w:p>
    <w:p>
      <w:pPr>
        <w:spacing w:after="0" w:line="12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contracts with federal, state local and foreign governmental customers are subject to various procurement regulations and contract provisions. These regulations also subject us to examinations by government auditors and investigators, from time to time, to ensure compliance and to review costs. Violations of government contracting regulations could result in the imposition of civil and criminal penalties, which could include termination of contracts, forfeiture of profits, imposition of payments and fines and suspension or debarment from future government contracting. If we fail to continue to qualify for or are suspended from work under a government contract for any reason, we could suffer a material adverse effect on our business, operating results, cash flows or financial condition</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In addition, we may be subject to litigation brought by private individuals on behalf of the government relating to our government contracts, referred to in this annual report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which could include claims for up to treble damages.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are sealed by the court at the time of filing. The only parties privy to the information in the complaint are the complainant, the U.S. government and the court. Therefore, it is possible that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have been filed against us and that we are not aware of such actions or have been ordered by the court not to discuss them until the seal is lifted. Thus, it is possible that we are subject to liability exposure arising out of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international dredging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foreign contracts and its percentage to total dredging revenue for the years ended December 31, 2014, 2013 and 2012 were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116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revenue (in US $1,000)</w:t>
            </w:r>
          </w:p>
        </w:tc>
        <w:tc>
          <w:tcPr>
            <w:tcW w:w="1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$138,436</w:t>
            </w:r>
          </w:p>
        </w:tc>
        <w:tc>
          <w:tcPr>
            <w:tcW w:w="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$112,242</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Percent of dredging revenue from foreign countries</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8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bl>
    <w:p>
      <w:pPr>
        <w:spacing w:after="0" w:line="179"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The international dredging market is highly competitive and competition in the international market is dominated by four large European dredging companies, all of which operate larger equipment and fleets that are more extensive than the Company’s. In addition, there are several governmentally supported dredging companies that operate on a local or regional basis. Competing for international dredging projects requires a substantial investment of resources, skilled personnel and capital investment in equipment and technology, and may adversely affect our ability to deploy resources for domestic dredging projects.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International operations subject us to additional potential risks, including:</w:t>
      </w:r>
    </w:p>
    <w:p>
      <w:pPr>
        <w:spacing w:after="0" w:line="131"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concerning import and export license requirements, tariffs and other trade barriers;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risks of terrorist activities;</w:t>
      </w:r>
    </w:p>
    <w:p>
      <w:pPr>
        <w:spacing w:after="0" w:line="130" w:lineRule="exact"/>
        <w:rPr>
          <w:rFonts w:ascii="Times New Roman" w:cs="Times New Roman" w:eastAsia="Times New Roman" w:hAnsi="Times New Roman"/>
          <w:sz w:val="18"/>
          <w:szCs w:val="18"/>
          <w:color w:val="auto"/>
        </w:rPr>
      </w:pPr>
    </w:p>
    <w:p>
      <w:pPr>
        <w:ind w:left="5620" w:right="3300" w:hanging="5045"/>
        <w:spacing w:after="0" w:line="454" w:lineRule="auto"/>
        <w:tabs>
          <w:tab w:leader="none" w:pos="8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as a result of fluctuations in the price of oil, the primary export in the Middle East; 16</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repatriating foreign profits back to the United States;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rights and agreements through certain foreign legal systems;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and changes in, foreign laws, policies and regulations;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without additional expense;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 issues;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 and longer collection periods;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logistical and communication challenges; and</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insure against political, cultural and economic uncertainties, including acts of terrorism, civil unrest, war or other armed conflict.</w:t>
      </w:r>
    </w:p>
    <w:p>
      <w:pPr>
        <w:spacing w:after="0" w:line="16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addition, our international operations are subject to U.S. and other laws and regulations regarding operations in foreign jurisdictions. These numerous and sometimes conflicting laws and regulations include anti-boycott laws, anti-competition laws, anti-corruption laws, tax laws, immigration laws, privacy laws and accounting requirements. There is a risk that some provisions may be breached, for example through inadvertence or mistake, fraudulent or negligent behavior of individual employees or of agents, or failure to comply with certain formal documentation requirements or otherwise. Violations of these laws and regulations could result in fines and penalties, criminal sanctions against us, our officers, or our employees, prohibitions on the conduct of our business and on our ability to operate in one or more countries, and could have a material adverse effect on our business, results of operations or financial condition. In addition, military action, terrorist activities or continued unrest in the Middle East could affect the safety of our personnel in the region and significantly increase the costs of, or disrupt our operations in, the region and could have a material adverse effect on our business, operating results, cash flows or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international revenue is earned from large, single customer contracts.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 earns significant revenue from governmental entities and private parties in the Middle East. Revenue from foreign projects has been concentrated in Bahrain and primarily with the government of Bahrain which comprised 15%, 15% and 71% of our foreign dredging revenues in the years ended December 31, 2014, 2013 and 2012, respectively. In 2014, a large, single customer contract was signed in Saudi Arabia with a private party. This contract represented 9% of the Company’s foreign dredging revenue from all sources in the year ended December 31, 2014. Another large, single customer contract was signed in Egypt with a local government agency in the fourth quarter of 2014. This contract represented 15% of the Company’s foreign dredging revenue from all sources in the year ended December 31, 2014. The Company continues to maintain significant equipment in the Middle East region and continues to pursue additional contracts in the region.</w:t>
      </w:r>
    </w:p>
    <w:p>
      <w:pPr>
        <w:spacing w:after="0" w:line="18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Certain factors have occurred suggesting that future revenues from projects with governments in the Middle East could decrease. Historically lower oil prices and the contraction in Middle East commercial and real estate development have slowed the rate of the region’s infrastructure development. If our commercial relationship with the government of Bahrain or Qatar is significantly negatively impacted or terminated, the Company’s international revenues would be materially and adversely impacted. If the government of Bahrain or Qatar further curtails its infrastructure investment or diversifies its use of dredging vendors, our revenue from these customers could decline further.</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Other Middle East governments have national dredging companies and may be incentivized to use the national dredging company of another Middle East government or have significant history with competitive dredging vendors other than the Company. The Company could lose future contracts for work in the Middle East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these competitors or could be forced to accept lower margins on contracts in order to utilize the equipment that is in the Middle East. In addition, the Company may be forced to shrink the workforce in place or relocate dredging assets from this region in reaction to lower contract earnings. Lower utilization, workforce reductions or asset relocations could have a material adverse effect on our business, operating results, cash flows or financial condition.</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2014, the Company earned significant revenue from another large, single customer foreign contract outside of the Middle East, which was completed before year-end.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instability in the Middle East may adversely affect business conditions and may disrupt our operations.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Since February 2011, Egypt has experienced political turbulence and an increase in terrorist activity in the Sinai Peninsula. In February 2015, Egypt engaged in armed conflict against the terror group, the Islamic State, in Libya. Deterioration in the political, economic, and social conditions or other relevant policies of the Egyptian government, such as changes in laws or regulations, export restrictions, expropriation of our assets or resource nationalization, could materially and adversely affect our business, financial condition, and results of operations. Similar civil unrest and political turbulence has occurred in other countries in the region.</w:t>
      </w:r>
    </w:p>
    <w:p>
      <w:pPr>
        <w:spacing w:after="0" w:line="18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Bahrain continues to experience civil unrest and political protests that could result in governmental instability. In response thereto, the government of Bahrain may institute measures, such as a national curfew, that may impact our ability to execute on projects in Bahrain. It is uncertain whether civil unrest will continue, whether the current protests and other activities may lead to any meaningful government changes, and what restrictions, if any, the Bahrain government may establish. In addition, such events may affect the Bahrain government’s plans for infrastructure investment. If the government changes or significant restrictions are established, our Bahrain dredging operations, including the value of our assets related to such operations, may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the percentage-of-completion method of accounting could result in a change in previously recorded revenue and profit.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recognize contract revenue using the percentage-of-completion method. The majority of our work is performed on a fixed-price basis. Contract revenue is accrued based on engineering estimates for the physical percent complete for dredging and estimates of remaining costs to complete for environmental &amp; remediation. We use generally accepted accounting principles in the United States relating to the percentage-of-completion method, estimating costs, revenue recognition, combining and segmenting contracts and change order/claim recognition. Percentage-of-completion accounting relies on the use of estimates in the process of determining income earned. The cumulative impact of revisions to estimates is reflected in the period in which these changes are experienced or become known. Given the risks associated with the variables in these types of estimates, it is possible for actual costs to vary from estimates previously made, which may result in reductions or reversals of previously recorded net revenues and profits.</w:t>
      </w:r>
    </w:p>
    <w:p>
      <w:pPr>
        <w:spacing w:after="0" w:line="293"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Lapses in disclosure controls and procedures or internal control over financial reporting could materially and adversely affect our operations, profitability or reputation.</w:t>
      </w:r>
    </w:p>
    <w:p>
      <w:pPr>
        <w:spacing w:after="0" w:line="5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There can be no assurance that our disclosure controls and procedures will be effective in the future or that we will not experience a material weakness or significant deficiency in internal control over financial reporting. Any such lapses or deficiencies may materially and adversely affect our business, operating results, cash flows or financial condition, restrict our ability to access the capital markets, require us to expend significant resources to correct the lapses or deficiencies, expose us to regulatory or legal proceedings, including litigation brought by private individuals, subject us to fines, penalties or judgments, harm our reputation, or otherwise cause a decline in investor confidence and our stock price.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amount of our estimated backlog is subject to change and not necessarily indicative of future revenues.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contract backlog represents our estimate of the revenues that we will realize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From time to time, changes in project scope may occur with respect to contracts reflected in our backlog and could reduce the dollar amount of our backlog and the timing of the revenue and profits that we actually earn. Projects may remain in our backlog for an extended period of time because of the nature of the project and the timing of the particular services or equipment required by the project.</w:t>
      </w:r>
    </w:p>
    <w:p>
      <w:pPr>
        <w:spacing w:after="0" w:line="18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Because of these factors, as well as factors affecting the time required to complete each job, backlog is not necessarily indicative of future revenues or profitability. In addition, a significant amount of our dredging backlog (60% in 2014) relates to federal government contracts, which can be canceled at any time without penalty to the government, subject, in most cases, to our contractual right to recover our actual committed costs and profit on work performed up to the date of cancellation.</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Below is our dredging backlog from federal government contracts as of December 31, 2014, 2013, and 2012 and the percentage of those contracts to total backlog as of the same date.</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12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Pr>
          <w:p>
            <w:pPr>
              <w:spacing w:after="0"/>
              <w:rPr>
                <w:sz w:val="12"/>
                <w:szCs w:val="12"/>
                <w:color w:val="auto"/>
              </w:rPr>
            </w:pPr>
          </w:p>
        </w:tc>
        <w:tc>
          <w:tcPr>
            <w:tcW w:w="60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government dredging backlog (in US $1,000)</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$357,650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$385,141</w:t>
            </w:r>
          </w:p>
        </w:tc>
        <w:tc>
          <w:tcPr>
            <w:tcW w:w="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$85,675</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dredging backlog from federal government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75%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bl>
    <w:p>
      <w:pPr>
        <w:spacing w:after="0" w:line="17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as of December 31, 2014, 18% of our total backlog relates to a contract with a foreign government agency in an international market. At times we may have backlog with foreign governments that use local laws and regulations to change terms of a contract in backlog or to limit our ability to receive payment on a timely basis. Other contracts in backlog are with state and local municipalities or private companies that may have funding constraints or impose restrictions on timing. The termination, modification or suspension of projects currently in backlog could have a material adverse effect on our business, operating results, cash flows or financial condition.</w:t>
      </w:r>
    </w:p>
    <w:p>
      <w:pPr>
        <w:spacing w:after="0" w:line="2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would be adversely affected if we failed to comply with Section 27 of the Merchant Marine Act of 1920 (the “Jones Act”) provisions on coastwise trade, or if those provisions were modified or repealed.</w:t>
      </w:r>
    </w:p>
    <w:p>
      <w:pPr>
        <w:spacing w:after="0" w:line="5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subject to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 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in the future, to obtain bonding or letters of credit for our contracts, our ability to obtain future contracts will be limited, thereby adversely affecting our business, operating results, cash flows or financial condition.</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generally required to post bonds in connection with our domestic dredging or remediation contracts and bonds or letters of credit with our foreign dredging contracts to ensure job completion if we ever fail to finish a project. We have entered into the Zurich Bonding Agreement with Zurich American Insurance Company (“Zurich”), pursuant to which Zurich acts as surety, issues bid bonds, performance bonds and payment bonds, and provides guarantees required by us in the day-to-day operations of our dredging business. However, under certain circumstances as specified in the agreement, Zurich is not obligated under the Zurich Bonding Agreement to issue future bonds for us. Historically, we have had a strong bonding capacity, but surety companies issue bonds on a project-by-project basis and can decline to issue bonds at any time or require the posting of collateral as a condition to issuing any bonds. In addition to our bonds outstanding with Zurich, we also have surety bonds outstanding with Travelers Casualty and Surety Company of America. With respect to our foreign dredging business, we generally obtain letters of credit under the Credit Agreement. However, access to our senior credit facility under the Credit Agreement may be limited by failure to meet certain financial requirements or other defined requirements. If we are unable to obtain bonds or letters of credit on terms reasonably acceptable to us, our ability to take on future work would be severely limited.</w:t>
      </w:r>
    </w:p>
    <w:p>
      <w:pPr>
        <w:spacing w:after="0" w:line="186"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sale of our historical demolition business, we were obligated to keep in place the surety bonds on pending demolition projects for the period required under the respective contract for a project. If there should be a default triggered under any of such surety bonds, it could have a material adverse effect on our ability to obtain bonds and on our business, results of operations, cash flows or financial condition.</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Capital expenditures and other costs necessary to operate and maintain our vessels tend to increase with the age of the vessel and may also increase due to changes in governmental regulations, safety or other equipment standards, which could result in a decrease in our profits.</w:t>
      </w:r>
    </w:p>
    <w:p>
      <w:pPr>
        <w:spacing w:after="0" w:line="5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Capital expenditures and other costs necessary to operate and maintain our vessels tend to increase with the age of the vessel. Accordingly, it is likely that the operating costs of our vessels will increase.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average age of our more significant vessels as of December 31, 2014, by equipment type, is as follows: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Equipment</w:t>
            </w:r>
          </w:p>
        </w:tc>
        <w:tc>
          <w:tcPr>
            <w:tcW w:w="2800" w:type="dxa"/>
            <w:vAlign w:val="bottom"/>
            <w:vMerge w:val="restart"/>
          </w:tcPr>
          <w:p>
            <w:pPr>
              <w:spacing w:after="0"/>
              <w:rPr>
                <w:sz w:val="13"/>
                <w:szCs w:val="13"/>
                <w:color w:val="auto"/>
              </w:rPr>
            </w:pPr>
          </w:p>
        </w:tc>
        <w:tc>
          <w:tcPr>
            <w:tcW w:w="2100" w:type="dxa"/>
            <w:vAlign w:val="bottom"/>
            <w:vMerge w:val="restart"/>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Average Age in</w:t>
            </w:r>
          </w:p>
        </w:tc>
        <w:tc>
          <w:tcPr>
            <w:tcW w:w="0" w:type="dxa"/>
            <w:vAlign w:val="bottom"/>
          </w:tcPr>
          <w:p>
            <w:pPr>
              <w:spacing w:after="0"/>
              <w:rPr>
                <w:sz w:val="1"/>
                <w:szCs w:val="1"/>
                <w:color w:val="auto"/>
              </w:rPr>
            </w:pPr>
          </w:p>
        </w:tc>
      </w:tr>
      <w:tr>
        <w:trPr>
          <w:trHeight w:val="173"/>
        </w:trPr>
        <w:tc>
          <w:tcPr>
            <w:tcW w:w="120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CCEEFF"/>
            </w:tcBorders>
            <w:vMerge w:val="continue"/>
          </w:tcPr>
          <w:p>
            <w:pPr>
              <w:spacing w:after="0"/>
              <w:rPr>
                <w:sz w:val="15"/>
                <w:szCs w:val="15"/>
                <w:color w:val="auto"/>
              </w:rPr>
            </w:pPr>
          </w:p>
        </w:tc>
        <w:tc>
          <w:tcPr>
            <w:tcW w:w="210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Hydraulic Dredges</w:t>
            </w:r>
          </w:p>
        </w:tc>
        <w:tc>
          <w:tcPr>
            <w:tcW w:w="2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Hopper Dredges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Mechanical Dredges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Unloaders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Drillboats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and Other Barges</w:t>
            </w:r>
          </w:p>
        </w:tc>
        <w:tc>
          <w:tcPr>
            <w:tcW w:w="21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Remaining economic life has not been presented because it is not reasonably quantifiable because, to the extent that market conditions warrant the expenditures, we can prolong the vessels’ lives. In our domestic market, we operate in an industry where a significant portion of competitors’ equipment is of a similar age. It is common in the dredging industry to make maintenance and capital expenditures in order to extend the economic life of equipment.</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In addition, changes in governmental regulations, safety or other equipment standards, as well as compliance with standards imposed by maritime self-regulatory organizations, standards imposed by vessel classification societies and customer requirements or competition, may require us to make additional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expenditures. For example, if the U.S. Coast Guard enacts new standards, we may be required to incur expenditures for alterations or the addition of new equipment (e.g. more fuel efficient engines). Other new standard requirements could be significant. In order to satisfy any such requirement, we may need to take our vessels out of service for extended periods of time, with corresponding losses of revenues.</w:t>
      </w:r>
    </w:p>
    <w:p>
      <w:pPr>
        <w:spacing w:after="0" w:line="2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equipment or mechanical failures, which could increase costs, reduce revenues and result in penalties for failure to meet project completion requirements.</w:t>
      </w:r>
    </w:p>
    <w:p>
      <w:pPr>
        <w:spacing w:after="0" w:line="5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successful performance of contracts requires a high degree of reliability of our vessels, barges and other equipment. The average age of our marine fleet as of December 31, 2014 was 35 years. Breakdowns not only add to the costs of executing a project, but they can also delay the completion of subsequent contracts, which are scheduled to utilize the same assets. We operate a scheduled maintenance program in order to keep all assets in good working order, but despite this, breakdowns can and do occur.</w:t>
      </w:r>
    </w:p>
    <w:p>
      <w:pPr>
        <w:spacing w:after="0" w:line="284"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business strategy includes acquisitions which present certain risks and uncertainties. There are integration and consolidation risks associated with our acquisitions. Future acquisitions, in addition to the recent acquisition of Magnus, may result in significant transaction expenses, unexpected liabilities and risks associated with entering new markets, and we may be unable to profitably operate these businesses.</w:t>
      </w:r>
    </w:p>
    <w:p>
      <w:pPr>
        <w:spacing w:after="0" w:line="67"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seek business acquisition activities as a means of broadening our offerings and capturing additional market opportunities by our business units. We may be exposed to certain additional risks resulting from these activities. Acquisitions may expose us to operational challenges and risks, including:</w:t>
      </w:r>
    </w:p>
    <w:p>
      <w:pPr>
        <w:spacing w:after="0" w:line="67"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valuation methodologies which may not accurately capture the value proposition;</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integrate acquired businesses into our operations, financial reporting and controls with the efficiency and effectiveness initially expected resulting in a potentially significant detriment to our financial results and our operations as a whole;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growth resulting from acquisition activities;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capitalize on expected synergies;</w:t>
      </w:r>
    </w:p>
    <w:p>
      <w:pPr>
        <w:spacing w:after="0" w:line="130" w:lineRule="exact"/>
        <w:rPr>
          <w:rFonts w:ascii="Times New Roman" w:cs="Times New Roman" w:eastAsia="Times New Roman" w:hAnsi="Times New Roman"/>
          <w:sz w:val="18"/>
          <w:szCs w:val="18"/>
          <w:color w:val="auto"/>
        </w:rPr>
      </w:pPr>
    </w:p>
    <w:p>
      <w:pPr>
        <w:ind w:left="900" w:right="40" w:hanging="325"/>
        <w:spacing w:after="0" w:line="26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liabilities of an acquired business (for example, litigation, tax liabilities, environmental liabilities), including liabilities that were contingent or unknown at the time of the acquisition and that pose future risks to our working capital needs, cash flows and the profitability of related operations;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unprofitable projects that pose future risks to our working capital needs, cash flows and the profitability of related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entering new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customers or contracts of any acquired business;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our ability to comply with covenants in our existing debt financing;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acquired intangible assets;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financing, which may not be available on attractive terms.</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may not have the appropriate management, financial or other resources needed to integrate any businesses that we acquire. Any future acquisitions may result in significant transaction expenses and unexpected liabilities.</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For example, as a result of our completion of the acquisition of Magnus, we are subject to many of the challenges and risks outlined above, including being subject to the risks and uncertainties associated with</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Magnus’s business and the incurrence of additional indebtedness to fund the Magnus acquisition. There could be delays, disruptions or other unexpected challenges that arise in connection with our integration of Magnus which could make it difficult to realize the expected benefits of the Magnus acquisition. We currently have a substantial amount of indebtedness, and if Magnus does not generate the earnings or cash flow we expect, our liquidity and ability to continue to service our indebtedness could be adversely impacted. There can be no assurance that we may not discover information that could affect our expectations of Magnus’s ability to generate earnings and cash flow on a going forward basis. If Magnus’s future results are different from the historical results provided to us by Magnus, our results of operations or liquidity could be adversely affected.</w:t>
      </w:r>
    </w:p>
    <w:p>
      <w:pPr>
        <w:spacing w:after="0" w:line="18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Moreover, although we completed the Magnus acquisition because we believe that it will be beneficial to us and our stockholders, there is no assurance that we will be able to integrate the operations of Magnus into our operations and achieve these benefits without encountering unexpected difficulties, including unanticipated costs, difficulty in retaining customers, challenges associated with information technology integration and failure to retain key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incur liabilities in connection with the disposition of our historical demolition business.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April 24, 2014, the Company announced that it had completed the sale of its historical demolition business. In connection with the sale, the Company retained responsibility for various pre-closing liabilities and obligations and may incur costs and expenses related to these items and asset recoveries. It is possible that claims, which could be material, could be made against the Company pursuant to the agreement pursuant to which the Company’s historical demolition business was sold. In connection with the sale of our historic demolition business, we were obligated to keep in place the surety bonds on pending demolition projects for the period required under the respective contract for a project. If there should be a default triggered under any of such surety bonds, it could have a material adverse effect on our ability to obtain bonds and on our business, results of operations, cash flows or financial condition.</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Although the Company has concluded that no withdrawal liability with respect to multiemployer pension plans in which the subsidiaries in the historic demolition business participated was incurred as a result of the disposition, nevertheless, it is possible that such withdrawal liability, which could be material, could be incurred as a result of subsequent events, beyond the Company’s control, relating to the entities that formerly comprised the historical demolition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face liabilities and/or damage to our reputation as a result of certain legal and regulatory proceedings.</w:t>
      </w:r>
    </w:p>
    <w:p>
      <w:pPr>
        <w:spacing w:after="0" w:line="121"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From time to time, we are subject to legal and regulatory proceedings in the ordinary course of our business. These include proceedings relating to aspects of our businesses that are specific to us and proceedings that are typical in the businesses in which we operate. We are currently a defendant in a number of litigation matters, including those described in Item 3. “Legal Proceedings” of this Annual Report on Form 10-K. In certain of these matters, the plaintiffs are seeking large and/or indeterminate amounts of damages. These matters are subject to many uncertainties, and it is possible that some of these matters could ultimately be decided, resolved or settled adversely to the Company. An adverse outcome in a legal or regulatory matter could, depending on the facts, have an adverse effect on our business, results of operations, cash flows or financial condition.</w:t>
      </w:r>
    </w:p>
    <w:p>
      <w:pPr>
        <w:spacing w:after="0" w:line="188"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In addition to its potential financial impact, legal and regulatory matters can have a significant adverse reputational impact. Allegations of improper conduct made by private litigants or regulators, whether the ultimate outcome is favorable or unfavorable to us, as well as negative publicity and press speculation about us, whether valid or not, may harm our reputation, which may be damaging to our business, results of operations, cash flows or financial condition.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business strategy includes the construction of new vessels. There are substantial uncertainties associated with such construction, including the possibility of unforeseen delays and cost overruns.</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previously disclosed our plans to build new vessels, including an ATB trailing suction hopper dredge. Our future revenues and profitability will be impacted to some extent by our ability to complete the construction of new vessels, secure financing for them and bring them into service. The Company contracts with shipyards to build new vessels and currently has vessels 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business, operating results, cash flows or financial condition. Changes in governmental regulations, safety or other equipment standards, as well as compliance with standards imposed by maritime self-regulatory organizations and customer requirements or competition, could substantially increase the cost of such construction beyond what we currently expect such costs to be.</w:t>
      </w:r>
    </w:p>
    <w:p>
      <w:pPr>
        <w:spacing w:after="0" w:line="193"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Specifically, with regard to our new ATB trailing suction hopper dredge, we cannot predict whether and to what extent there may be additional costs associated with building this dredge or further delays in its completion.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liable for the obligations of our joint ventures, partners and subcontractors.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Some of our projects are performed through joint ventures and similar arrangements with other parties. In addition to the usual liability of contractors for the completion of contracts and the warranty of our work, if work is performed through a joint venture or similar arrangement, we also have potential liability for the work performed by the joint venture or arrangement or a performance or payment default by another member of the joint venture or arrangement. In these projects, even if we satisfactorily complete our project responsibilities within budget, we may incur additional unforeseen costs due to the failure of the other party or parties to the arrangement to perform or complete work, fund expenditures, or make payments in accordance with contract specifications. In some joint ventures and similar arrangements, we may not be the controlling member. In these cases, we may have limited control over the actions of the joint venture. In addition, joint ventures or arrangements may not be subject to the same requirements regarding internal controls and internal control over financial reporting that we follow. To the extent the controlling member makes decisions that negatively impact the joint venture or arrangement or internal control problems arise within the joint venture or arrangement, it could have a material adverse impact on our business, results of operations, cash flows or financial condition.</w:t>
      </w:r>
    </w:p>
    <w:p>
      <w:pPr>
        <w:spacing w:after="0" w:line="18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Depending on the nature of work required to complete the project, we may choose to subcontract a portion of the project. In our industries, the prime contractor is often responsible for the performance of the entire contract, including subcontract work. Thus, we are subject to the risk associated with the failure of one or more subcontractors to perform as anticipated. In addition, in some cases, we pay our subcontractors before our customers pay us for the related services. If we choose, or are required, to pay our subcontractors for work performed for customers who fail to pay, or delay paying us for the related work, we could experience a material decrease in profitability and liquidity.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 could force us to incur capital and operational costs.</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industries, and more specifically, our operations, facilities and vessels and equipment, are subject to various environmental laws and regulations relating to, among other things: dredging operations; the disposal of dredged material; protection of wetlands; storm water and waste water discharges; environmental remediation activities; asbestos removal; transportation and disposal of hazardous wastes and other regulated materials; air</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20"/>
          </w:cols>
          <w:pgMar w:left="240" w:top="455"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emissions; and disposal or remediation of contaminated soil, sediments, surface water and groundwater. We are also subject to laws designed to protect certain marine or land species and habitats. Compliance with these statutes and regulations can delay permitting and/or performance of particular projects and increase related project costs. These delays and increased costs could have a material adverse effect on our business, results of operations, cash flows or financial condition. Non-compliance can also result in fines, penalties and claims by third parties seeking damages for alleged personal injury, as well as damages to property and natural resources.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Certain environmental laws such as the U.S. Comprehensive Environmental Response, Compensation and Liability Act of 1980 and the Oil Pollution Act of 1990 impose strict and, under some circumstances, joint and several, liability on owners and lessees of land and facilities as well as owners and operators of vessels. Such obligations may include investigation and remediation of releases and discharges of regulated materials, and also impose liability for related damages to natural resources. Our past and ongoing operations, particularly the environmental remediation operations of Terra and Magnus, involve the use, and from time to time the release or discharge, of regulated materials which could result in liability under these and other environmental laws. We have remediated known releases and discharges as deemed necessary, but there can be no guarantee that additional costs will not be incurred if, for example, third party claims arise or new conditions are discovered.</w:t>
      </w:r>
    </w:p>
    <w:p>
      <w:pPr>
        <w:spacing w:after="0" w:line="18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Our projects may involve excavation, remediation, demolition,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Our environmental remediation business conducted by Terra and Magnus, for example, requires us to transport and dispose of hazardous substances and other wastes, such as asbestos. Services rendered in connection with hazardous substance and material removal and site development may involve professional judgments by 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 material. The failure of certain contractual protections to protect us from incurring such liability, such as staying out of the ownership chain for hazardous waste and other regulated materials and securing indemnification obligations from our customers or subcontractors, could have a material adverse effect on our business, results of operations, revenues or profits.</w:t>
      </w:r>
    </w:p>
    <w:p>
      <w:pPr>
        <w:spacing w:after="0" w:line="18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Environmental requirements have generally become more stringent over time, for example in the areas of air emissions controls for vessels and ballast treatment and handling. New or stricter enforcement of existing laws, the discovery of currently unknown conditions or accidental discharges of regulated materials in the future could cause us to incur additional costs for environmental matters which might be significant.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in the event of a work stoppage by our unionized labor force.</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are a party to numerous collective bargaining agreements in the U.S. that govern our industry’s relationships with our unionized hourly workforce. However, two unions represent approximately 70% of our hourly dredging employees—the International Union of Operating Engineers (“IUOE”), Local 25 and the Seafarers International Union. The Company’s contracts with IUOE, Local 25 expire in September 2015 and September 2016. Our agreement with Seafarers International Union expired in February 2015 and we have negotiated a new agreement which is subject to ratification by its members. SIU members have continued to work as usual during negotiations and there has been no disruption to our operations. The inability to successfully renegotiate contracts with these unions as they expire, or any future strikes, employee slowdowns or similar actions by one or more unions could have a material adverse effect on our ability to operate our business.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are covered by federal laws that may provide seagoing employees remedies for job-related claims in addition to those provided by state laws.</w:t>
      </w:r>
    </w:p>
    <w:p>
      <w:pPr>
        <w:spacing w:after="0" w:line="5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Substantially all of our maritime employees are covered by provisions of the Jones Act, the U.S. Longshore and Harbor Workers’ Compensation Act, the Seaman’s Wage Act and general maritime law. These laws typically operate to make liability limits established by state workers’ compensation laws inapplicable to these employees and to permit these employees and their representatives to pursue actions against employers for job-related injuries in federal or state courts. Because we are not generally protected by the limits imposed by state workers’ compensation statutes with respect to our seagoing employees, we have greater exposure for claims made by these employees as compared to industries whose employees are not covered by these provisions.</w:t>
      </w:r>
    </w:p>
    <w:p>
      <w:pPr>
        <w:spacing w:after="0" w:line="2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significant operating risks and hazards that could result in damage or destruction to persons or property, which could result in losses or liabilities to us.</w:t>
      </w:r>
    </w:p>
    <w:p>
      <w:pPr>
        <w:spacing w:after="0" w:line="5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dredging and environmental remediation businesses are generally subject to a number of risks and hazards, including environmental hazards, industrial accidents, encountering unusual or unexpected geological formations, cave-ins below water levels, collisions, disruption of transportation services and flooding. These risks could result in personal injury, damage to, or destruction of, dredges, barges transportation vessels, other maritime vessels, other structures, buildings or equipment, environmental damage, performance delays, monetary losses or legal liability to third parties. We may also be exposed to disruption of our operations, early termination of projects, unanticipated recovery costs and loss of use of our equipment that may materially adversely affect our business, results of operations, cash flows or financial condition.</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safety record is an important consideration for our customers. Some of our customers require that we maintain certain specified safety record guidelines to be eligible to bid for contracts with these customers. Furthermore, contract terms may provide for automatic termination or forfeiture of some of our contract revenue in the event that our safety record fails to adhere to agreed-upon guidelines during performance of the contract. As a result, if serious accidents or fatalities occur or our safety record was to deteriorate, we may be ineligible to bid on certain work, and existing contracts could be terminated or less profitable than expected. Adverse experience with hazards and claims could have a negative effect on our reputation with our existing or potential new customers and our prospects for future work.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insurance coverage may not be adequate, and we may not be able to obtain insurance at acceptable rates, or at all.</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maintain various insurance policies, including hull and machinery, pollution liability, general liability and personal injury. We partially self-insure risks covered by our policies. While we reserve for such self-insured exposures when appropriate for accounting purposes, we are not required to, and do not, specifically set aside funds for the self-insured portion of claims. We may not have insurance coverage or sufficient insurance coverage for all exposures potentially arising from a project. Furthermore, in situations where there is insurance coverage, if multiple policies are involved, we may be subject to a number of self-retention or deductible amounts which in the aggregate could have an adverse effect on our business, results of operations, cash flows or financial condition. At any given time, we are subject to Jones Act personal injury claims and claims from general contractors and other third parties for personal injuries. Our insurance policies may not be adequate to protect us from liabilities that we incur in our business. We may not be able to obtain similar levels of insurance on reasonable terms, or at all. Our inability to obtain such insurance coverage at acceptable rates or at all could have a material adverse effect on our business, results of operations, cash flows or financial condition.</w:t>
      </w:r>
    </w:p>
    <w:p>
      <w:pPr>
        <w:spacing w:after="0" w:line="29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and skilled labor, our ability to bid for and successfully complete contracts may be negatively impacted.</w:t>
      </w:r>
    </w:p>
    <w:p>
      <w:pPr>
        <w:spacing w:after="0" w:line="5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Our ability to attract and retain reliable, qualified personnel is a significant factor that enables us to successfully bid for and profitably complete our work. This includes members of our management, project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455" w:right="2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managers, estimators, skilled engineers, supervisors, foremen, equipment operators and laborers. The loss of the services of any of our management could have a material adverse effect on us. If we do not succeed in retaining our current key employees and attracting, developing and retaining new highly-skilled employees, our reputation may be harmed and our operations and future earnings may be negatively impacted. We may not be able to maintain an adequate skilled labor force necessary to operate efficiently and to support our growth strategy. We have from time to time experienced, and may in the future experience, shortages of certain types of qualified equipment operating personnel. The supply of experienced engineers, project managers, field supervisors and other skilled workers may not be sufficient to meet current or expected demand. If we are unable to hire employees with the requisite skills, we may also be forced to incur significant training expenses. The occurrence of any of the foregoing could have an adverse effect on our business, results of operations, cash flows or financial condition.</w:t>
      </w:r>
    </w:p>
    <w:p>
      <w:pPr>
        <w:spacing w:after="0" w:line="28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systems to conduct our business and disruption, failure or security breaches of these systems could adversely affect our business and results of operations.</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(IT) systems in order to achieve our business objectives. Our portfolio of hardware and software products, solutions and services and our enterprise IT systems may be vulnerable to damage or disruption caused by circumstances beyond our control such as catastrophic events, power outages, natural disasters, computer system or network failures, computer viruses, cyber attacks or other malicious software programs. The failure or disruption of our IT systems to perform as anticipated for any reason could disrupt our business and result in decreased performance, significant remediation costs, transaction errors, loss of data, processing inefficiencies, downtime, failure to properly estimate the work or costs associated with projects, litigation and the loss of customers or suppliers. A significant disruption or failure could have a material adverse effect on our business, operating results, cash flows or financial condition. We are incurring costs associated with designing and implementing a new enterprise resource planning software system (ERP) with the objective of gradually migrating to the new system. Capital expenditures and expenses for the ERP for 2015 and beyond will depend upon the pace of conversion. If implementation is not executed successfully, this could result in business interruptions. If we do not complete the implementation of the ERP timely and successfully, we may incur additional costs associated with completing this project and a delay in our ability to improve existing operations, support future growth and enable us to take advantage of new engineering and other applications and technologies.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market or regulatory responses to climate change.</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Increased concern about the potential impact of greenhouse gases (GHG), such as carbon dioxide resulting from combustion of fossil fuels, on climate change has resulted in efforts to regulate their emission. For example, there is a growing consensus that new and additional regulations concerning GHG emissions including “cap and trade” legislation may be enacted, which could result in increased compliance costs for us.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in our industry could increase materially.</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indebtedness, which makes us more vulnerable to adverse economic and competitive conditions.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currently have a substantial amount of indebtedness. As of (i) December 31, 2014, we had indebtedness of $322.4 million, consisting of $275.0 million of our senior subordinated notes, no borrowings on our revolving credit facility, and $47.4 million of senior secured debt under our term loan facility, in each case excluding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approximately $159.9 million of undrawn letters of credit and $50.1 million of additional borrowing capacity under our revolving credit facility and excluding contingent obligations, including $1.0 billion of performance bonds outstanding under the Company’s Zurich Bonding Agreement. Our debt could:</w:t>
      </w:r>
    </w:p>
    <w:p>
      <w:pPr>
        <w:spacing w:after="0" w:line="67" w:lineRule="exact"/>
        <w:rPr>
          <w:sz w:val="20"/>
          <w:szCs w:val="20"/>
          <w:color w:val="auto"/>
        </w:rPr>
      </w:pPr>
    </w:p>
    <w:p>
      <w:pPr>
        <w:ind w:left="900" w:right="200" w:hanging="325"/>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portion of our cash flow from operations to payments on our indebtedness, thereby reducing the availability of our cash flow to fund working capital and capital expenditures, pay dividends and other general corporate purposes;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our competitiveness compared to our less leveraged competitors;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exposure to both general and industry-specific adverse economic conditions;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among other things, our ability to borrow additional funds.</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although a portion of the proceeds from our term loan facility will be used to refinance a portion of the construction cost of our new ATB trailing suction hopper dredge, we currently anticipate that additional financing may be required to finance or refinance additional construction and completed costs associated with the vessel. If we are unable to secure that financing due to our current debt levels, credit ratings, size of the vessel cost and uncertainty of market conditions, it could have a material effect on the Company’s results of operations, cash flows or financial condition in future periods.</w:t>
      </w:r>
    </w:p>
    <w:p>
      <w:pPr>
        <w:spacing w:after="0" w:line="180"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We and our subsidiaries also may be able to incur substantial additional indebtedness in the future. The terms of our revolving credit facility, the indenture under which our senior subordinated notes are issued, and our term loan facility limit, but do not prohibit, us or our subsidiaries from incurring additional indebtedness. If new indebtedness is added to our current debt levels, the related risks that we and our subsidiaries now face could intensify.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our financing arrangements limit, and other future financing agreements may limit, our ability to operate our business.</w:t>
      </w: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credit agreement governing our senior revolving credit facility, the indenture governing our senior subordinated notes, the term loan facility and any of our other future financing agreements, may contain covenants imposing operating and financial restrictions on our business.</w:t>
      </w:r>
    </w:p>
    <w:p>
      <w:pPr>
        <w:spacing w:after="0" w:line="16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For example, the credit agreement governing our senior revolving credit facility requires us to satisfy certain net leverage and fixed charge coverage ratios. If we fail to meet or satisfy any of these covenants (after applicable cure periods), we would be in default and the lenders (through the administrative agent or collateral agent, as applicable) could elect to declare all amounts outstanding to be immediately due and payable, enforce their interests in the collateral pledged and restrict our ability to make additional borrowings, as applicable. The covenants and restrictions in the credit agreement, the indenture and the term loan facility, subject to specified exceptions and to varying degrees, restrict our ability to, among other things:</w:t>
      </w:r>
    </w:p>
    <w:p>
      <w:pPr>
        <w:spacing w:after="0" w:line="89"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permit to exist any liens;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advancements; merge or consolidate with, or dispose of all or substantially all assets to, a third party;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other indebtedness;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capital stock.</w:t>
      </w:r>
    </w:p>
    <w:p>
      <w:pPr>
        <w:spacing w:after="0" w:line="225"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These restrictions may interfere with our ability to obtain financings or to engage in other business activities, which could have a material adverse effect on our results of operations, cash flows or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capital and credit market conditions may affect our ability to meet liquidity needs, access to capital and cost of capital.</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need liquidity to pay our operating expenses, interest on our debt and dividends on our capital stock. Without sufficient liquidity, we will be forced to curtail our operations, and our business will suffer. The principal sources of our liquidity are cash flow from operations and borrowings under our senior revolving credit facility. 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adoption and implementation of new statutory and regulatory requirements for derivative transactions could have an adverse impact on our ability to hedge risks associated with our business.</w:t>
      </w:r>
    </w:p>
    <w:p>
      <w:pPr>
        <w:spacing w:after="0" w:line="5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may enter into interest rate swap agreements to manage the interest rate paid with respect to our fixed rate indebtedness, foreign exchange forward contracts to hedge currency risk and heating oil commodity swap contracts to hedge the risk that fluctuations in diesel fuel prices will have an adverse impact on cash flows associated with our domestic dredging contracts. The Dodd-Frank Wall Street Reform and Consumer Protection Act (the “Financial Reform Act”) provides for new statutory and regulatory requirements for derivative transactions, including foreign currency and other over-the-counter derivative hedging transactions. Several rulemaking requirements in the Financial Reform Act have not promulgated into final rules and the Company could be negatively impacted by future rulemaking. The rules currently adopted from the Financial Reform Act may significantly reduce our ability to execute strategic hedges to manage our interest expense, reduce our fuel commodity uncertainty and hedge our currency risk thus protecting our cash flows. In addition, the banks and other derivatives dealers who are our contractual counterparties are required to comply with extensive new regulation under the Financial Reform Act. The cost of our counterparties’ compliance will likely be passed on to customers such as ourselves, thus potentially decreasing the benefits to us of hedging transactions and potentially reducing our profitability.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exchange risks, and improper management of that risk could result in large cash losses.</w:t>
      </w:r>
    </w:p>
    <w:p>
      <w:pPr>
        <w:spacing w:after="0" w:line="121"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We are exposed to market risk associated with changes in foreign currency exchange rates. The primary foreign currencies to which the Company has exposure are the Bahraini dinar and the Brazilian real. Our international contracts may be denominated in foreign currencies, which will result in additional risk of fluctuating currency values and exchange rates, hard currency shortages and controls on currency exchange.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Changes in the value of foreign currencies could increase our U.S. dollar costs for, or reduce our U.S. dollar revenues from, our foreign operations. Any increased costs or reduced revenues as a result of foreign currency fluctuations could affect our profits. The value of the Bahraini dinar has historically been pegged to the value of the U.S. dollar, which has effectively eliminated the foreign currency risk with respect to that currency. However, if the dinar were no longer to be so pegged, whether due to civil unrest in Bahrain or otherwise, the Company could become subject to additional, and substantial, foreign currency risk.</w:t>
      </w:r>
    </w:p>
    <w:p>
      <w:pPr>
        <w:spacing w:after="0" w:line="2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macroeconomic indicators, the overall business climate, and other factors could lead to our goodwill and other intangible assets becoming impaired, which may require us to take significant non-cash charges against earnings.</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business, operating results, cash flows or financial condition.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effect on our business, results of operations, cash flows or financial condition.</w:t>
      </w:r>
    </w:p>
    <w:p>
      <w:pPr>
        <w:spacing w:after="0" w:line="2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made and may continue to make debt or equity investments in privately financed projects in, or may accept extended payment terms for, privately financed projects in which we could sustain significant losses.</w:t>
      </w:r>
    </w:p>
    <w:p>
      <w:pPr>
        <w:spacing w:after="0" w:line="5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have participated and may continue to participate in privately financed projects that enable state and local governments and other customers to finance dredging, demolition and remediation projects, such as dredging of local navigable waterways and lakes, coastal protection and environmental remediation projects. These projects typically include the facilitation of non-recourse financing and the provision of dredging, demolition, remediation and related services. We may incur contractually reimbursable costs and may accept extended payment terms, extend debt financing and/or make an equity investment in an entity prior to, in connection with, or as part of project financing, and in some cases we may be the sole or primary source of the project financing. Project financing may also involve the use of real estate, environmental, wetlands or similar credits. If a project is unable to obtain other financing on terms acceptable to it in amounts sufficient to repay or redeem our investments, we could incur losses on our investments and any related contractual receivables. After completion of these projects, the return on our equity investments can be dependent on the operational success of the project and market factors or sale of the aforementioned credits, which may not be under our control. As a result, we could sustain a loss of part or all of our equity investments in such projects or have to recognize the value of the credits at a lower amount than expected in the contract bid.</w:t>
      </w:r>
    </w:p>
    <w:p>
      <w:pPr>
        <w:spacing w:after="0" w:line="29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subject to restrictions on foreign ownership.</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22.5% of our voting power, we may redeem such stock. The required redemption price could be materially different from the current price of our common stock or the price at which the non-citizen acquired the common stock. If a non-citizen purchases our common stock, there can be no assurance that he will not be required to divest the shares and such divestiture could result in a material loss. Such restrictions and redemption rights may make our equity securities less attractive to potential investors, which may result in our common stock having a lower market price than it might have in the absence of such restrictions and redemption rights.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and our charter documents may impede or discourage a takeover that you may consider favorable.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provisions of our certificate of incorporation and bylaws may deter, delay or prevent a third-party from acquiring us. These provisions include:</w:t>
      </w:r>
    </w:p>
    <w:p>
      <w:pPr>
        <w:spacing w:after="0" w:line="131"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of stockholders to amend our charter documents, including stockholder supermajority voting requirements;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for election to the board of directors and for stockholder proposals; and</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of directors to issue, without stockholder approval, up to 1,000,000 shares of preferred stock with such terms as the board of directors may determine and to issue additional shares of our common stock.</w:t>
      </w:r>
    </w:p>
    <w:p>
      <w:pPr>
        <w:spacing w:after="0" w:line="162"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board or stockholder approval was obtained.</w:t>
      </w:r>
    </w:p>
    <w:p>
      <w:pPr>
        <w:spacing w:after="0" w:line="176"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not receive dividends because of restrictions in our debt agreements, Delaware law and state regulatory requirements.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ability to pay dividends is restricted by the agreements governing our debt, including the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spacing w:after="0" w:line="2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 and this may make it difficult for holders to resell our common stock when they want or at prices that they find attractive.</w:t>
      </w:r>
    </w:p>
    <w:p>
      <w:pPr>
        <w:spacing w:after="0" w:line="5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spacing w:after="0" w:line="82"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operating results;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45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vary from the expectations of management, securities analysts and investors;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strategic developments, significant contracts, acquisitions and other material events by us or our competitors;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securities price performance of other companies that investors believe are comparable to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equity or equity-related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economy and the financial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such as acts or threats of terrorism, political instability, civil unrest or military conflicts.</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addition, in recent years, global stock markets have experienced extreme price and volume fluctuations. This volatility has had a significant effect on the market price of securities issued by many companies for reasons often unrelated to their operating performance. These broad market fluctuations may adversely affect the market price of our common stock, regardless of our operating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owns or leases the properties described below. The Company believes that its existing facilities are adequate for its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Dredging</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Company’s headquarters are located at 2122 York Road, Oak Brook, Illinois 60523, with approximately 64,275 square feet of office space that it leases with a term expiring in 2019. As of December 31, 2014 the Company owns or leases the following additional facilities: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Dredging</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00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660" w:type="dxa"/>
            <w:vAlign w:val="bottom"/>
          </w:tcPr>
          <w:p>
            <w:pPr>
              <w:spacing w:after="0"/>
              <w:rPr>
                <w:sz w:val="13"/>
                <w:szCs w:val="13"/>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Size</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Leased or</w:t>
            </w:r>
          </w:p>
        </w:tc>
        <w:tc>
          <w:tcPr>
            <w:tcW w:w="0" w:type="dxa"/>
            <w:vAlign w:val="bottom"/>
          </w:tcPr>
          <w:p>
            <w:pPr>
              <w:spacing w:after="0"/>
              <w:rPr>
                <w:sz w:val="1"/>
                <w:szCs w:val="1"/>
                <w:color w:val="auto"/>
              </w:rPr>
            </w:pPr>
          </w:p>
        </w:tc>
      </w:tr>
      <w:tr>
        <w:trPr>
          <w:trHeight w:val="173"/>
        </w:trPr>
        <w:tc>
          <w:tcPr>
            <w:tcW w:w="3620" w:type="dxa"/>
            <w:vAlign w:val="bottom"/>
            <w:gridSpan w:val="2"/>
            <w:vMerge w:val="continue"/>
          </w:tcPr>
          <w:p>
            <w:pPr>
              <w:spacing w:after="0"/>
              <w:rPr>
                <w:sz w:val="15"/>
                <w:szCs w:val="15"/>
                <w:color w:val="auto"/>
              </w:rPr>
            </w:pPr>
          </w:p>
        </w:tc>
        <w:tc>
          <w:tcPr>
            <w:tcW w:w="300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6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10"/>
        </w:trPr>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Staten</w:t>
            </w: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Island, New York</w:t>
            </w:r>
          </w:p>
        </w:tc>
        <w:tc>
          <w:tcPr>
            <w:tcW w:w="3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Yard</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11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Acres</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Owned</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City, Louisiana</w:t>
            </w:r>
          </w:p>
        </w:tc>
        <w:tc>
          <w:tcPr>
            <w:tcW w:w="392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Yard</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Acres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Norfolk, Virginia</w:t>
            </w:r>
          </w:p>
        </w:tc>
        <w:tc>
          <w:tcPr>
            <w:tcW w:w="3920" w:type="dxa"/>
            <w:vAlign w:val="bottom"/>
            <w:gridSpan w:val="3"/>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Yard</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1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Acres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 Cove Springs, Florida</w:t>
            </w:r>
          </w:p>
        </w:tc>
        <w:tc>
          <w:tcPr>
            <w:tcW w:w="392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Yard</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Acres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Chickasaw, AL</w:t>
            </w:r>
          </w:p>
        </w:tc>
        <w:tc>
          <w:tcPr>
            <w:tcW w:w="3920" w:type="dxa"/>
            <w:vAlign w:val="bottom"/>
            <w:gridSpan w:val="3"/>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Yard</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Acres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Chesapeake, VA</w:t>
            </w:r>
          </w:p>
        </w:tc>
        <w:tc>
          <w:tcPr>
            <w:tcW w:w="392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Storage</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Acres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Kingwood, Texas</w:t>
            </w:r>
          </w:p>
        </w:tc>
        <w:tc>
          <w:tcPr>
            <w:tcW w:w="3920" w:type="dxa"/>
            <w:vAlign w:val="bottom"/>
            <w:gridSpan w:val="3"/>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Office</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750</w:t>
            </w:r>
          </w:p>
        </w:tc>
        <w:tc>
          <w:tcPr>
            <w:tcW w:w="1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Square feet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Cape Girardeau, Missouri</w:t>
            </w:r>
          </w:p>
        </w:tc>
        <w:tc>
          <w:tcPr>
            <w:tcW w:w="392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Office</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726</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Square feet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Cape Girardeau, Missouri</w:t>
            </w:r>
          </w:p>
        </w:tc>
        <w:tc>
          <w:tcPr>
            <w:tcW w:w="3920" w:type="dxa"/>
            <w:vAlign w:val="bottom"/>
            <w:gridSpan w:val="3"/>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Storage</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7,200</w:t>
            </w:r>
          </w:p>
        </w:tc>
        <w:tc>
          <w:tcPr>
            <w:tcW w:w="1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Square feet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Cape Girardeau, Missouri</w:t>
            </w:r>
          </w:p>
        </w:tc>
        <w:tc>
          <w:tcPr>
            <w:tcW w:w="392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Yard</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Acres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Little Rock, Arkansas</w:t>
            </w:r>
          </w:p>
        </w:tc>
        <w:tc>
          <w:tcPr>
            <w:tcW w:w="3920" w:type="dxa"/>
            <w:vAlign w:val="bottom"/>
            <w:gridSpan w:val="3"/>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Yard</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Acres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&amp; remediation</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Leased</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Size</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173"/>
        </w:trPr>
        <w:tc>
          <w:tcPr>
            <w:tcW w:w="4240" w:type="dxa"/>
            <w:vAlign w:val="bottom"/>
            <w:gridSpan w:val="2"/>
            <w:vMerge w:val="continue"/>
          </w:tcPr>
          <w:p>
            <w:pPr>
              <w:spacing w:after="0"/>
              <w:rPr>
                <w:sz w:val="15"/>
                <w:szCs w:val="15"/>
                <w:color w:val="auto"/>
              </w:rPr>
            </w:pPr>
          </w:p>
        </w:tc>
        <w:tc>
          <w:tcPr>
            <w:tcW w:w="22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76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10"/>
        </w:trPr>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8"/>
              </w:rPr>
              <w:t>Billerica,</w:t>
            </w:r>
          </w:p>
        </w:tc>
        <w:tc>
          <w:tcPr>
            <w:tcW w:w="3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Massachusetts</w:t>
            </w:r>
          </w:p>
        </w:tc>
        <w:tc>
          <w:tcPr>
            <w:tcW w:w="2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10,400</w:t>
            </w:r>
          </w:p>
        </w:tc>
        <w:tc>
          <w:tcPr>
            <w:tcW w:w="12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Leased</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Centennial, Colorado</w:t>
            </w:r>
          </w:p>
        </w:tc>
        <w:tc>
          <w:tcPr>
            <w:tcW w:w="320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Office</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5,464</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Denton, Texas</w:t>
            </w:r>
          </w:p>
        </w:tc>
        <w:tc>
          <w:tcPr>
            <w:tcW w:w="32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Office</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2,648</w:t>
            </w:r>
          </w:p>
        </w:tc>
        <w:tc>
          <w:tcPr>
            <w:tcW w:w="1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Everett, Washington</w:t>
            </w:r>
          </w:p>
        </w:tc>
        <w:tc>
          <w:tcPr>
            <w:tcW w:w="320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Office</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1,484</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Kalamazoo, Michigan*</w:t>
            </w:r>
          </w:p>
        </w:tc>
        <w:tc>
          <w:tcPr>
            <w:tcW w:w="32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Office</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6,758</w:t>
            </w:r>
          </w:p>
        </w:tc>
        <w:tc>
          <w:tcPr>
            <w:tcW w:w="1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Kalamazoo, Michigan*</w:t>
            </w:r>
          </w:p>
        </w:tc>
        <w:tc>
          <w:tcPr>
            <w:tcW w:w="320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Office</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3,600</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Kalamazoo, Michigan*</w:t>
            </w:r>
          </w:p>
        </w:tc>
        <w:tc>
          <w:tcPr>
            <w:tcW w:w="32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Storage</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Acres</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Kalkaska, Michigan</w:t>
            </w:r>
          </w:p>
        </w:tc>
        <w:tc>
          <w:tcPr>
            <w:tcW w:w="320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Office</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8,200</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Kalkaska, Michigan</w:t>
            </w:r>
          </w:p>
        </w:tc>
        <w:tc>
          <w:tcPr>
            <w:tcW w:w="32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Yard</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Acres</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Manistee, Michigan</w:t>
            </w:r>
          </w:p>
        </w:tc>
        <w:tc>
          <w:tcPr>
            <w:tcW w:w="320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Office</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3,400</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Rocklin, CA†</w:t>
            </w:r>
          </w:p>
        </w:tc>
        <w:tc>
          <w:tcPr>
            <w:tcW w:w="32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Office</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12,623</w:t>
            </w:r>
          </w:p>
        </w:tc>
        <w:tc>
          <w:tcPr>
            <w:tcW w:w="1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Rocklin, CA†</w:t>
            </w:r>
          </w:p>
        </w:tc>
        <w:tc>
          <w:tcPr>
            <w:tcW w:w="320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Yard</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Acres</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Rocklin, CA†</w:t>
            </w:r>
          </w:p>
        </w:tc>
        <w:tc>
          <w:tcPr>
            <w:tcW w:w="32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Storage</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14,731</w:t>
            </w:r>
          </w:p>
        </w:tc>
        <w:tc>
          <w:tcPr>
            <w:tcW w:w="1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Romulus, Michigan</w:t>
            </w:r>
          </w:p>
        </w:tc>
        <w:tc>
          <w:tcPr>
            <w:tcW w:w="320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Office</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35,250</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Romulus, Michigan</w:t>
            </w:r>
          </w:p>
        </w:tc>
        <w:tc>
          <w:tcPr>
            <w:tcW w:w="32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Yard</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40,000</w:t>
            </w:r>
          </w:p>
        </w:tc>
        <w:tc>
          <w:tcPr>
            <w:tcW w:w="1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Grand Rapids, Michigan</w:t>
            </w:r>
          </w:p>
        </w:tc>
        <w:tc>
          <w:tcPr>
            <w:tcW w:w="320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Storage</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Cushing, Oklahoma</w:t>
            </w:r>
          </w:p>
        </w:tc>
        <w:tc>
          <w:tcPr>
            <w:tcW w:w="32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Office</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1,200</w:t>
            </w:r>
          </w:p>
        </w:tc>
        <w:tc>
          <w:tcPr>
            <w:tcW w:w="1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Philadelphia, Pennsylvania</w:t>
            </w:r>
          </w:p>
        </w:tc>
        <w:tc>
          <w:tcPr>
            <w:tcW w:w="320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Office</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4,106</w:t>
            </w: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 Antonio, Texas</w:t>
            </w:r>
          </w:p>
        </w:tc>
        <w:tc>
          <w:tcPr>
            <w:tcW w:w="32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Storage</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Square feet</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0" w:right="60" w:hanging="212"/>
        <w:spacing w:after="0" w:line="261" w:lineRule="auto"/>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&amp; remediation segment leases the Kalamazoo, Michigan facilities from the President of Terra Contracting Services, LLC who was also the former owner of Terra Contracting, LLC, pursuant to leases expiring in 2015. See Note 15 to the Company’s consolidated financial statements.</w:t>
      </w:r>
    </w:p>
    <w:p>
      <w:pPr>
        <w:ind w:left="220" w:right="80" w:hanging="212"/>
        <w:spacing w:after="0" w:line="261" w:lineRule="auto"/>
        <w:tabs>
          <w:tab w:leader="none" w:pos="2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environmental &amp; remediation segment leases the Rocklin, California facilities from the former shareholders of Magnus, pursuant to leases expiring in 2019. See Note 15 to the Company’s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Except as described below, the Company does not believe any of these proceedings, individually or in the aggregate, would be expected to have a material effect on results of operations, cash flows or financial condition.</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March 19, 2013, the Company and three of its current and former executives were sued in a securities class action in the Northern District of Illinois captioned United Union of Roofers, Waterproofers &amp; Allied Workers Local Union No. 8 v. Great Lakes Dredge &amp; Dock Corporation et al., Case No. 1:13-cv-02115. The 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Two additional, similar lawsuits captioned Boozer v. Great Lakes Dredge &amp; Dock Corporation et al., Case No. 1:13-cv-02339, and Connors v. Great Lakes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Dredge &amp; Dock Corporation et al., Case No. 1:13-cv-02450, were filed in the Northern District of Illinois on March 28, 2013, and April 2, 2013, respectively. These three actions were consolidated and recaptioned In re Great Lakes Dredge &amp; Dock Corporation Securities Litigation, Case No. 1:13-cv-02115, on June 10, 2013. The plaintiffs filed an amended class action complaint on August 9, 2013, which the defendants moved to dismiss on October 8, 2013. After briefing and oral argument by the parties, the court entered an order on October 21, 2014 denying that motion to dismiss. The parties have reached an agreement in principle to settle this action. Once finalized, the settlement will be presented to the court for preliminary approval. The settlement is expected to be paid by insurance.</w:t>
      </w:r>
    </w:p>
    <w:p>
      <w:pPr>
        <w:spacing w:after="0" w:line="188"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On March 28, 2013, the Company was named as a nominal defendant, and its directors were named as defendants, in a shareholder derivative action in DuPage County Circuit Court in Illinois captioned Hammoud v. Berger et al., Case No. 2013CH001110. The lawsuit primarily alleges breaches of fiduciary duties related to allegedly false and misleading statements regarding the recognition of revenue in the demolition segment and with regard to the Company’s internal control over financial reporting, which exposed the Company to securities litigation. A second, similar lawsuit captioned The City of Haverhill Retirement System v. Leight et al., Case No. 1:13-cv-02470, was filed in the Northern District of Illinois on April 2, 2013 and was voluntarily dismissed on June 10, 2013. A third, similar lawsuit captioned St. Lucie County Fire District Firefighters Pension Trust Fund v. Leight et al., Case No. 13 CH 15483, was filed in Cook County Circuit Court in Illinois on July 8, 2013, and has since been transferred to DuPage County Circuit Court and consolidated with the Hammoud action. The Hammoud/St. Lucie plaintiffs have filed a consolidated amended complaint on December 9, 2013, but the action was otherwise stayed pending a ruling on the motion to dismiss the securities class action. A fourth, similar lawsuit (that additionally named one current and one former executive as defendants) captioned Griffin v. Berger et al., Case No. 1:13-cv-04907, was filed in the Northern District of Illinois on July 9, 2013. The Griffin action was also stayed pending a ruling on the motion to dismiss the securities class action. The parties have reached an agreement in principle to settle the pending actions. Once finalized, the settlement will be presented to the DuPage County Circuit Court for preliminary approval. The settlement is expected to be paid by insurance.</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April 23, 2014, the Company completed the sale of NASDI, LLC (“NASDI”) and Yankee Environmental Services, LLC (“Yankee”), which together comprised the Company’s historical demolition business, to a privately owned demolition company. Under the terms of the divestiture, the Company retained certain pre-closing liabilities relating to the disposed business. Certain of these liabilities and a legal action brought by the Company to enforce the buyer’s obligations under the sale agreement are described below.</w:t>
      </w:r>
    </w:p>
    <w:p>
      <w:pPr>
        <w:spacing w:after="0" w:line="180"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In 2009,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materials in 2007 and 2008. Per the Massachusetts Attorney General’s request, NASDI executed a tolling agreement regarding the matter in 2009 and engaged in further discussions with the Massachusetts Attorney General’s office. Should a claim be brought, the Company intends to defend this matter vigorously.</w:t>
      </w:r>
    </w:p>
    <w:p>
      <w:pPr>
        <w:spacing w:after="0" w:line="184" w:lineRule="exact"/>
        <w:rPr>
          <w:sz w:val="20"/>
          <w:szCs w:val="20"/>
          <w:color w:val="auto"/>
        </w:rPr>
      </w:pPr>
    </w:p>
    <w:p>
      <w:pPr>
        <w:jc w:val="both"/>
        <w:ind w:right="120" w:firstLine="456"/>
        <w:spacing w:after="0" w:line="257" w:lineRule="auto"/>
        <w:rPr>
          <w:sz w:val="20"/>
          <w:szCs w:val="20"/>
          <w:color w:val="auto"/>
        </w:rPr>
      </w:pPr>
      <w:r>
        <w:rPr>
          <w:rFonts w:ascii="Times New Roman" w:cs="Times New Roman" w:eastAsia="Times New Roman" w:hAnsi="Times New Roman"/>
          <w:sz w:val="18"/>
          <w:szCs w:val="18"/>
          <w:color w:val="auto"/>
        </w:rPr>
        <w:t>In 2011, NASDI received a subpoena from a federal grand jury in the District of Massachusetts directing NASDI to furnish certain documents relating to certain projects performed by NASDI since January 2005. The Company conducted an internal investigation into this matter and has cooperated with the grand jury’s investigation. Based on the limited information known to the Company, the Company cannot predict the outcome of the investigation, the 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Attorney’s views of the issues being investigated, and any action the U.S. Attorney may take.</w:t>
      </w:r>
    </w:p>
    <w:p>
      <w:pPr>
        <w:spacing w:after="0" w:line="207"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On April 24, 2014, NASDI received a subpoena from a federal grand jury in the District of Massachusetts directing NASDI to furnish certain emails for the years 2004 to the present for the email accounts of certain former and present NASDI employees. The Company is cooperating with the grand jury’s investigation. Based on the limited information known to the Company, the Company cannot predict the outcome of the investigation, the U.S. Attorney’s views of the issues being investigated, and any action the U.S. Attorney may take.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 million and retained the right to receive additional proceeds based upon future collections of outstanding accounts receivable and work in process existing at the date of close. The Company seeks specific performance of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8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45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110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common stock is traded under the symbol “GLDD” on the NASDAQ Global Market. The table below sets forth, for the calendar quarters indicated, the high and low sales prices of the common stock as reported by NASDAQ from January 1, 2013 through December 31, 2014.</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42"/>
        </w:trPr>
        <w:tc>
          <w:tcPr>
            <w:tcW w:w="438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5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Low</w:t>
            </w:r>
          </w:p>
        </w:tc>
        <w:tc>
          <w:tcPr>
            <w:tcW w:w="60" w:type="dxa"/>
            <w:vAlign w:val="bottom"/>
            <w:tcBorders>
              <w:bottom w:val="single" w:sz="8" w:color="CCEEFF"/>
            </w:tcBorders>
          </w:tcPr>
          <w:p>
            <w:pPr>
              <w:spacing w:after="0"/>
              <w:rPr>
                <w:sz w:val="12"/>
                <w:szCs w:val="12"/>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2013</w:t>
            </w:r>
          </w:p>
        </w:tc>
        <w:tc>
          <w:tcPr>
            <w:tcW w:w="2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$8.69</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$6.55</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2013</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9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$6.30</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2013</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9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$6.28</w:t>
            </w:r>
          </w:p>
        </w:tc>
        <w:tc>
          <w:tcPr>
            <w:tcW w:w="60" w:type="dxa"/>
            <w:vAlign w:val="bottom"/>
            <w:shd w:val="clear" w:color="auto" w:fill="CCEEFF"/>
          </w:tcPr>
          <w:p>
            <w:pPr>
              <w:spacing w:after="0"/>
              <w:rPr>
                <w:sz w:val="18"/>
                <w:szCs w:val="18"/>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2013</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9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$6.99</w:t>
            </w:r>
          </w:p>
        </w:tc>
        <w:tc>
          <w:tcPr>
            <w:tcW w:w="60" w:type="dxa"/>
            <w:vAlign w:val="bottom"/>
          </w:tcPr>
          <w:p>
            <w:pPr>
              <w:spacing w:after="0"/>
              <w:rPr>
                <w:sz w:val="20"/>
                <w:szCs w:val="20"/>
                <w:color w:val="auto"/>
              </w:rPr>
            </w:pPr>
          </w:p>
        </w:tc>
      </w:tr>
      <w:tr>
        <w:trPr>
          <w:trHeight w:val="373"/>
        </w:trPr>
        <w:tc>
          <w:tcPr>
            <w:tcW w:w="4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42"/>
        </w:trPr>
        <w:tc>
          <w:tcPr>
            <w:tcW w:w="438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5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Low</w:t>
            </w:r>
          </w:p>
        </w:tc>
        <w:tc>
          <w:tcPr>
            <w:tcW w:w="60" w:type="dxa"/>
            <w:vAlign w:val="bottom"/>
            <w:tcBorders>
              <w:bottom w:val="single" w:sz="8" w:color="CCEEFF"/>
            </w:tcBorders>
          </w:tcPr>
          <w:p>
            <w:pPr>
              <w:spacing w:after="0"/>
              <w:rPr>
                <w:sz w:val="12"/>
                <w:szCs w:val="12"/>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2014</w:t>
            </w:r>
          </w:p>
        </w:tc>
        <w:tc>
          <w:tcPr>
            <w:tcW w:w="2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$9.44</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$7.45</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2014</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9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$7.36</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2014</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98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$6.16</w:t>
            </w:r>
          </w:p>
        </w:tc>
        <w:tc>
          <w:tcPr>
            <w:tcW w:w="60" w:type="dxa"/>
            <w:vAlign w:val="bottom"/>
            <w:shd w:val="clear" w:color="auto" w:fill="CCEEFF"/>
          </w:tcPr>
          <w:p>
            <w:pPr>
              <w:spacing w:after="0"/>
              <w:rPr>
                <w:sz w:val="18"/>
                <w:szCs w:val="18"/>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2014</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98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$5.84</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142875</wp:posOffset>
            </wp:positionV>
            <wp:extent cx="5222875" cy="37903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22875" cy="379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700"/>
          </w:cols>
          <w:pgMar w:left="240" w:top="455" w:right="9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12/31/2010</w:t>
            </w:r>
          </w:p>
        </w:tc>
        <w:tc>
          <w:tcPr>
            <w:tcW w:w="4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12/31/2011</w:t>
            </w:r>
          </w:p>
        </w:tc>
        <w:tc>
          <w:tcPr>
            <w:tcW w:w="4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12/31/2012</w:t>
            </w:r>
          </w:p>
        </w:tc>
        <w:tc>
          <w:tcPr>
            <w:tcW w:w="4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12/31/2013</w:t>
            </w:r>
          </w:p>
        </w:tc>
        <w:tc>
          <w:tcPr>
            <w:tcW w:w="4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12/31/2014</w:t>
            </w:r>
          </w:p>
        </w:tc>
        <w:tc>
          <w:tcPr>
            <w:tcW w:w="6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 Lakes Dredge &amp; Dock Corp</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60" w:type="dxa"/>
            <w:vAlign w:val="bottom"/>
            <w:shd w:val="clear" w:color="auto" w:fill="CCEEFF"/>
          </w:tcPr>
          <w:p>
            <w:pPr>
              <w:spacing w:after="0"/>
              <w:rPr>
                <w:sz w:val="18"/>
                <w:szCs w:val="18"/>
                <w:color w:val="auto"/>
              </w:rPr>
            </w:pPr>
          </w:p>
        </w:tc>
      </w:tr>
      <w:tr>
        <w:trPr>
          <w:trHeight w:val="23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Peer Average (see below)</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44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4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4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4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116.91</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114.81</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133.07</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184.06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208.71</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graph above shows the cumulative total return to stockholders of the Company’s common stock during a five year period ending December 31, 2014, the last trading day of our 2014 fiscal year, compared with the return on the NASDAQ Composite Index and a group of our peers which we had historically used internally as a benchmark for compensation purposes from 2011 to 2013 (minor modifications were made to the compensation peer group in 2014). The graph assumes initial investments of $100 each on December 31, 2009, in GLDD stock (assuming reinvestment of all dividends paid during the period), the NASDAQ Composite Index and the peer group companies, collectively. The peer group is comprised of the following member companies:</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8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Ticker</w:t>
            </w: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Dycom</w:t>
            </w:r>
          </w:p>
        </w:tc>
        <w:tc>
          <w:tcPr>
            <w:tcW w:w="8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Industries, Inc.</w:t>
            </w: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DY</w:t>
            </w: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Industries, Ltd. (prior to its purchase on September 9, 2011 by Technip S.A.)</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GLBL</w:t>
            </w: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Granite Construction Inc.</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GVA</w:t>
            </w: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Aegion Corporations, successor to Insituform Technologies, Inc.</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AEGN</w:t>
            </w: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Layne Christensen Company</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LAYN</w:t>
            </w: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MasTec, Inc.</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MTZ</w:t>
            </w: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Matrix Service Company</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MTRX</w:t>
            </w: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MYR Group Inc.</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MYRG</w:t>
            </w: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Orion Marine Group, Inc.</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ORN</w:t>
            </w: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Pike Electric Corporation</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PIKE</w:t>
            </w: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Primoris Services Corp</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w:t>
            </w: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Sterling Construction Company, Inc.</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STRL</w:t>
            </w: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Team, Inc.</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TISI</w:t>
            </w:r>
          </w:p>
        </w:tc>
      </w:tr>
      <w:tr>
        <w:trPr>
          <w:trHeight w:val="23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Willbros Group, Inc.</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WG</w:t>
            </w:r>
          </w:p>
        </w:tc>
      </w:tr>
    </w:tbl>
    <w:p>
      <w:pPr>
        <w:spacing w:after="0" w:line="17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Given the historical usage of this peer group for compensation purposes and the fact that each peer is a capital intensive business, the Company deems it appropriate to also use this peer group for showing the comparative cumulative total return to stockholders of Great Lakes.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40" w:firstLine="456"/>
        <w:spacing w:after="0" w:line="313" w:lineRule="auto"/>
        <w:rPr>
          <w:sz w:val="20"/>
          <w:szCs w:val="20"/>
          <w:color w:val="auto"/>
        </w:rPr>
      </w:pPr>
      <w:r>
        <w:rPr>
          <w:rFonts w:ascii="Times New Roman" w:cs="Times New Roman" w:eastAsia="Times New Roman" w:hAnsi="Times New Roman"/>
          <w:sz w:val="17"/>
          <w:szCs w:val="17"/>
          <w:color w:val="auto"/>
        </w:rPr>
        <w:t>As of February 27, 2015, the Company had approximately 31 shareholders of record of the Company’s common stock. A substantial number of holders of the Company’s common stock are “street name” or beneficial holders, whose shares are held of record by banks, brokers and other financial institutions.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ensure the size of any such dividend or that the Company will pay any future dividend.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selected financial data and should be read in conjunction with Item 7. “Management’s Discussion and Analysis of Financial Condition and Results of Operations” and the Company’s audited consolidated financial statements and notes thereto included elsewhere in this annual report. The selected financial data presented below have been derived from the Company’s consolidated financial statements; items may not sum due to rounding.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2011</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0" w:type="dxa"/>
            <w:vAlign w:val="bottom"/>
            <w:gridSpan w:val="13"/>
          </w:tcPr>
          <w:p>
            <w:pPr>
              <w:jc w:val="right"/>
              <w:spacing w:after="0" w:line="142" w:lineRule="exact"/>
              <w:rPr>
                <w:sz w:val="20"/>
                <w:szCs w:val="20"/>
                <w:color w:val="auto"/>
              </w:rPr>
            </w:pPr>
            <w:r>
              <w:rPr>
                <w:rFonts w:ascii="Times New Roman" w:cs="Times New Roman" w:eastAsia="Times New Roman" w:hAnsi="Times New Roman"/>
                <w:sz w:val="14"/>
                <w:szCs w:val="14"/>
                <w:color w:val="auto"/>
              </w:rPr>
              <w:t>(dollars in millions except shares in thousands and per share data)</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520.1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loss of use claim</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 — net</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Gain on bargain purchase agreement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taxes</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 w:type="dxa"/>
            <w:vAlign w:val="bottom"/>
          </w:tcPr>
          <w:p>
            <w:pPr>
              <w:spacing w:after="0"/>
              <w:rPr>
                <w:sz w:val="19"/>
                <w:szCs w:val="19"/>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 stockholders of Great Lakes Dredge &amp;</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 attributable to income from continuing operations (1)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4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loss per share attributable to loss on discontinued operations, net of income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(0.91)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5"/>
        </w:trPr>
        <w:tc>
          <w:tcPr>
            <w:tcW w:w="65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Basic earnings (loss) per share attributable to common stockholders of Great Lakes</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59,938</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59,195</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58,891</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income from continuing operations (1)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Diluted loss per share attributable to loss on discontinued operations, net of income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(0.90)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5"/>
        </w:trPr>
        <w:tc>
          <w:tcPr>
            <w:tcW w:w="65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Diluted earnings (loss) per share attributable to common stockholders of Great Lakes</w:t>
            </w: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60,522</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59,673</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59,230</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5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8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700" w:type="dxa"/>
            <w:vAlign w:val="bottom"/>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12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Data:</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 (2)</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  77.1</w:t>
            </w: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$ 98.9</w:t>
            </w: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$ 74.7</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$ 90.1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8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48.8</w:t>
            </w:r>
          </w:p>
        </w:tc>
        <w:tc>
          <w:tcPr>
            <w:tcW w:w="8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74.8</w:t>
            </w: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24.6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(116.7)</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(46.3)</w:t>
            </w: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(63.4)</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(16.7)</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8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35.1</w:t>
            </w:r>
          </w:p>
        </w:tc>
        <w:tc>
          <w:tcPr>
            <w:tcW w:w="8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22.5</w:t>
            </w: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(23.6)</w:t>
            </w:r>
          </w:p>
        </w:tc>
        <w:tc>
          <w:tcPr>
            <w:tcW w:w="8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57.4</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50.1</w:t>
            </w: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46.6</w:t>
            </w: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37.4</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37.3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expense</w:t>
            </w:r>
          </w:p>
        </w:tc>
        <w:tc>
          <w:tcPr>
            <w:tcW w:w="8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57.4</w:t>
            </w:r>
          </w:p>
        </w:tc>
        <w:tc>
          <w:tcPr>
            <w:tcW w:w="8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49.5</w:t>
            </w:r>
          </w:p>
        </w:tc>
        <w:tc>
          <w:tcPr>
            <w:tcW w:w="10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51.8</w:t>
            </w:r>
          </w:p>
        </w:tc>
        <w:tc>
          <w:tcPr>
            <w:tcW w:w="8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43.1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92.1</w:t>
            </w: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62.0</w:t>
            </w:r>
          </w:p>
        </w:tc>
        <w:tc>
          <w:tcPr>
            <w:tcW w:w="10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76.3</w:t>
            </w:r>
          </w:p>
        </w:tc>
        <w:tc>
          <w:tcPr>
            <w:tcW w:w="8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60" w:right="140" w:hanging="452"/>
        <w:spacing w:after="0" w:line="261"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2 in the Company’s consolidated financial statements for the years ended December 31, 2014, 2013 and 2012 and above information for additional details regarding these calculations.</w:t>
      </w:r>
    </w:p>
    <w:p>
      <w:pPr>
        <w:ind w:left="460" w:right="140" w:hanging="452"/>
        <w:spacing w:after="0" w:line="261"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definition of Adjusted EBITDA from continuing operations in Item 7. Management’s Discussion and Analysis of Financial Condition and Results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7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2014</w:t>
            </w:r>
          </w:p>
        </w:tc>
        <w:tc>
          <w:tcPr>
            <w:tcW w:w="8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2011</w:t>
            </w:r>
          </w:p>
        </w:tc>
        <w:tc>
          <w:tcPr>
            <w:tcW w:w="7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27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8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Data:</w:t>
            </w:r>
          </w:p>
        </w:tc>
        <w:tc>
          <w:tcPr>
            <w:tcW w:w="1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$ 42.4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$ 75.3</w:t>
            </w:r>
          </w:p>
        </w:tc>
        <w:tc>
          <w:tcPr>
            <w:tcW w:w="134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$ 24.4</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$113.3</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$ 48.4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34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127.7</w:t>
            </w:r>
          </w:p>
        </w:tc>
        <w:tc>
          <w:tcPr>
            <w:tcW w:w="8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195.3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893.2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134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826.5</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788.5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promissory notes and subordinated notes</w:t>
            </w:r>
          </w:p>
        </w:tc>
        <w:tc>
          <w:tcPr>
            <w:tcW w:w="2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324.4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34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263.0</w:t>
            </w:r>
          </w:p>
        </w:tc>
        <w:tc>
          <w:tcPr>
            <w:tcW w:w="8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255.0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256.0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34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273.4</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292.5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880" w:type="dxa"/>
            <w:vAlign w:val="bottom"/>
          </w:tcPr>
          <w:p>
            <w:pPr>
              <w:spacing w:after="0"/>
              <w:rPr>
                <w:sz w:val="24"/>
                <w:szCs w:val="24"/>
                <w:color w:val="auto"/>
              </w:rPr>
            </w:pPr>
          </w:p>
        </w:tc>
        <w:tc>
          <w:tcPr>
            <w:tcW w:w="19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38</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680"/>
        <w:spacing w:after="0" w:line="378"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Company is the largest provider of dredging services in the United States and a major provider of environmental and remediation services. In addition, the Company is the only U.S. dredging service provider with significant international operations.</w:t>
      </w:r>
    </w:p>
    <w:p>
      <w:pPr>
        <w:spacing w:after="0" w:line="16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Coastal protection projects involve moving sand from the ocean floor to shoreline locations where erosion threatens shoreline assets. 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Rivers &amp; lakes dredging and related operations typically consist of lake and river dredging, inland levee and construction dredging, environmental restoration and habitat improvement and other marine construction projects.</w:t>
      </w:r>
    </w:p>
    <w:p>
      <w:pPr>
        <w:spacing w:after="0" w:line="19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On November 4, 2014, the Company acquired the stock of Magnus Pacific Corporation, a leading provider of environmental remediation, geotechnical construction, demolition, and sediments and wetlands construction, headquartered outside of Sacramento, California, for an aggregate purchase price of approximately $40 million. The Magnus Pacific (“Magnus”) business is part of the Company’s environmental &amp; remediation segment.</w:t>
      </w:r>
    </w:p>
    <w:p>
      <w:pPr>
        <w:spacing w:after="0" w:line="17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On December 31, 2012, the Company acquired the assets and assumed certain liabilities of Terra Contracting, LLC, a respected provider of a wide variety of essential services for environmental, maintenance and infrastructure-related applications headquartered in Kalamazoo, Michigan, for a purchase price of approximately $26 million. The Terra acquisition has broadened the Company’s environmental &amp; remediation segment with additional services and expertise as well as expanded its footprint in the Midwest. Terra Contracting Services, LLC (“Terra”) is part of the Company’s environmental &amp; remediation segment.</w:t>
      </w:r>
    </w:p>
    <w:p>
      <w:pPr>
        <w:spacing w:after="0" w:line="184"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These two acquisitions comprise the environmental &amp; remediation segment of the Company and working with our dredging segment, have the capabilities and geographic reach to perform work throughout the United States on land and in water. The Company operates in two reportable segments: dredging and environmental &amp; remediation.</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Company and a New Jersey aggregates company each own 50% of Amboy Aggregates (“Amboy”). Amboy was formed in December 1984 to mine sand from the entrance channel to New York Harbor to provide sand and aggregate for use in road and building construction and for clean land fill. Amboy sold its interest in a stone import business and its holdings in land during 2014 and is winding down operations.</w:t>
      </w:r>
    </w:p>
    <w:p>
      <w:pPr>
        <w:spacing w:after="0" w:line="176"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In addition, the Company and a New Jersey aggregates company each own 50% of Lower Main Street Development, LLC (“Lower Main”). Lower Main was organized in February 2003 to hold land for development or sale. This land owned in conjunction with Amboy was sold in 2014.</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Company and a European based remediation company each own 50% of TerraSea Environmental Solutions LLC (“TerraSea”), a remediation business. TerraSea provides water and land based environmental services in the area of clean up and remediation of sediments, soil and groundwater for both marine and land based projects. The Company has commenced the winddown of TerraSea with its joint venture partner.</w:t>
      </w:r>
    </w:p>
    <w:p>
      <w:pPr>
        <w:spacing w:after="0" w:line="17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April 24, 2014, the Company completed the sale of NASDI, LLC and Yankee Environmental Services, LLC, which together comprised the Company’s historical demolition business, to a privately owned demolition company for $5.3 million plus retention of certain assets and preclosing liabilities. The historical demolition business has been retrospectively presented as discontinued operations and is no longer reflected in continuing operations. See Note 16 to our consolidated financial statements included in Item 15 of this Annual Report on Form 10-K.</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Company’s bid market is defined as the aggregate dollar value of domestic dredging projects on which the Company bid or could have bid if not for capacity constraints or other considerations (“bid market”). The Company experienced an average combined bid market share in the U.S. of 46% over the prior three years, including 46%, 58%, 33% and 50% of the domestic capital, coastal protection, maintenance and rivers &amp; lakes sectors, respectively. The bid market for environmental &amp; remediation work is highly fragmented and similar bid market statistics are not easily available.</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2014, dredging revenues accounted for 86% of revenue. The Company’s fleet of 31 dredges, of which nine are deployed internationally, 23 material transportation barges, two drillboats, and numerous other support vessels is the largest and most diverse fleet of any U.S. dredging company. For the dredging segment, the Company’s fleet of dredging equipment can be utilized on one or many types of work and in various geographic locations. This flexible approach to the Company’s fleet utilization, driven by the project scope and equipment, enables us to move equipment in response to changes in demand for dredging services to take advantage of the most attractive opportunities.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largest domestic dredging customer is the U.S. Army Corps of Engineers (the “Corps”), which has responsibility for federally funded projects related to navigation and flood control of U.S. waterways. The advance of multi-jurisdictional cost sharing arrangements are allowing the Corps to utilize funds from sources other than the federal budget to prioritize additional projects where waterway infrastructure improvements can have an impact to large regions. Although some of a project’s funding may ultimately be derived from multiple sources, the Corps maintains the authority over the project and is the Company’s customer. In 2014, the Company’s dredging revenues earned from contracts with federal government agencies, including the Corps as well as other federal entities such as the U.S. Coast Guard and the U.S. Navy, were approximately 70% of dredging revenues, up from the Company’s prior three year average of 59%.</w:t>
      </w:r>
    </w:p>
    <w:p>
      <w:pPr>
        <w:spacing w:after="0" w:line="189"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In 2014, environmental &amp; remediation revenues accounted for 14% of total revenue. The Company’s environmental &amp; remediation segment provides soil, water and sediment environmental remediation for the state and local and private party markets. Remediation involves the retrieval and removal of contamination from an environment through the use of separation techniques or disposal based on the quantity and severity of the contamination. Besides environmental remediation, the environmental &amp; remediation segment performs industrial cleaning, abatement services and hazardous waste removal. Our recent acquisition of Magnus Pacific Corporation expands the geographic footprint of our environmental operations to include the U.S. West Coast and broadens our suite of services to include geotechnical contracting capabilities and other environmental solutions.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Revenues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Most of the Company’s contracts are obtained through competitive bidding on terms specified by the party inviting the bid. The types of equipment required to perform the specified service and the estimated project duration affect the cost of performing the contract and the price that contractors will bid.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Company recognizes contract revenues under the percentage-of-completion method based on the Company’s engineering estimates of the physical percentage completed for dredging projects and based on costs incurred to date compared to total estimated costs for environmental &amp; remediation projects. For dredging projects, costs of contract revenues are adjusted to reflect the gross profit percentage expected to be achieved upon ultimate completion of each dredging project. For environmental &amp; remediation projects, contract revenues are adjusted to reflect the estimated gross profit percentage. Provisions for estimated losses on contracts in progress are made in the period in which such losses are determined. Change orders are not recognized in revenue until the recovery is probable and collectability is reasonably assured.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Contract modifications may be negotiated when a change from the original contract specifications is encountered, necessitating a change in project scope or performance methodology and/or material disposal. Significant expenditures incurred incidental to major contracts are deferred and recognized as contract costs based on contract performance over the duration of the related project. These expenditures are reported as prepaid expenses.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fuel, subcontracts, short-term rentals and project overhead. Hourly labor generally is hired on a project-by-project basis. Much of our domestic hourly labor force is represented by labor unions with collective bargaining agreements that expire at various dates during 2015 through 2016, which historically have been extended without disruption.</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Costs of contract revenues vary significantly depending on the type and location of work performed and assets utilized. Generally, capital dredging projects have the highest margins due to the complexity of the projects, while coastal protection projects have the most volatile margins because they are most often exposed to variability in weather conditions. Environmental &amp; remediation margins are based upon the specified service, the estimated project duration, seasonality, location and complexity of a project.</w:t>
      </w:r>
    </w:p>
    <w:p>
      <w:pPr>
        <w:spacing w:after="0" w:line="18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Company’s cost structure includes significant annual equipment related costs, including depreciation, maintenance, insurance and long-term equipment rentals, averaging approximately 22% to 23% of total costs of contract revenues over the prior three years. During any given year, both dredging equipment utilization and the timing of cost expenditures fluctuate significantly. Accordingly, the Company allocates these dredging equipment costs to interim periods in proportion to dredging revenues recognized over the year to better match revenues and expenses. Specifically, at each interim reporting date the Company compares actual dredging revenues earned to date on the Company’s dredging contracts to expected annual revenues and recognizes dredging equipment costs on the same proportionate basis. In the fourth quarter, any over or under allocated equipment costs are recognized such that the expense for the year equals actual equipment costs incurred during the year. As a result of this methodology, the recorded expense in any interim period may be higher or lower than the actual equipment costs incurred in that interim period.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Factors that Determine Operating Profitability</w:t>
      </w:r>
    </w:p>
    <w:p>
      <w:pPr>
        <w:spacing w:after="0" w:line="119" w:lineRule="exact"/>
        <w:rPr>
          <w:sz w:val="20"/>
          <w:szCs w:val="20"/>
          <w:color w:val="auto"/>
        </w:rPr>
      </w:pPr>
    </w:p>
    <w:p>
      <w:pPr>
        <w:ind w:right="2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Dredging</w:t>
      </w:r>
      <w:r>
        <w:rPr>
          <w:rFonts w:ascii="Times New Roman" w:cs="Times New Roman" w:eastAsia="Times New Roman" w:hAnsi="Times New Roman"/>
          <w:sz w:val="18"/>
          <w:szCs w:val="18"/>
          <w:color w:val="auto"/>
        </w:rPr>
        <w:t>. The Company’s results of operations for its dredging segment for a calendar or quarterly period are generally determined by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factors:</w:t>
      </w:r>
    </w:p>
    <w:p>
      <w:pPr>
        <w:spacing w:after="0" w:line="64" w:lineRule="exact"/>
        <w:rPr>
          <w:sz w:val="20"/>
          <w:szCs w:val="20"/>
          <w:color w:val="auto"/>
        </w:rPr>
      </w:pPr>
    </w:p>
    <w:p>
      <w:pPr>
        <w:ind w:left="900" w:right="120" w:hanging="325"/>
        <w:spacing w:after="0" w:line="267"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Bid wins and dredge employment</w:t>
      </w:r>
      <w:r>
        <w:rPr>
          <w:rFonts w:ascii="Times New Roman" w:cs="Times New Roman" w:eastAsia="Times New Roman" w:hAnsi="Times New Roman"/>
          <w:sz w:val="18"/>
          <w:szCs w:val="18"/>
          <w:color w:val="auto"/>
        </w:rPr>
        <w:t>—The Company’s dredging segment generates revenues when the Company wins a bid for a dredging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starts that project. Although the Company’s dredging equipment is subject to downtime for scheduled periodic maintenance and repair, the Company seeks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280"/>
        <w:spacing w:after="0" w:line="266" w:lineRule="auto"/>
        <w:rPr>
          <w:sz w:val="20"/>
          <w:szCs w:val="20"/>
          <w:color w:val="auto"/>
        </w:rPr>
      </w:pPr>
      <w:r>
        <w:rPr>
          <w:rFonts w:ascii="Times New Roman" w:cs="Times New Roman" w:eastAsia="Times New Roman" w:hAnsi="Times New Roman"/>
          <w:sz w:val="18"/>
          <w:szCs w:val="18"/>
          <w:color w:val="auto"/>
        </w:rPr>
        <w:t>to maximize its revenues by employing its dredging equipment on a full-time basis, allowing for scheduled down time and mobilization. If a dredge is idle (i.e., the dredge is not employed on a dredging project or undergoing scheduled periodic maintenance and repair), the Company does not earn revenue with respect to that dredge during the time period for which it is idle.</w:t>
      </w:r>
    </w:p>
    <w:p>
      <w:pPr>
        <w:spacing w:after="0" w:line="80" w:lineRule="exact"/>
        <w:rPr>
          <w:sz w:val="20"/>
          <w:szCs w:val="20"/>
          <w:color w:val="auto"/>
        </w:rPr>
      </w:pPr>
    </w:p>
    <w:p>
      <w:pPr>
        <w:ind w:left="900" w:right="200" w:hanging="325"/>
        <w:spacing w:after="0" w:line="259"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Project and dredge mix</w:t>
      </w:r>
      <w:r>
        <w:rPr>
          <w:rFonts w:ascii="Times New Roman" w:cs="Times New Roman" w:eastAsia="Times New Roman" w:hAnsi="Times New Roman"/>
          <w:sz w:val="18"/>
          <w:szCs w:val="18"/>
          <w:color w:val="auto"/>
        </w:rPr>
        <w:t>—The Company’s domestic dredging projects generally involve domestic capital, maintenance and coastal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 and its foreign dredging projects generally involve capital work. In addition, the Company’s dredging projects vary in duration and, in general, projects of longer duration result in less dredge downtime in a given period. Moreover, the Company’s dredges have different physical capabilities and typically work on certain types of dredging projects. Accordingly, the Company’s dredges have different daily revenue generating capacities.</w:t>
      </w:r>
    </w:p>
    <w:p>
      <w:pPr>
        <w:spacing w:after="0" w:line="74" w:lineRule="exact"/>
        <w:rPr>
          <w:sz w:val="20"/>
          <w:szCs w:val="20"/>
          <w:color w:val="auto"/>
        </w:rPr>
      </w:pPr>
    </w:p>
    <w:p>
      <w:pPr>
        <w:ind w:left="920" w:right="40"/>
        <w:spacing w:after="0" w:line="255" w:lineRule="auto"/>
        <w:rPr>
          <w:sz w:val="20"/>
          <w:szCs w:val="20"/>
          <w:color w:val="auto"/>
        </w:rPr>
      </w:pPr>
      <w:r>
        <w:rPr>
          <w:rFonts w:ascii="Times New Roman" w:cs="Times New Roman" w:eastAsia="Times New Roman" w:hAnsi="Times New Roman"/>
          <w:sz w:val="18"/>
          <w:szCs w:val="18"/>
          <w:color w:val="auto"/>
        </w:rPr>
        <w:t>The Company generally expects to achieve different levels of gross profit margin (i.e., gross profit divided by revenues) for work performed on the different types of dredging projects and for work performed by different types of dredges. The Company’s expected gross margin for a project is based upon the Company’s estimates at the time of the bid. Although the Company seeks to bid on and win projects that will maximize its gross margin, the Company cannot control the type of dredging projects that are available for bid from time to time, the type of dredge that is needed to complete these projects, the competitive landscape at the time of bid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the Company works on a mix of dredging projects that, in the aggregate, have relatively low expected gross margins (based on project type and dredges employed).</w:t>
      </w:r>
    </w:p>
    <w:p>
      <w:pPr>
        <w:spacing w:after="0" w:line="89" w:lineRule="exact"/>
        <w:rPr>
          <w:sz w:val="20"/>
          <w:szCs w:val="20"/>
          <w:color w:val="auto"/>
        </w:rPr>
      </w:pPr>
    </w:p>
    <w:p>
      <w:pPr>
        <w:ind w:left="900" w:right="120" w:hanging="325"/>
        <w:spacing w:after="0" w:line="257"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Project execution</w:t>
      </w:r>
      <w:r>
        <w:rPr>
          <w:rFonts w:ascii="Times New Roman" w:cs="Times New Roman" w:eastAsia="Times New Roman" w:hAnsi="Times New Roman"/>
          <w:sz w:val="18"/>
          <w:szCs w:val="18"/>
          <w:color w:val="auto"/>
        </w:rPr>
        <w:t>—The Company seeks to execute all of its dredging projects consistent with its project estimates. In general,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achieve its project estimates depends upon many factors including weather, variances from estimated project conditions, equipment mobilization time periods, unplanned equipment downtime or other events or circumstances beyond the Company’s control. If the Company experiences any of these events and circumstances, the completion of a dredging project will often be accelerated or delayed, as applicable, and, consequently, the Company will experience project results that are better or worse than its estimates. The Company does its best to estimate for events and circumstances that are not within its control; however, these situations are inherent in dredging.</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&amp; remediation. </w:t>
      </w:r>
      <w:r>
        <w:rPr>
          <w:rFonts w:ascii="Times New Roman" w:cs="Times New Roman" w:eastAsia="Times New Roman" w:hAnsi="Times New Roman"/>
          <w:sz w:val="18"/>
          <w:szCs w:val="18"/>
          <w:color w:val="auto"/>
        </w:rPr>
        <w:t>The Company’s environmental &amp; remediation segment generates revenues when the Company is awarded a contract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specialty contracting services and starts the project. The Company’s revenues from its environmental &amp; remediation segment increase or decrease based upon market demand. Like the Company’s dredging segment, results of operations for the Company’s environmental &amp; remediation segment fluctuate based upon project mix and the Company’s ability to execute its projects consistent with its estimates.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significant accounting policies are discussed in the Notes to the consolidated financial statements. The application of certain of these policies requires significant judgments or an estimation process that can affect the Company’s results of operations, financial position and cash flows, as well as the related footnote disclosures. The Company bases its estimates on historical experience and other assumptions that it believes are reasonable. If actual amounts are ultimately different from previous estimates, the revisions are included in the Company’s results of operations for the period in which the actual amounts become known. The following accounting policies comprise those that management believes are the most critical to aid in fully understanding and evaluating the Company’s reported financial results.</w:t>
      </w:r>
    </w:p>
    <w:p>
      <w:pPr>
        <w:spacing w:after="0" w:line="186" w:lineRule="exact"/>
        <w:rPr>
          <w:sz w:val="20"/>
          <w:szCs w:val="20"/>
          <w:color w:val="auto"/>
        </w:rPr>
      </w:pPr>
    </w:p>
    <w:p>
      <w:pPr>
        <w:ind w:right="4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Percentage-of-completion method of revenue recognition</w:t>
      </w:r>
      <w:r>
        <w:rPr>
          <w:rFonts w:ascii="Times New Roman" w:cs="Times New Roman" w:eastAsia="Times New Roman" w:hAnsi="Times New Roman"/>
          <w:sz w:val="18"/>
          <w:szCs w:val="18"/>
          <w:color w:val="auto"/>
        </w:rPr>
        <w:t>—The Company’s contract revenues are recognized under the percentage-of-completion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which is by its nature based on an estimation process.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dredging projects, the Company uses engineering estimates of the physical percentage of completion. For environmental &amp; remediation projects, the Company uses estimates of costs incurred to date compared to total estimated costs to determine the percentage of project completion. In preparing estimates, the Company draws on its extensive experience in the dredging and environmental &amp; remediation businesses. In its dredging segment, the Company utilizes its database of historical dredging information to ensure that its estimates are as accurate as possible, given current circumstances. Provisions for estimated losses on contracts in progress are made in the period in which such losses are determined. Change orders are not recognized in revenue until the recovery is probable and collectability is reasonably assured. Claims for additional compensation are not recognized in contract revenues until such claims are settled. Cost and profit estimates are reviewed on a periodic basis to reflect changes in expected project performance.</w:t>
      </w:r>
    </w:p>
    <w:p>
      <w:pPr>
        <w:spacing w:after="0" w:line="18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Impairment of goodwill</w:t>
      </w:r>
      <w:r>
        <w:rPr>
          <w:rFonts w:ascii="Times New Roman" w:cs="Times New Roman" w:eastAsia="Times New Roman" w:hAnsi="Times New Roman"/>
          <w:sz w:val="18"/>
          <w:szCs w:val="18"/>
          <w:color w:val="auto"/>
        </w:rPr>
        <w:t>—Goodwill is tested for impairment at the reporting unit level on an annual basis and between annual tests if an event occurs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change that would more likely than not reduce the fair 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The Company performs its annual impairment test as of July 1 each year. The Company operates in two reportable segments: dredging and environmental &amp; remediation.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18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based upon historical operating data,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analyzed companies that performed similar services or are considered peers. Due to the fact that there are no public companies that are direct competitors, the Company weighed the results of this approach less than the income approach.</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In the second quarter of 2013, due to a decline in the overall financial performance and declining cash flows of the demolition reporting unit, which is now reported in discontinued operations, the Company recorded an impairment charge of $21.5 million. At both December 31, 2014 and 2013, the dredging segment’s goodwill was $76.6 million. At December 31, 2014 and 2013, the environmental &amp; remediation segment’s goodwill was $9.8 million and $2.8 million, respectively.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455" w:right="2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Operations—Fiscal Years Ended December 31, 2014, 2013 and 2012</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income attributable to common stockholders of Great Lakes Dredge &amp; Dock Corporation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from continuing operations, as defined below, as a percentage of contract revenues for the years ended December 31:</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4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1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(88.5)</w:t>
            </w:r>
          </w:p>
        </w:tc>
        <w:tc>
          <w:tcPr>
            <w:tcW w:w="12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(86.3)</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11.5</w:t>
            </w:r>
          </w:p>
        </w:tc>
        <w:tc>
          <w:tcPr>
            <w:tcW w:w="120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13.7</w:t>
            </w:r>
          </w:p>
        </w:tc>
        <w:tc>
          <w:tcPr>
            <w:tcW w:w="7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(9.3)</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loss of use claim</w:t>
            </w:r>
          </w:p>
        </w:tc>
        <w:tc>
          <w:tcPr>
            <w:tcW w:w="114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1.8</w:t>
            </w:r>
          </w:p>
        </w:tc>
        <w:tc>
          <w:tcPr>
            <w:tcW w:w="7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11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0.8</w:t>
            </w:r>
          </w:p>
        </w:tc>
        <w:tc>
          <w:tcPr>
            <w:tcW w:w="7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3.0</w:t>
            </w:r>
          </w:p>
        </w:tc>
        <w:tc>
          <w:tcPr>
            <w:tcW w:w="120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7.0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1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(2.5)</w:t>
            </w:r>
          </w:p>
        </w:tc>
        <w:tc>
          <w:tcPr>
            <w:tcW w:w="12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(3.0)</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114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0.2</w:t>
            </w:r>
          </w:p>
        </w:tc>
        <w:tc>
          <w:tcPr>
            <w:tcW w:w="7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Gain on bargain purchase acquisition</w:t>
            </w:r>
          </w:p>
        </w:tc>
        <w:tc>
          <w:tcPr>
            <w:tcW w:w="11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4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1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14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14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(7.5)</w:t>
            </w:r>
          </w:p>
        </w:tc>
        <w:tc>
          <w:tcPr>
            <w:tcW w:w="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vMerge w:val="continue"/>
          </w:tcPr>
          <w:p>
            <w:pPr>
              <w:spacing w:after="0"/>
              <w:rPr>
                <w:sz w:val="19"/>
                <w:szCs w:val="19"/>
                <w:color w:val="auto"/>
              </w:rPr>
            </w:pPr>
          </w:p>
        </w:tc>
        <w:tc>
          <w:tcPr>
            <w:tcW w:w="12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(4.7)</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4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common stockholders of Great Lakes Dredge &amp;</w:t>
            </w:r>
          </w:p>
        </w:tc>
        <w:tc>
          <w:tcPr>
            <w:tcW w:w="5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Dock Corporation</w:t>
            </w:r>
          </w:p>
        </w:tc>
        <w:tc>
          <w:tcPr>
            <w:tcW w:w="11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1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9.6%</w:t>
            </w:r>
          </w:p>
        </w:tc>
        <w:tc>
          <w:tcPr>
            <w:tcW w:w="12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13.5 %</w:t>
            </w: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from continuing operations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Adjusted EBITDA from continuing operations, as provided herein, represents net income attributable to common stockholders of Great Lakes Dredge &amp; Dock Corporation, adjusted for net interest expense, income taxes, depreciation and amortization expense, debt extinguishment and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attributable to common stockholders of Great Lakes Dredge &amp; Dock Corporation:</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9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3"/>
                <w:szCs w:val="13"/>
                <w:color w:val="auto"/>
              </w:rPr>
            </w:pP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2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 stockholders of Great Lakes Dredge &amp;</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Dock Corporation</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$ 10,295</w:t>
            </w:r>
          </w:p>
        </w:tc>
        <w:tc>
          <w:tcPr>
            <w:tcW w:w="17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$(34,361)</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 (2,695)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(10,423)</w:t>
            </w:r>
          </w:p>
        </w:tc>
        <w:tc>
          <w:tcPr>
            <w:tcW w:w="17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(54,850)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(9,635)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632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5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Accelerated maintenance expenses</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expense—net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19,967</w:t>
            </w:r>
          </w:p>
        </w:tc>
        <w:tc>
          <w:tcPr>
            <w:tcW w:w="17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21,941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20,925</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(11,530)</w:t>
            </w:r>
          </w:p>
        </w:tc>
        <w:tc>
          <w:tcPr>
            <w:tcW w:w="17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10,460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50,129</w:t>
            </w:r>
          </w:p>
        </w:tc>
        <w:tc>
          <w:tcPr>
            <w:tcW w:w="17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46,622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37,430</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bargain purchase acquisition</w:t>
            </w: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(2,197)</w:t>
            </w:r>
          </w:p>
        </w:tc>
        <w:tc>
          <w:tcPr>
            <w:tcW w:w="5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$ 77,087</w:t>
            </w:r>
          </w:p>
        </w:tc>
        <w:tc>
          <w:tcPr>
            <w:tcW w:w="17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$ 98,880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74,741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Contract 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by segment and type of work, the Company’s contract revenues for the years ended December 31,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5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Dredging:</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Capital—U.S.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$ 195,635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$ 153,781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$ 156,251</w:t>
            </w: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Capital—foreign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138,436</w:t>
            </w: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77,232</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Coastal protection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194,219</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228,868</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135,164</w:t>
            </w: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Maintenance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123,923</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90,833</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116,016</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Rivers &amp; lakes</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28,934</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30,684</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35,471</w:t>
            </w:r>
          </w:p>
        </w:tc>
      </w:tr>
      <w:tr>
        <w:trPr>
          <w:trHeight w:val="223"/>
        </w:trPr>
        <w:tc>
          <w:tcPr>
            <w:tcW w:w="20" w:type="dxa"/>
            <w:vAlign w:val="bottom"/>
          </w:tcPr>
          <w:p>
            <w:pPr>
              <w:spacing w:after="0"/>
              <w:rPr>
                <w:sz w:val="19"/>
                <w:szCs w:val="19"/>
                <w:color w:val="auto"/>
              </w:rPr>
            </w:pPr>
          </w:p>
        </w:tc>
        <w:tc>
          <w:tcPr>
            <w:tcW w:w="8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dredging revenues</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697,711</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642,602</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&amp; remediation*</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114,412</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94,840</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(5,292)</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(6,024)</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$ 806,831</w:t>
            </w: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$ 731,418</w:t>
            </w: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$ 520,134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220" w:right="880" w:hanging="212"/>
        <w:spacing w:after="0" w:line="282" w:lineRule="auto"/>
        <w:tabs>
          <w:tab w:leader="none" w:pos="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&amp; remediation revenue in 2014 and 2013 includes Terra which did not operate as part of the Company prior to January 1, 2013. Environmental &amp; remediation revenue in 2014 also includes Magnus which did not operate as part of the Company prior to November 4,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2014 Compared to Year Ended December 31, 2013</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Total revenue was $806.8 million in 2014, an increase of $75.4 million, or 10.3%, from 2013 total revenue of $731.4 million. The increase was largely attributable to higher domestic capital dredging revenues, which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included a port deepening project in Miami and a LNG project in Texas, and maintenance dredging revenues, which included a large maintenance project in New York. Increases in foreign capital dredging and environmental &amp; remediation revenues, which is attributable to the acquisition of Magnus, also contributed to the overall increase in 2014. These increases were partially offset by declines in coastal protection and river &amp; lakes revenues. The Company categorizes revenue by service type to understand the market in which the Company operates and to assess how the Company is performing on bidding work or projects and is generating revenue from backlog.</w:t>
      </w:r>
    </w:p>
    <w:p>
      <w:pPr>
        <w:spacing w:after="0" w:line="184"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Domestic capital dredging revenues increased $41.8 million, or 27.2%, to $195.6 million in 2014 compared to 2013 revenues of $153.8 million. The increase in domestic capital dredging revenue was primarily attributable to the port deepening project in Miami and a LNG project in Texas. These increases were partially offset by two 2013 coastal restoration projects in Louisiana that did not repeat in the current year. Deepening projects in New York and on the Delaware River also contributed to increased revenues in 2014. In 2014, the Company earned 80% of its backlog carried forward from December 31, 2013.</w:t>
      </w:r>
    </w:p>
    <w:p>
      <w:pPr>
        <w:spacing w:after="0" w:line="18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Revenues from foreign dredging operations in 2014 totaled $155.0 million, an increase of $16.6 million, or 12.0%, from 2013 revenues of $138.4 million. Foreign dredging revenue was driven by the Wheatstone LNG Project in Western Australia, three projects in the Middle East and a project in Brazil. These five projects in our foreign operations comprise approximately 91% of the foreign dredging revenue earned. In comparison, 2013 revenue was driven by a significant project in Qatar as well as the mobilization and commencement of dredging activities for the Wheatstone LNG Project. The Company earned 100% of its backlog carried forward from December 31, 2013.</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Coastal protection revenues were $194.2 million in 2014, a decrease of $34.7 million, or 15.2%, from $228.9 million in 2013. A large number of projects in New York and New Jersey for the repair of shorelines damaged as a result of Superstorm Sandy continued to add to revenue during the year ended December 31, 2014; however, the dollar value of these Superstorm Sandy projects was lower than the year ended December 31, 2013. In addition, the Company worked on large beach projects in South Carolina, North Carolina and Florida which contributed to revenue for the year ended December 31, 2014. The Company converted approximately 90% of the backlog at December 31, 2013 to revenues in 2014.</w:t>
      </w:r>
    </w:p>
    <w:p>
      <w:pPr>
        <w:spacing w:after="0" w:line="184" w:lineRule="exact"/>
        <w:rPr>
          <w:sz w:val="20"/>
          <w:szCs w:val="20"/>
          <w:color w:val="auto"/>
        </w:rPr>
      </w:pPr>
    </w:p>
    <w:p>
      <w:pPr>
        <w:jc w:val="both"/>
        <w:ind w:right="240" w:firstLine="456"/>
        <w:spacing w:after="0" w:line="261" w:lineRule="auto"/>
        <w:rPr>
          <w:sz w:val="20"/>
          <w:szCs w:val="20"/>
          <w:color w:val="auto"/>
        </w:rPr>
      </w:pPr>
      <w:r>
        <w:rPr>
          <w:rFonts w:ascii="Times New Roman" w:cs="Times New Roman" w:eastAsia="Times New Roman" w:hAnsi="Times New Roman"/>
          <w:sz w:val="18"/>
          <w:szCs w:val="18"/>
          <w:color w:val="auto"/>
        </w:rPr>
        <w:t>Revenues from maintenance dredging projects in 2014 were $123.9 million, an increase of $33.1 million, or 36.4%, from $90.8 million in 2013. The Company’s maintenance revenues in 2014 were driven by work performed on a large project in New York as well as significant harbor work in New York, Maryland and Georgia. In comparison, the Company worked on maintenance projects in Florida, Maryland, Georgia and Tennessee during the year ended December 31, 2013. The Company executed its entire backlog from December 31, 2013.</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Rivers &amp; lakes revenues were $28.9 million for 2014, a decrease of $1.8 million, or 5.9%, from $30.7 million in 2013. The decrease in rivers &amp; lakes revenues was mostly attributable to work on a remediation project in the Midwest and a large municipal lake project in Texas that did not repeat during 2014. Rivers &amp; lakes revenue for the year ended December 31, 2014 was driven by a large lake project in Illinois, as well as river projects in Nebraska and Mississippi and a private company project in Florida. The Company executed nearly half of its backlog from December 31, 2013.</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environmental &amp; remediation segment recorded revenues of $114.4 million for the year ended December 31, 2014, up 20.7% compared to $94.8 million for the year ended December 31, 2013. The increase is attributable to the acquisition of Magnus, which accounted for $15.3 million of revenue, during the fourth quarter of 2014 as well as a greater number of environmental &amp; remediation projects for the year ended December 31, 2014, including large remediation projects in New Jersey and Michigan. Additionally, the environmental &amp; remediation segment teamed with the dredging segment to work on a large lake project in Illinois during 2014. The Company converted approximately 75% of the backlog at December 31, 2013 to revenues in 2014.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Consolidated gross profit for the year ended December 31, 2014 decreased by $7.8 million, or 7.8%, to $92.5 million from $100.3 million for the year ended December 31, 2013. Gross profit margin (gross profit divided by revenue) for the full year 2014 was 11.5%, below the prior year gross profit margin of 13.7%. The lower gross profit margin for 2014 was attributable to lower gross profit at our environmental &amp; remediation segment related to cost overruns on a project and higher plant expenses. Gross profit margin at the dredging segment remained flat year over year.</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totaled $67.9 million for the year ended December 31, 2014 was down slightly from $68.0 million for the year ended December 31, 2013. Increases in payroll and benefit expenses of $2.1 million and technical and consulting fees of $0.9 million were offset by a reduction in the value of the Magnus contingent seller note payable of $1.1 million, a decrease in legal and professional fees of $1.6 million and the reversal of a bad debt provision, for which we received payment, of $1.0 million.</w:t>
      </w:r>
    </w:p>
    <w:p>
      <w:pPr>
        <w:spacing w:after="0" w:line="180"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Operating income for the year ended December 31, 2014 was $23.9 million compared to $51.4 million for the year ended December 31, 2013. In addition to lower gross profit described above, the lower operating income as compared to 2013 is due to the $13.4 million in proceeds from a loss of use claim received during the 2013 second quarter and $5.8 million of gains from the sales of underutilized assets in 2013.</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Equity in earnings of joint ventures for the year ended December 31, 2014 was $2.9 million compared to $1.2 million for the year ended December 31,</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2013. The increase in equity in earnings of joint ventures in 2014 was driven by a $15.1 million gain on sale of real estate owned jointly by our Amboy and Lower Main joint ventures. During 2014, the Company incurred a $10.2 million loss related to the TerraSea joint venture, which partially offset the gain on sale of real estate. The loss at TerraSea is the result of the Company’s share of losses on two projects which experienced site condition delays. Additionally, there were cost overruns resulting from start-up delays that prevented the job from being completed in one season, as originally estimated, forcing the joint venture to demobilize and remobilize the equipment. These additional costs caused the project estimate to forecast a loss for the entire project which was fully recognized during the current period under the percentage-of-completion method.</w:t>
      </w:r>
    </w:p>
    <w:p>
      <w:pPr>
        <w:spacing w:after="0" w:line="190"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The Company’s net interest expense for 2014 totaled $20.0 million compared with $21.9 million in 2013. The decrease is primarily due to lower interest expense associated with the Company’s revolving credit facility during the current year.</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Income tax expense in 2014 was a benefit of $11.5 million compared to a provision of $10.5 million in 2013. This $22.0 million change is attributable to a tax benefit related to liquidation of a domestic subsidiary which allowed the Company to claim a worthless stock deduction on its federal income tax return. The Company utilized part of the benefit to offset current year income and will carry forward the remainder as a net operating loss to offset future income. Accordingly, this benefit is characterized as a component of our continuing operations.</w:t>
      </w:r>
    </w:p>
    <w:p>
      <w:pPr>
        <w:spacing w:after="0" w:line="18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2014, net income from continuing operations was $20.7 million compared to $19.9 million for the year ended December 31, 2013. The increase in net income from continuing operations was largely attributable to an income tax benefit in the current year and a $15.1 million gain on the sale of real estate, as described above. Additionally, current year income from continuing operations includes a $2.2 million noncash bargain purchase gain recognized in the second quarter. These increases were partially offset by lower operating income and losses at our TerraSea joint venture for the year ended December 31, 2014.</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Adjusted EBITDA from continuing operations (as defined on page 44) was $77.1 million and $98.9 million for the years ended December 31, 2014 and 2013, respectively. The decrease of $21.8 million, or 22.0%, is largely attributable to $13.4 million in proceeds from a loss of use claim received during the 2013 second quarter and $5.8 million of gains from the sales of underutilized assets in 2013. In 2014, the Company recorded $50.1 million of depreciation and amortization expense that is included as a component of operating income, but is excluded for the purposes of calculating Adjusted EBITDA from continuing operations. The depreciation and amortization expense recorded in 2013 was $46.6 million.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by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Dredging</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Dredging revenues for the year ended December 31, 2014 were $697.7 million an increase of $55.1 million, or 8.6%, compared to $642.6 million for the year ended December 31, 2013. The increase was largely attributable higher domestic capital revenues, which included the port deepening project in Miami and a LNG project in Texas, and maintenance revenues, which included a large maintenance project in New York. Increases in foreign capital revenues from an LNG project in Australia also contributed to the overall increase.</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Dredging segment gross profit in 2014 increased 6.0% to $90.3 million from $85.2 million in 2013, and dredging segment gross profit margin (dredging gross profit divided by dredging revenue) was 12.9% in 2014, consistent with 2013. The increase in dredging segment gross profit was driven by a greater amount of work during 2014 as compared to the prior year which was slightly offset by higher plant expenses associated with two dredges which were in dry dock during 2014, in addition to higher operating overhead costs compared to the full year in 2013. Further, 2014 gross profit was driven by completion of the Wheatstone LNG dredging project in Australia, which finished with strong contract margin commensurate with such a large and complex energy project. The strong margins on the Wheatstone LNG project in the second half of 2014 offset the negative margin impacts from our idle Middle East fleet during the first half of 2014.</w:t>
      </w:r>
    </w:p>
    <w:p>
      <w:pPr>
        <w:spacing w:after="0" w:line="189"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 xml:space="preserve">Dredging segment operating income for 2014 decreased 24.0% to $41.6 million, from $54.7 million in 2013 due the receipt of $13.4 million in proceeds from the dredge </w:t>
      </w:r>
      <w:r>
        <w:rPr>
          <w:rFonts w:ascii="Times New Roman" w:cs="Times New Roman" w:eastAsia="Times New Roman" w:hAnsi="Times New Roman"/>
          <w:sz w:val="18"/>
          <w:szCs w:val="18"/>
          <w:i w:val="1"/>
          <w:iCs w:val="1"/>
          <w:color w:val="auto"/>
        </w:rPr>
        <w:t>New York</w:t>
      </w:r>
      <w:r>
        <w:rPr>
          <w:rFonts w:ascii="Times New Roman" w:cs="Times New Roman" w:eastAsia="Times New Roman" w:hAnsi="Times New Roman"/>
          <w:sz w:val="18"/>
          <w:szCs w:val="18"/>
          <w:color w:val="auto"/>
        </w:rPr>
        <w:t xml:space="preserve"> loss of use claim and $5.8 million of gains from the sales of underutilized assets in 2013. These 2013 activities were slightly offset by the increase in segment gross profit described above.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&amp; remediation</w:t>
      </w:r>
    </w:p>
    <w:p>
      <w:pPr>
        <w:spacing w:after="0" w:line="119" w:lineRule="exact"/>
        <w:rPr>
          <w:sz w:val="20"/>
          <w:szCs w:val="20"/>
          <w:color w:val="auto"/>
        </w:rPr>
      </w:pPr>
    </w:p>
    <w:p>
      <w:pPr>
        <w:ind w:right="120" w:firstLine="456"/>
        <w:spacing w:after="0" w:line="281" w:lineRule="auto"/>
        <w:rPr>
          <w:sz w:val="20"/>
          <w:szCs w:val="20"/>
          <w:color w:val="auto"/>
        </w:rPr>
      </w:pPr>
      <w:r>
        <w:rPr>
          <w:rFonts w:ascii="Times New Roman" w:cs="Times New Roman" w:eastAsia="Times New Roman" w:hAnsi="Times New Roman"/>
          <w:sz w:val="17"/>
          <w:szCs w:val="17"/>
          <w:color w:val="auto"/>
        </w:rPr>
        <w:t>The environmental &amp; remediation segment recorded revenues in 2014 of $114.4 million, a $19.6 million, or 20.7%, increase from $94.8 million in 2013. The increase is attributable to the acquisition of Magnus, which accounted for $15.3 million of revenue, during the fourth quarter of 2014 as well as a greater number of environmental &amp; remediation projects for the year ended December 31, 2014, including large remediation projects in New Jersey and Michigan. Additionally, the environmental &amp; remediation segment teamed with our dredging segment to work on a large lake project in Illinois during 2014.</w:t>
      </w:r>
    </w:p>
    <w:p>
      <w:pPr>
        <w:spacing w:after="0" w:line="16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Environmental &amp; remediation segment gross profit was $2.2 million for year ended December 31, 2014, down $12.9 million, or 85.4% from $15.1 million in the year ended December 31, 2013, with a gross profit margin of 1.9% and 15.9%, respectively. The gross profit margin was impacted by a $4.3 million cost overrun due to a change in site conditions on one brownfield redevelopment project. The Company is currently working with the client to receive additional payment for a portion or all of these overruns. Additionally, the environmental &amp; remediation segment experienced higher plant expenses, driven by investments in our expanded fleet of equipment. These additional costs offset the environmental &amp; remediation segment’s increased profit margins from higher fixed cost coverage during the first nine months of 2014.</w:t>
      </w:r>
    </w:p>
    <w:p>
      <w:pPr>
        <w:spacing w:after="0" w:line="188"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Environmental &amp; remediation segment operating loss was $17.8 million for 2014, compared to $3.3 million in 2013. This operating loss was driven by the lower segment gross profit described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2013 Compared to Year Ended December 31, 2012</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Total revenue was $731.4 million in 2013, an increase of $143.0 million, or 24.3%, from 2012 total revenue of $588.4 million. The increase was largely attributable to the acquisition of our Terra business and higher coastal protection revenue, which included emergency and supplemental work as a result of Superstorm Sandy. Foreign capital dredging revenue contributed to the increase driven by significant projects in Qatar and Brazil as well as the Wheatstone LNG Project in Western Australia. The increases in total revenue were partially offset by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declines in domestic capital dredging, maintenance dredging, and river &amp; lakes revenues. The Company categorizes revenue by service type to understand the market in which the Company operates and to assess how the Company is performing on bidding work or projects and is generating revenue from backlog.</w:t>
      </w:r>
    </w:p>
    <w:p>
      <w:pPr>
        <w:spacing w:after="0" w:line="1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Revenues from domestic capital dredging projects of $153.8 million in 2013 decreased $21.5 million, or 12.3%, from 2012 revenues of $175.3 million. The decrease in domestic capital dredging revenue was primarily attributable a greater amount of deepening work performed in New York and New Jersey in 2012 as well as a large project in Florida that did not reoccur in 2013. These decreases were partially offset by coastal restoration projects in Louisiana that added $78.7 million to domestic capital dredging revenue in the current year, compared to $58.4 million in the prior year. The preliminary stages of the PortMiami deepening project also contributed to revenue in 2013. In 2013, the Company earned 100% of its backlog carried forward from December 31, 2012.</w:t>
      </w:r>
    </w:p>
    <w:p>
      <w:pPr>
        <w:spacing w:after="0" w:line="188"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Revenues from foreign dredging operations in 2013 totaled $138.4 million, an increase of $26.2 million, or 23.3%, from 2012 revenues of $112.2 million. Foreign dredging revenue was driven by a significant project in Qatar as well as mobilization and commencement of dredging activities for the Wheatstone LNG Project in Western Australia and a project in Brazil. These three contracts in our foreign operations comprise approximately 85% of the foreign dredging revenue earned.</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Revenues from coastal protection projects of $228.9 million in 2013 increased $102.0 million, or 80.4%, from $126.9 million in 2012. The significant increase in coastal protection revenue is mainly attributable projects in New York and New Jersey, which included emergency work as well as supplemental work as a result of Superstorm Sandy. Additionally the Company worked on large beach projects in Florida, North Carolina and Delaware. The Company converted 90% of the backlog at December 31, 2012 to revenues during 2013. In 2012, less coastal protection projects were let to bid and those projects were awarded later in the year causing fewer days in which to earn revenue.</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Revenues from maintenance dredging projects in 2013 were $90.8 million, a decrease of $47.1 million, or 34.1%, from $137.9 million in 2012. The Company performed a greater amount of harbor work in 2012 that was not repeated in 2013. Additionally, several large maintenance projects in Louisiana did not reoccur in 2013. The Company executed substantially all its backlog from 2012. The Company worked on projects in Florida, Maryland, Georgia and Tennessee.</w:t>
      </w:r>
    </w:p>
    <w:p>
      <w:pPr>
        <w:spacing w:after="0" w:line="180"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Revenues from rivers &amp; lakes projects were $30.7 million for 2013, a decrease of $5.2 million, or 14.5%, from $35.9 million in 2012. The decrease in rivers &amp; lakes revenue was attributable to projects in Mississippi and along the Mississippi River that did not reoccur in 2013. During 2013, Rivers &amp; lakes teamed with Terra on a remediation project in the Midwest and continued work on its large municipal lake project in Texas.</w:t>
      </w:r>
    </w:p>
    <w:p>
      <w:pPr>
        <w:spacing w:after="0" w:line="176"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Consolidated gross profit for the year ended December 31, 2013 increased by $22.1 million, or 28.3%, to $100.3 million from $78.2 million for the year ended December 31, 2012. Gross profit margin (gross profit divided by revenue) for the full year 2013 was 13.7%, consistent with the prior year gross profit margin of 13.3%. Gross profit margin in 2013 was driven by our Wheatstone LNG Project in Australia and the addition of the Terra business in 2013 slightly offset by lower domestic capital dredging gross profit.</w:t>
      </w:r>
    </w:p>
    <w:p>
      <w:pPr>
        <w:spacing w:after="0" w:line="18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In May 2013, the Company concluded its litigation regarding the dredge New York loss of use claim. In January 2008, the Company filed suit against the </w:t>
      </w:r>
      <w:r>
        <w:rPr>
          <w:rFonts w:ascii="Times New Roman" w:cs="Times New Roman" w:eastAsia="Times New Roman" w:hAnsi="Times New Roman"/>
          <w:sz w:val="18"/>
          <w:szCs w:val="18"/>
          <w:i w:val="1"/>
          <w:iCs w:val="1"/>
          <w:color w:val="auto"/>
        </w:rPr>
        <w:t>M/V Orange Sun</w:t>
      </w:r>
      <w:r>
        <w:rPr>
          <w:rFonts w:ascii="Times New Roman" w:cs="Times New Roman" w:eastAsia="Times New Roman" w:hAnsi="Times New Roman"/>
          <w:sz w:val="18"/>
          <w:szCs w:val="18"/>
          <w:color w:val="auto"/>
        </w:rPr>
        <w:t xml:space="preserve"> and her owners for damages incurred by the Company in connection with the allision in the approach channel to Port Newark, New Jersey. The Company received $13.4 million which is included in proceeds from loss of use claim in the consolidated statement of operations for the year ended December 31, 2013.</w:t>
      </w:r>
    </w:p>
    <w:p>
      <w:pPr>
        <w:spacing w:after="0" w:line="180" w:lineRule="exact"/>
        <w:rPr>
          <w:sz w:val="20"/>
          <w:szCs w:val="20"/>
          <w:color w:val="auto"/>
        </w:rPr>
      </w:pPr>
    </w:p>
    <w:p>
      <w:pPr>
        <w:jc w:val="both"/>
        <w:ind w:right="440" w:firstLine="456"/>
        <w:spacing w:after="0" w:line="266" w:lineRule="auto"/>
        <w:rPr>
          <w:sz w:val="20"/>
          <w:szCs w:val="20"/>
          <w:color w:val="auto"/>
        </w:rPr>
      </w:pPr>
      <w:r>
        <w:rPr>
          <w:rFonts w:ascii="Times New Roman" w:cs="Times New Roman" w:eastAsia="Times New Roman" w:hAnsi="Times New Roman"/>
          <w:sz w:val="18"/>
          <w:szCs w:val="18"/>
          <w:color w:val="auto"/>
        </w:rPr>
        <w:t>Operating income for the year ended December 31, 2013 was $51.4 million compared to $32.6 million for the year ended December 31, 2012. In addition to the higher gross profit described above, the higher operating income was driven by to the $13.4 million in proceeds from a loss of use claim, described above and $5.8 million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of gains from the sales of underutilized assets in 2013. These increases were partially offset by an increase in general and administrative expenses, specifically related to payroll, legal and professional and technical and consulting fees in 2013.</w:t>
      </w:r>
    </w:p>
    <w:p>
      <w:pPr>
        <w:spacing w:after="0" w:line="162"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Company’s net interest expense for 2013 totaled $21.9 million compared with $20.9 million in 2012. The slight increase is primarily due to interest related to the Company’s borrowings under the revolving credit facility.</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Income tax expense in 2013 was $10.5 million compared to $5.4 million in 2012. This $5.1 million increase is primarily the result of the improved operating income in 2013. The effective tax rate for the year ended December 31, 2013 was 34.5% compared to 46.3% for the year ended December 31, 2012. The reduction in the effective tax rate is primarily attributable to additional benefits in 2013 from state income tax and research and development credits.</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2013, net income from continuing operations was $19.9 million compared to net income from continuing operations of $6.3 million for the year ended December 31, 2012. This $13.6 million increase was primarily driven by the higher dredging operating income, as described above.</w:t>
      </w:r>
    </w:p>
    <w:p>
      <w:pPr>
        <w:spacing w:after="0" w:line="17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Adjusted EBITDA from continuing operations (as defined on page 44) was $98.9 million and $74.7 million for the years ended December 31, 2013 and 2012, respectively. The increase of $24.2 million, or 32.4%, is related to the increase in dredging segment operating income described above. In 2013, the Company recorded $46.6 million of depreciation and amortization expense that is included as a component of operating income, but is excluded for the purposes of calculating Adjusted EBITDA from continuing operations. The depreciation and amortization expense recorded in 2012 was $37.4 million. In 2013, the Company incurred $2.4 million of additional depreciation and amortization from the Terra business and $5.8 million of additional depreciation at the dredging segment for the capital expenditures from the prior year. During 2012, the Company incurred $4.7 million of accelerated maintenance expenses related to preparation of vessels for the Wheatstone project in Australia that are recognized in the Company’s operating income. The Company does not frequently incur significant accelerated maintenance as a part of its international deployments. We have therefore excluded these accelerated maintenance expenses from the calculation of Adjusted EBITDA from continuing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by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Dredging</w:t>
      </w:r>
    </w:p>
    <w:p>
      <w:pPr>
        <w:spacing w:after="0" w:line="11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Dredging revenues in 2013 were $642.6 million, a $54.4 million, 9.2% increase from $588.2 million in 2012. These increases were driven by higher coastal protection revenue, which included emergency and supplemental work as a result of Superstorm Sandy. Foreign capital dredging revenue contributed to the increase driven by significant projects in Qatar and Brazil as well as the Wheatstone LNG Project in Western Australia. The increases in total revenue were partially offset by declines in domestic capital dredging, maintenance dredging, and river &amp; lakes revenues.</w:t>
      </w:r>
    </w:p>
    <w:p>
      <w:pPr>
        <w:spacing w:after="0" w:line="180"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Dredging segment gross profit in 2013 increased 8.8% to $85.2 million from $78.3 million in 2012, and dredging segment gross profit margin (dredging gross profit divided by dredging revenue) was 13.3% in 2013, consistent with 2012. Gross profit margin was up primarily due to our Wheatstone LNG Project in Australia. This increase was partially offset by lower domestic capital dredging gross profit.</w:t>
      </w:r>
    </w:p>
    <w:p>
      <w:pPr>
        <w:spacing w:after="0" w:line="176"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Dredging segment operating income for 2013 increased 66.2% to $54.7 million, from $32.9 million in 2012 due to the higher gross profit described above, the receipt of the proceeds from the dredge New York loss of use claim, as described below, and $5.8 million of gains in 2013 from the sales of underutilized assets. The increase in dredging segment operating income was partially offset by an increase in general and administrative expenses, specifically related to payroll, legal and professional fees and technical and consulting fees in 2013.</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&amp; remediation</w:t>
      </w:r>
    </w:p>
    <w:p>
      <w:pPr>
        <w:spacing w:after="0" w:line="119" w:lineRule="exact"/>
        <w:rPr>
          <w:sz w:val="20"/>
          <w:szCs w:val="20"/>
          <w:color w:val="auto"/>
        </w:rPr>
      </w:pPr>
    </w:p>
    <w:p>
      <w:pPr>
        <w:ind w:right="520" w:firstLine="456"/>
        <w:spacing w:after="0" w:line="266" w:lineRule="auto"/>
        <w:rPr>
          <w:sz w:val="20"/>
          <w:szCs w:val="20"/>
          <w:color w:val="auto"/>
        </w:rPr>
      </w:pPr>
      <w:r>
        <w:rPr>
          <w:rFonts w:ascii="Times New Roman" w:cs="Times New Roman" w:eastAsia="Times New Roman" w:hAnsi="Times New Roman"/>
          <w:sz w:val="18"/>
          <w:szCs w:val="18"/>
          <w:color w:val="auto"/>
        </w:rPr>
        <w:t>The environmental &amp; remediation segment recorded revenues in 2013 of $94.8 million. Revenue was driven by our Terra business which did not operate as part of the Company prior to January 1, 2013. Environmental &amp; remediation revenue also includes work performed on a large brownfield remediation project in New Jersey.</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Environmental &amp; remediation segment gross profit was $15.1 million in 2013 with a gross profit margin of 15.9%. The gross profit margin was mainly attributable to our acquisition of the Terra business which did not become part of the Company until the first quarter of 2013. During the year, the Company worked on two environment remediation projects with strong margins.</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Environmental &amp; remediation segment operating loss was $3.3 million for 2013. This loss was driven by general and administrative expenses of which $8.4 million related to the Terra business acquired on December 31, 2012.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Bidding Activity and Backlog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by segment and type of dredging work, the Company’s backlog as of the dates indicated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Borders>
              <w:bottom w:val="single" w:sz="8" w:color="CCEEFF"/>
            </w:tcBorders>
          </w:tcPr>
          <w:p>
            <w:pPr>
              <w:spacing w:after="0"/>
              <w:rPr>
                <w:sz w:val="15"/>
                <w:szCs w:val="15"/>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Backlog</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Dredging: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Capital—U.S.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135,801</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176,117</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43,177</w:t>
            </w: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Capital—foreign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131,489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98,666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218,953</w:t>
            </w: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Coastal protection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211,101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143,498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80,245</w:t>
            </w: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Maintenance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25,108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70,633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22,406</w:t>
            </w: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Rivers &amp; lakes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90,708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26,158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24,510</w:t>
            </w:r>
          </w:p>
        </w:tc>
      </w:tr>
      <w:tr>
        <w:trPr>
          <w:trHeight w:val="223"/>
        </w:trPr>
        <w:tc>
          <w:tcPr>
            <w:tcW w:w="5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Dredging Backlog</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594,207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515,072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389,291</w:t>
            </w:r>
          </w:p>
        </w:tc>
        <w:tc>
          <w:tcPr>
            <w:tcW w:w="14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&amp; remediation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75,349*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28,330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31,006 †</w:t>
            </w: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669,556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543,402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420,297</w:t>
            </w:r>
          </w:p>
        </w:tc>
        <w:tc>
          <w:tcPr>
            <w:tcW w:w="14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right="560" w:hanging="212"/>
        <w:spacing w:after="0" w:line="261" w:lineRule="auto"/>
        <w:tabs>
          <w:tab w:leader="none" w:pos="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2014 environmental &amp; remediation backlog includes backlog acquired by the Company on November 4, 2014 in connection with the Magnus acquisition.</w:t>
      </w:r>
    </w:p>
    <w:p>
      <w:pPr>
        <w:ind w:left="220" w:right="80" w:hanging="212"/>
        <w:spacing w:after="0" w:line="261" w:lineRule="auto"/>
        <w:tabs>
          <w:tab w:leader="none" w:pos="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2012 environmental &amp; remediation backlog includes backlog acquired by the Company on December 31, 2012 in connection with the Terra acquisition.</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60% of the Company’s 2014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Approximately 74% of the Company’s backlog at December 31, 2014 is expected to be completed and converted to revenue in 2015.</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Dredging</w:t>
      </w:r>
    </w:p>
    <w:p>
      <w:pPr>
        <w:spacing w:after="0" w:line="11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The 2014 domestic dredging bid market totaled $1,521.0 million, a 19.2% increase from the 2013 domestic dredging bid market of $1,276.1 million. The 2014 bid market increased from the prior year primarily due to additional coastal protection projects let for bid in the second half of 2014 to repair damaged shorelines in New York and New Jersey. The 2014 bid market also included the third and final phase of the PortMiami project, a large lake project in Illinois, a LNG project in Texas and a large beach project in the Gulf. Partially offsetting this increase were decreases in domestic capital market in the current year as the first two phases of the PortMiami project were awarded during 2013. The Company won 38% of the overall 2014 domestic bid market, below its 54% win rate of the overall 2013 domestic bid market. The Company’s prior three-year average win rate is 46%. Variability in contract wins from period to period is not unusual. The Company believes trends in its win rate over the prior three year periods provide a historical background against which current year results can be compared.</w:t>
      </w:r>
    </w:p>
    <w:p>
      <w:pPr>
        <w:spacing w:after="0" w:line="18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Company’s December 31, 2014 contracted dredging backlog was $594.2 million. This represents an increase of $79.1 million, or 15.4%, over the Company’s December 31, 2013 dredging backlog of $515.1 million. These amounts do not reflect approximately $113.5 million of domestic low bids pending formal award and additional phases (“options”) pending on projects currently in backlog. At December 31, 2013, the amount of domestic low bids pending award was $82.1 million. Backlog at December 31, 2014 includes two coastal protection projects totaling approximately $186 million which were awarded in the fourth quarter of 2014 as well as approximately $120 million for a project to deepen and widen the Suez Canal. A large lake project in Illinois in also contributes to the increase as compared to the prior year.</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won 33%, or $149.6 million, of the domestic capital dredging projects awarded in 2014. Significant new awards during the year include deepening projects in New York and on the Delaware River, along with a large LNG project in Texas, all of which will continue into 2015. Approximately $135.8 million, or 23%, of the Company’s December 31, 2014 contracted dredging backlog consists of domestic capital dredging work, a substantial portion of which is expected to be performed in 2015. Domestic capital dredging backlog at December 31, 2014 was $40.3 million lower than the prior year. In December 2014, President Obama signed the 2015 spending bill which increases the Corps’ budget in 2015. Both the President and Congress continue to put a focus on the importance of our ports to the U.S. economy. Although the President’s proposed fiscal year 2016 budget for dredging is disappointing, the Company anticipates that Congress will maintain its commitment to invest in our nation’s infrastructure, including ports and dredging. The Company also anticipates an active bid market for coastal restoration work in the Gulf Coast over the next twelve months based on the State of Louisiana’s robust budget for coastal protection projects.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Foreign capital dredging backlog increased to $131.5 million at December 31, 2014 from $98.7 million at the end of 2013. The increase in the Company’s foreign backlog is a result of the award of a project to deepen and widen the Suez Canal in the fourth quarter of the current year. During 2014, the Company completed the majority of work on the Wheatstone LNG project, a project in Brazil and a project in Qatar. The Company will utilize our fleet in the Middle East on a project in Bahrain through the first quarter 2015 and on the Suez Canal deepening project in Egypt for the first nine months of 2015. Reclamation of land to support industry, population growth and tourism is continuing to expand the global need for dredging. The Middle East will continue to be a focused market for the Company, albeit less concentrated as the Persian Gulf countries prioritize and rationalize their capital projects with the current lower price of oil in the global market. Liquefied natural gas (LNG)</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80"/>
          </w:cols>
          <w:pgMar w:left="240" w:top="45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continues to expand globally and the Company is bidding dredging work required for the trenches, channels and ports needed for the construction of the advanced liquefaction and shipping plants. The Company will continue pursue ancillary work in Brazil and South America where we have positioned dredges and operate as a reputable regional provider. The Company expects these increases in global dredging to provide a continued source of future international revenue.</w:t>
      </w:r>
    </w:p>
    <w:p>
      <w:pPr>
        <w:spacing w:after="0" w:line="18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Company won 44%, or $266.5 million, of the coastal protection projects awarded in 2014. A majority of coastal protection projects won during 2014 were for communities in Florida as well as beaches on the New York and New Jersey coast as a result of Superstorm Sandy which caused damage to a wide area of private and public infrastructure including severe erosion in many beachfront communities. The Company has contracted dredging backlog related to coastal protection of $211.1 million at December 31, 2014 compared to $143.5 million at the end of 2013. The Company expects another large project to repair damaged shorelines in New Jersey be let for bid in 2015. The announcement of a new coastal community caucus, and the release of important coastal studies, like the Corps’ Sandy comprehensive study, should bode well for the long anticipated national discussion on funding for protecting America’s coastline.</w:t>
      </w:r>
    </w:p>
    <w:p>
      <w:pPr>
        <w:spacing w:after="0" w:line="18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The Company won 18%, or $59.3 million, of the maintenance dredging projects awarded in 2014. The maintenance dredging bid market for the year ended December 31, 2014 was down slightly compared to the prior year as several large maintenance projects in New York, New Jersey and Texas were awarded in 2013. The Company was awarded four harbor maintenance projects during the year which included Wilmington Harbor as well as three harbors in Florida totaling $37.3 million. The Company’s contracted maintenance dredging backlog at December 31, 2014 of $25.1 million is $45.5 million lower than the backlog of $70.6 million at December 31, 2013. The </w:t>
      </w:r>
      <w:r>
        <w:rPr>
          <w:rFonts w:ascii="Times New Roman" w:cs="Times New Roman" w:eastAsia="Times New Roman" w:hAnsi="Times New Roman"/>
          <w:sz w:val="18"/>
          <w:szCs w:val="18"/>
          <w:i w:val="1"/>
          <w:iCs w:val="1"/>
          <w:color w:val="auto"/>
        </w:rPr>
        <w:t>Water Resources Reform and Development Act</w:t>
      </w:r>
      <w:r>
        <w:rPr>
          <w:rFonts w:ascii="Times New Roman" w:cs="Times New Roman" w:eastAsia="Times New Roman" w:hAnsi="Times New Roman"/>
          <w:sz w:val="18"/>
          <w:szCs w:val="18"/>
          <w:color w:val="auto"/>
        </w:rPr>
        <w:t xml:space="preserve"> (“WRRDA”) calls for full use of Harbor Maintenance Trust Fund (HMTF) for maintenance of ports and waterways within ten years. As noted above, President Obama signed the 2015 spending bill which not only increases the Corps’ budget in 2015 but also includes the incremental increase in HMTF funding as called for in WRRDA. With the mandate to utilize the taxes collected on imports to U.S. ports for their intended purpose of maintaining future access to the waterways and ports that support our nation’s economy, the Company expects the Corps to substantially increase the projects let to bid for maintenance projects in the fiscal year 2015.</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won 65%, or $94.5 million, of the rivers &amp; lakes projects in the markets where the group operates. The company has contracted dredging backlog related to rivers &amp; lakes of $90.7 million at December 31, 2014 which is $64.6 million more than the backlog at December 31, 2013. This increase was driven by the $89.0 million project on Lake Decatur in Illinois which was awarded in the first quarter of 2014. The Company continued to earn on projects in its backlog, including the Lake Decatur project as well as river projects in Nebraska and Mississippi and a private company project in Florida. Increased rainfall in the first half of 2014 which deposited additional sediment into the Mississippi River and allocation of resources from the Corps to other projects have left a backlog of projects to let from the government to maintain optimal navigation on this important waterway.</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Environmental &amp; remediation</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Environmental &amp; remediation segment backlog was $75.3 million and $28.3 million at December 31, 2014 and 2013, respectively, an increase of $47.0 million year over year. The increase was driven by the acquisition of Magnus during the fourth quarter of 2014 which added $53.9 million to backlog at December 31, 2014. During 2014, the Company was awarded a large environment remediation project in Michigan. Environmental &amp; remediation earned revenue on this project during the year along with work on the large remediation project in New Jersey.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Company’s principal sources of liquidity are net cash flows provided by operating activities, borrowings under the Company’s revolving credit facility and proceeds from issuances of long term debt. See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Note 8 in the Company’s consolidated financial statements. The Company’s principal uses of cash are to meet debt service requirements, finance capital expenditures, provide working capital and other general corporate purposes.</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Company’s net cash provided by operating activities of continuing operations for the years ended December 31, 2014, 2013 and 2012 totaled $67.2 million, $86.3 million and $19.7 million, respectively. Normal increases or decreases in the level of working capital relative to the level of operational activity impact cash flow from operating activities. In 2014, the decrease in cash provided by operating activities was primarily the result of lower adjusted EBITDA from continuing operations and an increase in working capital as compared to the prior year. The increase in cash provided by operating activities for the year ended December 31, 2013 as compared to 2012 was primarily the result of higher adjusted EBITDA from continuing operations and the recovery of investment in working capital on two significant projects as compared to the same period in the prior year. During 2012, the Company invested nearly $60 million in working capital on these two projects.</w:t>
      </w:r>
    </w:p>
    <w:p>
      <w:pPr>
        <w:spacing w:after="0" w:line="18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The Company’s net cash flows used in investing activities of continuing operations for the years ended December 31, 2014, 2013 and 2012 totaled $122.0 million, $46.1 million and $61.9 million, respectively. Investing activities in all periods primarily relate to normal course upgrades and capital maintenance of the Company’s dredging fleet. During the year ended December 31, 2014, the Company acquired Magnus Pacific Corporation for which the Company paid $25 million at closing. Additionally, the Company spent $44.3 million on construction in progress for a vessel being built to our specifications. Comparatively, the Company spent $17.1 million and $10.4 million on construction in progress for this vessel for the years ended December 31, 2013 and 2012, respectively. In 2013, net cash used in investing activities was lower as the Company received $6.7 million for the sale of two vessels during the year as well as $13.6 million when the Company drew upon a vendor performance obligation related to a vessel construction contract. During the year ended December 31, 2012, capital expenditures included the overhaul of engines on the dredge </w:t>
      </w:r>
      <w:r>
        <w:rPr>
          <w:rFonts w:ascii="Times New Roman" w:cs="Times New Roman" w:eastAsia="Times New Roman" w:hAnsi="Times New Roman"/>
          <w:sz w:val="18"/>
          <w:szCs w:val="18"/>
          <w:i w:val="1"/>
          <w:iCs w:val="1"/>
          <w:color w:val="auto"/>
        </w:rPr>
        <w:t>Alaska</w:t>
      </w:r>
      <w:r>
        <w:rPr>
          <w:rFonts w:ascii="Times New Roman" w:cs="Times New Roman" w:eastAsia="Times New Roman" w:hAnsi="Times New Roman"/>
          <w:sz w:val="18"/>
          <w:szCs w:val="18"/>
          <w:color w:val="auto"/>
        </w:rPr>
        <w:t xml:space="preserve"> which accounted for $5.5 million, the construction of a semi-permanent pipeline for $13.7 million and the purchase of a storage yard for $6.4 million.</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net cash flows provided by (used in) financing activities of continuing operations for the years ended December 31, 2014, 2013 and 2012 totaled $35.1 million, $22.5 million and $(23.0) million, respectively. During November 2014, the Company entered into a new senior secured term loan facility for an aggregate principal amount of $47.4 million as well as issued an additional $25 million of its 7.375% senior notes. The Company paid down borrowings on the senior revolving credit facility, slightly offsetting the increases in cash flows provided by financing activities noted above. Cash flows provided by financing activities during 2013 were primarily due to net borrowings of $35 million on the Company’s revolving credit facility, slightly offset by payment of $10.5 million on a promissory note related to the Terra acquisition. For the year ended December 31, 2012, the Company paid dividends of $18.6 million. No dividends were paid in 2014 or 2013.</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as subsequently amended, provides for a senior revolving credit facility in an aggregate principal amount of up to $210 million,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$15 million. This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September 15, 2014, the Company entered into the fifth amendment (the “Fifth Amendment”) to the Credit Agreement which exercised a portion of the incremental loans feature of the Credit Agreement that allowed the Company to increase the aggregate revolving commitment. The Fifth Amendment further amended the Credit Agreement so that the Credit Agreement will remain secured and collateralized by perfected liens on certain of the Company’s vessels and its domestic accounts receivable, subject to permitted liens and prior interests of other parties. In addition, Zurich American Insurance Company, the Company’s surety provider, secured permitted second mortgages on the same vessels securing the obligations under the Credit Agreement.</w:t>
      </w:r>
    </w:p>
    <w:p>
      <w:pPr>
        <w:spacing w:after="0" w:line="18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On November 4, 2014, the Company entered into the sixth amendment (“Sixth Amendment”) to the Company’s senior revolving credit facility dated June 4, 2012 with Wells Fargo Bank, National Association, as administrative agent, and the other lenders party thereto, as amended. The Sixth Amendment amends the Credit Agreement to permit the entrance into the Term Loan Facility (see below) and incurrence of liens securing the Term Loan Facility, subject to certain restrictions and conditions; permit voluntary prepayments of the Term Loan Facility so long as, after giving effect to any such voluntary prepayment, the Company’s total leverage ratio is less than or equal to 3.00 to 1.00 and its fixed charge coverage ratio is greater than or equal to 1.25 to 1.00; permit the acquisition of Magnus Pacific (See Note 16) without diminishing the amount currently available under the Credit Agreement for additional “Permitted Acquisitions” (as defined in the Credit Agreement);exclude the potential earnout obligation of the Company in connection with the acquisition of Magnus Pacific Corporation of up to $11.4 million from “Indebtedness” (as defined in the Credit Agreement) and the total leverage ratio under the Credit Agreement; and permit the issuance of up to an additional $50 million in aggregate principal amount of the Company’s currently outstanding 7.375% senior notes due 2019.</w:t>
      </w:r>
    </w:p>
    <w:p>
      <w:pPr>
        <w:spacing w:after="0" w:line="18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2014, the Company had no borrowings and $159.9 million of letters of credit outstanding, resulting in $50.1 million of availability under the Credit Agreement.</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80"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7"/>
          <w:szCs w:val="17"/>
          <w:color w:val="auto"/>
        </w:rPr>
        <w:t>On September 15, 2014, the Company terminated its $24 million international letter of credit facility with Wells Fargo Bank, National Association, as successor by merger to Wells Fargo HSBC Trade Bank, as amended. On the date of termination, there were no letters of credit or other indebtedness outstanding under this facility, and the loan documents providing for the facility, and the liens and security interests securing it, were terminated and released.</w:t>
      </w:r>
    </w:p>
    <w:p>
      <w:pPr>
        <w:spacing w:after="0" w:line="158"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November 4, 2014, the Company entered into a new senior secured term loan facility consisting of a term loan in an aggregate principal amount of $50 million (the “Term Loan Facility”) pursuant to a Loan and Security Agreement (the “Loan Agreement”) by and among, the lenders party thereto from time to time and Bank of America, N.A., as administrative agent. Pursuant to the term loan, the Company borrowed an aggregate principal amount of $47.4 million. The proceeds from the Term Loan Facility will be used for the working capital and general corporate purposes of the Company, including to repay borrowings under the Credit Agreement made to finance the construction of the Company’s ATB.</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Term Loan Facility has a term of five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Loan Facility provides for monthly amortization payments, payable in arrears, commencing on December 4, 2014, at an annual amount of</w:t>
      </w:r>
    </w:p>
    <w:p>
      <w:pPr>
        <w:spacing w:after="0" w:line="27" w:lineRule="exact"/>
        <w:rPr>
          <w:sz w:val="20"/>
          <w:szCs w:val="20"/>
          <w:color w:val="auto"/>
        </w:rPr>
      </w:pPr>
    </w:p>
    <w:p>
      <w:pPr>
        <w:ind w:firstLine="8"/>
        <w:spacing w:after="0" w:line="273" w:lineRule="auto"/>
        <w:tabs>
          <w:tab w:leader="none" w:pos="2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has usual and customary mandatory prepayment provisions and may optionally prepay the Term Loan Facility in whole or in part at any time, subject to a minimum prepayment amount.</w:t>
      </w:r>
    </w:p>
    <w:p>
      <w:pPr>
        <w:spacing w:after="0" w:line="173"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as well as some environmental &amp; remediation projects. The Company has a bonding agreement with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 million to $10 million. At December 31, 2014, the Company had outstanding performance bonds valued at approximately $1,049.3 million of which $49.0 million relates to projects accounted for in discontinued operations. The revenue value remaining in backlog related to the projects of continuing operations totaled approximately $357.4 million. December 31, 2014.</w:t>
      </w:r>
    </w:p>
    <w:p>
      <w:pPr>
        <w:spacing w:after="0" w:line="188"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the sale of our historical demolition business, the Company was obligated to keep in place the surety bonds on pending demolition projects for the period required under the respective contract for a project.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January 2011, the Company issued $250 million in aggregate principal amount of its 7.375% senior notes due February 1, 2019.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 million of the net proceeds from the original issuance of the senior notes was used to prepay all of the Company’s 7.75% senior subordinated notes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2013, including prepayment premiums and accrued and unpaid interest. In November 2014, the Company issued an additional $25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its 7.375% senior notes due February 1, 2019. The proceeds from this issuance was used to repay indebtedness incurred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senior secured revolving credit facility in connection with the acquisition of Magnus Pacific Corporation, and for general corporate purposes.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governing the senior notes, among other things, limits the ability of the Company and its restricted subsidiaries to (i) pay dividends, or make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restricted payments or investments; (ii) incur additional indebtedness and issue disqualified stock; (iii) create liens on its assets; (iv) transfer and sell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(v) merge, consolidate or sell all or substantially all of its assets; (vi) enter into certain transactions with affiliates; (vii) create restrictions on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payments by its restricted subsidiaries and (viii) create guarantees of indebtedness by restricted subsidiaries. These covenants are subject to a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important limitations and exceptions that are described in the indenture governing the senior notes.</w:t>
      </w:r>
    </w:p>
    <w:p>
      <w:pPr>
        <w:spacing w:after="0" w:line="20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 paid dividends of $3.7 million through the first three quarters of 2012. In the fourth quarter of 2012, the board of directors paid a special dividend of $14.9 million representing quarterly dividends that likely would have been declared in the fourth quarter 2012 as well as the acceleration of dividends for the four quarters of 2013 plus an additional return of capital. The future declaration and payment of dividends will be at the discretion of the Company’s board of directors and will depend on many factors, including general economic and business conditions, the Company’s strategic plans, its financial results and condition and legal requirements, including restrictions and limitations contained in the Credit Agreement, bonding agreement and the indenture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relating to its senior notes. Accordingly, the Company cannot make any assurances as to the size of any such dividend or that it will pay any such dividend in future quarters.</w:t>
      </w:r>
    </w:p>
    <w:p>
      <w:pPr>
        <w:spacing w:after="0" w:line="162"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impact of changes in functional currency exchange rates against the U.S. dollar on non-U.S. dollar cash balances, primarily the Australian Dollar and the Brazilian Real, is reflected in the cumulative translation adjustment—net within accumulated other comprehensive income (loss). Cash held in non-U.S. dollar currencies primarily is used for project-related and other operating costs in those currencies reducing the Company’s exposure to future realized exchange gains and losses.</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contractual cash obligations at December 31, 2014. Additional information related to these obligations can be found in Note 8 and Note 13 to the Company’s consolidated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12"/>
          </w:tcPr>
          <w:p>
            <w:pPr>
              <w:ind w:left="120"/>
              <w:spacing w:after="0"/>
              <w:rPr>
                <w:sz w:val="20"/>
                <w:szCs w:val="20"/>
                <w:color w:val="auto"/>
              </w:rPr>
            </w:pPr>
            <w:r>
              <w:rPr>
                <w:rFonts w:ascii="Times New Roman" w:cs="Times New Roman" w:eastAsia="Times New Roman" w:hAnsi="Times New Roman"/>
                <w:sz w:val="14"/>
                <w:szCs w:val="14"/>
                <w:b w:val="1"/>
                <w:bCs w:val="1"/>
                <w:color w:val="auto"/>
              </w:rPr>
              <w:t>Obligations coming due in year(s) ending:</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180" w:type="dxa"/>
            <w:vAlign w:val="bottom"/>
          </w:tcPr>
          <w:p>
            <w:pPr>
              <w:spacing w:after="0"/>
              <w:rPr>
                <w:sz w:val="10"/>
                <w:szCs w:val="10"/>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(1)</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0"/>
                <w:szCs w:val="10"/>
                <w:color w:val="auto"/>
              </w:rPr>
            </w:pPr>
          </w:p>
        </w:tc>
        <w:tc>
          <w:tcPr>
            <w:tcW w:w="7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2016-</w:t>
            </w:r>
          </w:p>
        </w:tc>
        <w:tc>
          <w:tcPr>
            <w:tcW w:w="280" w:type="dxa"/>
            <w:vAlign w:val="bottom"/>
          </w:tcPr>
          <w:p>
            <w:pPr>
              <w:spacing w:after="0"/>
              <w:rPr>
                <w:sz w:val="10"/>
                <w:szCs w:val="10"/>
                <w:color w:val="auto"/>
              </w:rPr>
            </w:pPr>
          </w:p>
        </w:tc>
        <w:tc>
          <w:tcPr>
            <w:tcW w:w="60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2019-</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2022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beyond</w:t>
            </w: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notes payable (2)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3"/>
              </w:rPr>
              <w:t>276.7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Unconditional purchase commitments (5)</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609.6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100.1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191.5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313.7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from the above table are $0.5 million in liabilities for uncertain tax positions for which the period of settlement is not determinable.</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principal and interest on six capital equipment leases.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cash interest payments calculated at stated fixed rate of 7.375%.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principal on the Term Loan Facility, Magnus promissory note and one capital building lease and all corresponding interest payments.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payments for vessels being built to Company specifications and other contract related commitments.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Off-Balance Sheet and Contingent Obligations</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Company had outstanding letters of credit relating to foreign contract guarantees and insurance payment liabilities totaling $159.9 million at December 31, 2014. The Company has granted liens on a substantial portion of its owned operating equipment as security for borrowings under its Credit Agreement and other indebtedness.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finances certain key vessels, office space, and other equipment used in its operations with off-balance sheet operating lease arrangements with unrelated lessors, requiring annual rentals of $23.6 million which decline to $4.3 million over the next nine years subject to future lease arrangements. These off-balance sheet leases contain default provisions, which are triggered by an acceleration of debt maturity under the terms of the Company’s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At December 31, 2014, the Company had outstanding performance bonds with a notional amount of $1,049.3 million of which $49.0 million relates to projects accounted for in discontinued operations. The revenue value remaining in backlog related to the projects of continuing operations totaled $357.4 million. In connection with the sale of our historical demolition business, the Company was obligated to keep in place the surety bonds on pending demolition projects for the period required under the respective contract for a project.</w:t>
      </w:r>
    </w:p>
    <w:p>
      <w:pPr>
        <w:spacing w:after="0" w:line="180" w:lineRule="exact"/>
        <w:rPr>
          <w:sz w:val="20"/>
          <w:szCs w:val="20"/>
          <w:color w:val="auto"/>
        </w:rPr>
      </w:pPr>
    </w:p>
    <w:p>
      <w:pPr>
        <w:ind w:right="480" w:firstLine="456"/>
        <w:spacing w:after="0" w:line="261" w:lineRule="auto"/>
        <w:rPr>
          <w:sz w:val="20"/>
          <w:szCs w:val="20"/>
          <w:color w:val="auto"/>
        </w:rPr>
      </w:pPr>
      <w:r>
        <w:rPr>
          <w:rFonts w:ascii="Times New Roman" w:cs="Times New Roman" w:eastAsia="Times New Roman" w:hAnsi="Times New Roman"/>
          <w:sz w:val="18"/>
          <w:szCs w:val="18"/>
          <w:color w:val="auto"/>
        </w:rPr>
        <w:t>Certain foreign projects performed by the Company have warranty periods, typically spanning no more than three to five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considers it unlikely that it would have to perform under any of the aforementioned contingent obligations, other than operating leases.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 significant portion of the Company’s current dredging operations are conducted outside of the U.S., primarily in the Middle East and Brazil. It is the Company’s policy to hedge foreign currency exchange risk on contracts denominated in currencies other than the U.S. dollar, if available. Currently, the majority of the Company’s foreign dredging work is in the Middle East. The currency in Bahrain, the Bahraini Dinar, is linked to the U.S. dollar; therefore, there is no foreign currency exposure on these transactions. The Company received a portion of a contract in Egyptian Pounds, but expects to utilize this currency for local expenses, minimizing its foreign currency exposure to the Company. Additionally, there are no current contracts in Brazil that present any foreign currency exposure. At December 31, 2014, the Company had no foreign exchange forward contracts outstanding.</w:t>
      </w:r>
    </w:p>
    <w:p>
      <w:pPr>
        <w:spacing w:after="0" w:line="188"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At December 31, 2014, the Company had long-term senior notes outstanding with a recorded face value of $275.0 million. The fair value of these existing notes, which bear interest at a fixed rate of 7.375%, was $280.5 million at December 31, 2014 based on market prices. Assuming a 10% decrease in interest rates from the rates at December 31, 2014 the fair value of this fixed rate debt would have increased to $290.9 million.</w:t>
      </w:r>
    </w:p>
    <w:p>
      <w:pPr>
        <w:spacing w:after="0" w:line="176" w:lineRule="exact"/>
        <w:rPr>
          <w:sz w:val="20"/>
          <w:szCs w:val="20"/>
          <w:color w:val="auto"/>
        </w:rPr>
      </w:pPr>
    </w:p>
    <w:p>
      <w:pPr>
        <w:ind w:right="40" w:firstLine="456"/>
        <w:spacing w:after="0" w:line="269" w:lineRule="auto"/>
        <w:rPr>
          <w:sz w:val="20"/>
          <w:szCs w:val="20"/>
          <w:color w:val="auto"/>
        </w:rPr>
      </w:pPr>
      <w:r>
        <w:rPr>
          <w:rFonts w:ascii="Times New Roman" w:cs="Times New Roman" w:eastAsia="Times New Roman" w:hAnsi="Times New Roman"/>
          <w:sz w:val="17"/>
          <w:szCs w:val="17"/>
          <w:color w:val="auto"/>
        </w:rPr>
        <w:t>A significant operating cost for the Company is diesel fuel, which represents approximately 10% of the Company’s costs of contract revenues. The Company uses fuel commodity forward contracts, typically with durations of less than one year, to reduce the impacts of changing fuel prices on operations. The Company does not purchase fuel hedges for trading purposes. Based on the Company’s 2015 projected domestic fuel consumption, a 10% increase in the average price per gallon of fuel would have an immaterial effect on fuel expense, after the effect of fuel commodity contracts in place at December 31, 2014. At December 31, 2014 the Company had outstanding arrangements to hedge the price of a portion of its fuel purchases related to domestic dredging work in backlog, representing approximately 80% of its anticipated domestic fuel requirements through September 2015. As of December 31, 2014, there were</w:t>
      </w: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6.5 million gallons remaining on these contracts. Under these agreements, the Company will pay fixed prices ranging from $2.08 to $3.01 per gallon. At December 31, 2014, the fair value liability on these contracts was estimated to be $3.0 million, based on quoted market prices and is recorded in accrued expenses. A 10% change in forward fuel prices would result in an immaterial change in the fair value of fuel hedges outstanding at December 31, 2014.</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(including financial statement schedules listed under Item 15 of this Report) of the Company called for by this Item, together with the Report of Independent Registered Public Accounting Firm dated March 6, 2015, are set forth on pages 66 to 107 inclusive,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 (Unaudited)</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following tables set forth our unaudited quarterly results of operations for 2014 and 2013. We have prepared this unaudited information on a basis consistent with the audited consolidated financial statements contained in this report and this unaudited information includes all adjustments, consisting only of normal recurring adjustments that we consider necessary for a fair presentation of our results of operations for the quarters presented. You should read this quarterly financial data along with the Condensed Consolidated Financial Statements and the related notes to those statements included in our Quarterly Reports on Form 10-Q filed with the Commission. The operating results for any quarter are not necessarily indicative of the results for the annual period or any future period.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3"/>
                <w:szCs w:val="13"/>
                <w:color w:val="auto"/>
              </w:rPr>
            </w:pPr>
          </w:p>
        </w:tc>
        <w:tc>
          <w:tcPr>
            <w:tcW w:w="6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20" w:type="dxa"/>
            <w:vAlign w:val="bottom"/>
            <w:gridSpan w:val="4"/>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9"/>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(dollars in millions except shares in thousands and per</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184.7</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(158.5)</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(177.7)</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assets—net</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Gain on bargain purchase acquisition</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common stockholders of Great Lakes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attributable to income from continuing operations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loss per share attributable to loss on discontinued operations, net of income</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earnings (loss) per share attributable to common stockholders of Great Lakes</w:t>
            </w: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income from continuing operations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loss per share attributable to loss on discontinued operations, net of income</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Diluted earnings (loss) per share attributable to common stockholders of Great</w:t>
            </w: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Lakes Dredge &amp; Dock Corporation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65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3"/>
                <w:szCs w:val="13"/>
                <w:color w:val="auto"/>
              </w:rPr>
            </w:pPr>
          </w:p>
        </w:tc>
        <w:tc>
          <w:tcPr>
            <w:tcW w:w="6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20" w:type="dxa"/>
            <w:vAlign w:val="bottom"/>
            <w:gridSpan w:val="4"/>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9"/>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(dollars in millions except shares in thousands and per</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147.1</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187.9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(133.4)</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(160.0)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loss of use claim</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common stockholders of Great Lakes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attributable to income from continuing operations (1)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loss per share attributable to loss on discontinued operations, net of income</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(0.45)</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earnings (loss) per share attributable to common stockholders of Great Lakes</w:t>
            </w: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(0.42)</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income from continuing operations (1)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loss per share attributable to loss on discontinued operations, net of income</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(0.45)</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Diluted earnings (loss) per share attributable to common stockholders of Great</w:t>
            </w: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Lakes Dredge &amp; Dock Corporation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(0.42)</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Items may not sum due to rounding.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Company’s disclosure controls and procedures, as required by Rule 13a-15(b) under the Securities Exchange Act of 1934 (the “Exchange Act”) as of December 31, 2014.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88" w:lineRule="exact"/>
        <w:rPr>
          <w:sz w:val="20"/>
          <w:szCs w:val="20"/>
          <w:color w:val="auto"/>
        </w:rPr>
      </w:pPr>
    </w:p>
    <w:p>
      <w:pPr>
        <w:ind w:right="400" w:firstLine="456"/>
        <w:spacing w:after="0" w:line="261" w:lineRule="auto"/>
        <w:rPr>
          <w:sz w:val="20"/>
          <w:szCs w:val="20"/>
          <w:color w:val="auto"/>
        </w:rPr>
      </w:pPr>
      <w:r>
        <w:rPr>
          <w:rFonts w:ascii="Times New Roman" w:cs="Times New Roman" w:eastAsia="Times New Roman" w:hAnsi="Times New Roman"/>
          <w:sz w:val="18"/>
          <w:szCs w:val="18"/>
          <w:color w:val="auto"/>
        </w:rPr>
        <w:t>Based on that evaluation, the Chief Executive Officer and the Chief Financial Officer have concluded that the Company’s disclosure controls and procedures, as designed and implemented, were effective as of December 31, 2014. Notwithstanding the foregoing, a control system, no matter how well designed, implemented and operated can provide only reasonable, not absolute, assurance that it will detect or uncover failures within the Company to disclose material information otherwise required to be set forth in the Company’s periodic reports.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during the fiscal quarter ended December 31, 2014 that have materially affected, or are reasonably likely to materially affect, our internal control over financial reporting.</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 Management’s annual report on internal control over financial reporting</w:t>
      </w:r>
    </w:p>
    <w:p>
      <w:pPr>
        <w:spacing w:after="0" w:line="12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The management of Great Lakes Dredge &amp; Dock Corporation, including its Chief Executive Officer and Chief Financial Officer, is responsible for establishing and maintaining adequate internal control over financial reporting (as defined in Rules 13a-15(f), and 15d-15(f) under the Securities Exchange Act of 1934). Management has used the framework set forth in the report entitled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published by the Committee of Sponsoring Organizations of the Treadway Commission (“COSO”) to evaluate the effectiveness of the Company’s internal control over financial reporting.</w:t>
      </w:r>
    </w:p>
    <w:p>
      <w:pPr>
        <w:spacing w:after="0" w:line="184"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Company completed the acquisition of Magnus Pacific Corporation on November 4, 2014. Since the Company has not fully incorporated the internal controls and procedures of this business into the Company’s internal control over financial reporting, management excluded this business from its assessment of the effectiveness of the Company’s internal control over financial reporting as of December 31, 2014. As of December 31, 2014, the Magnus business constitutes approximately 6% and 10% of the Company’s total and net assets, respectively, and given the date of acquisition, contributed approximately 2% of the Company’s revenues in 2014.</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phrase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6" w:lineRule="exact"/>
        <w:rPr>
          <w:sz w:val="20"/>
          <w:szCs w:val="20"/>
          <w:color w:val="auto"/>
        </w:rPr>
      </w:pPr>
    </w:p>
    <w:p>
      <w:pPr>
        <w:ind w:left="900" w:right="20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 accepted accounting principles, and that receipts and expenditures of the Company are being made only in accordance with authorizations of management and directors of the Company; and</w:t>
      </w:r>
    </w:p>
    <w:p>
      <w:pPr>
        <w:spacing w:after="0" w:line="81"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spacing w:after="0" w:line="18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who audited Great Lakes’ consolidated financial statements included in this Form 10-K, has issued a report on Great Lakes’ internal control over financial reporting, which is included herein.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has concluded that our internal control over financial reporting was effective as of December 31, 2014.</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ONATHAN</w:t>
      </w:r>
      <w:r>
        <w:rPr>
          <w:rFonts w:ascii="Times New Roman" w:cs="Times New Roman" w:eastAsia="Times New Roman" w:hAnsi="Times New Roman"/>
          <w:sz w:val="18"/>
          <w:szCs w:val="18"/>
          <w:color w:val="auto"/>
        </w:rPr>
        <w:t xml:space="preserve"> W. B</w:t>
      </w:r>
      <w:r>
        <w:rPr>
          <w:rFonts w:ascii="Times New Roman" w:cs="Times New Roman" w:eastAsia="Times New Roman" w:hAnsi="Times New Roman"/>
          <w:sz w:val="15"/>
          <w:szCs w:val="15"/>
          <w:color w:val="auto"/>
        </w:rPr>
        <w:t>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Jonathan W. Berger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ARK</w:t>
      </w:r>
      <w:r>
        <w:rPr>
          <w:rFonts w:ascii="Times New Roman" w:cs="Times New Roman" w:eastAsia="Times New Roman" w:hAnsi="Times New Roman"/>
          <w:sz w:val="18"/>
          <w:szCs w:val="18"/>
          <w:color w:val="auto"/>
        </w:rPr>
        <w:t xml:space="preserve"> W. M</w:t>
      </w:r>
      <w:r>
        <w:rPr>
          <w:rFonts w:ascii="Times New Roman" w:cs="Times New Roman" w:eastAsia="Times New Roman" w:hAnsi="Times New Roman"/>
          <w:sz w:val="15"/>
          <w:szCs w:val="15"/>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17145</wp:posOffset>
            </wp:positionV>
            <wp:extent cx="27870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Mark W. Marinko</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31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March 6, 2015</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Great Lakes Dredge &amp; Dock Corporation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Oak Brook, Illinois</w:t>
      </w:r>
    </w:p>
    <w:p>
      <w:pPr>
        <w:spacing w:after="0" w:line="2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We have audited the internal control over financial reporting of Great Lakes Dredge &amp; Dock Corporation and subsidiaries (the “Company”) as of December 31, 2014, based on criteria established in Internal Control — Integrated Framework (2013) issued by the Committee of Sponsoring Organizations of the Treadway Commission. As described in Management’s Annual Report on Internal Control over Financial Reporting, management excluded from its assessment the internal control over financial reporting at Magnus Pacific Corporation, which was acquired on November 4, 2014 and whose financial statements constitute approximately 6% and 10% of the Company’s total and net assets, respectively, and given the date of acquisition, contributed approximately 2% of the Company’s revenues of the consolidated financial statement amounts as of and for the year ended December 31, 2014. Accordingly, our audit did not include the internal control over financial reporting at Magnus Pacific Corporation.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9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3"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In our opinion, the Company maintained, in all material respects, effective internal control over financial reporting as of December 31, 2014, based on the criteria established in Internal Control — Integrated Framework (2013) issued by the Committee of Sponsoring Organizations of the Treadway Commission.</w:t>
      </w:r>
    </w:p>
    <w:p>
      <w:pPr>
        <w:spacing w:after="0" w:line="16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the consolidated financial statements and financial statement schedule as of and for the year ended December 31, 2014, of the Company and our report dated March 6, 2015 expressed an unqualified opinion on those financial statements and financial statement schedule.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6, 2015</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19" w:lineRule="exact"/>
        <w:rPr>
          <w:sz w:val="20"/>
          <w:szCs w:val="20"/>
          <w:color w:val="auto"/>
        </w:rPr>
      </w:pPr>
    </w:p>
    <w:p>
      <w:pPr>
        <w:ind w:right="100" w:firstLine="456"/>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executive officers is incorporated by reference herein from the discussion under </w:t>
      </w:r>
      <w:r>
        <w:rPr>
          <w:rFonts w:ascii="Times New Roman" w:cs="Times New Roman" w:eastAsia="Times New Roman" w:hAnsi="Times New Roman"/>
          <w:sz w:val="18"/>
          <w:szCs w:val="18"/>
          <w:i w:val="1"/>
          <w:iCs w:val="1"/>
          <w:color w:val="auto"/>
        </w:rPr>
        <w:t>Item 1. Business—Executive Officers</w:t>
      </w:r>
      <w:r>
        <w:rPr>
          <w:rFonts w:ascii="Times New Roman" w:cs="Times New Roman" w:eastAsia="Times New Roman" w:hAnsi="Times New Roman"/>
          <w:sz w:val="18"/>
          <w:szCs w:val="18"/>
          <w:color w:val="auto"/>
        </w:rPr>
        <w:t xml:space="preserve"> in this Annual Report on Form 10-K.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Company has adopted a written code of business conduct and ethics that applies to all of its employees, including its principal executive officer, principal financial officer, controller, and persons performing similar functions. The Company’s code of ethics can be found on its website at www.gldd.com. The Company will post on our website any amendments to or waivers of the code of business conduct and ethics for executive officers or directors, in accordance with applicable laws and regulations.</w:t>
      </w:r>
    </w:p>
    <w:p>
      <w:pPr>
        <w:spacing w:after="0" w:line="180"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remaining information called for by this Item 10 is incorporated by reference herein from the discussions under the headings “Election of Directors,” “Board of Directors and Corporate Governance” and “Security Ownership of Certain Beneficial Owners and Management” and “Section 16(a) Beneficial Ownership Reporting Compliance” in the definitive Proxy Statement for the 2015 Annual Meeting of Stockholders.</w:t>
      </w:r>
    </w:p>
    <w:p>
      <w:pPr>
        <w:spacing w:after="0" w:line="3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11 of Form 10-K is incorporated by reference herein from the discussions under the headings “Executive Compensation Tables” and “Compensation Discussion and Analysis” and “Board of Directors and Corporate Governance” in the definitive Proxy Statement for the 2015 Annual Meeting of Stockholders.</w:t>
      </w:r>
    </w:p>
    <w:p>
      <w:pPr>
        <w:spacing w:after="0" w:line="3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Related Stockholder Matters</w:t>
      </w:r>
    </w:p>
    <w:p>
      <w:pPr>
        <w:spacing w:after="0" w:line="121"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12 of Form 10-K is incorporated by reference herein from the discussion under the heading “Security Ownership of Certain Beneficial Owners and Management” and “Equity Compensation Plan Information” in our definitive Proxy Statement for the 2015 Annual Meeting of Stockholders.</w:t>
      </w:r>
    </w:p>
    <w:p>
      <w:pPr>
        <w:spacing w:after="0" w:line="3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13 of Form 10-K is incorporated by reference herein from the discussions under the headings “Board of Directors and Corporate Governance” and “Change of Control of the Company” and “Certain Relationships and Related Transactions” in the definitive Proxy Statement for the 2015 Annual Meeting of Stockholders.</w:t>
      </w:r>
    </w:p>
    <w:p>
      <w:pPr>
        <w:spacing w:after="0" w:line="3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of Form 10-K is incorporated by reference herein from the discussion under the heading “Matters Related to Independent Registered Public Accounting Firm” in the definitive Proxy Statement for the 2015 Annual Meeting of Stockholders.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Documents filed as part of this report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financial statements are set forth on pages 66 to 107 of this Report and are incorporated by reference in Item 8 of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All other schedules, except Schedule II—Valuation and Qualifying Accounts on page 108, are omitted because they are not required or the required information is shown in the financial statements or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exhibits required to be filed by Item 601 of Regulation S-K are listed in the “Exhibit Index” which is attached hereto and incorporated by reference herein.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80"/>
          </w:cols>
          <w:pgMar w:left="240" w:top="455" w:right="2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20" w:type="dxa"/>
            <w:vAlign w:val="bottom"/>
            <w:gridSpan w:val="12"/>
            <w:vMerge w:val="restart"/>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REPORT OF INDEPENDENT REGISTERED PUBLIC ACCOUNTING FIRM</w:t>
              </w:r>
            </w:hyperlink>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1020" w:type="dxa"/>
            <w:vAlign w:val="bottom"/>
            <w:gridSpan w:val="12"/>
            <w:vMerge w:val="continue"/>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CONSOLIDATED FINANCIAL STATEMENTS AS OF DECEMBER 31, 2014 AND 2013, AND FOR THE YEARS ENDED DECEMBER 31,</w:t>
              </w:r>
            </w:hyperlink>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2014, 2013 AND 2012</w:t>
              </w:r>
            </w:hyperlink>
          </w:p>
        </w:tc>
        <w:tc>
          <w:tcPr>
            <w:tcW w:w="9180" w:type="dxa"/>
            <w:vAlign w:val="bottom"/>
            <w:gridSpan w:val="9"/>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71">
              <w:r>
                <w:rPr>
                  <w:rFonts w:ascii="Times New Roman" w:cs="Times New Roman" w:eastAsia="Times New Roman" w:hAnsi="Times New Roman"/>
                  <w:sz w:val="18"/>
                  <w:szCs w:val="18"/>
                  <w:color w:val="0000EE"/>
                  <w:w w:val="98"/>
                </w:rPr>
                <w:t>Consolidated Balance Sheets</w:t>
              </w:r>
            </w:hyperlink>
          </w:p>
        </w:tc>
        <w:tc>
          <w:tcPr>
            <w:tcW w:w="856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40" w:type="dxa"/>
            <w:vAlign w:val="bottom"/>
            <w:gridSpan w:val="10"/>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Consolidated Statements of Operations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Consolidated Statements of Comprehensive Income (Loss)</w:t>
              </w:r>
            </w:hyperlink>
          </w:p>
        </w:tc>
        <w:tc>
          <w:tcPr>
            <w:tcW w:w="64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Equity</w:t>
            </w:r>
          </w:p>
        </w:tc>
        <w:tc>
          <w:tcPr>
            <w:tcW w:w="814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74">
              <w:r>
                <w:rPr>
                  <w:rFonts w:ascii="Times New Roman" w:cs="Times New Roman" w:eastAsia="Times New Roman" w:hAnsi="Times New Roman"/>
                  <w:sz w:val="18"/>
                  <w:szCs w:val="18"/>
                  <w:color w:val="0000EE"/>
                  <w:w w:val="98"/>
                </w:rPr>
                <w:t>Consolidated Statements of Cash Flows</w:t>
              </w:r>
            </w:hyperlink>
          </w:p>
        </w:tc>
        <w:tc>
          <w:tcPr>
            <w:tcW w:w="77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40" w:type="dxa"/>
            <w:vAlign w:val="bottom"/>
            <w:gridSpan w:val="10"/>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Notes to Consolidated Financial Statements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85"/>
        </w:trPr>
        <w:tc>
          <w:tcPr>
            <w:tcW w:w="380" w:type="dxa"/>
            <w:vAlign w:val="bottom"/>
            <w:gridSpan w:val="2"/>
          </w:tcPr>
          <w:p>
            <w:pPr>
              <w:spacing w:after="0"/>
              <w:rPr>
                <w:sz w:val="24"/>
                <w:szCs w:val="24"/>
                <w:color w:val="auto"/>
              </w:rPr>
            </w:pPr>
          </w:p>
        </w:tc>
        <w:tc>
          <w:tcPr>
            <w:tcW w:w="3140" w:type="dxa"/>
            <w:vAlign w:val="bottom"/>
            <w:tcBorders>
              <w:top w:val="single" w:sz="8" w:color="0000EE"/>
            </w:tcBorders>
            <w:gridSpan w:val="6"/>
          </w:tcPr>
          <w:p>
            <w:pPr>
              <w:spacing w:after="0"/>
              <w:rPr>
                <w:sz w:val="24"/>
                <w:szCs w:val="24"/>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 Brook, Illinois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Great Lakes Dredge &amp; Dock Corporation and subsidiaries (the “Company”) as of December 31, 2014 and 2013, and the related consolidated statements of operations, comprehensive income (loss), equity, and cash flows for each of the three years in the period ended December 31, 2014. Our audits also included the financial statement schedule listed in the Index at Item 15. These financial statements and financial statement schedule are the responsibility of the Company’s management. Our responsibility is to express an opinion on these financial statements and financial statement schedule based on our audits.</w:t>
      </w:r>
    </w:p>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Great Lakes Dredge &amp; Dock Corporation and subsidiaries as of December 31, 2014 and 2013, and the results of their operations and their cash flows for each of the three years in the period ended December 31, 2014,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Company’s internal control over financial reporting as of December 31, 2014, based on the criteria established in Internal Control — Integrated Framework (2013) issued by the Committee of Sponsoring Organizations of the Treadway Commission and our report dated March 6, 2015, expressed an unqualified opinion on the Company’s internal control over financial reporting.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2015</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2014 and 2013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42,389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75,338</w:t>
            </w: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receivable—net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113,188</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96,515</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82,557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67,432</w:t>
            </w: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34,735</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32,500</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4,211</w:t>
            </w: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64,667</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39,953</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45,104</w:t>
            </w:r>
          </w:p>
        </w:tc>
      </w:tr>
      <w:tr>
        <w:trPr>
          <w:trHeight w:val="223"/>
        </w:trPr>
        <w:tc>
          <w:tcPr>
            <w:tcW w:w="20" w:type="dxa"/>
            <w:vAlign w:val="bottom"/>
          </w:tcPr>
          <w:p>
            <w:pPr>
              <w:spacing w:after="0"/>
              <w:rPr>
                <w:sz w:val="19"/>
                <w:szCs w:val="19"/>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342,244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361,053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399,445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345,620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86,326</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79,326</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36,262</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38,496</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SALE—Noncurrent</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12,105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120" w:type="dxa"/>
            <w:vAlign w:val="bottom"/>
            <w:shd w:val="clear" w:color="auto" w:fill="CCEEFF"/>
          </w:tcPr>
          <w:p>
            <w:pPr>
              <w:spacing w:after="0"/>
              <w:rPr>
                <w:sz w:val="18"/>
                <w:szCs w:val="18"/>
                <w:color w:val="auto"/>
              </w:rPr>
            </w:pPr>
          </w:p>
        </w:tc>
      </w:tr>
      <w:tr>
        <w:trPr>
          <w:trHeight w:val="223"/>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893,234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852,645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119,971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116,121</w:t>
            </w: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70,041</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38,531</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32,493</w:t>
            </w:r>
          </w:p>
        </w:tc>
      </w:tr>
      <w:tr>
        <w:trPr>
          <w:trHeight w:val="223"/>
        </w:trPr>
        <w:tc>
          <w:tcPr>
            <w:tcW w:w="20" w:type="dxa"/>
            <w:vAlign w:val="bottom"/>
          </w:tcPr>
          <w:p>
            <w:pPr>
              <w:spacing w:after="0"/>
              <w:rPr>
                <w:sz w:val="19"/>
                <w:szCs w:val="19"/>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200,510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193,899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 3/8% SENIOR NOTES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274,880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49,497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92,007</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108,511</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HELD FOR SALE—Noncurrent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20,377</w:t>
            </w: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21,922</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637,271</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610,544</w:t>
            </w:r>
          </w:p>
        </w:tc>
        <w:tc>
          <w:tcPr>
            <w:tcW w:w="120" w:type="dxa"/>
            <w:vAlign w:val="bottom"/>
            <w:shd w:val="clear" w:color="auto" w:fill="CCEEFF"/>
          </w:tcPr>
          <w:p>
            <w:pPr>
              <w:spacing w:after="0"/>
              <w:rPr>
                <w:sz w:val="18"/>
                <w:szCs w:val="18"/>
                <w:color w:val="auto"/>
              </w:rPr>
            </w:pPr>
          </w:p>
        </w:tc>
      </w:tr>
      <w:tr>
        <w:trPr>
          <w:trHeight w:val="223"/>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95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stock—$.0001 par value; 90,000 authorized, 60,170 and 59,670</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8"/>
        </w:trPr>
        <w:tc>
          <w:tcPr>
            <w:tcW w:w="20" w:type="dxa"/>
            <w:vAlign w:val="bottom"/>
          </w:tcPr>
          <w:p>
            <w:pPr>
              <w:spacing w:after="0"/>
              <w:rPr>
                <w:sz w:val="21"/>
                <w:szCs w:val="21"/>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at December 31, 2014 and December 31, 2013, respectively.</w:t>
            </w:r>
          </w:p>
        </w:tc>
        <w:tc>
          <w:tcPr>
            <w:tcW w:w="12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278,166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275,183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(21,475)</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(31,770)</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r>
      <w:tr>
        <w:trPr>
          <w:trHeight w:val="223"/>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Great Lakes Dredge &amp; Dock Corporation equity</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255,963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242,946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(845)</w:t>
            </w:r>
          </w:p>
        </w:tc>
      </w:tr>
      <w:tr>
        <w:trPr>
          <w:trHeight w:val="230"/>
        </w:trPr>
        <w:tc>
          <w:tcPr>
            <w:tcW w:w="20" w:type="dxa"/>
            <w:vAlign w:val="bottom"/>
          </w:tcPr>
          <w:p>
            <w:pPr>
              <w:spacing w:after="0"/>
              <w:rPr>
                <w:sz w:val="20"/>
                <w:szCs w:val="20"/>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255,963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242,101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893,234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852,645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806,831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731,418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588,430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714,335</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631,123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510,272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92,496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100,295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68,039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LOSS OF USE CLAIM</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(13,372)</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income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expense—net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(19,967)</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(21,941)</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bargain purchase acquisition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(14,665)</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(21,084)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(20,919)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30,317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(10,460)</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20,718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(10,423)</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(54,850)</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10,295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(34,993)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 STOCKHOLDERS OF GREAT LAKES DREDGE &amp;</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(34,361)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 attributable to income from continuing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 attributable to loss on discontinued operations, net of income taxes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(loss) per share attributable to common stockholders of Great Lakes Dredge &amp; Dock Corporation</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59,938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59,495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income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 attributable to loss on discontinued operations, net of income taxes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(loss) per share attributable to common stockholders of Great Lakes Dredge &amp; Dock Corporation</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60,522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60,101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5"/>
                <w:szCs w:val="15"/>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5"/>
                <w:szCs w:val="15"/>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$10,295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$(34,993)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$(3,340)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adjustment—net of tax (1)</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(397)</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 loss on derivatives—net of tax (2)</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loss—net of tax</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10,034</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(35,086)</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(3,723)</w:t>
            </w: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Great Lakes Dredge &amp; Dock Corporation</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10,034</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(34,454)</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(3,078)</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(provision) benefit of $41, $261 and $(7) for the years ended December 31, 2014, 2013 and 2012, respectively.</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(provision) benefit of $(132), $204 and $(250) for the years ended December 31, 2014, 2013 and 2012,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12"/>
          </w:tcPr>
          <w:p>
            <w:pPr>
              <w:ind w:left="160"/>
              <w:spacing w:after="0"/>
              <w:rPr>
                <w:sz w:val="20"/>
                <w:szCs w:val="20"/>
                <w:color w:val="auto"/>
              </w:rPr>
            </w:pPr>
            <w:r>
              <w:rPr>
                <w:rFonts w:ascii="Times New Roman" w:cs="Times New Roman" w:eastAsia="Times New Roman" w:hAnsi="Times New Roman"/>
                <w:sz w:val="13"/>
                <w:szCs w:val="13"/>
                <w:b w:val="1"/>
                <w:bCs w:val="1"/>
                <w:color w:val="auto"/>
                <w:w w:val="97"/>
              </w:rPr>
              <w:t>Great Lakes Dredge &amp; Dock Corporation shareholders</w:t>
            </w:r>
          </w:p>
        </w:tc>
        <w:tc>
          <w:tcPr>
            <w:tcW w:w="6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08"/>
        </w:trPr>
        <w:tc>
          <w:tcPr>
            <w:tcW w:w="5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319"/>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60" w:type="dxa"/>
            <w:vAlign w:val="bottom"/>
            <w:gridSpan w:val="2"/>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020" w:type="dxa"/>
            <w:vAlign w:val="bottom"/>
          </w:tcPr>
          <w:p>
            <w:pPr>
              <w:spacing w:after="0"/>
              <w:rPr>
                <w:sz w:val="11"/>
                <w:szCs w:val="11"/>
                <w:color w:val="auto"/>
              </w:rPr>
            </w:pPr>
          </w:p>
        </w:tc>
        <w:tc>
          <w:tcPr>
            <w:tcW w:w="5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99"/>
              <w:spacing w:after="0" w:line="135"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220" w:type="dxa"/>
            <w:vAlign w:val="bottom"/>
          </w:tcPr>
          <w:p>
            <w:pPr>
              <w:spacing w:after="0"/>
              <w:rPr>
                <w:sz w:val="11"/>
                <w:szCs w:val="11"/>
                <w:color w:val="auto"/>
              </w:rPr>
            </w:pPr>
          </w:p>
        </w:tc>
        <w:tc>
          <w:tcPr>
            <w:tcW w:w="92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5020" w:type="dxa"/>
            <w:vAlign w:val="bottom"/>
          </w:tcPr>
          <w:p>
            <w:pPr>
              <w:spacing w:after="0"/>
              <w:rPr>
                <w:sz w:val="11"/>
                <w:szCs w:val="11"/>
                <w:color w:val="auto"/>
              </w:rPr>
            </w:pPr>
          </w:p>
        </w:tc>
        <w:tc>
          <w:tcPr>
            <w:tcW w:w="5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2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1"/>
                <w:szCs w:val="11"/>
                <w:color w:val="auto"/>
              </w:rPr>
            </w:pPr>
          </w:p>
        </w:tc>
        <w:tc>
          <w:tcPr>
            <w:tcW w:w="7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5020" w:type="dxa"/>
            <w:vAlign w:val="bottom"/>
          </w:tcPr>
          <w:p>
            <w:pPr>
              <w:spacing w:after="0"/>
              <w:rPr>
                <w:sz w:val="13"/>
                <w:szCs w:val="13"/>
                <w:color w:val="auto"/>
              </w:rPr>
            </w:pP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31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6"/>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BALANCE—January 1, 2012</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58,999</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74"/>
              </w:rPr>
              <w:t>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$267,918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24,042</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568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$292,537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165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100" w:type="dxa"/>
            <w:vAlign w:val="bottom"/>
            <w:shd w:val="clear" w:color="auto" w:fill="CCEEFF"/>
          </w:tcPr>
          <w:p>
            <w:pPr>
              <w:spacing w:after="0"/>
              <w:rPr>
                <w:sz w:val="17"/>
                <w:szCs w:val="17"/>
                <w:color w:val="auto"/>
              </w:rPr>
            </w:pP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including impact of shares withheld for</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(231)</w:t>
            </w: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103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shd w:val="clear" w:color="auto" w:fill="CCEEFF"/>
          </w:tcPr>
          <w:p>
            <w:pPr>
              <w:spacing w:after="0"/>
              <w:rPr>
                <w:sz w:val="18"/>
                <w:szCs w:val="18"/>
                <w:color w:val="auto"/>
              </w:rPr>
            </w:pP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Excess income tax benefit from share-based compensation</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and paid ($0.31 per share)</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(18,560)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(18,560)</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Dividend equivalents paid on restricted stock units</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(196)</w:t>
            </w: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(196)</w:t>
            </w: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paid to noncontrolling interests</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(2,695)</w:t>
            </w: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(645)</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(3,340)</w:t>
            </w: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loss—net of tax</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(383)</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(383)</w:t>
            </w:r>
          </w:p>
        </w:tc>
      </w:tr>
      <w:tr>
        <w:trPr>
          <w:trHeight w:val="20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BALANCE—December 31, 2012</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59,359</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w w:val="74"/>
              </w:rPr>
              <w:t>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271,418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2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273,425</w:t>
            </w:r>
          </w:p>
        </w:tc>
        <w:tc>
          <w:tcPr>
            <w:tcW w:w="100" w:type="dxa"/>
            <w:vAlign w:val="bottom"/>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00" w:type="dxa"/>
            <w:vAlign w:val="bottom"/>
            <w:shd w:val="clear" w:color="auto" w:fill="CCEEFF"/>
          </w:tcPr>
          <w:p>
            <w:pPr>
              <w:spacing w:after="0"/>
              <w:rPr>
                <w:sz w:val="17"/>
                <w:szCs w:val="17"/>
                <w:color w:val="auto"/>
              </w:rPr>
            </w:pP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including impact of shares withheld for</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(308)</w:t>
            </w: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and purchases from employee stock plans</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140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18"/>
                <w:szCs w:val="18"/>
                <w:color w:val="auto"/>
              </w:rPr>
            </w:pP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Excess income tax benefit from share-based compensation</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Distributions paid to noncontrolling interests</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(34,361)</w:t>
            </w: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(632)</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(34,993)</w:t>
            </w: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loss—net of tax</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w:t>
            </w:r>
          </w:p>
        </w:tc>
      </w:tr>
      <w:tr>
        <w:trPr>
          <w:trHeight w:val="20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BALANCE—December 31, 2013</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59,670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w w:val="74"/>
              </w:rPr>
              <w:t>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275,183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(31,770</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242,101</w:t>
            </w:r>
          </w:p>
        </w:tc>
        <w:tc>
          <w:tcPr>
            <w:tcW w:w="100" w:type="dxa"/>
            <w:vAlign w:val="bottom"/>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118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00" w:type="dxa"/>
            <w:vAlign w:val="bottom"/>
            <w:shd w:val="clear" w:color="auto" w:fill="CCEEFF"/>
          </w:tcPr>
          <w:p>
            <w:pPr>
              <w:spacing w:after="0"/>
              <w:rPr>
                <w:sz w:val="17"/>
                <w:szCs w:val="17"/>
                <w:color w:val="auto"/>
              </w:rPr>
            </w:pPr>
          </w:p>
        </w:tc>
      </w:tr>
      <w:tr>
        <w:trPr>
          <w:trHeight w:val="189"/>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 including impact of shares withheld for</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99"/>
              </w:rPr>
              <w:t>111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(497)</w:t>
            </w:r>
          </w:p>
        </w:tc>
      </w:tr>
      <w:tr>
        <w:trPr>
          <w:trHeight w:val="195"/>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 and purchases from employee stock purchase</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plan</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00" w:type="dxa"/>
            <w:vAlign w:val="bottom"/>
            <w:shd w:val="clear" w:color="auto" w:fill="CCEEFF"/>
          </w:tcPr>
          <w:p>
            <w:pPr>
              <w:spacing w:after="0"/>
              <w:rPr>
                <w:sz w:val="18"/>
                <w:szCs w:val="18"/>
                <w:color w:val="auto"/>
              </w:rPr>
            </w:pP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Excess income tax benefit from share-based compensation</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noncontrolling interests</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1"/>
              </w:rPr>
              <w:t>845</w:t>
            </w: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10,295</w:t>
            </w: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10,295</w:t>
            </w:r>
          </w:p>
        </w:tc>
        <w:tc>
          <w:tcPr>
            <w:tcW w:w="10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loss—net of tax</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(261)</w:t>
            </w:r>
          </w:p>
        </w:tc>
      </w:tr>
      <w:tr>
        <w:trPr>
          <w:trHeight w:val="207"/>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BALANCE—December 31, 2014</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60,170</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w w:val="74"/>
              </w:rPr>
              <w:t>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278,166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(21,475</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255,963</w:t>
            </w:r>
          </w:p>
        </w:tc>
        <w:tc>
          <w:tcPr>
            <w:tcW w:w="100" w:type="dxa"/>
            <w:vAlign w:val="bottom"/>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10,295</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$(34,993)</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(3,340)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(10,423)</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(54,850)</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(9,635)</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20,718</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flows used in operating activities:</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50,129</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46,622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(2,895)</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(1,208)</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distributions from joint ventures</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19,955</w:t>
            </w: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(14,504)</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loss on dispositions of property and equipment</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732</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(5,773)</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adjustment of contingent earnout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(1,086)</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1,453</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1,153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bargain purchase acquisition</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(2,197)</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foreign currency (gain) loss</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593</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net loss from mark-to-market valuations of derivatives</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3,029</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2,694</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3,251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income tax benefit from share-based compensation</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(206)</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(154)</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11,012</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36,260</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(5,677)</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(17,142)</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Inventories</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120</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(5,144)</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1,780</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(10,124)</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(14,113)</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22,622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(2,624)</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(2,900)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(1,759)</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(490)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flows provided by operating activities of continuing operations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67,154</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86,347</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flows used in by operating activities of discontinued operations</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(18,352)</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(11,524)</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48,802</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74,823</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(91,910)</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(66,654)</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68</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6,953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(payments on) vendor performance obligations (Note 13)</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(3,100)</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13,600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acquisitions of businesses, net of cash acquired</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(27,048)</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flows used in investing activities of continuing operations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(121,990)</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(46,101)</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 of discontinued operations</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5,275</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(153)</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(116,715)</w:t>
            </w:r>
          </w:p>
        </w:tc>
        <w:tc>
          <w:tcPr>
            <w:tcW w:w="5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(46,254)</w:t>
            </w:r>
          </w:p>
        </w:tc>
        <w:tc>
          <w:tcPr>
            <w:tcW w:w="5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8160" w:type="dxa"/>
            <w:vAlign w:val="bottom"/>
            <w:gridSpan w:val="2"/>
          </w:tcPr>
          <w:p>
            <w:pPr>
              <w:jc w:val="right"/>
              <w:ind w:right="2270"/>
              <w:spacing w:after="0"/>
              <w:rPr>
                <w:sz w:val="20"/>
                <w:szCs w:val="20"/>
                <w:color w:val="auto"/>
              </w:rPr>
            </w:pPr>
            <w:r>
              <w:rPr>
                <w:rFonts w:ascii="Times New Roman" w:cs="Times New Roman" w:eastAsia="Times New Roman" w:hAnsi="Times New Roman"/>
                <w:sz w:val="18"/>
                <w:szCs w:val="18"/>
                <w:color w:val="auto"/>
              </w:rPr>
              <w:t>72</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term loan facility</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47,360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term loan facility</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7 3/8% senior notes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24,880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 term note payable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 to minority interests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equivalents paid on restricted stock units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equipment debt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and purchases from employee stock plans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Excess income tax benefit from share-based compensation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revolving loans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236,500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227,000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(271,500)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(192,000)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provided by (used in) financing activities of continuing operations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used in financing activities of discontinued operations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 equivalents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(32,949)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50,898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113,288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42,389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75,338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24,440</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18,901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20,083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19,462</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paid (refunded) for income taxes</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purchased but not yet paid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purchased on capital leases and equipment notes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Purchase price of Magnus assets comprised of promissory notes and other liabilities</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 of Terra assets comprised of promissory notes and other liabilities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384" w:lineRule="auto"/>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 NOTES TO CONSOLIDATED FINANCIAL STATEMENTS AS OF December 31, 2014 AND 2013 AND FOR THE YEARS ENDED December 31, 2014, 2013 AND 2012 (In thousands, except per share amounts or as otherwise noted)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SUMMARY OF SIGNIFICANT ACCOUNTING POLICIES</w:t>
      </w:r>
    </w:p>
    <w:p>
      <w:pPr>
        <w:spacing w:after="0" w:line="117" w:lineRule="exact"/>
        <w:rPr>
          <w:sz w:val="20"/>
          <w:szCs w:val="20"/>
          <w:color w:val="auto"/>
        </w:rPr>
      </w:pPr>
    </w:p>
    <w:p>
      <w:pPr>
        <w:ind w:right="6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Organization</w:t>
      </w:r>
      <w:r>
        <w:rPr>
          <w:rFonts w:ascii="Times New Roman" w:cs="Times New Roman" w:eastAsia="Times New Roman" w:hAnsi="Times New Roman"/>
          <w:sz w:val="18"/>
          <w:szCs w:val="18"/>
          <w:color w:val="auto"/>
        </w:rPr>
        <w:t>—Great Lakes Dredge &amp; Dock Corporation and its subsidiaries (the “Company” or “Great Lakes”) are in the business of marine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primarily dredging, and specialty contracting which primarily offer soil, water and sediment environmental remediation services. The Company’s primary dredging customers are domestic and foreign government agencies, as well as private entities, and its primary environmental &amp; remediation customers are general contractors, corporations, environmental engineering and construction firms that commission projects and local government and municipal agencies.</w:t>
      </w:r>
    </w:p>
    <w:p>
      <w:pPr>
        <w:spacing w:after="0" w:line="18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Principles of Consolidation and Basis of Presentation</w:t>
      </w:r>
      <w:r>
        <w:rPr>
          <w:rFonts w:ascii="Times New Roman" w:cs="Times New Roman" w:eastAsia="Times New Roman" w:hAnsi="Times New Roman"/>
          <w:sz w:val="18"/>
          <w:szCs w:val="18"/>
          <w:color w:val="auto"/>
        </w:rPr>
        <w:t>—The consolidated financial statements include the accounts of Great Lakes Dredge &amp; Dock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its majority-owned subsidiaries. All intercompany accounts and transactions are eliminated in consolidation. The equity method of accounting is used for investments in unconsolidated investees in which the Company has significant influence, but not control. Other investments, if any, are carried at cost.</w:t>
      </w:r>
    </w:p>
    <w:p>
      <w:pPr>
        <w:spacing w:after="0" w:line="177"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(“GAAP”) requires management to make estimates and assumptions that affect certain reported amounts and disclosures. Accordingly, actual results could differ from those estimates.</w:t>
      </w:r>
    </w:p>
    <w:p>
      <w:pPr>
        <w:spacing w:after="0" w:line="17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b w:val="1"/>
          <w:bCs w:val="1"/>
          <w:color w:val="auto"/>
        </w:rPr>
        <w:t>Revenue and Cost Recognition on Contracts</w:t>
      </w:r>
      <w:r>
        <w:rPr>
          <w:rFonts w:ascii="Times New Roman" w:cs="Times New Roman" w:eastAsia="Times New Roman" w:hAnsi="Times New Roman"/>
          <w:sz w:val="18"/>
          <w:szCs w:val="18"/>
          <w:color w:val="auto"/>
        </w:rPr>
        <w:t>—Substantially all of the Company’s contracts for dredging services are fixed-price contracts,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remeasurement based on actual quantities dredged. The majority of the Company’s environmental &amp; remediation contracts are also fixed-price contracts, with others performed on a time-and-materials basis. Contract revenues are recognized under the percentage-of-completion method based on the Company’s engineering estimates of the physical percentage completed for dredging projects and based on costs incurred to date compared to total estimated costs for fixed-price environmental &amp; remediation projects. For dredging projects, costs of contract revenues are adjusted to reflect the gross profit percentage expected to be achieved upon ultimate completion. For environmental &amp; remediation contracts, contract revenues are adjusted to reflect the estimated gross profit percentage.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our projects, does not significantly affect our results across reporting periods. Provisions for estimated losses on contracts in progress are made in the period in which such losses are determined. Change orders are not recognized in revenue until the recovery is probable and collectability is reasonably assured.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Modifications may be negotiated when a change from the original contract specification is encountered, and a change in project scope, performance methodology and/or material disposal is necessary. Thus, the resulting modification is considered a change in the scope of the original project to which it relates. Significant expenditures incurred incidental to major contracts are deferred and recognized as contract costs based on contract performance over the duration of the related project. These expenditures are reported as prepaid expenses.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dredging projects have the highest margins due to the complexity of the projects, while coastal protection projects have the most volatile margins because they are most often exposed to variability in weather conditions.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cost structure includes significant annual equipment-related costs, including depreciation, maintenance, insurance and long-term rentals. These costs have averaged approximately 22% to 23%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89"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color w:val="auto"/>
        </w:rPr>
        <w:t>For some environmental &amp; remediation contracts, the Company is a 50% partner in multiple construction joint venture. The joint venture agreements provide that the Company’s interests in any profits and assets and respective share in any losses and liabilities that may result from the performance of such contracts are limited to the Company’s stated percentage partnership interest in the project. The joint venture provides that each partner will assume and pay its full proportionate share of any losses resulting from the project.</w:t>
      </w:r>
    </w:p>
    <w:p>
      <w:pPr>
        <w:spacing w:after="0" w:line="176" w:lineRule="exact"/>
        <w:rPr>
          <w:sz w:val="20"/>
          <w:szCs w:val="20"/>
          <w:color w:val="auto"/>
        </w:rPr>
      </w:pPr>
    </w:p>
    <w:p>
      <w:pPr>
        <w:ind w:right="5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Classification of Current Assets and Liabilities</w:t>
      </w:r>
      <w:r>
        <w:rPr>
          <w:rFonts w:ascii="Times New Roman" w:cs="Times New Roman" w:eastAsia="Times New Roman" w:hAnsi="Times New Roman"/>
          <w:sz w:val="18"/>
          <w:szCs w:val="18"/>
          <w:color w:val="auto"/>
        </w:rPr>
        <w:t>—The Company includes in current assets and liabilities amounts realizable and payable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normal course of contract completion, unless completion of such contracts extends significantly beyond one year.</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—The Company considers all highly liquid investments with a maturity at purchase of three months or less to be cash equivalents.</w:t>
      </w:r>
    </w:p>
    <w:p>
      <w:pPr>
        <w:spacing w:after="0" w:line="225" w:lineRule="exact"/>
        <w:rPr>
          <w:sz w:val="20"/>
          <w:szCs w:val="20"/>
          <w:color w:val="auto"/>
        </w:rPr>
      </w:pPr>
    </w:p>
    <w:p>
      <w:pPr>
        <w:jc w:val="both"/>
        <w:ind w:right="1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—Accounts receivable represent amounts due or billable under the terms of contracts with customers, including amounts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retainage. The Company anticipates collection of retainage generally within one year, and accordingly presents retainage as a current asset. The Company provides an allowance for estimated uncollectible accounts receivable when events or conditions indicate that amounts outstanding are not recoverable.</w:t>
      </w:r>
    </w:p>
    <w:p>
      <w:pPr>
        <w:spacing w:after="0" w:line="171" w:lineRule="exact"/>
        <w:rPr>
          <w:sz w:val="20"/>
          <w:szCs w:val="20"/>
          <w:color w:val="auto"/>
        </w:rPr>
      </w:pPr>
    </w:p>
    <w:p>
      <w:pPr>
        <w:ind w:right="3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Inventories</w:t>
      </w:r>
      <w:r>
        <w:rPr>
          <w:rFonts w:ascii="Times New Roman" w:cs="Times New Roman" w:eastAsia="Times New Roman" w:hAnsi="Times New Roman"/>
          <w:sz w:val="18"/>
          <w:szCs w:val="18"/>
          <w:color w:val="auto"/>
        </w:rPr>
        <w:t>—Inventories consist of pipe and spare parts used in the Company’s dredging operations. Pipe and spare parts are purchased in large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quantities; therefore, a certain amount of pipe and spare part inventories is not anticipated to be used within the current year and is classified as long-term. Inventories are stated at the lower of net realizable value or weighted average historical cost.</w:t>
      </w:r>
    </w:p>
    <w:p>
      <w:pPr>
        <w:spacing w:after="0" w:line="17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—Capital additions, improvements, and major renewals are classified as property and equipment and are carried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depreciated cost. Maintenance and repairs that do not significantly extend the 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6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6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20"/>
        </w:trPr>
        <w:tc>
          <w:tcPr>
            <w:tcW w:w="320" w:type="dxa"/>
            <w:vAlign w:val="bottom"/>
            <w:shd w:val="clear" w:color="auto" w:fill="000000"/>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210"/>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5-10</w:t>
            </w: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dozers, and other light operating equipment and systems</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Heavy operating equipment (dredges and barges)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w:t>
            </w:r>
          </w:p>
        </w:tc>
      </w:tr>
      <w:tr>
        <w:trPr>
          <w:trHeight w:val="346"/>
        </w:trPr>
        <w:tc>
          <w:tcPr>
            <w:tcW w:w="6140" w:type="dxa"/>
            <w:vAlign w:val="bottom"/>
            <w:gridSpan w:val="2"/>
          </w:tcPr>
          <w:p>
            <w:pPr>
              <w:ind w:left="3780"/>
              <w:spacing w:after="0"/>
              <w:rPr>
                <w:sz w:val="20"/>
                <w:szCs w:val="20"/>
                <w:color w:val="auto"/>
              </w:rPr>
            </w:pPr>
            <w:r>
              <w:rPr>
                <w:rFonts w:ascii="Times New Roman" w:cs="Times New Roman" w:eastAsia="Times New Roman" w:hAnsi="Times New Roman"/>
                <w:sz w:val="18"/>
                <w:szCs w:val="18"/>
                <w:color w:val="auto"/>
              </w:rPr>
              <w:t>75</w:t>
            </w:r>
          </w:p>
        </w:tc>
        <w:tc>
          <w:tcPr>
            <w:tcW w:w="16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their remaining useful lives or the remaining terms of the leases.</w:t>
      </w:r>
    </w:p>
    <w:p>
      <w:pPr>
        <w:spacing w:after="0" w:line="221"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Goodwill and Other Intangible Assets</w:t>
      </w:r>
      <w:r>
        <w:rPr>
          <w:rFonts w:ascii="Times New Roman" w:cs="Times New Roman" w:eastAsia="Times New Roman" w:hAnsi="Times New Roman"/>
          <w:sz w:val="18"/>
          <w:szCs w:val="18"/>
          <w:color w:val="auto"/>
        </w:rPr>
        <w:t>—Goodwill represents the excess of acquisition cost over fair value of the net assets acquired.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identifiable intangible assets mainly represent developed technology and databases, customer relationships, and customer contracts acquired in business combinations and are being amortized over a one to five-year period. Goodwill is tested annually for impairment in the third quarter of each year, or more frequently should circumstances dictate. GAAP requires that goodwill of a reporting unit be tested for impairment between annual tests if an event occurs or circumstances change that would more likely than not reduce the fair value of a reporting unit below its carrying amount.</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analyzed companies that performed similar services or are considered peers. Due to the fact that there are no public companies that are direct competitors, the Company weighed the results of this approach less than the income approach.</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has four operating segments that, through aggregation, comprise two reportable segments: dredging and environmental &amp; remediation, previously referred to as the demolition segment. The historical demolition business has been retrospectively presented as discontinued operations and is no longer reflected in continuing operations.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180"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Long-Lived Assets</w:t>
      </w:r>
      <w:r>
        <w:rPr>
          <w:rFonts w:ascii="Times New Roman" w:cs="Times New Roman" w:eastAsia="Times New Roman" w:hAnsi="Times New Roman"/>
          <w:sz w:val="18"/>
          <w:szCs w:val="18"/>
          <w:color w:val="auto"/>
        </w:rPr>
        <w:t>—Long-lived assets are comprised of property and equipment and intangible assets subject to amortization. Long-lived assets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and used are 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No triggering events were identified in 2014 or 2013. If long-lived assets are to be disposed, depreciation is discontinued, if applicable, and the assets are reclassified as held for sale at the lower of their carrying amounts or fair values less estimated costs to sell.</w:t>
      </w:r>
    </w:p>
    <w:p>
      <w:pPr>
        <w:spacing w:after="0" w:line="184"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Company capitalizes construction in progress and records a corresponding long-term liability for build-to-suit lease agreements where we are considered the owner during the construction period for accounting purposes. There was no build-to-suit equipment capitalized at December 31, 2014.</w:t>
      </w:r>
    </w:p>
    <w:p>
      <w:pPr>
        <w:spacing w:after="0" w:line="158"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Self-insurance Reserves</w:t>
      </w:r>
      <w:r>
        <w:rPr>
          <w:rFonts w:ascii="Times New Roman" w:cs="Times New Roman" w:eastAsia="Times New Roman" w:hAnsi="Times New Roman"/>
          <w:sz w:val="18"/>
          <w:szCs w:val="18"/>
          <w:color w:val="auto"/>
        </w:rPr>
        <w:t>—The Company self-insures costs associated with its seagoing employees covered by the provisions of Jones Act, workers’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claims, hull and equipment liability, and general business liabilities up to certain limits. Insurance reserves are established for estimates of the loss that the Company may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80"/>
          </w:cols>
          <w:pgMar w:left="240" w:top="455" w:right="2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—The provision for income taxes includes federal, foreign, and state income taxes currently payable and those deferred because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temporary differences between the financial statement and tax basis of assets and liabilities. Recorded deferred income tax assets and liabilities are based on the estimated future tax effects of differences between the financial and tax basis of assets and liabilities, given the effect of currently enacted tax laws. The Company’s current policy is to repatriate all earnings from foreign subsidiaries’ operations as generated and at this time no amounts are considered to be permanently reinvested in those operations.</w:t>
      </w:r>
    </w:p>
    <w:p>
      <w:pPr>
        <w:spacing w:after="0" w:line="180"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Hedging Instruments</w:t>
      </w:r>
      <w:r>
        <w:rPr>
          <w:rFonts w:ascii="Times New Roman" w:cs="Times New Roman" w:eastAsia="Times New Roman" w:hAnsi="Times New Roman"/>
          <w:sz w:val="18"/>
          <w:szCs w:val="18"/>
          <w:color w:val="auto"/>
        </w:rPr>
        <w:t>—At times, the Company designates certain derivative contracts as a cash flow hedge as defined by GAAP. Accordingly,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formally documents, at the inception of each hedge, all relationships between hedging instruments and hedged items, as well as our risk-management objective and strategy for undertaking hedge transactions. This process includes linking all derivatives to highly-probable forecasted transactions.</w:t>
      </w:r>
    </w:p>
    <w:p>
      <w:pPr>
        <w:spacing w:after="0" w:line="18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 formally assesses, at inception and on an ongoing basis, the effectiveness of hedges in offsetting changes in the cash flows of hedged items. Hedge accounting treatment may be discontinued when (1) it is determined that the derivative is no longer highly effective in offsetting changes in the cash flows of a hedged item (including hedged items for forecasted future transactions), (2) the derivative expires or is sold, terminated or exercised, (3) it is no longer probable that the forecasted transaction will occur or (4) management determines that designating the derivative as a hedging instrument is no longer appropriate. If management elects to stop hedge accounting, it would be on a prospective basis and any hedges in place would be recognized in accumulated other comprehensive income (loss) until all the related forecasted transactions are completed or are probable of not occurring.</w:t>
      </w:r>
    </w:p>
    <w:p>
      <w:pPr>
        <w:spacing w:after="0" w:line="184"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Foreign Currency Translation</w:t>
      </w:r>
      <w:r>
        <w:rPr>
          <w:rFonts w:ascii="Times New Roman" w:cs="Times New Roman" w:eastAsia="Times New Roman" w:hAnsi="Times New Roman"/>
          <w:sz w:val="18"/>
          <w:szCs w:val="18"/>
          <w:color w:val="auto"/>
        </w:rPr>
        <w:t>—The financial statements of the Company’s foreign subsidiaries where the operations are primarily denominated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foreign currency are translated into U.S. dollars for reporting. Balance sheet accounts are translated at the current foreign exchange rate at the end of each period and income statement accounts are translated at the average foreign exchange rate for each period. Gains and losses on foreign currency translations are reflected as a currency translation adjustment, net of tax, in accumulated other comprehensive income (loss). Foreign currency transaction gains and losses are included in other income (expense).</w:t>
      </w:r>
    </w:p>
    <w:p>
      <w:pPr>
        <w:spacing w:after="0" w:line="18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Noncontrolling Interest</w:t>
      </w:r>
      <w:r>
        <w:rPr>
          <w:rFonts w:ascii="Times New Roman" w:cs="Times New Roman" w:eastAsia="Times New Roman" w:hAnsi="Times New Roman"/>
          <w:sz w:val="18"/>
          <w:szCs w:val="18"/>
          <w:color w:val="auto"/>
        </w:rPr>
        <w:t>—On January 1, 2009 the Company acquired a 65% interest in Yankee Environmental Services, LLC (“Yankee”).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23, 2014, the Company entered into and completed the sale of NASDI, LLC and Yankee, its two former subsidiaries that comprised the historical demolition business. As a result of the sale, the Company purchased the noncontrolling interest related to the membership interest the Company did not own in Yankee. Noncontrolling interest at December 31, 2013 is related to the membership interest the Company did not own in Yankee.</w:t>
      </w:r>
    </w:p>
    <w:p>
      <w:pPr>
        <w:spacing w:after="0" w:line="18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Recent Accounting Pronouncements—In May 2014, the Financial Accounting Standards Board issued Accounting Standard Update No. 2014-09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supersedes the existing revenue recognition requirements. ASU 2014-09 is based on the principle that revenue is recognized to depict the transfer of goods or services to customers in an amount that reflects the consideration to which the entity expects to be entitled in exchange for those goods or services. ASU 2014-09 is effective for fiscal years beginning after December 15, 2016, including interim periods within that reporting period, which will be our first quarter of fiscal 2017. Early adoption is not permitted. We are currently evaluating the impact of ASU 2014-09 on our consolidated financial statements.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EARNINGS PER SHARE</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240" w:top="455" w:right="31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dilutive securities or other obligations to issue common stock were exercised or converted into common stock. For the year ended December 31, 2014, 540 shares of stock options (“NQSO”) and restricted stock units (“RSU”) were excluded from the calculation of diluted earnings per share based on the application of the treasury stock method, as such NQSOs and RSUs were determined to be anti-dilutive. For the years ended December 31, 2013 and 2012, no shares of NQSOs and RSUs were excluded from the calculation of diluted earnings per share based on the application of the treasury stock method.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computations for basic and diluted earnings per share for the years ended December 31, 2014, 2013 and 2012 are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00" w:type="dxa"/>
            <w:vAlign w:val="bottom"/>
          </w:tcPr>
          <w:p>
            <w:pPr>
              <w:spacing w:after="0"/>
              <w:rPr>
                <w:sz w:val="16"/>
                <w:szCs w:val="16"/>
                <w:color w:val="auto"/>
              </w:rPr>
            </w:pPr>
          </w:p>
        </w:tc>
        <w:tc>
          <w:tcPr>
            <w:tcW w:w="5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4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discontinued operations, net of income taxes, attributable to Great Lakes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0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7"/>
              </w:rPr>
              <w:t>(10,423)</w:t>
            </w:r>
          </w:p>
        </w:tc>
        <w:tc>
          <w:tcPr>
            <w:tcW w:w="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(54,218)</w:t>
            </w:r>
          </w:p>
        </w:tc>
        <w:tc>
          <w:tcPr>
            <w:tcW w:w="1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(8,990)</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 stockholders of Great Lakes Dredge &amp;</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10,295</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(34,361)</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59,938</w:t>
            </w:r>
          </w:p>
        </w:tc>
        <w:tc>
          <w:tcPr>
            <w:tcW w:w="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59,495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59,195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60,522</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60,101</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from continuing operations—basic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from continuing operations—diluted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RESTRICTED AND ESCROWED CASH</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2014 and 2013, other noncurrent assets include $1,500 of cash held in escrow as security for the Company’s lease rental obligation under a long-term equipment operating lease.</w:t>
      </w:r>
    </w:p>
    <w:p>
      <w:pPr>
        <w:spacing w:after="0" w:line="162"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2014, other current assets include $2,314 of cash held in escrow related to an outstanding lawsuit at our historical demolition business. This same balance was classified as assets held for sale at December 31, 2013.</w:t>
      </w:r>
    </w:p>
    <w:p>
      <w:pPr>
        <w:spacing w:after="0" w:line="162"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2013 the Company held cash and cash equivalents of $2,750 in an escrow account related to its sale of a vessel included in other noncurrent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AND CONTRACTS IN PROGRESS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at December 31, 2014 and 2013 are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Pr>
          <w:p>
            <w:pPr>
              <w:spacing w:after="0"/>
              <w:rPr>
                <w:sz w:val="15"/>
                <w:szCs w:val="15"/>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contracts</w:t>
            </w:r>
          </w:p>
        </w:tc>
        <w:tc>
          <w:tcPr>
            <w:tcW w:w="3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$17,361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Contracts in progress</w:t>
            </w: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72,459</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Retainage</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115,172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(578)</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30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114,594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96,515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accounts receivable—net</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113,188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Long-term accounts receivable and retainage</w:t>
            </w:r>
          </w:p>
        </w:tc>
        <w:tc>
          <w:tcPr>
            <w:tcW w:w="3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114,594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96,515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020" w:type="dxa"/>
            <w:vAlign w:val="bottom"/>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contracts in progress at December 31, 2014 and 2013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536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8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Costs and earnings in excess of billings: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$ 833,368</w:t>
            </w:r>
          </w:p>
        </w:tc>
        <w:tc>
          <w:tcPr>
            <w:tcW w:w="13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$ 435,470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billed</w:t>
            </w:r>
          </w:p>
        </w:tc>
        <w:tc>
          <w:tcPr>
            <w:tcW w:w="2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(370,730)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contracts in progress</w:t>
            </w: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73,491</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64,740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completed contracts</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2,692</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82,557</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in excess of costs and earnings:</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Amounts billed</w:t>
            </w: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(181,698)</w:t>
            </w: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(156,794)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2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150,040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billings in excess of contract revenues</w:t>
            </w: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4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Property and equipment at December 31, 2014 and 2013 are as follows:</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9,220</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9,220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equipment</w:t>
            </w:r>
          </w:p>
        </w:tc>
        <w:tc>
          <w:tcPr>
            <w:tcW w:w="110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698,977</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602,395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722,789</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622,216</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0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(323,344</w:t>
            </w:r>
          </w:p>
        </w:tc>
        <w:tc>
          <w:tcPr>
            <w:tcW w:w="560" w:type="dxa"/>
            <w:vAlign w:val="bottom"/>
          </w:tcPr>
          <w:p>
            <w:pPr>
              <w:jc w:val="right"/>
              <w:ind w:right="415"/>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(276,595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$ 399,445</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$ 345,620</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assets were classified as held for sale at December 31, 2014. Operating equipment of $1,704 was classified as held for sale at December 31,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$48,569, $45,531 and $37,249, for the years ended December 31, 2014, 2013 and 2012, respectively.</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Company’s annual goodwill impairment test is conducted in the third quarter of each year and interim evaluations are performed when the Company determines that a triggering event has occurred that would more likely than not reduce the fair value of goodwill below its carrying value. The Company performed its most recent annual test of impairment as of July 1, 2014 with no indication of goodwill impairment as of the test date. The Company will perform its next scheduled annual test of goodwill in the third quarter of 2015 should no triggering events occur which would require a test prior to the next annual test.</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20"/>
          </w:cols>
          <w:pgMar w:left="240" w:top="455" w:right="3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 in the carrying amount of goodwill during the years ended December 31, 2014 and 2013 is as follows: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Dredging</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Environmental &amp;</w:t>
            </w:r>
          </w:p>
        </w:tc>
        <w:tc>
          <w:tcPr>
            <w:tcW w:w="88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8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 Segment</w:t>
            </w:r>
          </w:p>
        </w:tc>
        <w:tc>
          <w:tcPr>
            <w:tcW w:w="8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2013</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76,575</w:t>
            </w: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8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79,326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Balance—December 31, 2013</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76,575</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Magnus Pacific</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Balance—December 31, 2014</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76,575</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8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86,326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2014 and 2013, the net book value of identifiable intangible assets was as follows: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474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520" w:type="dxa"/>
            <w:vAlign w:val="bottom"/>
            <w:tcBorders>
              <w:bottom w:val="single" w:sz="8" w:color="auto"/>
            </w:tcBorders>
            <w:vMerge w:val="continue"/>
          </w:tcPr>
          <w:p>
            <w:pPr>
              <w:spacing w:after="0"/>
              <w:rPr>
                <w:sz w:val="15"/>
                <w:szCs w:val="15"/>
                <w:color w:val="auto"/>
              </w:rPr>
            </w:pPr>
          </w:p>
        </w:tc>
        <w:tc>
          <w:tcPr>
            <w:tcW w:w="474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backlog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185</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240</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11,757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47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20" w:type="dxa"/>
            <w:vAlign w:val="bottom"/>
            <w:tcBorders>
              <w:bottom w:val="single" w:sz="8" w:color="auto"/>
            </w:tcBorders>
            <w:vMerge w:val="continue"/>
          </w:tcPr>
          <w:p>
            <w:pPr>
              <w:spacing w:after="0"/>
              <w:rPr>
                <w:sz w:val="13"/>
                <w:szCs w:val="13"/>
                <w:color w:val="auto"/>
              </w:rPr>
            </w:pPr>
          </w:p>
        </w:tc>
        <w:tc>
          <w:tcPr>
            <w:tcW w:w="474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2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Non-compete agreements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1,646</w:t>
            </w:r>
          </w:p>
        </w:tc>
        <w:tc>
          <w:tcPr>
            <w:tcW w:w="580" w:type="dxa"/>
            <w:vAlign w:val="bottom"/>
            <w:gridSpan w:val="2"/>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544</w:t>
            </w:r>
          </w:p>
        </w:tc>
        <w:tc>
          <w:tcPr>
            <w:tcW w:w="880" w:type="dxa"/>
            <w:vAlign w:val="bottom"/>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backlog</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502</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1,976</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On November 4, 2014, the Company acquired the assets of Magnus Pacific Corporation resulting in recognition of additional intangible assets and goodwill. The weighted average amortization period for intangible assets acquired in 2014 is 2.07 years.</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Amortization expense was $1,560, $1,091 and $181, for the years ended December 31, 2014, 2013 and 2012, respectively, and is included as a component of general and administrative expenses. Amortization expense related to intangible assets is estimated to be $6,055 in 2015, $1,045 in 2016, $1,045 in 2017, $579 in 2018 and $238 in 2019.</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at December 31, 2014 and 2013 are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9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3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$16,778</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 in joint venture</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and other taxes</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Fuel hedge contracts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completion adjustment</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15,046</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3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70,041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320" w:type="dxa"/>
            <w:vAlign w:val="bottom"/>
            <w:vMerge w:val="restart"/>
          </w:tcPr>
          <w:p>
            <w:pPr>
              <w:jc w:val="right"/>
              <w:ind w:right="2272"/>
              <w:spacing w:after="0"/>
              <w:rPr>
                <w:sz w:val="20"/>
                <w:szCs w:val="20"/>
                <w:color w:val="auto"/>
              </w:rPr>
            </w:pPr>
            <w:r>
              <w:rPr>
                <w:rFonts w:ascii="Times New Roman" w:cs="Times New Roman" w:eastAsia="Times New Roman" w:hAnsi="Times New Roman"/>
                <w:sz w:val="18"/>
                <w:szCs w:val="18"/>
                <w:color w:val="auto"/>
              </w:rPr>
              <w:t>80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5" w:right="6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at December 31, 2014 and 2013 is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Equipment notes payable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7.375% senior notes</w:t>
            </w: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274,880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332,357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equipment note payable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 (included in other long term liabilities)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324,377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as subsequently amended, provides for a senior revolving credit facility in an aggregate principal amount of up to $210,000, multicurrency borrowings up to a $50,000 sublimit and swingline loans up to a $10,000 sublimit. The Credit Agreement also includes an incremental loans feature that will allow the Company to increase the senior revolving credit facility by an aggregate principal amount of up to $15,000. This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 The Credit Agreement is collateralized by a substantial portion of the Company’s operating equipment with a net book value at December 31, 2014 of $162,037.</w:t>
      </w:r>
    </w:p>
    <w:p>
      <w:pPr>
        <w:spacing w:after="0" w:line="18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September 15, 2014, the Company entered into the fifth amendment (the “Fifth Amendment”) to the Credit Agreement which exercised a portion of the incremental loans feature of the Credit Agreement that allowed the Company to increase the aggregate revolving commitment. The Fifth Amendment further amended the Credit Agreement so that the Credit Agreement will remain secured and collateralized by perfected liens on certain of the Company’s vessels and its domestic accounts receivable, subject to permitted liens and prior interests of other parties. In addition, Zurich American Insurance Company, the Company’s surety provider, secured permitted second mortgages on the same vessels securing the obligations under the Credit Agreement.</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November 4, 2014, the Company entered into the sixth amendment (“Sixth Amendment”) to the Credit Agreement permitting the entrance into the Term Loan Facility (as defined below) and incurrence of liens securing the Term Loan Facility, subject to certain restrictions and conditions; permit voluntary prepayments of the Term Loan Facility so long as, after giving effect to any such voluntary prepayment, the Company’s total leverage ratio is less than or equal to 3.00 to 1.00 and its fixed charge coverage ratio is greater than or equal to 1.25 to 1.00; permit the acquisition of Magnus Pacific Corporation (See Note 16) without diminishing the amount currently available under the Credit Agreement for additional “Permitted Acquisitions” (as defined in the Credit Agreement); exclude the potential earnout obligation of the Company in connection with the acquisition of Magnus Pacific Corporation of up to $11.4 million from “Indebtedness” (as defined in the Credit Agreement) and the total leverage ratio under the Credit Agreement; and permit the issuance of up to an additional $50 million in aggregate principal amount of the Company’s currently outstanding 7.375% senior notes due 2019.</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455" w:right="2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Depending on the Company’s consolidated leverage ratio (as defined in the Credit Agreement), borrowings under the amended revolving credit facility will bear interest at the option of the Company at either a LIBOR rate plus a margin of between 1.50% to 2.50% per annum or a base rate plus a margin of between 0.50% to 1.50% per annum.</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amended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 The obligations of Great Lakes under the Credit Agreement are unconditionally guaranteed, on a joint and several basis, by each existing and subsequently acquired or formed material direct and indirect domestic subsidiary of the Company. As of December 31, 2014, the Company had no borrowings and $159,913 of letters of credit outstanding, resulting in $50,087 of availability under the Credit Agreement. At December 31, 2014, the Company was in compliance with its various financial covenants under its Credit Agreement.</w:t>
      </w:r>
    </w:p>
    <w:p>
      <w:pPr>
        <w:spacing w:after="0" w:line="185"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7"/>
          <w:szCs w:val="17"/>
          <w:color w:val="auto"/>
        </w:rPr>
        <w:t>On September 15, 2014, the Company terminated its $24,000 international letter of credit facility with Wells Fargo Bank, National Association, as successor by merger to Wells Fargo HSBC Trade Bank, as amended. On the date of termination, there were no letters of credit or other indebtedness outstanding under this facility, and the loan documents providing for the facility, and the liens and security interests securing it, were terminated and released.</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November 4, 2014, the Company entered into a new senior secured term loan facility consisting of a term loan in an aggregate principal amount of $50,000 (the “Term Loan Facility”) pursuant to a Loan and Security Agreement (the “Loan Agreement”) by and among, the lenders party thereto from time to time and Bank of America, N.A., as administrative agent. Pursuant to the term loan, the Company borrowed an aggregate principal amount of $47,360. The proceeds from the Term Loan Facility will be used for the working capital and general corporate purposes of the Company, including to repay borrowings under the Credit Agreement made to finance the construction of the Company’s dual mode articulated tug/barge trailing suction hopper dredge.</w:t>
      </w:r>
    </w:p>
    <w:p>
      <w:pPr>
        <w:spacing w:after="0" w:line="184"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Loan Facility provides for monthly amortization payments, payable in arrears, commencing on December 4, 2014, at an annual amount of</w:t>
      </w:r>
    </w:p>
    <w:p>
      <w:pPr>
        <w:spacing w:after="0" w:line="27" w:lineRule="exact"/>
        <w:rPr>
          <w:sz w:val="20"/>
          <w:szCs w:val="20"/>
          <w:color w:val="auto"/>
        </w:rPr>
      </w:pPr>
    </w:p>
    <w:p>
      <w:pPr>
        <w:ind w:right="20" w:firstLine="8"/>
        <w:spacing w:after="0" w:line="273" w:lineRule="auto"/>
        <w:tabs>
          <w:tab w:leader="none" w:pos="2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has usual and customary mandatory prepayment provisions and may optionally prepay the Term Loan Facility in whole or in part at any time, subject to a minimum prepayment amount.</w:t>
      </w:r>
    </w:p>
    <w:p>
      <w:pPr>
        <w:spacing w:after="0" w:line="173"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 The Term Loan Facility is collateralized by a portion of the Company’s operating equipment with a net book value at December 31, 2014 of $50,572.</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has outstanding $275,000 of 7.375% senior notes due February 2019. In January 2011, the Company issued $250,000 of senior notes and in November 2014 added $25,000 of senior notes. The total balance outstanding for all senior notes at December 31, 2014 was $274,879, based on the discounted issuance of the November 2014 notes. As of February 1, 2015, there is an optional redemption on all notes. The redemption prices are 103.7% in 2015, 101.8% in 2016 and 100% in any year following, until the notes mature in 2019. Interest is paid semi-annually and principal is due at maturity.</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conjunction with the acquisition of Magnus Pacific Corporation (See Note 16), the Company issued a secured promissory note with a fair market value of $8,100 to the former owners of Magnus which had terms that could reduce the amount owed based on minimum EBITDA expectations for 2014. The Promissory Note fair value decreased by $1,086 based on adjustments made that have impacted the final Magnus full year pro forma EBITDA in 2014. The secured promissory note accrues interest at a rate of 5% per annum and is due in equal installments on January 1, 2017 and 2018.</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scheduled principal payments through the maturity date of the Company’s long-term debt, excluding equipment notes and capital leases,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are as follows:</w:t>
      </w:r>
    </w:p>
    <w:p>
      <w:pPr>
        <w:spacing w:after="0" w:line="227"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291,318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329,487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The Company incurred amortization of deferred financing fees for its long term debt of $1,453, $1,153 and $1,245 for each of the years ended December 31, 2014, 2013 and 2012. Such amortization is recorded as a component of interest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commodity price risk or interest rate risk. The Company does not hold or issue derivatives for speculative or trading purposes. The fair values of these financial instruments are summarized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860" w:type="dxa"/>
            <w:vAlign w:val="bottom"/>
          </w:tcPr>
          <w:p>
            <w:pPr>
              <w:spacing w:after="0"/>
              <w:rPr>
                <w:sz w:val="10"/>
                <w:szCs w:val="10"/>
                <w:color w:val="auto"/>
              </w:rPr>
            </w:pPr>
          </w:p>
        </w:tc>
        <w:tc>
          <w:tcPr>
            <w:tcW w:w="1960" w:type="dxa"/>
            <w:vAlign w:val="bottom"/>
            <w:gridSpan w:val="3"/>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0"/>
                <w:szCs w:val="10"/>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6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20" w:type="dxa"/>
            <w:vAlign w:val="bottom"/>
          </w:tcPr>
          <w:p>
            <w:pPr>
              <w:spacing w:after="0"/>
              <w:rPr>
                <w:sz w:val="12"/>
                <w:szCs w:val="12"/>
                <w:color w:val="auto"/>
              </w:rPr>
            </w:pPr>
          </w:p>
        </w:tc>
        <w:tc>
          <w:tcPr>
            <w:tcW w:w="1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 December 31, 2014</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60" w:type="dxa"/>
            <w:vAlign w:val="bottom"/>
          </w:tcPr>
          <w:p>
            <w:pPr>
              <w:spacing w:after="0"/>
              <w:rPr>
                <w:sz w:val="12"/>
                <w:szCs w:val="12"/>
                <w:color w:val="auto"/>
              </w:rPr>
            </w:pPr>
          </w:p>
        </w:tc>
        <w:tc>
          <w:tcPr>
            <w:tcW w:w="196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22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Fuel hedge</w:t>
            </w:r>
          </w:p>
        </w:tc>
        <w:tc>
          <w:tcPr>
            <w:tcW w:w="15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contracts</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860" w:type="dxa"/>
            <w:vAlign w:val="bottom"/>
          </w:tcPr>
          <w:p>
            <w:pPr>
              <w:spacing w:after="0"/>
              <w:rPr>
                <w:sz w:val="10"/>
                <w:szCs w:val="10"/>
                <w:color w:val="auto"/>
              </w:rPr>
            </w:pPr>
          </w:p>
        </w:tc>
        <w:tc>
          <w:tcPr>
            <w:tcW w:w="1960" w:type="dxa"/>
            <w:vAlign w:val="bottom"/>
            <w:gridSpan w:val="3"/>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0"/>
                <w:szCs w:val="10"/>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4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6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60" w:type="dxa"/>
            <w:vAlign w:val="bottom"/>
          </w:tcPr>
          <w:p>
            <w:pPr>
              <w:spacing w:after="0"/>
              <w:rPr>
                <w:sz w:val="12"/>
                <w:szCs w:val="12"/>
                <w:color w:val="auto"/>
              </w:rPr>
            </w:pPr>
          </w:p>
        </w:tc>
        <w:tc>
          <w:tcPr>
            <w:tcW w:w="196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22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Fuel hedge</w:t>
            </w:r>
          </w:p>
        </w:tc>
        <w:tc>
          <w:tcPr>
            <w:tcW w:w="15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contracts</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contracts</w:t>
      </w:r>
    </w:p>
    <w:p>
      <w:pPr>
        <w:spacing w:after="0" w:line="121" w:lineRule="exact"/>
        <w:rPr>
          <w:sz w:val="20"/>
          <w:szCs w:val="20"/>
          <w:color w:val="auto"/>
        </w:rPr>
      </w:pPr>
    </w:p>
    <w:p>
      <w:pPr>
        <w:ind w:right="340" w:firstLine="456"/>
        <w:spacing w:after="0" w:line="276" w:lineRule="auto"/>
        <w:rPr>
          <w:sz w:val="20"/>
          <w:szCs w:val="20"/>
          <w:color w:val="auto"/>
        </w:rPr>
      </w:pPr>
      <w:r>
        <w:rPr>
          <w:rFonts w:ascii="Times New Roman" w:cs="Times New Roman" w:eastAsia="Times New Roman" w:hAnsi="Times New Roman"/>
          <w:sz w:val="17"/>
          <w:szCs w:val="17"/>
          <w:color w:val="auto"/>
        </w:rPr>
        <w:t>In May 2009, the Company entered into two interest rate swap arrangements, which were effective through December 15, 2012, to swap a notional amount of $50 million from a fixed rate of 7.75% to a floating LIBOR-based rate in order to manage the interest rate paid with respect to the Company’s</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7.75% senior subordinated notes. Although the senior subordinated notes were redeemed in January 2011, the swaps remained in place. The swaps were not accounted for as a hedge; therefore, the changes in fair value were recorded as adjustments to interest expense in each reporting period. The swaps expired and were settled in December 2012.</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contracts</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Company has various exposures to foreign currencies that fluctuate in relation to the U.S. dollar. The Company periodically enters into foreign exchange forward contracts to hedge this risk. At December 31, 2014 and 2013 there were no outstanding contracts.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hedge contracts</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domestic backlog.</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2014, the Company was party to various swap arrangements to hedge the price of a portion of its diesel fuel purchase requirements for work in its backlog to be performed through September 2015. As of December 31, 2014, there were 4.9 million gallons remaining on these contracts which represent approximately 80% of the Company’s forecasted domestic fuel purchases through September 2015. Under these swap agreements, the Company will pay fixed prices ranging from $2.08 to $3.01 per gallon.</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At December 31, 2014, the fair value liability of the fuel hedge contracts was estimated to be $3,029 and is recorded in accrued expenses. At December 31, 2013, the fair value asset of the fuel hedge contracts was estimated to be $332 and was recorded in other current assets. The gain reclassified to earnings from changes in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80"/>
          </w:cols>
          <w:pgMar w:left="240" w:top="455" w:right="27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fair value of derivatives, net of cash settlements and taxes, for the year ended December 31, 2014 was $332. The fair values of fuel hedges are corroborated using inputs that are readily observable in public markets; therefore, the Company determines fair value of these fuel hedges using Level 2 inputs.</w:t>
      </w:r>
    </w:p>
    <w:p>
      <w:pPr>
        <w:spacing w:after="0" w:line="16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the fuel hedge contracts outstanding as of December 31, 2014 and 2013 is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40" w:type="dxa"/>
            <w:vAlign w:val="bottom"/>
          </w:tcPr>
          <w:p>
            <w:pPr>
              <w:spacing w:after="0"/>
              <w:rPr>
                <w:sz w:val="16"/>
                <w:szCs w:val="16"/>
                <w:color w:val="auto"/>
              </w:rPr>
            </w:pPr>
          </w:p>
        </w:tc>
        <w:tc>
          <w:tcPr>
            <w:tcW w:w="21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Fair Value at December 31,</w:t>
            </w:r>
          </w:p>
        </w:tc>
        <w:tc>
          <w:tcPr>
            <w:tcW w:w="0" w:type="dxa"/>
            <w:vAlign w:val="bottom"/>
          </w:tcPr>
          <w:p>
            <w:pPr>
              <w:spacing w:after="0"/>
              <w:rPr>
                <w:sz w:val="1"/>
                <w:szCs w:val="1"/>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920" w:type="dxa"/>
            <w:vAlign w:val="bottom"/>
            <w:tcBorders>
              <w:top w:val="single" w:sz="8" w:color="auto"/>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 derivatives:</w:t>
            </w:r>
          </w:p>
        </w:tc>
        <w:tc>
          <w:tcPr>
            <w:tcW w:w="9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Fuel hedge contracts</w:t>
            </w:r>
          </w:p>
        </w:tc>
        <w:tc>
          <w:tcPr>
            <w:tcW w:w="34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9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Fuel hedge contracts</w:t>
            </w:r>
          </w:p>
        </w:tc>
        <w:tc>
          <w:tcPr>
            <w:tcW w:w="34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components of the accumulated balances of other comprehensive loss are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70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adjustments—net of tax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w:t>
            </w:r>
          </w:p>
        </w:tc>
        <w:tc>
          <w:tcPr>
            <w:tcW w:w="3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(397)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of derivative losses (gains) to earnings—net of tax</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2"/>
              </w:rPr>
              <w:t>(332)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(380)</w:t>
            </w:r>
          </w:p>
        </w:tc>
      </w:tr>
      <w:tr>
        <w:trPr>
          <w:trHeight w:val="27"/>
        </w:trPr>
        <w:tc>
          <w:tcPr>
            <w:tcW w:w="7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 loss on derivatives—net of tax</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2"/>
              </w:rPr>
              <w:t>(199)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(377)</w:t>
            </w: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(261</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reclassified from accumulated balances of other comprehensive loss to earnings are as follows: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Pr>
          <w:p>
            <w:pPr>
              <w:spacing w:after="0"/>
              <w:rPr>
                <w:sz w:val="16"/>
                <w:szCs w:val="16"/>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Derivatives:</w:t>
            </w:r>
          </w:p>
        </w:tc>
        <w:tc>
          <w:tcPr>
            <w:tcW w:w="2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Fuel hedge contracts</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$(286)</w:t>
            </w: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3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3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(332</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The Company entered into a senior secured term loan facility in November 2014 that approximates fair value based upon stable market internal rates and Company credit ratings from inception to year end.</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240" w:top="455" w:right="31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Company’s income tax (provision) benefit from continuing and discontinued operations for the years ended December 31, 2014, 2013 and 2012 is as follows: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700" w:type="dxa"/>
            <w:vAlign w:val="bottom"/>
            <w:gridSpan w:val="2"/>
          </w:tcPr>
          <w:p>
            <w:pPr>
              <w:jc w:val="center"/>
              <w:ind w:left="10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 from continuing operations</w:t>
            </w:r>
          </w:p>
        </w:tc>
        <w:tc>
          <w:tcPr>
            <w:tcW w:w="1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$11,530</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(10,460)</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$(5,419)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from discontinued operations</w:t>
            </w:r>
          </w:p>
        </w:tc>
        <w:tc>
          <w:tcPr>
            <w:tcW w:w="1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8,744</w:t>
            </w: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19,116</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7,490</w:t>
            </w:r>
          </w:p>
        </w:tc>
      </w:tr>
      <w:tr>
        <w:trPr>
          <w:trHeight w:val="27"/>
        </w:trPr>
        <w:tc>
          <w:tcPr>
            <w:tcW w:w="5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360" w:type="dxa"/>
            <w:vAlign w:val="bottom"/>
            <w:gridSpan w:val="3"/>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20,274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8,656</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$ 2,071</w:t>
            </w:r>
          </w:p>
        </w:tc>
      </w:tr>
      <w:tr>
        <w:trPr>
          <w:trHeight w:val="20"/>
        </w:trPr>
        <w:tc>
          <w:tcPr>
            <w:tcW w:w="5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Company’s pre- tax income (loss) from domestic and foreign continuing operations for the years ended December 31, 2014, 2013 and 2012 is as follows: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060" w:type="dxa"/>
            <w:vAlign w:val="bottom"/>
            <w:tcBorders>
              <w:bottom w:val="single" w:sz="8" w:color="CCEEFF"/>
            </w:tcBorders>
          </w:tcPr>
          <w:p>
            <w:pPr>
              <w:spacing w:after="0"/>
              <w:rPr>
                <w:sz w:val="15"/>
                <w:szCs w:val="15"/>
                <w:color w:val="auto"/>
              </w:rPr>
            </w:pPr>
          </w:p>
        </w:tc>
        <w:tc>
          <w:tcPr>
            <w:tcW w:w="25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operations</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(20,823)</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$23,716</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$15,884</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Foreign operations</w:t>
            </w: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30,011</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5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(4,170)</w:t>
            </w:r>
          </w:p>
        </w:tc>
      </w:tr>
      <w:tr>
        <w:trPr>
          <w:trHeight w:val="27"/>
        </w:trPr>
        <w:tc>
          <w:tcPr>
            <w:tcW w:w="4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pre-tax income</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30,317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11,714</w:t>
            </w:r>
          </w:p>
        </w:tc>
      </w:tr>
      <w:tr>
        <w:trPr>
          <w:trHeight w:val="20"/>
        </w:trPr>
        <w:tc>
          <w:tcPr>
            <w:tcW w:w="4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(benefit) for income taxes from continuing operations as of December 31, 2014, 2013 and 2012 is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5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5"/>
                <w:szCs w:val="15"/>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Federal: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8,384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(9,531)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1,948</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(3,577)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1,475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1,975</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(11,530</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10,460</w:t>
            </w:r>
          </w:p>
        </w:tc>
        <w:tc>
          <w:tcPr>
            <w:tcW w:w="5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5,419</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Company’s income tax provision from continuing operations reconciles to the provision at the statutory U.S. federal income tax rate of 35% for the years ended December 31, 2014, 2013 and 2012 as follows: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5"/>
                <w:szCs w:val="15"/>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at statutory U.S. federal income tax rate</w:t>
            </w:r>
          </w:p>
        </w:tc>
        <w:tc>
          <w:tcPr>
            <w:tcW w:w="2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$10,611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tax—net of federal income tax benefit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(2,726)</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500</w:t>
            </w:r>
          </w:p>
        </w:tc>
        <w:tc>
          <w:tcPr>
            <w:tcW w:w="8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Worthless stock deduction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(9,631)</w:t>
            </w: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Charitable contributions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(1,764)</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deferred tax depreciation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(1,670)</w:t>
            </w: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Change in deferred state tax rate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(811)</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(691)</w:t>
            </w: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 adjustment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(393)</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income tax provision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127</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2,246</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8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5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w:t>
            </w:r>
          </w:p>
        </w:tc>
        <w:tc>
          <w:tcPr>
            <w:tcW w:w="8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(11,530)</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10,460</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5,419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80" w:type="dxa"/>
            <w:vAlign w:val="bottom"/>
            <w:vMerge w:val="restart"/>
          </w:tcPr>
          <w:p>
            <w:pPr>
              <w:jc w:val="right"/>
              <w:ind w:right="161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During the fourth quarter of 2014, the Company liquidated one of its domestic subsidiaries which allowed it to claim a worthless stock deduction on its federal income tax return. The Company recorded an income tax benefit of $9,631 related to the worthless stock deduction. The Company utilized part of the benefit to offset current year income and will carry forward the remainder as a net operating loss to offset future income. Accordingly, this benefit is characterized as a component of our continuing operations.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2014, an entity 50% owned by the Company sold property to a third party and as part of the transaction donated adjacent property to a municipality.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market value of the donated property in excess of cost resulted in a benefit of $1,764 to the Company in 2014.</w:t>
      </w:r>
    </w:p>
    <w:p>
      <w:pPr>
        <w:spacing w:after="0" w:line="207"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2014 and 2013, the Company had loss carryforwards for federal income tax purposes of $55,328 and $10,443 respectively, which expire between 2034 and 2035.</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At December 31, 2014 and 2013, the Company had gross net operating loss carryforwards for state income tax purposes totaling $105,458 and $37,537, respectively, which expire between 2023 and 2034.</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Company also has foreign gross net operating loss carryforwards of approximately $13,039 and $7,194 as of December 31, 2014 and 2013, which expire between 2015 and 2034. At December 31, 2014 and 2013, a full valuation allowance has been established for the deferred tax asset of $4,334 and $2,505 related to foreign net operating loss carryforwards, respectively, as the Company believes it is more likely than not that the net operating loss carryforwards will not be realized.</w:t>
      </w:r>
    </w:p>
    <w:p>
      <w:pPr>
        <w:spacing w:after="0" w:line="18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2014 and 2013, the Company had $442 and $253, respectively, in unrecognized tax benefits, the recognition of which would have an impact of $287 and $164 on the effective tax rate.</w:t>
      </w:r>
    </w:p>
    <w:p>
      <w:pPr>
        <w:spacing w:after="0" w:line="162"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Company does not expect that total unrecognized tax benefits will significantly increase or decrease within the next 12 months. Below is a tabular reconciliation of the total amounts of unrecognized tax benefits at the beginning and end of each period.</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7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benefits—January 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$ 471</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$ 633</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increases—tax positions in prior period</w:t>
            </w:r>
          </w:p>
        </w:tc>
        <w:tc>
          <w:tcPr>
            <w:tcW w:w="92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increases—current period tax positions</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Gross decreases—expirations</w:t>
            </w:r>
          </w:p>
        </w:tc>
        <w:tc>
          <w:tcPr>
            <w:tcW w:w="9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(65)</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decreases—tax positions in prior period</w:t>
            </w:r>
          </w:p>
        </w:tc>
        <w:tc>
          <w:tcPr>
            <w:tcW w:w="9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(59)</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benefits—December 31,</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442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$ 253</w:t>
            </w:r>
          </w:p>
        </w:tc>
        <w:tc>
          <w:tcPr>
            <w:tcW w:w="5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$ 471</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matters in income tax expense. As of December 31, 2014 and 2013, the Company had approximately $24 and $18, respectively, of interest and penalties recorded.</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at the U.S. federal level and in various state and foreign jurisdictions. U.S. federal income tax years prior to 2011 are closed and no longer subject to examination. The Company’s 2011 and 2012 U.S. federal income tax returns are currently under examination by the Internal Revenue Service. At this time, no material adjustments are expected to result from the examinations. With few exceptions, the statute of limitations in state taxing jurisdictions in which the Company operates has expired for all years prior to 2010. In foreign jurisdictions in which the Company operates, years prior to 2011 are closed and are no longer subject to examination.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deferred tax assets (liabilities) at December 31, 2014 and 2013 are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4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 NOLs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NOLs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NOLs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Charitable contribution carryforward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(6,579)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(117,286)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Fuel hedges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(119,097</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(115,674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(77,522)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(102,162)</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 reported in the balance sheet:</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current deferred tax assets (included in other current assets)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noncurrent deferred tax liabilities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(92,007)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(108,511)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(77,522)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Deferred tax assets relate primarily to reserves and other liabilities for costs and expenses not currently deductible for tax purposes as well as net operating loss and other carryforwards. Deferred tax liabilities relate primarily to the cumulative difference between book depreciation and amounts deducted for tax purposes. With the exception of certain state and foreign net operating loss carryforwards, a valuation allowance has not been recorded to reduce the balance of deferred tax assets at either December 31, 2014, or December 31, 2013, because the Company believes that it is more likely than not that the deferred income tax assets will ultimately be realized.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Company’s 2007 Long-Term Incentive Plan (“Incentive Plan”) permits the granting of stock options, stock appreciation rights, restricted stock and restricted stock units to its employees and directors for up to 5,800 shares of common stock. The Company also issues share-based compensation as inducement awards to new employees upon approval of the Board of Directors.</w:t>
      </w:r>
    </w:p>
    <w:p>
      <w:pPr>
        <w:spacing w:after="0" w:line="176"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Compensation cost charged to expense related to share-based compensation arrangements was $2,694, $3,251 and $3,081, for the years ended December 31, 2014, 2013 and 2012, respectively.</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119" w:lineRule="exact"/>
        <w:rPr>
          <w:sz w:val="20"/>
          <w:szCs w:val="20"/>
          <w:color w:val="auto"/>
        </w:rPr>
      </w:pPr>
    </w:p>
    <w:p>
      <w:pPr>
        <w:ind w:right="400" w:firstLine="456"/>
        <w:spacing w:after="0" w:line="313" w:lineRule="auto"/>
        <w:rPr>
          <w:sz w:val="20"/>
          <w:szCs w:val="20"/>
          <w:color w:val="auto"/>
        </w:rPr>
      </w:pPr>
      <w:r>
        <w:rPr>
          <w:rFonts w:ascii="Times New Roman" w:cs="Times New Roman" w:eastAsia="Times New Roman" w:hAnsi="Times New Roman"/>
          <w:sz w:val="17"/>
          <w:szCs w:val="17"/>
          <w:color w:val="auto"/>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spacing w:after="0" w:line="138"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fair value of the NQSOs was determined at the grant date using a Black-Scholes option pricing model, which requires the Company to make several assumptions. The risk-free interest rate is based on the U.S.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60"/>
          </w:cols>
          <w:pgMar w:left="240" w:top="455" w:right="29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Treasury yield curve in effect for the expected term of the option at the time of grant. The annual dividend yield on the Company’s common stock is based on estimates of future dividends during the expected term of the NQSOs. The expected life of the NQSOs was determined from historical exercise data providing a reasonable basis upon which to estimate the expected life. For grants issued in 2014, 2013 and 2012, the volatility assumptions were based on historical volatility of Great Lakes. There is not an active market for options on the Company’s common stock and, as such, implied volatility for the Company’s stock was not considered. Additionally, the Company’s general policy is to issue new shares of registered common stock to satisfy stock option exercises or grants of restricted stock.</w:t>
      </w:r>
    </w:p>
    <w:p>
      <w:pPr>
        <w:spacing w:after="0" w:line="188"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2014, 2013 and 2012 was $4.23, $4.06 and $2.93 respectively. The fair value of each option was estimated using the following assumptions: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7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5"/>
                <w:szCs w:val="15"/>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53.9%</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58.2%</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w:t>
            </w:r>
          </w:p>
        </w:tc>
        <w:tc>
          <w:tcPr>
            <w:tcW w:w="4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7.0</w:t>
            </w:r>
          </w:p>
        </w:tc>
        <w:tc>
          <w:tcPr>
            <w:tcW w:w="9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w:t>
            </w:r>
          </w:p>
        </w:tc>
        <w:tc>
          <w:tcPr>
            <w:tcW w:w="200" w:type="dxa"/>
            <w:vAlign w:val="bottom"/>
            <w:shd w:val="clear" w:color="auto" w:fill="CCEEFF"/>
          </w:tcPr>
          <w:p>
            <w:pPr>
              <w:spacing w:after="0"/>
              <w:rPr>
                <w:sz w:val="18"/>
                <w:szCs w:val="18"/>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- 1.0%</w:t>
            </w:r>
          </w:p>
        </w:tc>
      </w:tr>
    </w:tbl>
    <w:p>
      <w:pPr>
        <w:spacing w:after="0" w:line="17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Incentive Plan as of December 31, 2014, and changes during the year ended December 31, 2014, is presented below:</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6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1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6460" w:type="dxa"/>
            <w:vAlign w:val="bottom"/>
            <w:gridSpan w:val="3"/>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Term (yrs)</w:t>
            </w:r>
          </w:p>
        </w:tc>
        <w:tc>
          <w:tcPr>
            <w:tcW w:w="280" w:type="dxa"/>
            <w:vAlign w:val="bottom"/>
          </w:tcPr>
          <w:p>
            <w:pPr>
              <w:spacing w:after="0"/>
              <w:rPr>
                <w:sz w:val="15"/>
                <w:szCs w:val="15"/>
                <w:color w:val="auto"/>
              </w:rPr>
            </w:pP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($000’s)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2014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2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6.00</w:t>
            </w:r>
          </w:p>
        </w:tc>
        <w:tc>
          <w:tcPr>
            <w:tcW w:w="5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7.62</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5.47</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6.15</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2014</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1,889</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6.31</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4,255</w:t>
            </w:r>
          </w:p>
        </w:tc>
        <w:tc>
          <w:tcPr>
            <w:tcW w:w="0" w:type="dxa"/>
            <w:vAlign w:val="bottom"/>
          </w:tcPr>
          <w:p>
            <w:pPr>
              <w:spacing w:after="0"/>
              <w:rPr>
                <w:sz w:val="1"/>
                <w:szCs w:val="1"/>
                <w:color w:val="auto"/>
              </w:rPr>
            </w:pPr>
          </w:p>
        </w:tc>
      </w:tr>
      <w:tr>
        <w:trPr>
          <w:trHeight w:val="223"/>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Vested at December 31, 2014</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5.70</w:t>
            </w:r>
          </w:p>
        </w:tc>
        <w:tc>
          <w:tcPr>
            <w:tcW w:w="5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or expected to vest at December 31, 2014</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1,882</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6.30</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RSUs generally vest in one installment on the third anniversary of the grant date. The fair value of RSUs was based upon the Company’s stock price on the date of grant. A summary of the status of the Company’s non-vested RSUs as of December 31, 2014, and changes during the year ended December 31, 2014, is presented below:</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Nonvested Restricted Stock Units</w:t>
            </w:r>
          </w:p>
        </w:tc>
        <w:tc>
          <w:tcPr>
            <w:tcW w:w="11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16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73"/>
        </w:trPr>
        <w:tc>
          <w:tcPr>
            <w:tcW w:w="53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Outstanding as of January 1,</w:t>
            </w:r>
          </w:p>
        </w:tc>
        <w:tc>
          <w:tcPr>
            <w:tcW w:w="3300" w:type="dxa"/>
            <w:vAlign w:val="bottom"/>
            <w:tcBorders>
              <w:top w:val="single" w:sz="8" w:color="CCEEFF"/>
            </w:tcBorders>
            <w:shd w:val="clear" w:color="auto" w:fill="CCEEFF"/>
          </w:tcPr>
          <w:p>
            <w:pPr>
              <w:jc w:val="right"/>
              <w:ind w:right="2790"/>
              <w:spacing w:after="0"/>
              <w:rPr>
                <w:sz w:val="20"/>
                <w:szCs w:val="20"/>
                <w:color w:val="auto"/>
              </w:rPr>
            </w:pPr>
            <w:r>
              <w:rPr>
                <w:rFonts w:ascii="Times New Roman" w:cs="Times New Roman" w:eastAsia="Times New Roman" w:hAnsi="Times New Roman"/>
                <w:sz w:val="18"/>
                <w:szCs w:val="18"/>
                <w:color w:val="auto"/>
              </w:rPr>
              <w:t>2014</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7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1,741(1)</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(174)</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(95)</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2014</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to vest at December 31, 2014</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620" w:right="3740" w:hanging="5612"/>
        <w:spacing w:after="0" w:line="454" w:lineRule="auto"/>
        <w:tabs>
          <w:tab w:leader="none" w:pos="45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unit awards of 1,500 shares issued in the Magnus acquisition (See Note 16) 89</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2014, there was $6,480 of total unrecognized compensation cost related to non-vested NQSOs and RSUs granted under the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cost is expected to be recognized over a weighted-average period of 1.9 years.</w:t>
      </w:r>
    </w:p>
    <w:p>
      <w:pPr>
        <w:spacing w:after="0" w:line="207"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Incentive Plan permits the employee to use vested shares from RSUs to satisfy the grantee’s U.S. federal income tax liability resulting from the issuance of the shares through the Company’s retention of that number of common shares having a market value as of the vesting date equal to such tax obligation up to the minimum statutory withholding requirements. The amount related to shares used for such tax withholding obligations was approximately $497 and $308 for the years ended December 31, 2014 and 2013, respectively.</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Director compensation</w:t>
      </w:r>
    </w:p>
    <w:p>
      <w:pPr>
        <w:spacing w:after="0" w:line="11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Company uses a combination of cash and share-based compensation to attract and retain qualified candidates to serve on our Board of Directors. Compensation is paid to non-employee directors. Directors who are employees receive no additional compensation for services as members of the Board or any of its committees. All of our directors are non-employee directors with the exception of Mr. Berger. Share-based compensation is paid pursuant to the Incentive Plan. Each non-employee director of the Company received an annual retainer of $155, payable quarterly in arrears, and was paid 50% in cash and 50% in common stock of the Company. The Chairman of the Board received an additional $250 of compensation, paid in stock.</w:t>
      </w:r>
    </w:p>
    <w:p>
      <w:pPr>
        <w:spacing w:after="0" w:line="184"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In the years ended December 31, 2014, 2013 and 2012, 99 thousand, 96 thousand and 93 thousand shares, respectively, of the Company’s common stock were issued to non-employee directors under the Incentive Plan.</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 RETIREMENT PLANS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sponsors four 401(k) savings plans, one covering substantially all non-union salaried employees (“Salaried Plan”), a second covering its hourly employees (“Hourly Plan”), a third plan specifically for its employees that are members of a tugboat union and a fourth for the salary and non-union employees of certain subsidiaries (“Affiliated Plan”). Under the Salaried Plan, the Hourly Plan and the Affiliated Plan, individual employees may contribute a percentage of compensation and the Company will match a portion of the employees’ contributions. The Salaried Plan and Affiliated Plan also includes a profit-sharing component, permitting the Company to make discretionary employer contributions to all eligible employees of these plans. Additionally, the Company sponsors a Supplemental Savings Plan in which the Company makes contributions for certain key executives. The Company’s expense for matching, discretionary and Supplemental Savings Plan contributions for 2014, 2013 and 2012, was $5,256, $5,123 and $4,017, respectively.</w:t>
      </w:r>
    </w:p>
    <w:p>
      <w:pPr>
        <w:spacing w:after="0" w:line="18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Company also contributes to various multiemployer pension plans pursuant to collective bargaining agreements. In 2014, 2013 and 2012, the Company contributed $4,383, $3,870 and $3,447 respectively to all of the multiemployer plans that provide pension benefits in our continuing operations. The information available to the Company about the multiemployer plans in which it participates, whether via request to the plan or publicly available, is generally dated due to the nature of the reporting cycle of multiemployer plans and legal requirements under the Employee Retirement Income Security Act (“ERISA”) as amended by the Multiemployer Pension Plan Amendments Act (“MPPAA”). Based upon these plans’ most recently available annual reports, the Company’s contribution to these plans were less than 5% of each such plan’s total contributions.</w:t>
      </w:r>
    </w:p>
    <w:p>
      <w:pPr>
        <w:spacing w:after="0" w:line="188"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Company does not expect any future increased contributions to have a material negative impact on its financial position, results of operations or cash flows for future years. The risks of participating in multiemployer plans are different from single employer plans as assets contributed are available to provide benefits to employees of other employers and unfunded obligations from an employer that discontinues contributions are the responsibility of all remaining employers. In addition, in the event of a plan’s termination or the Company’s withdrawal from a plan, the Company may be liable for a portion of the plan’s unfunded vested benefits. However, information from the plans’ administrators is not available to permit the Company to determine its share, if any, of unfunded vested benefits.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80"/>
          </w:cols>
          <w:pgMar w:left="240" w:top="455" w:right="2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121"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as well as some environmental &amp; remediation projects. The Company has a bonding agreement with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$1,000 to $10,000. At December 31, 2014, the Company had outstanding performance bonds with a notional amount of approximately $1,049,311, of which $49,048 relates to projects accounted for in discontinued operations. The revenue value remaining in backlog related to the projects of continuing operations totaled approximately $357,409.</w:t>
      </w:r>
    </w:p>
    <w:p>
      <w:pPr>
        <w:spacing w:after="0" w:line="188"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the sale of our historical demolition business, the Company was obligated to keep in place the surety bonds on pending demolition projects for the period required under the respective contract for a project.</w:t>
      </w:r>
    </w:p>
    <w:p>
      <w:pPr>
        <w:spacing w:after="0" w:line="162" w:lineRule="exact"/>
        <w:rPr>
          <w:sz w:val="20"/>
          <w:szCs w:val="20"/>
          <w:color w:val="auto"/>
        </w:rPr>
      </w:pPr>
    </w:p>
    <w:p>
      <w:pPr>
        <w:ind w:right="500" w:firstLine="456"/>
        <w:spacing w:after="0" w:line="261" w:lineRule="auto"/>
        <w:rPr>
          <w:sz w:val="20"/>
          <w:szCs w:val="20"/>
          <w:color w:val="auto"/>
        </w:rPr>
      </w:pPr>
      <w:r>
        <w:rPr>
          <w:rFonts w:ascii="Times New Roman" w:cs="Times New Roman" w:eastAsia="Times New Roman" w:hAnsi="Times New Roman"/>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contingencies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March 19, 2013, the Company and three of its current and former executives were sued in a securities class action in the Northern District of Illinois captioned United Union of Roofers, Waterproofers &amp; Allied Workers Local Union No. 8 v. Great Lakes Dredge &amp; Dock Corporation et al., Case No. 1:13-cv-02115. The 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Two additional, similar lawsuits captioned Boozer v. Great Lakes Dredge &amp; Dock Corporation et al., Case No. 1:13-cv-02339, and Connors v. Great Lakes Dredge &amp; Dock Corporation et al., Case No. 1:13-cv-02450, were filed in the Northern District of Illinois on March 28, 2013, and April 2, 2013, respectively. These three actions were consolidated and recaptioned In re Great Lakes Dredge &amp; Dock Corporation Securities Litigation, Case No. 1:13-cv-02115, on June 10, 2013.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plaintiffs filed an amended class action complaint on August 9, 2013, which the defendants moved to dismiss on October 8, 2013. After briefing and oral argument by the parties, the court entered an order on October 21, 2014 denying that motion to dismiss. The parties have reached an agreement in principle to settle this action. Once finalized, the settlement will be presented to the court for preliminary approval. The settlement is expected to be paid by insurance.</w:t>
      </w:r>
    </w:p>
    <w:p>
      <w:pPr>
        <w:spacing w:after="0" w:line="17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On March 28, 2013, the Company was named as a nominal defendant, and its directors were named as defendants, in a shareholder derivative action in DuPage County Circuit Court in Illinois captioned Hammoud v. Berger et al., Case No. 2013CH001110. The lawsuit primarily alleges breaches of fiduciary duties related to allegedly false and misleading statements regarding the recognition of revenue in the demolition segment and with regard to the Company’s internal control over financial reporting, which exposed the Company to securities litigation. A second, similar lawsuit captioned The City of Haverhill Retirement System v. Leight et al., Case No. 1:13-cv-02470, was filed in the Northern District of Illinois on April 2, 2013 and was voluntarily dismissed on June 10, 2013. A third, similar lawsuit captioned St. Lucie County Fire District Firefighters Pension Trust Fund v. Leight et al., Case No. 13 CH 15483, was filed in Cook County Circuit Court in Illinois on July 8, 2013, and has since been transferred to DuPage County Circuit Court and consolidated with the Hammoud action. The Hammoud/St. Lucie plaintiffs have filed a consolidated amended complaint on December 9, 2013, but the action was otherwise stayed pending a ruling on the motion to dismiss the securities class action. A fourth, similar lawsuit (that additionally named one current and one former executive as defendants) captioned Griffin v. Berger et al., Case No. 1:13-cv-04907, was filed in the Northern District of Illinois on July 9, 2013. The Griffin action was also stayed pending a ruling on the motion to dismiss the securities class action. The parties have reached an agreement in principle to settle the pending actions. Once finalized, the settlement will be presented to the DuPage County Circuit Court for preliminary approval. The settlement is expected to be paid by insurance.</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April 23, 2014, the Company completed the sale of NASDI, LLC (“NASDI”) and Yankee Environmental Services, LLC (“Yankee”), which together comprised the Company’s historical demolition business, to a privately owned demolition company. Under the terms of the divestiture, the Company retained certain pre-closing liabilities relating to the disposed business. Certain of these liabilities and a legal action brought by the Company to enforce the buyer’s obligations under the sale agreement are described below.</w:t>
      </w:r>
    </w:p>
    <w:p>
      <w:pPr>
        <w:spacing w:after="0" w:line="180"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In 2009,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materials in 2007 and 2008. Per the Massachusetts Attorney General’s request, NASDI executed a tolling agreement regarding the matter in 2009 and engaged in further discussions with the Massachusetts Attorney General’s office. Should a claim be brought, the Company intends to defend this matter vigorously.</w:t>
      </w:r>
    </w:p>
    <w:p>
      <w:pPr>
        <w:spacing w:after="0" w:line="184" w:lineRule="exact"/>
        <w:rPr>
          <w:sz w:val="20"/>
          <w:szCs w:val="20"/>
          <w:color w:val="auto"/>
        </w:rPr>
      </w:pPr>
    </w:p>
    <w:p>
      <w:pPr>
        <w:jc w:val="both"/>
        <w:ind w:right="120" w:firstLine="456"/>
        <w:spacing w:after="0" w:line="257" w:lineRule="auto"/>
        <w:rPr>
          <w:sz w:val="20"/>
          <w:szCs w:val="20"/>
          <w:color w:val="auto"/>
        </w:rPr>
      </w:pPr>
      <w:r>
        <w:rPr>
          <w:rFonts w:ascii="Times New Roman" w:cs="Times New Roman" w:eastAsia="Times New Roman" w:hAnsi="Times New Roman"/>
          <w:sz w:val="18"/>
          <w:szCs w:val="18"/>
          <w:color w:val="auto"/>
        </w:rPr>
        <w:t>In 2011, NASDI received a subpoena from a federal grand jury in the District of Massachusetts directing NASDI to furnish certain documents relating to certain projects performed by NASDI since January 2005. The Company conducted an internal investigation into this matter and has cooperated with the grand jury’s investigation. Based on the limited information known to the Company, the Company cannot predict the outcome of the investigation, the 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Attorney’s views of the issues being investigated, and any action the U.S. Attorney may take.</w:t>
      </w:r>
    </w:p>
    <w:p>
      <w:pPr>
        <w:spacing w:after="0" w:line="207"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On April 24, 2014, NASDI received a subpoena from a federal grand jury in the District of Massachusetts directing NASDI to furnish certain emails for the years 2004 to the present for the email accounts of certain former and present NASDI employees. The Company is cooperating with the grand jury’s investigation. Based on the limited information known to the Company, the Company cannot predict the outcome of the investigation, the U.S. Attorney’s views of the issues being investigated, and any action the U.S. Attorney may take.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2012, the Company contracted with a shipyard to perform the functional design drawings, detailed design drawings and follow on construction of a new Articulated Tug &amp; Barge (“ATB”) Trailing Suction Hopper Dredge. In April 2013, the Company terminated the contract with the shipyard for default and the counterparty sent the Company a notice requesting arbitration under the contract with respect to the Company’s termination for default, including but not limited to the Company’s right to draw on letters of credit that had been issued by the shipyard as financial security required by the contract. In May 2013, the Company drew upon the shipyard’s letters of credit related to the contract and received $13,600. Arbitration proceedings were initiated. In January 2014, the Company and the shipyard executed a settlement agreement pursuant to which the Company retained $10,500 of the proceeds of the financial security and remitted $3,100 of those funds to the shipyard, all other claims were released, and the arbitration was dismissed with prejudice.</w:t>
      </w:r>
    </w:p>
    <w:p>
      <w:pPr>
        <w:spacing w:after="0" w:line="18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Company leases certain operating equipment and office facilities under long-term operating leases expiring at various dates through 2023. The equipment leases contain renewal or purchase options that specify prices at the then fair value upon the expiration of the lease terms. The leases also contain default provisions that are triggered by an acceleration of debt maturity under the terms of the Company’s Credit Agreement, or, in certain instances, cross default to other equipment leases and certain lease arrangements require that the Company maintain certain financial ratios comparable to those required by its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operating lease payments at December 31, 2014, are as follows: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5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operating lease payments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Total rent expense under long-term operating lease arrangements for the years ended December 31, 2014, 2013 and 2012 was $25,318, $21,620 and $18,370, respectively. This excludes expenses for equipment and facilities rented on a short-term, as-needed basis.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ind w:right="9600"/>
        <w:spacing w:after="0"/>
        <w:rPr>
          <w:sz w:val="20"/>
          <w:szCs w:val="20"/>
          <w:color w:val="auto"/>
        </w:rPr>
      </w:pPr>
      <w:r>
        <w:rPr>
          <w:rFonts w:ascii="Times New Roman" w:cs="Times New Roman" w:eastAsia="Times New Roman" w:hAnsi="Times New Roman"/>
          <w:sz w:val="18"/>
          <w:szCs w:val="18"/>
          <w:b w:val="1"/>
          <w:bCs w:val="1"/>
          <w:color w:val="auto"/>
        </w:rPr>
        <w:t>14. INVESTMENTS</w:t>
      </w:r>
    </w:p>
    <w:p>
      <w:pPr>
        <w:spacing w:after="0" w:line="119" w:lineRule="exact"/>
        <w:rPr>
          <w:sz w:val="20"/>
          <w:szCs w:val="20"/>
          <w:color w:val="auto"/>
        </w:rPr>
      </w:pPr>
    </w:p>
    <w:p>
      <w:pPr>
        <w:jc w:val="right"/>
        <w:ind w:right="9600"/>
        <w:spacing w:after="0"/>
        <w:rPr>
          <w:sz w:val="20"/>
          <w:szCs w:val="20"/>
          <w:color w:val="auto"/>
        </w:rPr>
      </w:pPr>
      <w:r>
        <w:rPr>
          <w:rFonts w:ascii="Times New Roman" w:cs="Times New Roman" w:eastAsia="Times New Roman" w:hAnsi="Times New Roman"/>
          <w:sz w:val="18"/>
          <w:szCs w:val="18"/>
          <w:i w:val="1"/>
          <w:iCs w:val="1"/>
          <w:color w:val="auto"/>
        </w:rPr>
        <w:t>Amboy Aggregates</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and a New Jersey aggregates company each own 50% of Amboy Aggregates (“Amboy”). Amboy was formed in December 1984 to mine sand from the entrance channel to New York Harbor to provide sand and aggregate for use in road and building construction and for clean land fill. Amboy sold its interest in a stone import business and its holdings in land during 2014 and is winding down operations. The land owned in conjunction with Lower Main Street Development, LLC (“Lower Main”) was sold for a combined gain of $29,729.</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accounts for this investment under the equity method. The following is summarized financial information for this entity:</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4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(Unaudited)</w:t>
            </w:r>
          </w:p>
        </w:tc>
        <w:tc>
          <w:tcPr>
            <w:tcW w:w="3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5"/>
                <w:szCs w:val="15"/>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$13,784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$ 24,399</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$ 18,971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4,142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2,329</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9,527</w:t>
            </w: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3,998</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Lower Main Street Development</w:t>
      </w:r>
    </w:p>
    <w:p>
      <w:pPr>
        <w:spacing w:after="0" w:line="119"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Company and a New Jersey aggregates company each own 50% of Lower Main. Lower Main was organized in February 2003 to hold land for development or sale. This land owned in conjunction with Amboy Aggregates was sold in 2014.</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accounts for this investment under the equity method. The following is summarized financial information for this entity:</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6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860" w:type="dxa"/>
            <w:vAlign w:val="bottom"/>
          </w:tcPr>
          <w:p>
            <w:pPr>
              <w:spacing w:after="0"/>
              <w:rPr>
                <w:sz w:val="13"/>
                <w:szCs w:val="13"/>
                <w:color w:val="auto"/>
              </w:rPr>
            </w:pPr>
          </w:p>
        </w:tc>
        <w:tc>
          <w:tcPr>
            <w:tcW w:w="156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color w:val="auto"/>
              </w:rPr>
              <w:t>(Unaudited)</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173"/>
        </w:trPr>
        <w:tc>
          <w:tcPr>
            <w:tcW w:w="58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8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8"/>
                <w:szCs w:val="18"/>
                <w:color w:val="auto"/>
              </w:rPr>
            </w:pPr>
          </w:p>
        </w:tc>
        <w:tc>
          <w:tcPr>
            <w:tcW w:w="14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14,803</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TerraSea Environmental Solutions</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Company owns 50% of TerraSea Environmental Solutions (“TerraSea”) as a joint venture. TerraSea is engaged in the environmental services business through its ability to remediate contaminated soil and dredged sediment treatment. At December 31, 2014 and 2013, the Company has net advances to TerraSea of $22,898 and $7,129, respectively, which are recorded in other current assets. The Company has an accumulated deficit in joint ventures, which represents losses recognized to date in excess of our investment in TerraSea, of $10,383 at December 31, 2014 which is presented in accrued expenses and $866 at December 31, 2013 which is presented in investment in joint ventures. The Company has commenced the winddown of TerraSea with its joint venture partner. The Company believes its net advances to TerraSea are ultimately recoverable either through the operations of the joint venture or as an obligation of our joint venture partner. To the extent that advances are not fully recoverable, additional losses may result in future periods. The Company and its joint venture partner remain obligated to fund TerraSea through the completion of its remaining project, which is expected to occur in 2015.</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accounts for this investment under the equity method. The following is summarized financial information for this entity:</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6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(Unaudited)</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gridSpan w:val="2"/>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$ 11,278</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7,368</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(19,153)</w:t>
            </w:r>
          </w:p>
        </w:tc>
        <w:tc>
          <w:tcPr>
            <w:tcW w:w="18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(956)</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(19,856)</w:t>
            </w:r>
          </w:p>
        </w:tc>
        <w:tc>
          <w:tcPr>
            <w:tcW w:w="18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(956)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21"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The historical demolition business was operated out of a building owned by a former minority interest owner in Yankee and prior to 2011, a profits interest owner in NASDI. In 2014, 2013 and 2012, NASDI and Yankee paid the minority interest owner $375, $449 and $449, respectively, for rent and property taxes. In conjunction with the sale of NASDI and Yankee (See Note 16), the lease was terminated as of October 31, 2014, and the Company also paid $490 in lease termination fees.</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2013 and 2012, our rivers &amp; lakes group operated out of facilities owned by the former owner of the group. The Company paid $95 and $103 in rent to the building owner during 2013 and 2012, respectively. As the rivers &amp; lakes group relocated to a new facility in late 2013, there were no rents paid in 2014.</w:t>
      </w:r>
    </w:p>
    <w:p>
      <w:pPr>
        <w:spacing w:after="0" w:line="176"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Our Terra Contracting business operates out of two facilities owned by the former owner of Terra Contracting, LLC. In 2014 and 2013, the Company paid $243 and $243 for rent on these two properties. As the purchase of Terra Contracting, LLC occurred on December 31, 2012, the Company paid no rents in 2012.</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Magnus Pacific business operates out of two facilities owned by Magnus Real Estate Group, LLC, which is owned by the formers owners of Magnus Pacific. In 2014, the Company paid rent of $46 for these two properties. As the purchase of Magnus Pacific Corporation occurred in 2014, there were no rents paid in 2013 and 2012.</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16. BUSINESS COMBINATIONS AND DISPOSITIONS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1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On April 23, 2014, the Company entered into an agreement and completed the sale of NASDI, LLC and Yankee Environmental Services, LLC, its two former subsidiaries that comprised the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and net of future payments of accounts payable existing at the date of close, including any future payments of obligations associated with outstanding claims. In the fourth quarter of 2013, the Company recorded a preliminary loss on disposal of assets held for sale in discontinued operations. The loss on disposal is subject to change based on the value of additional proceeds received on the working capital existing at the date of disposition. The amount and timing of the working capital settlement and the amount and timing of the realization of additional net proceeds may be impacted by the litigation with the buyer of the historical demolition business (see Note 13). However, management believes that the ultimate resolution of these matters will not be material to the Company’s consolidated financial position or results of operations.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results of the businesses have been reported in discontinued operations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6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Pr>
          <w:p>
            <w:pPr>
              <w:spacing w:after="0"/>
              <w:rPr>
                <w:sz w:val="15"/>
                <w:szCs w:val="15"/>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$ 14,803</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$ 39,550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100,602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from discontinued operations</w:t>
            </w:r>
          </w:p>
        </w:tc>
        <w:tc>
          <w:tcPr>
            <w:tcW w:w="32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$(19,167)</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9"/>
              </w:rPr>
              <w:t>$(55,530)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(17,125)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assets held for sale</w:t>
            </w:r>
          </w:p>
        </w:tc>
        <w:tc>
          <w:tcPr>
            <w:tcW w:w="19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(18,436)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5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19,116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32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(10,423)</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(54,850)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980" w:type="dxa"/>
            <w:vAlign w:val="bottom"/>
            <w:vMerge w:val="restart"/>
          </w:tcPr>
          <w:p>
            <w:pPr>
              <w:jc w:val="right"/>
              <w:ind w:right="1354"/>
              <w:spacing w:after="0"/>
              <w:rPr>
                <w:sz w:val="20"/>
                <w:szCs w:val="20"/>
                <w:color w:val="auto"/>
              </w:rPr>
            </w:pPr>
            <w:r>
              <w:rPr>
                <w:rFonts w:ascii="Times New Roman" w:cs="Times New Roman" w:eastAsia="Times New Roman" w:hAnsi="Times New Roman"/>
                <w:sz w:val="18"/>
                <w:szCs w:val="18"/>
                <w:color w:val="auto"/>
              </w:rPr>
              <w:t>95</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Magnus Pacific acquisition</w:t>
      </w:r>
    </w:p>
    <w:p>
      <w:pPr>
        <w:spacing w:after="0" w:line="119"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On November 4, 2014, the Company acquired Magnus Pacific Corporation, a California corporation, for an aggregate purchase price of approximately $40 million. Magnus Pacific Corporation is engaged in the business of environmental remediation, geotechnical construction, demolition, and sediments and wetlands construction.</w:t>
      </w:r>
    </w:p>
    <w:p>
      <w:pPr>
        <w:spacing w:after="0" w:line="17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Under the terms of the acquisition, the aggregate purchase price is satisfied by payment of $25,000 paid at closing, the issuance of a promissory note and an earnout payment. The original principal amount of the promissory note will be finally determined within 60 days after the 2014 fiscal year end and is expected to approximate $7,544. Payments on the promissory note will be made in two equal installments on January 1, 2017 and January 1, 2018. The promissory note shall bear interest at 5% per annum, which shall begin to accrue on January 1, 2015, and shall continue to accrue until payment of the second installment. In the event Magnus Pacific (“Magnus”) does not achieve minimum earnings before interest, taxes, depreciation and amortization, as adjusted in the 2015 fiscal year, the principal amount of the promissory note will be reduced. The promissory note also is subject to reduction based on certain indemnification obligations of the shareholders under the acquisition agreement. The maximum potential aggregate earnout payment is $11,400 and will be determined based on the attainment of combined Adjusted EBITDA targets of Magnus and Terra Contracting Services, LLC (“Terra”), a wholly-owned subsidiary of the Company for the year ending December 31, 2019. The Earnout Payment may be paid in cash or shares of the Company’s common stock, at the Company’s option. At December 31, 2014 the fair value of the recorded earnout liability was $8,024, which is recorded in other liabilities.</w:t>
      </w:r>
    </w:p>
    <w:p>
      <w:pPr>
        <w:spacing w:after="0" w:line="18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preliminary purchase price has been allocated to the assets acquired and liabilities assumed using estimated fair values as of the acquisition date. Tangible assets acquired of $57,303 primarily were receivables and contract revenues in excess of billings of $41,067 and property and equipment of $11,573. Finite-lived intangible assets acquired of $8,422 were primarily related to acquired backlog and also include a non-compete agreement, patents and trade names. The acquired backlog is being amortized on a straight-line basis over one year while all other finite-lived intangible assets are being amortized on a straight-line basis over five years. Liabilities assumed of $27,586, includes primarily $20,732 of accounts payable. Goodwill of $7,000 represents the excess of cost over the fair value of the net tangible and intangible assets acquired and is included in the environmental &amp; remediation segment.</w:t>
      </w:r>
    </w:p>
    <w:p>
      <w:pPr>
        <w:spacing w:after="0" w:line="188"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Concurrent with the closing of the acquisition of Magnus Pacific Corporation, the Company granted restricted stock unit awards to the shareholders representing the right to receive, in aggregate, up to 1,500 shares of Great Lakes’ common stock. Each award vests on March 31, 2020, subject to the applicable employee’s continuous employment with Great Lakes through such date and satisfaction of certain business milestones.</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As the acquisition took place on November 4, 2014, no income or earnings of Magnus were included in the consolidated statement of operations of the Company for the periods ended December 31, 2013 or 2012.</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 the consolidated results of operations of the Company as they may have appeared had the acquisition described above occurred as of January 1, 2013 for purposes of the unaudited pro forma consolidated statements of operations.</w:t>
      </w:r>
    </w:p>
    <w:p>
      <w:pPr>
        <w:spacing w:after="0" w:line="16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unaudited pro forma consolidated financial information are provided for illustrative purposes only and do not purport to present what the actual results of operations would have been had the transaction actually occurred on the date indicated, nor does it purport to represent results of operations for any future period.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00"/>
          </w:cols>
          <w:pgMar w:left="240" w:top="455" w:right="2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does not reflect any cost savings or benefits that may be obtained through synergies among the operations of the Company.</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3"/>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806,831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$ 731,418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Revenue of purchased businesses for the period prior to the acquisition adjustments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106,723</w:t>
            </w:r>
          </w:p>
        </w:tc>
        <w:tc>
          <w:tcPr>
            <w:tcW w:w="5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913,554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$ 819,361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of Great Lakes Dredge &amp;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(34,361)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of Magnus including net income prior to acquisition and pro forma</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5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Pro forma net income (loss) attributable to common stockholders of Great Lakes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16,623</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(33,292)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pro forma adjustments to net income represent amortization of intangibles established in purchase accounting, interest on the debt used to purchase Magnus and taxes on net income at the Company’s effective tax rate, all applied to the period prior to acquisition.</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Terra Contracting acquisition</w:t>
      </w:r>
    </w:p>
    <w:p>
      <w:pPr>
        <w:spacing w:after="0" w:line="1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On December 31, 2012, the Company acquired the assets including certain assumed liabilities of Terra Contracting, LLC, a provider of a wide variety of essential services for environmental, maintenance and infrastructure-related applications headquartered in Kalamazoo, MI, for a purchase price of approximately $26 million. The Terra acquisition broadened the Company’s environmental &amp; remediation segment with additional services and expertise as well as expanded its footprint in the Midwest. The seller may receive cash payments for any of the calendar years ended 2013, 2014 and 2015 if certain earnings based criteria are met. Per the purchase agreement, for each calendar year, the earnout payment amount shall be equal to (i) 25% of the amount, up to $500, by which EBITDA exceeds $4,000 plus (ii) 50% of the amount by which EBITDA exceeds $4,500; provided, that in no event shall seller receive an amount more than $2,000. At December 31, 2014, the fair value of the recorded earnout liability was $1,541 and is recorded in accrued liabilities. At December 31, 2013, the fair value of the recorded earnout liabilities was $1,833 of which $725 is recorded in accrued liabilities and $1,108 is recorded in other liabilities. After assuming the seller’s indebtedness, the acquisition was funded with a seller note of $10,547 and future contingent consideration. In addition, $2,000 of cash was placed in escrow pursuant to the indemnification clauses in the purchase agreement. The balance of the note was paid in January 2013.</w:t>
      </w:r>
    </w:p>
    <w:p>
      <w:pPr>
        <w:spacing w:after="0" w:line="19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purchase price has been allocated to the assets acquired and liabilities assumed using estimated fair values as of the acquisition date. Tangible assets acquired of $27 million primarily were receivables of $14.6 million and property, plant, and equipment of $11.3 million. Finite-lived intangible assets acquired of $2.7 million were primarily related to a non-compete agreement and also included acquired backlog, patents and trade names. The acquired backlog was amortized on a straight-line basis over one year while all other finite-lived intangible assets are being amortized on a straight-line basis over five years. Liabilities assumed of $18.3 million, includes primarily $17.5 million of accounts payable. Goodwill of $2.8 million represents the excess of cost over the fair value of the net tangible and intangible assets acquired.</w:t>
      </w:r>
    </w:p>
    <w:p>
      <w:pPr>
        <w:spacing w:after="0" w:line="188"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As the acquisition took place on December 31, 2012, no income or earnings of Terra were included in the consolidated statement of operations of the Company for the period ended December 31, 2012.</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recorded a $2,197 noncash bargain purchase gain on a small asset acquisition in 2014.</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currently operate in two reportable segments: dredging and environmental &amp; remediation.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2014, 2013 and 2012, is provided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4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Dredging:</w:t>
            </w:r>
          </w:p>
        </w:tc>
        <w:tc>
          <w:tcPr>
            <w:tcW w:w="2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revenues</w:t>
            </w:r>
          </w:p>
        </w:tc>
        <w:tc>
          <w:tcPr>
            <w:tcW w:w="39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$ 697,711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$642,602</w:t>
            </w:r>
          </w:p>
        </w:tc>
        <w:tc>
          <w:tcPr>
            <w:tcW w:w="4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392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41,620</w:t>
            </w:r>
          </w:p>
        </w:tc>
        <w:tc>
          <w:tcPr>
            <w:tcW w:w="12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54,683</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9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43,620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44,118</w:t>
            </w:r>
          </w:p>
        </w:tc>
        <w:tc>
          <w:tcPr>
            <w:tcW w:w="4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92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815,683</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821,253</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9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366,027</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330,689</w:t>
            </w:r>
          </w:p>
        </w:tc>
        <w:tc>
          <w:tcPr>
            <w:tcW w:w="4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92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76,576</w:t>
            </w:r>
          </w:p>
        </w:tc>
        <w:tc>
          <w:tcPr>
            <w:tcW w:w="12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76,575</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39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2,114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4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92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79,186</w:t>
            </w:r>
          </w:p>
        </w:tc>
        <w:tc>
          <w:tcPr>
            <w:tcW w:w="12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57,902</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&amp; remediation:</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revenues</w:t>
            </w:r>
          </w:p>
        </w:tc>
        <w:tc>
          <w:tcPr>
            <w:tcW w:w="392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114,412</w:t>
            </w:r>
          </w:p>
        </w:tc>
        <w:tc>
          <w:tcPr>
            <w:tcW w:w="12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94,840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39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(17,767)</w:t>
            </w:r>
          </w:p>
        </w:tc>
        <w:tc>
          <w:tcPr>
            <w:tcW w:w="12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(3,282)</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92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6,509</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9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77,551</w:t>
            </w:r>
          </w:p>
        </w:tc>
        <w:tc>
          <w:tcPr>
            <w:tcW w:w="124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31,392</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92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33,418</w:t>
            </w:r>
          </w:p>
        </w:tc>
        <w:tc>
          <w:tcPr>
            <w:tcW w:w="12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14,931</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9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9,750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4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392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5,775</w:t>
            </w: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9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12,892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48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revenues</w:t>
            </w:r>
          </w:p>
        </w:tc>
        <w:tc>
          <w:tcPr>
            <w:tcW w:w="39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(5,292)</w:t>
            </w:r>
          </w:p>
        </w:tc>
        <w:tc>
          <w:tcPr>
            <w:tcW w:w="12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(6,024)</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revenues</w:t>
            </w:r>
          </w:p>
        </w:tc>
        <w:tc>
          <w:tcPr>
            <w:tcW w:w="39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806,831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731,418</w:t>
            </w:r>
          </w:p>
        </w:tc>
        <w:tc>
          <w:tcPr>
            <w:tcW w:w="4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392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23,853</w:t>
            </w:r>
          </w:p>
        </w:tc>
        <w:tc>
          <w:tcPr>
            <w:tcW w:w="12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51,401</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9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50,129</w:t>
            </w:r>
          </w:p>
        </w:tc>
        <w:tc>
          <w:tcPr>
            <w:tcW w:w="124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46,622</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92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893,234</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852,645</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826,468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9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399,445</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345,620</w:t>
            </w:r>
          </w:p>
        </w:tc>
        <w:tc>
          <w:tcPr>
            <w:tcW w:w="4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92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86,326</w:t>
            </w:r>
          </w:p>
        </w:tc>
        <w:tc>
          <w:tcPr>
            <w:tcW w:w="12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79,326</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39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7,889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4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92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92,078</w:t>
            </w:r>
          </w:p>
        </w:tc>
        <w:tc>
          <w:tcPr>
            <w:tcW w:w="12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62,002</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0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color w:val="auto"/>
                <w:w w:val="99"/>
              </w:rPr>
              <w:t>The Company classifies the revenue related to its dredging projects into the following types of work:</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dredging—U.S.</w:t>
            </w:r>
          </w:p>
        </w:tc>
        <w:tc>
          <w:tcPr>
            <w:tcW w:w="2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$ 195,635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$ 153,781</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$ 175,317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Capital dredging—foreign</w:t>
            </w: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138,436</w:t>
            </w:r>
          </w:p>
        </w:tc>
        <w:tc>
          <w:tcPr>
            <w:tcW w:w="48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112,242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Coastal protection dredging</w:t>
            </w:r>
          </w:p>
        </w:tc>
        <w:tc>
          <w:tcPr>
            <w:tcW w:w="3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228,868</w:t>
            </w:r>
          </w:p>
        </w:tc>
        <w:tc>
          <w:tcPr>
            <w:tcW w:w="4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126,873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Maintenance dredging</w:t>
            </w: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123,923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90,833</w:t>
            </w:r>
          </w:p>
        </w:tc>
        <w:tc>
          <w:tcPr>
            <w:tcW w:w="48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137,924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Rivers &amp; lakes</w:t>
            </w:r>
          </w:p>
        </w:tc>
        <w:tc>
          <w:tcPr>
            <w:tcW w:w="35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28,934</w:t>
            </w:r>
          </w:p>
        </w:tc>
        <w:tc>
          <w:tcPr>
            <w:tcW w:w="4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30,684</w:t>
            </w:r>
          </w:p>
        </w:tc>
        <w:tc>
          <w:tcPr>
            <w:tcW w:w="4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35,873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dredging</w:t>
            </w:r>
          </w:p>
        </w:tc>
        <w:tc>
          <w:tcPr>
            <w:tcW w:w="27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$ 697,711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$ 642,602</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$ 588,229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700" w:type="dxa"/>
            <w:vAlign w:val="bottom"/>
            <w:vMerge w:val="restart"/>
          </w:tcPr>
          <w:p>
            <w:pPr>
              <w:jc w:val="right"/>
              <w:ind w:right="1351"/>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derived revenues and gross profit from foreign project operations for the years ended December 31, 2014, 2013, and 2012, as follows: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138,436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112,242</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(118,682)</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6"/>
              </w:rPr>
              <w:t>(117,029)</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(104,038)</w:t>
            </w:r>
          </w:p>
        </w:tc>
      </w:tr>
      <w:tr>
        <w:trPr>
          <w:trHeight w:val="27"/>
        </w:trPr>
        <w:tc>
          <w:tcPr>
            <w:tcW w:w="6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21,407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8,204</w:t>
            </w:r>
          </w:p>
        </w:tc>
      </w:tr>
      <w:tr>
        <w:trPr>
          <w:trHeight w:val="20"/>
        </w:trPr>
        <w:tc>
          <w:tcPr>
            <w:tcW w:w="6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2014 and 2013, foreign revenues were primarily from projects in the Middle East as well as for the Wheatstone LNG project in Western Australia. In 2012, the majority of the Company’s foreign revenue came from projects in the Middle East. The majority of the Company’s long-lived assets are marine vessels and related equipment. At any point in time, the Company may employ certain assets outside of the U.S., as needed, to perform work on the Company’s foreign projects. As of December 31, 2014 and 2013, long-lived assets with a net book value of $93,839 and $104,099, respectively, were located outside of the U.S.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primary customer is the U.S. Army Corps of Engineers (the “Corps”), which has responsibility for federally funded projects related to waterway navigation and flood control. In 2014, 2013 and 2012, 60.4%, 45.0% and 68.9%, respectively, of contract revenues were earned from contracts with federal government agencies, including the Corps, as well as other federal entities such as the U.S. Coast Guard and U.S. Navy. At December 31, 2014 and 2013, approximately 45.9% and 48.7%, respectively, of accounts receivable, including contract revenues in excess of billings and retainage, were due on contracts with federal government agencies. The Company depends on its ability to continue to obtain federal government contracts, and indirectly, on the amount of federal funding for new and current government dredging projects. Therefore, the Company’s operations can be influenced by the level and timing of federal funding.</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2014, the Company earned significant revenue from a large, single customer foreign contract. A revision to the estimated gross profit percentage was recognized in the year resulting in a cumulative net impact on the project margin, which increased gross profit by $22,418 for the year ended December 31, 2014, including an increase in gross profit of $7,645 during the fourth quarter. The project was completed in 2014.</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Prior to 2013, revenue from foreign projects was concentrated in Bahrain and primarily with the government of Bahrain which comprised of 14.2% of total revenue in 2012. At December 31, 2014 and 2013, approximately 11.4% and 13.1%, respectively, of accounts receivable, including retainage and contract revenues in excess of billings, were due on contracts with the government of Bahrain. There is a dependence on future projects in the Bahrain region, as vessels are currently located there. However, certain of the vessels located in Bahrain can be moved back to the U.S. or all can be moved to other international markets as opportunities arise.</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18. SUBSIDIARY GUARANTORS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long-term debt at December 31, 2014 includes $274,880 of 7.375% senior notes due February 1, 2019. The Company’s obligations under these senior unsecured notes are guaranteed by the Company’s 100% owned domestic subsidiaries. Such guarantees are full, unconditional and joint and several.</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67"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sheets as of December 31, 2014 and 2013;</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operations and comprehensive income (loss) for the years ended December 31, 2014, 2013 and 2012;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cash flows for the years ended December 31, 2014, 2013 and 2012.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00"/>
          </w:cols>
          <w:pgMar w:left="240" w:top="455" w:right="2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GLDD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3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41,724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115,739</w:t>
            </w:r>
          </w:p>
        </w:tc>
        <w:tc>
          <w:tcPr>
            <w:tcW w:w="16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(2,906)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from affiliates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152,822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55,805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(212,300)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78,631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34,735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4,708</w:t>
            </w:r>
          </w:p>
        </w:tc>
        <w:tc>
          <w:tcPr>
            <w:tcW w:w="16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49,619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14,617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477,978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70,424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(215,516)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399,421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86,326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8,963</w:t>
            </w:r>
          </w:p>
        </w:tc>
        <w:tc>
          <w:tcPr>
            <w:tcW w:w="16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36,262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7,889</w:t>
            </w:r>
          </w:p>
        </w:tc>
        <w:tc>
          <w:tcPr>
            <w:tcW w:w="16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3,757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619,220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(622,977)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7,135</w:t>
            </w: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4,967</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7"/>
              </w:rPr>
              <w:t>1,027,731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694,611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(838,493)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121,282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(3,216)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Payables to affiliates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196,829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15,068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(212,300)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60,415</w:t>
            </w:r>
          </w:p>
        </w:tc>
        <w:tc>
          <w:tcPr>
            <w:tcW w:w="16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8,967</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4,639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859</w:t>
            </w:r>
          </w:p>
        </w:tc>
        <w:tc>
          <w:tcPr>
            <w:tcW w:w="16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384,024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29,551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(215,516)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7 3/8% SENIOR NOTES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274,880</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7,553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41,944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91,835</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19,939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411,688</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438,648</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(215,516)</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Great Lakes Dredge &amp; Dock Corporation Equity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616,043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255,963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(622,977)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616,043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255,963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(622,977)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1,027,731</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694,611</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(838,493</w:t>
            </w:r>
          </w:p>
        </w:tc>
        <w:tc>
          <w:tcPr>
            <w:tcW w:w="5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100</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11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GLDD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80" w:type="dxa"/>
            <w:vAlign w:val="bottom"/>
            <w:gridSpan w:val="3"/>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1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71,939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receivable—net</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95,476</w:t>
            </w:r>
          </w:p>
        </w:tc>
        <w:tc>
          <w:tcPr>
            <w:tcW w:w="14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from affiliates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131,984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7,337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12,205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(151,526)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63,591</w:t>
            </w:r>
          </w:p>
        </w:tc>
        <w:tc>
          <w:tcPr>
            <w:tcW w:w="14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3,841</w:t>
            </w: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32,500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3,913</w:t>
            </w:r>
          </w:p>
        </w:tc>
        <w:tc>
          <w:tcPr>
            <w:tcW w:w="14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19,636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20,180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41,763</w:t>
            </w:r>
          </w:p>
        </w:tc>
        <w:tc>
          <w:tcPr>
            <w:tcW w:w="14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11,877</w:t>
            </w: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460,802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27,630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32,683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(160,062)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345,612</w:t>
            </w:r>
          </w:p>
        </w:tc>
        <w:tc>
          <w:tcPr>
            <w:tcW w:w="14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79,326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1,976</w:t>
            </w:r>
          </w:p>
        </w:tc>
        <w:tc>
          <w:tcPr>
            <w:tcW w:w="14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38,496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8,256</w:t>
            </w:r>
          </w:p>
        </w:tc>
        <w:tc>
          <w:tcPr>
            <w:tcW w:w="14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1,212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638,955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(640,167)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SALE—Noncurrent</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8,796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3,886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5,193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9,062</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948,362</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27,701</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676,831</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(800,249</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115,235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Payables to affiliates</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96,270</w:t>
            </w:r>
          </w:p>
        </w:tc>
        <w:tc>
          <w:tcPr>
            <w:tcW w:w="14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24,862</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30,394</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(151,526)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28,086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10,430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6,754</w:t>
            </w:r>
          </w:p>
        </w:tc>
        <w:tc>
          <w:tcPr>
            <w:tcW w:w="14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38,158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2,871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284,503</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28,502</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40,956</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(160,062)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 3/8% SENIOR NOTES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108,531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HELD FOR SALE—Noncurrent</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1,212</w:t>
            </w:r>
          </w:p>
        </w:tc>
        <w:tc>
          <w:tcPr>
            <w:tcW w:w="14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21,679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307,394</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28,502</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434,730</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(160,082)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Great Lakes Dredge &amp; Dock Corporation Equity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640,968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242,946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(640,167)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640,968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242,101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(640,167)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242,101</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948,362</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27,701</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676,831</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(800,249</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6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11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GLDD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6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0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799,579</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26,282</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(19,030)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(707,474)</w:t>
            </w: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(25,891)</w:t>
            </w: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19,030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(714,335)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92,105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92,496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67,905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67,911</w:t>
            </w: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sale of assets—net</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23,468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23,853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(expense)—net</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(19,767)</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(19,967)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10,373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2,895</w:t>
            </w: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bargain purchase acquisition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2,197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Income (loss) from continuing operations before income</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28,844</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(9,394)</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(10,393)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(18,173)</w:t>
            </w: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30,112</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11,530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10,671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20,718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20,718</w:t>
            </w:r>
          </w:p>
        </w:tc>
        <w:tc>
          <w:tcPr>
            <w:tcW w:w="0" w:type="dxa"/>
            <w:vAlign w:val="bottom"/>
          </w:tcPr>
          <w:p>
            <w:pPr>
              <w:spacing w:after="0"/>
              <w:rPr>
                <w:sz w:val="1"/>
                <w:szCs w:val="1"/>
                <w:color w:val="auto"/>
              </w:rPr>
            </w:pPr>
          </w:p>
        </w:tc>
      </w:tr>
      <w:tr>
        <w:trPr>
          <w:trHeight w:val="216"/>
        </w:trPr>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(10,423)</w:t>
            </w: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(1,343)</w:t>
            </w:r>
          </w:p>
        </w:tc>
        <w:tc>
          <w:tcPr>
            <w:tcW w:w="1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(10,423)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(10,423)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(1,621)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10,295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10,295</w:t>
            </w:r>
          </w:p>
        </w:tc>
        <w:tc>
          <w:tcPr>
            <w:tcW w:w="0" w:type="dxa"/>
            <w:vAlign w:val="bottom"/>
          </w:tcPr>
          <w:p>
            <w:pPr>
              <w:spacing w:after="0"/>
              <w:rPr>
                <w:sz w:val="1"/>
                <w:szCs w:val="1"/>
                <w:color w:val="auto"/>
              </w:rPr>
            </w:pPr>
          </w:p>
        </w:tc>
      </w:tr>
      <w:tr>
        <w:trPr>
          <w:trHeight w:val="205"/>
        </w:trPr>
        <w:tc>
          <w:tcPr>
            <w:tcW w:w="538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Great Lakes Dredge &amp;</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(1,621)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10,295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300" w:type="dxa"/>
            <w:vAlign w:val="bottom"/>
          </w:tcPr>
          <w:p>
            <w:pPr>
              <w:spacing w:after="0"/>
              <w:rPr>
                <w:sz w:val="20"/>
                <w:szCs w:val="20"/>
                <w:color w:val="auto"/>
              </w:rPr>
            </w:pP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Comprehensive income (loss) attributable to Great Lakes Dredge &amp;</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(1,683)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10,034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6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11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GLDD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6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0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718,041</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24,932</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(11,555)</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(614,908)</w:t>
            </w: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(27,770)</w:t>
            </w: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(631,123)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103,133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(2,838)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100,295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68,029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68,039</w:t>
            </w: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loss of use claim</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(13,372)</w:t>
            </w: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(13,372)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(5,775)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(5,773)</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54,251</w:t>
            </w:r>
          </w:p>
        </w:tc>
        <w:tc>
          <w:tcPr>
            <w:tcW w:w="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(21,549)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(21,941)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59,477</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(59,689)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1,208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Income (loss) from continuing operations before income</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55,532</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(3,452)</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37,926</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(59,689)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(10,757)</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55,825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(3,448)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27,169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(59,689)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19,857</w:t>
            </w:r>
          </w:p>
        </w:tc>
        <w:tc>
          <w:tcPr>
            <w:tcW w:w="0" w:type="dxa"/>
            <w:vAlign w:val="bottom"/>
          </w:tcPr>
          <w:p>
            <w:pPr>
              <w:spacing w:after="0"/>
              <w:rPr>
                <w:sz w:val="1"/>
                <w:szCs w:val="1"/>
                <w:color w:val="auto"/>
              </w:rPr>
            </w:pPr>
          </w:p>
        </w:tc>
      </w:tr>
      <w:tr>
        <w:trPr>
          <w:trHeight w:val="216"/>
        </w:trPr>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(55,106)</w:t>
            </w: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(1,448)</w:t>
            </w:r>
          </w:p>
        </w:tc>
        <w:tc>
          <w:tcPr>
            <w:tcW w:w="1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(62,162)</w:t>
            </w: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63,866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(54,850)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(4,896)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(34,993)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(34,993)</w:t>
            </w:r>
          </w:p>
        </w:tc>
        <w:tc>
          <w:tcPr>
            <w:tcW w:w="0" w:type="dxa"/>
            <w:vAlign w:val="bottom"/>
          </w:tcPr>
          <w:p>
            <w:pPr>
              <w:spacing w:after="0"/>
              <w:rPr>
                <w:sz w:val="1"/>
                <w:szCs w:val="1"/>
                <w:color w:val="auto"/>
              </w:rPr>
            </w:pPr>
          </w:p>
        </w:tc>
      </w:tr>
      <w:tr>
        <w:trPr>
          <w:trHeight w:val="223"/>
        </w:trPr>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Great Lakes Dredge &amp;</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(4,896)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(34,361)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(34,361)</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Great Lakes Dredge &amp;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(5,293)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(34,454)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300" w:type="dxa"/>
            <w:vAlign w:val="bottom"/>
          </w:tcPr>
          <w:p>
            <w:pPr>
              <w:spacing w:after="0"/>
              <w:rPr>
                <w:sz w:val="20"/>
                <w:szCs w:val="20"/>
                <w:color w:val="auto"/>
              </w:rPr>
            </w:pP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(34,454)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GLDD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1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588,430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(509,620)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(510,272)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78,810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42,547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3,145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assets—net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36,556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(3,240)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(20,212)</w:t>
            </w: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36,888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(36,887)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35,981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(816)</w:t>
            </w: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13,436</w:t>
            </w:r>
          </w:p>
        </w:tc>
        <w:tc>
          <w:tcPr>
            <w:tcW w:w="16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(36,887)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(5,413)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(36,887)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Loss from discontinued operations, net of income</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(9,798)</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(1,707)</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(11,363)</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13,233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(23,654)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Great Lakes</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26,177</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(2,523)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(2,695)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(23,654)</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(loss) attributable to Great Lakes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25,800</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(2,529)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(3,078)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(23,271)</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 CONDENSED CONSOLIDATING STATEMENT OF CASH FLOWS FOR THE YEAR ENDED DECEMBER 31, 2014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GLDD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8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3"/>
        </w:trPr>
        <w:tc>
          <w:tcPr>
            <w:tcW w:w="458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OPERATING ACTIVITIES:</w:t>
            </w:r>
          </w:p>
        </w:tc>
        <w:tc>
          <w:tcPr>
            <w:tcW w:w="5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flows provided by (used in) operating activities of</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continuing operations</w:t>
            </w:r>
          </w:p>
        </w:tc>
        <w:tc>
          <w:tcPr>
            <w:tcW w:w="60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63,276</w:t>
            </w:r>
          </w:p>
        </w:tc>
        <w:tc>
          <w:tcPr>
            <w:tcW w:w="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1"/>
              </w:rPr>
              <w:t>999</w:t>
            </w:r>
          </w:p>
        </w:tc>
        <w:tc>
          <w:tcPr>
            <w:tcW w:w="32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34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flows used in operating activities of discontinued</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operations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(17,328)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(18,352)</w:t>
            </w:r>
          </w:p>
        </w:tc>
        <w:tc>
          <w:tcPr>
            <w:tcW w:w="0" w:type="dxa"/>
            <w:vAlign w:val="bottom"/>
          </w:tcPr>
          <w:p>
            <w:pPr>
              <w:spacing w:after="0"/>
              <w:rPr>
                <w:sz w:val="1"/>
                <w:szCs w:val="1"/>
                <w:color w:val="auto"/>
              </w:rPr>
            </w:pPr>
          </w:p>
        </w:tc>
      </w:tr>
      <w:tr>
        <w:trPr>
          <w:trHeight w:val="204"/>
        </w:trPr>
        <w:tc>
          <w:tcPr>
            <w:tcW w:w="4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Cash provided by (used in) operating activities</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45,948</w:t>
            </w:r>
          </w:p>
        </w:tc>
        <w:tc>
          <w:tcPr>
            <w:tcW w:w="5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(91,910)</w:t>
            </w:r>
          </w:p>
        </w:tc>
        <w:tc>
          <w:tcPr>
            <w:tcW w:w="160" w:type="dxa"/>
            <w:vAlign w:val="bottom"/>
          </w:tcPr>
          <w:p>
            <w:pPr>
              <w:spacing w:after="0"/>
              <w:rPr>
                <w:sz w:val="17"/>
                <w:szCs w:val="17"/>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(91,910)</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dispositions of property and equipment</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for acquisitions of businesses</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(2,048)</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(25,000)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(27,048)</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vendor performance obligations</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(3,100)</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(3,100)</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change in accounts with affiliates</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68,187</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(68,187)</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flows used in investing activities of continuing</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operations</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(28,803)</w:t>
            </w:r>
          </w:p>
        </w:tc>
        <w:tc>
          <w:tcPr>
            <w:tcW w:w="160" w:type="dxa"/>
            <w:vAlign w:val="bottom"/>
          </w:tcPr>
          <w:p>
            <w:pPr>
              <w:spacing w:after="0"/>
              <w:rPr>
                <w:sz w:val="17"/>
                <w:szCs w:val="17"/>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(25,000)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(68,187)</w:t>
            </w:r>
          </w:p>
        </w:tc>
        <w:tc>
          <w:tcPr>
            <w:tcW w:w="1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(121,990)</w:t>
            </w:r>
          </w:p>
        </w:tc>
        <w:tc>
          <w:tcPr>
            <w:tcW w:w="0" w:type="dxa"/>
            <w:vAlign w:val="bottom"/>
          </w:tcPr>
          <w:p>
            <w:pPr>
              <w:spacing w:after="0"/>
              <w:rPr>
                <w:sz w:val="1"/>
                <w:szCs w:val="1"/>
                <w:color w:val="auto"/>
              </w:rPr>
            </w:pPr>
          </w:p>
        </w:tc>
      </w:tr>
      <w:tr>
        <w:trPr>
          <w:trHeight w:val="203"/>
        </w:trPr>
        <w:tc>
          <w:tcPr>
            <w:tcW w:w="4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cash flows provided by investing activities of</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discontinued operations</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5,275</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(23,528)</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(25,000)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(68,187)</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(116,715)</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term loan facility</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47,360</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term loan facility</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(417)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(417)</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7 3/8% senior notes</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24,880</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financing fees</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(2,532)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(2,532)</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paid on settlement of vested share awards</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(497)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03"/>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change in accounts with affiliates</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(2,547)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(65,640)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68,187</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Intercompany dividends</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(52,400)</w:t>
            </w:r>
          </w:p>
        </w:tc>
        <w:tc>
          <w:tcPr>
            <w:tcW w:w="160" w:type="dxa"/>
            <w:vAlign w:val="bottom"/>
          </w:tcPr>
          <w:p>
            <w:pPr>
              <w:spacing w:after="0"/>
              <w:rPr>
                <w:sz w:val="17"/>
                <w:szCs w:val="17"/>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52,400</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Repayments of equipment debt</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(235)</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189"/>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Exercise of stock options and purchases from employee stock</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plans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Excess income tax benefit from share-based compensation</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Borrowings under revolving loans</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236,500</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revolving loans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(271,500)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(271,500)</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 of</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continuing operations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(52,635)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(2,547)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flows provided by financing activities of</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discontinued operations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5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Cash provided by financing activities</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(52,635)</w:t>
            </w:r>
          </w:p>
        </w:tc>
        <w:tc>
          <w:tcPr>
            <w:tcW w:w="5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22,123</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68,187</w:t>
            </w:r>
          </w:p>
        </w:tc>
        <w:tc>
          <w:tcPr>
            <w:tcW w:w="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foreign currency exchange rates on cash and cash</w:t>
            </w: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equivalents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(164)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07"/>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(30,215)</w:t>
            </w:r>
          </w:p>
        </w:tc>
        <w:tc>
          <w:tcPr>
            <w:tcW w:w="5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71,939</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5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41,724</w:t>
            </w:r>
          </w:p>
        </w:tc>
        <w:tc>
          <w:tcPr>
            <w:tcW w:w="5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w w:val="91"/>
              </w:rPr>
              <w:t>663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 CONDENSED CONSOLIDATING STATEMENT OF CASH FLOWS FOR THE YEAR ENDED DECEMBER 31, 2013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0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60" w:type="dxa"/>
            <w:vAlign w:val="bottom"/>
          </w:tcPr>
          <w:p>
            <w:pPr>
              <w:spacing w:after="0"/>
              <w:rPr>
                <w:sz w:val="13"/>
                <w:szCs w:val="13"/>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GLDD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2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2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3"/>
        </w:trPr>
        <w:tc>
          <w:tcPr>
            <w:tcW w:w="55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OPERATING ACTIVITIES:</w:t>
            </w: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20" w:type="dxa"/>
            <w:vAlign w:val="bottom"/>
          </w:tcPr>
          <w:p>
            <w:pPr>
              <w:ind w:left="700"/>
              <w:spacing w:after="0" w:line="181" w:lineRule="exact"/>
              <w:rPr>
                <w:sz w:val="20"/>
                <w:szCs w:val="20"/>
                <w:color w:val="auto"/>
              </w:rPr>
            </w:pPr>
            <w:r>
              <w:rPr>
                <w:rFonts w:ascii="Times New Roman" w:cs="Times New Roman" w:eastAsia="Times New Roman" w:hAnsi="Times New Roman"/>
                <w:sz w:val="17"/>
                <w:szCs w:val="17"/>
                <w:color w:val="auto"/>
              </w:rPr>
              <w:t>Net cash flows provided by (used in) operating activities of</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continuing operations</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126,736</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(7,748)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(32,641)</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86,347</w:t>
            </w: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700"/>
              <w:spacing w:after="0" w:line="182" w:lineRule="exact"/>
              <w:rPr>
                <w:sz w:val="20"/>
                <w:szCs w:val="20"/>
                <w:color w:val="auto"/>
              </w:rPr>
            </w:pPr>
            <w:r>
              <w:rPr>
                <w:rFonts w:ascii="Times New Roman" w:cs="Times New Roman" w:eastAsia="Times New Roman" w:hAnsi="Times New Roman"/>
                <w:sz w:val="17"/>
                <w:szCs w:val="17"/>
                <w:color w:val="auto"/>
              </w:rPr>
              <w:t>Net cash flows used in operating activities of discontinued</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operations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(5,049)</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(6,475)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(11,524)</w:t>
            </w:r>
          </w:p>
        </w:tc>
        <w:tc>
          <w:tcPr>
            <w:tcW w:w="0" w:type="dxa"/>
            <w:vAlign w:val="bottom"/>
          </w:tcPr>
          <w:p>
            <w:pPr>
              <w:spacing w:after="0"/>
              <w:rPr>
                <w:sz w:val="1"/>
                <w:szCs w:val="1"/>
                <w:color w:val="auto"/>
              </w:rPr>
            </w:pPr>
          </w:p>
        </w:tc>
      </w:tr>
      <w:tr>
        <w:trPr>
          <w:trHeight w:val="210"/>
        </w:trPr>
        <w:tc>
          <w:tcPr>
            <w:tcW w:w="55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Cash provided by (used in) operating activities</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121,687</w:t>
            </w: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(14,223)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2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(66,654)</w:t>
            </w:r>
          </w:p>
        </w:tc>
        <w:tc>
          <w:tcPr>
            <w:tcW w:w="16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(66,654)</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Proceeds from dispositions of property and equipment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6,953</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6,953</w:t>
            </w:r>
          </w:p>
        </w:tc>
        <w:tc>
          <w:tcPr>
            <w:tcW w:w="0" w:type="dxa"/>
            <w:vAlign w:val="bottom"/>
          </w:tcPr>
          <w:p>
            <w:pPr>
              <w:spacing w:after="0"/>
              <w:rPr>
                <w:sz w:val="1"/>
                <w:szCs w:val="1"/>
                <w:color w:val="auto"/>
              </w:rPr>
            </w:pPr>
          </w:p>
        </w:tc>
      </w:tr>
      <w:tr>
        <w:trPr>
          <w:trHeight w:val="203"/>
        </w:trPr>
        <w:tc>
          <w:tcPr>
            <w:tcW w:w="55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Proceeds from vendor performance obligations</w:t>
            </w:r>
          </w:p>
        </w:tc>
        <w:tc>
          <w:tcPr>
            <w:tcW w:w="12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13,600</w:t>
            </w:r>
          </w:p>
        </w:tc>
        <w:tc>
          <w:tcPr>
            <w:tcW w:w="16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13,600</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change in accounts with affiliates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(37,282)</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(302)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37,584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5520" w:type="dxa"/>
            <w:vAlign w:val="bottom"/>
          </w:tcPr>
          <w:p>
            <w:pPr>
              <w:ind w:left="700"/>
              <w:spacing w:after="0" w:line="188" w:lineRule="exact"/>
              <w:rPr>
                <w:sz w:val="20"/>
                <w:szCs w:val="20"/>
                <w:color w:val="auto"/>
              </w:rPr>
            </w:pPr>
            <w:r>
              <w:rPr>
                <w:rFonts w:ascii="Times New Roman" w:cs="Times New Roman" w:eastAsia="Times New Roman" w:hAnsi="Times New Roman"/>
                <w:sz w:val="17"/>
                <w:szCs w:val="17"/>
                <w:color w:val="auto"/>
              </w:rPr>
              <w:t>Net cash flows used in investing activities of continuing</w:t>
            </w: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operations</w:t>
            </w: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(83,383)</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37,584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(46,101)</w:t>
            </w:r>
          </w:p>
        </w:tc>
        <w:tc>
          <w:tcPr>
            <w:tcW w:w="0" w:type="dxa"/>
            <w:vAlign w:val="bottom"/>
          </w:tcPr>
          <w:p>
            <w:pPr>
              <w:spacing w:after="0"/>
              <w:rPr>
                <w:sz w:val="1"/>
                <w:szCs w:val="1"/>
                <w:color w:val="auto"/>
              </w:rPr>
            </w:pPr>
          </w:p>
        </w:tc>
      </w:tr>
      <w:tr>
        <w:trPr>
          <w:trHeight w:val="182"/>
        </w:trPr>
        <w:tc>
          <w:tcPr>
            <w:tcW w:w="5520" w:type="dxa"/>
            <w:vAlign w:val="bottom"/>
            <w:shd w:val="clear" w:color="auto" w:fill="CCEEFF"/>
          </w:tcPr>
          <w:p>
            <w:pPr>
              <w:ind w:left="700"/>
              <w:spacing w:after="0" w:line="182" w:lineRule="exact"/>
              <w:rPr>
                <w:sz w:val="20"/>
                <w:szCs w:val="20"/>
                <w:color w:val="auto"/>
              </w:rPr>
            </w:pPr>
            <w:r>
              <w:rPr>
                <w:rFonts w:ascii="Times New Roman" w:cs="Times New Roman" w:eastAsia="Times New Roman" w:hAnsi="Times New Roman"/>
                <w:sz w:val="17"/>
                <w:szCs w:val="17"/>
                <w:color w:val="auto"/>
              </w:rPr>
              <w:t>Net cash flows used in investing activities of discontinued</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operations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(153)</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10"/>
        </w:trPr>
        <w:tc>
          <w:tcPr>
            <w:tcW w:w="55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(83,536)</w:t>
            </w: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Repayment of long term note payable</w:t>
            </w:r>
          </w:p>
        </w:tc>
        <w:tc>
          <w:tcPr>
            <w:tcW w:w="12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(2,500)</w:t>
            </w:r>
          </w:p>
        </w:tc>
        <w:tc>
          <w:tcPr>
            <w:tcW w:w="16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(10,547)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(13,047)</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Distributions paid to minority interests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3"/>
        </w:trPr>
        <w:tc>
          <w:tcPr>
            <w:tcW w:w="55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Taxes paid on settlement of vested share awards</w:t>
            </w:r>
          </w:p>
        </w:tc>
        <w:tc>
          <w:tcPr>
            <w:tcW w:w="12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(308)</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change in accounts with affiliates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10,342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8,603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(18,945)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5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Capital contributions</w:t>
            </w:r>
          </w:p>
        </w:tc>
        <w:tc>
          <w:tcPr>
            <w:tcW w:w="12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Exercise of stock options and purchases from employee stock plans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93"/>
              </w:rPr>
              <w:t>668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668</w:t>
            </w:r>
          </w:p>
        </w:tc>
        <w:tc>
          <w:tcPr>
            <w:tcW w:w="0" w:type="dxa"/>
            <w:vAlign w:val="bottom"/>
          </w:tcPr>
          <w:p>
            <w:pPr>
              <w:spacing w:after="0"/>
              <w:rPr>
                <w:sz w:val="1"/>
                <w:szCs w:val="1"/>
                <w:color w:val="auto"/>
              </w:rPr>
            </w:pPr>
          </w:p>
        </w:tc>
      </w:tr>
      <w:tr>
        <w:trPr>
          <w:trHeight w:val="203"/>
        </w:trPr>
        <w:tc>
          <w:tcPr>
            <w:tcW w:w="55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Excess income tax benefit from share-based compensation</w:t>
            </w:r>
          </w:p>
        </w:tc>
        <w:tc>
          <w:tcPr>
            <w:tcW w:w="12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3"/>
              </w:rPr>
              <w:t>154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Borrowings under revolving loans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227,000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227,000</w:t>
            </w:r>
          </w:p>
        </w:tc>
        <w:tc>
          <w:tcPr>
            <w:tcW w:w="0" w:type="dxa"/>
            <w:vAlign w:val="bottom"/>
          </w:tcPr>
          <w:p>
            <w:pPr>
              <w:spacing w:after="0"/>
              <w:rPr>
                <w:sz w:val="1"/>
                <w:szCs w:val="1"/>
                <w:color w:val="auto"/>
              </w:rPr>
            </w:pPr>
          </w:p>
        </w:tc>
      </w:tr>
      <w:tr>
        <w:trPr>
          <w:trHeight w:val="210"/>
        </w:trPr>
        <w:tc>
          <w:tcPr>
            <w:tcW w:w="55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Repayments of revolving loans</w:t>
            </w:r>
          </w:p>
        </w:tc>
        <w:tc>
          <w:tcPr>
            <w:tcW w:w="12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(192,000)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(192,000)</w:t>
            </w:r>
          </w:p>
        </w:tc>
        <w:tc>
          <w:tcPr>
            <w:tcW w:w="0" w:type="dxa"/>
            <w:vAlign w:val="bottom"/>
          </w:tcPr>
          <w:p>
            <w:pPr>
              <w:spacing w:after="0"/>
              <w:rPr>
                <w:sz w:val="1"/>
                <w:szCs w:val="1"/>
                <w:color w:val="auto"/>
              </w:rPr>
            </w:pPr>
          </w:p>
        </w:tc>
      </w:tr>
      <w:tr>
        <w:trPr>
          <w:trHeight w:val="181"/>
        </w:trPr>
        <w:tc>
          <w:tcPr>
            <w:tcW w:w="5520" w:type="dxa"/>
            <w:vAlign w:val="bottom"/>
            <w:shd w:val="clear" w:color="auto" w:fill="CCEEFF"/>
          </w:tcPr>
          <w:p>
            <w:pPr>
              <w:ind w:left="700"/>
              <w:spacing w:after="0" w:line="181" w:lineRule="exact"/>
              <w:rPr>
                <w:sz w:val="20"/>
                <w:szCs w:val="20"/>
                <w:color w:val="auto"/>
              </w:rPr>
            </w:pPr>
            <w:r>
              <w:rPr>
                <w:rFonts w:ascii="Times New Roman" w:cs="Times New Roman" w:eastAsia="Times New Roman" w:hAnsi="Times New Roman"/>
                <w:sz w:val="17"/>
                <w:szCs w:val="17"/>
                <w:color w:val="auto"/>
              </w:rPr>
              <w:t>Net cash flows provided by (used in) financing activities of</w:t>
            </w: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continuing operations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(2,500)</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11,268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32,641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(18,945)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22,464</w:t>
            </w:r>
          </w:p>
        </w:tc>
        <w:tc>
          <w:tcPr>
            <w:tcW w:w="0" w:type="dxa"/>
            <w:vAlign w:val="bottom"/>
          </w:tcPr>
          <w:p>
            <w:pPr>
              <w:spacing w:after="0"/>
              <w:rPr>
                <w:sz w:val="1"/>
                <w:szCs w:val="1"/>
                <w:color w:val="auto"/>
              </w:rPr>
            </w:pPr>
          </w:p>
        </w:tc>
      </w:tr>
      <w:tr>
        <w:trPr>
          <w:trHeight w:val="181"/>
        </w:trPr>
        <w:tc>
          <w:tcPr>
            <w:tcW w:w="5520" w:type="dxa"/>
            <w:vAlign w:val="bottom"/>
          </w:tcPr>
          <w:p>
            <w:pPr>
              <w:ind w:left="700"/>
              <w:spacing w:after="0" w:line="181" w:lineRule="exact"/>
              <w:rPr>
                <w:sz w:val="20"/>
                <w:szCs w:val="20"/>
                <w:color w:val="auto"/>
              </w:rPr>
            </w:pPr>
            <w:r>
              <w:rPr>
                <w:rFonts w:ascii="Times New Roman" w:cs="Times New Roman" w:eastAsia="Times New Roman" w:hAnsi="Times New Roman"/>
                <w:sz w:val="17"/>
                <w:szCs w:val="17"/>
                <w:color w:val="auto"/>
              </w:rPr>
              <w:t>Net cash flows provided by financing activities of discontinued</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operations</w:t>
            </w:r>
          </w:p>
        </w:tc>
        <w:tc>
          <w:tcPr>
            <w:tcW w:w="1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12,016</w:t>
            </w:r>
          </w:p>
        </w:tc>
        <w:tc>
          <w:tcPr>
            <w:tcW w:w="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6,623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(18,639)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Cash provided by financing activities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9,516</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17,891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32,641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(37,584)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22,464</w:t>
            </w:r>
          </w:p>
        </w:tc>
        <w:tc>
          <w:tcPr>
            <w:tcW w:w="0" w:type="dxa"/>
            <w:vAlign w:val="bottom"/>
          </w:tcPr>
          <w:p>
            <w:pPr>
              <w:spacing w:after="0"/>
              <w:rPr>
                <w:sz w:val="1"/>
                <w:szCs w:val="1"/>
                <w:color w:val="auto"/>
              </w:rPr>
            </w:pPr>
          </w:p>
        </w:tc>
      </w:tr>
      <w:tr>
        <w:trPr>
          <w:trHeight w:val="181"/>
        </w:trPr>
        <w:tc>
          <w:tcPr>
            <w:tcW w:w="5520" w:type="dxa"/>
            <w:vAlign w:val="bottom"/>
          </w:tcPr>
          <w:p>
            <w:pPr>
              <w:ind w:left="360"/>
              <w:spacing w:after="0" w:line="181" w:lineRule="exact"/>
              <w:rPr>
                <w:sz w:val="20"/>
                <w:szCs w:val="20"/>
                <w:color w:val="auto"/>
              </w:rPr>
            </w:pPr>
            <w:r>
              <w:rPr>
                <w:rFonts w:ascii="Times New Roman" w:cs="Times New Roman" w:eastAsia="Times New Roman" w:hAnsi="Times New Roman"/>
                <w:sz w:val="17"/>
                <w:szCs w:val="17"/>
                <w:color w:val="auto"/>
              </w:rPr>
              <w:t>Effect of foreign currency exchange rates on cash and cash</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equivalents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47,667</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3,231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50,898</w:t>
            </w:r>
          </w:p>
        </w:tc>
        <w:tc>
          <w:tcPr>
            <w:tcW w:w="0" w:type="dxa"/>
            <w:vAlign w:val="bottom"/>
          </w:tcPr>
          <w:p>
            <w:pPr>
              <w:spacing w:after="0"/>
              <w:rPr>
                <w:sz w:val="1"/>
                <w:szCs w:val="1"/>
                <w:color w:val="auto"/>
              </w:rPr>
            </w:pPr>
          </w:p>
        </w:tc>
      </w:tr>
      <w:tr>
        <w:trPr>
          <w:trHeight w:val="217"/>
        </w:trPr>
        <w:tc>
          <w:tcPr>
            <w:tcW w:w="55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24,272</w:t>
            </w:r>
          </w:p>
        </w:tc>
        <w:tc>
          <w:tcPr>
            <w:tcW w:w="4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71,939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3,399</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75,338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 CONDENSED CONSOLIDATING STATEMENT OF CASH FLOWS FOR THE YEAR ENDED DECEMBER 31, 2012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30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4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GLDD</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06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5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2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3"/>
        </w:trPr>
        <w:tc>
          <w:tcPr>
            <w:tcW w:w="52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OPERATING ACTIVITIES:</w:t>
            </w: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700"/>
              <w:spacing w:after="0" w:line="181" w:lineRule="exact"/>
              <w:rPr>
                <w:sz w:val="20"/>
                <w:szCs w:val="20"/>
                <w:color w:val="auto"/>
              </w:rPr>
            </w:pPr>
            <w:r>
              <w:rPr>
                <w:rFonts w:ascii="Times New Roman" w:cs="Times New Roman" w:eastAsia="Times New Roman" w:hAnsi="Times New Roman"/>
                <w:sz w:val="17"/>
                <w:szCs w:val="17"/>
                <w:color w:val="auto"/>
              </w:rPr>
              <w:t>Net cash flows provided by (used in) operating activities of</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continuing operations</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48,544</w:t>
            </w: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(831)</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(27,977)</w:t>
            </w:r>
          </w:p>
        </w:tc>
        <w:tc>
          <w:tcPr>
            <w:tcW w:w="56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19,736</w:t>
            </w:r>
          </w:p>
        </w:tc>
        <w:tc>
          <w:tcPr>
            <w:tcW w:w="0" w:type="dxa"/>
            <w:vAlign w:val="bottom"/>
          </w:tcPr>
          <w:p>
            <w:pPr>
              <w:spacing w:after="0"/>
              <w:rPr>
                <w:sz w:val="1"/>
                <w:szCs w:val="1"/>
                <w:color w:val="auto"/>
              </w:rPr>
            </w:pPr>
          </w:p>
        </w:tc>
      </w:tr>
      <w:tr>
        <w:trPr>
          <w:trHeight w:val="182"/>
        </w:trPr>
        <w:tc>
          <w:tcPr>
            <w:tcW w:w="5200" w:type="dxa"/>
            <w:vAlign w:val="bottom"/>
            <w:shd w:val="clear" w:color="auto" w:fill="CCEEFF"/>
          </w:tcPr>
          <w:p>
            <w:pPr>
              <w:ind w:left="700"/>
              <w:spacing w:after="0" w:line="182" w:lineRule="exact"/>
              <w:rPr>
                <w:sz w:val="20"/>
                <w:szCs w:val="20"/>
                <w:color w:val="auto"/>
              </w:rPr>
            </w:pPr>
            <w:r>
              <w:rPr>
                <w:rFonts w:ascii="Times New Roman" w:cs="Times New Roman" w:eastAsia="Times New Roman" w:hAnsi="Times New Roman"/>
                <w:sz w:val="17"/>
                <w:szCs w:val="17"/>
                <w:color w:val="auto"/>
              </w:rPr>
              <w:t>Net cash flows used in operating activities of discontinued</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operations</w:t>
            </w: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(20,636)</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(960)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(21,596)</w:t>
            </w:r>
          </w:p>
        </w:tc>
        <w:tc>
          <w:tcPr>
            <w:tcW w:w="0" w:type="dxa"/>
            <w:vAlign w:val="bottom"/>
          </w:tcPr>
          <w:p>
            <w:pPr>
              <w:spacing w:after="0"/>
              <w:rPr>
                <w:sz w:val="1"/>
                <w:szCs w:val="1"/>
                <w:color w:val="auto"/>
              </w:rPr>
            </w:pPr>
          </w:p>
        </w:tc>
      </w:tr>
      <w:tr>
        <w:trPr>
          <w:trHeight w:val="210"/>
        </w:trPr>
        <w:tc>
          <w:tcPr>
            <w:tcW w:w="52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Cash provided by (used in) operating activities</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27,908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(27,977)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40" w:type="dxa"/>
            <w:vAlign w:val="bottom"/>
          </w:tcPr>
          <w:p>
            <w:pPr>
              <w:spacing w:after="0"/>
              <w:rPr>
                <w:sz w:val="17"/>
                <w:szCs w:val="17"/>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(60,516)</w:t>
            </w:r>
          </w:p>
        </w:tc>
        <w:tc>
          <w:tcPr>
            <w:tcW w:w="140" w:type="dxa"/>
            <w:vAlign w:val="bottom"/>
          </w:tcPr>
          <w:p>
            <w:pPr>
              <w:spacing w:after="0"/>
              <w:rPr>
                <w:sz w:val="17"/>
                <w:szCs w:val="17"/>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(60,516)</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Proceeds from dispositions of property and equipment</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10"/>
        </w:trPr>
        <w:tc>
          <w:tcPr>
            <w:tcW w:w="5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Payments for acquisition of businesses</w:t>
            </w:r>
          </w:p>
        </w:tc>
        <w:tc>
          <w:tcPr>
            <w:tcW w:w="140" w:type="dxa"/>
            <w:vAlign w:val="bottom"/>
          </w:tcPr>
          <w:p>
            <w:pPr>
              <w:spacing w:after="0"/>
              <w:rPr>
                <w:sz w:val="18"/>
                <w:szCs w:val="18"/>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(2,000)</w:t>
            </w:r>
          </w:p>
        </w:tc>
        <w:tc>
          <w:tcPr>
            <w:tcW w:w="14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700"/>
              <w:spacing w:after="0" w:line="181" w:lineRule="exact"/>
              <w:rPr>
                <w:sz w:val="20"/>
                <w:szCs w:val="20"/>
                <w:color w:val="auto"/>
              </w:rPr>
            </w:pPr>
            <w:r>
              <w:rPr>
                <w:rFonts w:ascii="Times New Roman" w:cs="Times New Roman" w:eastAsia="Times New Roman" w:hAnsi="Times New Roman"/>
                <w:sz w:val="17"/>
                <w:szCs w:val="17"/>
                <w:color w:val="auto"/>
              </w:rPr>
              <w:t>Net cash flows used in investing activities of continuing</w:t>
            </w: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operations</w:t>
            </w: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(61,919)</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(61,919)</w:t>
            </w:r>
          </w:p>
        </w:tc>
        <w:tc>
          <w:tcPr>
            <w:tcW w:w="0" w:type="dxa"/>
            <w:vAlign w:val="bottom"/>
          </w:tcPr>
          <w:p>
            <w:pPr>
              <w:spacing w:after="0"/>
              <w:rPr>
                <w:sz w:val="1"/>
                <w:szCs w:val="1"/>
                <w:color w:val="auto"/>
              </w:rPr>
            </w:pPr>
          </w:p>
        </w:tc>
      </w:tr>
      <w:tr>
        <w:trPr>
          <w:trHeight w:val="181"/>
        </w:trPr>
        <w:tc>
          <w:tcPr>
            <w:tcW w:w="5200" w:type="dxa"/>
            <w:vAlign w:val="bottom"/>
          </w:tcPr>
          <w:p>
            <w:pPr>
              <w:ind w:left="700"/>
              <w:spacing w:after="0" w:line="181" w:lineRule="exact"/>
              <w:rPr>
                <w:sz w:val="20"/>
                <w:szCs w:val="20"/>
                <w:color w:val="auto"/>
              </w:rPr>
            </w:pPr>
            <w:r>
              <w:rPr>
                <w:rFonts w:ascii="Times New Roman" w:cs="Times New Roman" w:eastAsia="Times New Roman" w:hAnsi="Times New Roman"/>
                <w:sz w:val="17"/>
                <w:szCs w:val="17"/>
                <w:color w:val="auto"/>
              </w:rPr>
              <w:t>Net cash flows used in investing activities of discontinued</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operations</w:t>
            </w:r>
          </w:p>
        </w:tc>
        <w:tc>
          <w:tcPr>
            <w:tcW w:w="140" w:type="dxa"/>
            <w:vAlign w:val="bottom"/>
          </w:tcPr>
          <w:p>
            <w:pPr>
              <w:spacing w:after="0"/>
              <w:rPr>
                <w:sz w:val="19"/>
                <w:szCs w:val="19"/>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(1,524)</w:t>
            </w:r>
          </w:p>
        </w:tc>
        <w:tc>
          <w:tcPr>
            <w:tcW w:w="140" w:type="dxa"/>
            <w:vAlign w:val="bottom"/>
          </w:tcPr>
          <w:p>
            <w:pPr>
              <w:spacing w:after="0"/>
              <w:rPr>
                <w:sz w:val="19"/>
                <w:szCs w:val="19"/>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(1,524)</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(63,443)</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(63,443)</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financing fees</w:t>
            </w: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(2,039)</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(2,039)</w:t>
            </w:r>
          </w:p>
        </w:tc>
        <w:tc>
          <w:tcPr>
            <w:tcW w:w="0" w:type="dxa"/>
            <w:vAlign w:val="bottom"/>
          </w:tcPr>
          <w:p>
            <w:pPr>
              <w:spacing w:after="0"/>
              <w:rPr>
                <w:sz w:val="1"/>
                <w:szCs w:val="1"/>
                <w:color w:val="auto"/>
              </w:rPr>
            </w:pPr>
          </w:p>
        </w:tc>
      </w:tr>
      <w:tr>
        <w:trPr>
          <w:trHeight w:val="203"/>
        </w:trPr>
        <w:tc>
          <w:tcPr>
            <w:tcW w:w="5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Repayment of long term note payable</w:t>
            </w:r>
          </w:p>
        </w:tc>
        <w:tc>
          <w:tcPr>
            <w:tcW w:w="140" w:type="dxa"/>
            <w:vAlign w:val="bottom"/>
          </w:tcPr>
          <w:p>
            <w:pPr>
              <w:spacing w:after="0"/>
              <w:rPr>
                <w:sz w:val="17"/>
                <w:szCs w:val="17"/>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(2,500)</w:t>
            </w:r>
          </w:p>
        </w:tc>
        <w:tc>
          <w:tcPr>
            <w:tcW w:w="140" w:type="dxa"/>
            <w:vAlign w:val="bottom"/>
          </w:tcPr>
          <w:p>
            <w:pPr>
              <w:spacing w:after="0"/>
              <w:rPr>
                <w:sz w:val="17"/>
                <w:szCs w:val="17"/>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(2,500)</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Distributions paid to minority interests</w:t>
            </w: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(133)</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03"/>
        </w:trPr>
        <w:tc>
          <w:tcPr>
            <w:tcW w:w="5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Dividends paid</w:t>
            </w:r>
          </w:p>
        </w:tc>
        <w:tc>
          <w:tcPr>
            <w:tcW w:w="140" w:type="dxa"/>
            <w:vAlign w:val="bottom"/>
          </w:tcPr>
          <w:p>
            <w:pPr>
              <w:spacing w:after="0"/>
              <w:rPr>
                <w:sz w:val="17"/>
                <w:szCs w:val="17"/>
                <w:color w:val="auto"/>
              </w:rPr>
            </w:pPr>
          </w:p>
        </w:tc>
        <w:tc>
          <w:tcPr>
            <w:tcW w:w="1160" w:type="dxa"/>
            <w:vAlign w:val="bottom"/>
            <w:gridSpan w:val="3"/>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(18,560)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(18,560)</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Dividend equivalents paid on restricted stock units</w:t>
            </w: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(196)</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03"/>
        </w:trPr>
        <w:tc>
          <w:tcPr>
            <w:tcW w:w="5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Taxes paid on vested share awards</w:t>
            </w:r>
          </w:p>
        </w:tc>
        <w:tc>
          <w:tcPr>
            <w:tcW w:w="140" w:type="dxa"/>
            <w:vAlign w:val="bottom"/>
          </w:tcPr>
          <w:p>
            <w:pPr>
              <w:spacing w:after="0"/>
              <w:rPr>
                <w:sz w:val="17"/>
                <w:szCs w:val="17"/>
                <w:color w:val="auto"/>
              </w:rPr>
            </w:pPr>
          </w:p>
        </w:tc>
        <w:tc>
          <w:tcPr>
            <w:tcW w:w="1160" w:type="dxa"/>
            <w:vAlign w:val="bottom"/>
            <w:gridSpan w:val="3"/>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(231)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change in accounts with affiliates</w:t>
            </w: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(46,135)</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(2,351)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48,486</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40" w:type="dxa"/>
            <w:vAlign w:val="bottom"/>
          </w:tcPr>
          <w:p>
            <w:pPr>
              <w:spacing w:after="0"/>
              <w:rPr>
                <w:sz w:val="17"/>
                <w:szCs w:val="17"/>
                <w:color w:val="auto"/>
              </w:rPr>
            </w:pPr>
          </w:p>
        </w:tc>
        <w:tc>
          <w:tcPr>
            <w:tcW w:w="1160" w:type="dxa"/>
            <w:vAlign w:val="bottom"/>
            <w:gridSpan w:val="3"/>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auto"/>
                <w:w w:val="93"/>
              </w:rPr>
              <w:t>461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461</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Excess income tax benefit from share-based compensation</w:t>
            </w:r>
          </w:p>
        </w:tc>
        <w:tc>
          <w:tcPr>
            <w:tcW w:w="1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189</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188"/>
        </w:trPr>
        <w:tc>
          <w:tcPr>
            <w:tcW w:w="5200" w:type="dxa"/>
            <w:vAlign w:val="bottom"/>
          </w:tcPr>
          <w:p>
            <w:pPr>
              <w:ind w:left="700"/>
              <w:spacing w:after="0" w:line="188" w:lineRule="exact"/>
              <w:rPr>
                <w:sz w:val="20"/>
                <w:szCs w:val="20"/>
                <w:color w:val="auto"/>
              </w:rPr>
            </w:pPr>
            <w:r>
              <w:rPr>
                <w:rFonts w:ascii="Times New Roman" w:cs="Times New Roman" w:eastAsia="Times New Roman" w:hAnsi="Times New Roman"/>
                <w:sz w:val="17"/>
                <w:szCs w:val="17"/>
                <w:color w:val="auto"/>
              </w:rPr>
              <w:t>Net cash flows provided by (used in) financing activities of</w:t>
            </w: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continuing operations</w:t>
            </w:r>
          </w:p>
        </w:tc>
        <w:tc>
          <w:tcPr>
            <w:tcW w:w="140" w:type="dxa"/>
            <w:vAlign w:val="bottom"/>
          </w:tcPr>
          <w:p>
            <w:pPr>
              <w:spacing w:after="0"/>
              <w:rPr>
                <w:sz w:val="19"/>
                <w:szCs w:val="19"/>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(48,635)</w:t>
            </w: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(2,351)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27,977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(23,009)</w:t>
            </w:r>
          </w:p>
        </w:tc>
        <w:tc>
          <w:tcPr>
            <w:tcW w:w="0" w:type="dxa"/>
            <w:vAlign w:val="bottom"/>
          </w:tcPr>
          <w:p>
            <w:pPr>
              <w:spacing w:after="0"/>
              <w:rPr>
                <w:sz w:val="1"/>
                <w:szCs w:val="1"/>
                <w:color w:val="auto"/>
              </w:rPr>
            </w:pPr>
          </w:p>
        </w:tc>
      </w:tr>
      <w:tr>
        <w:trPr>
          <w:trHeight w:val="182"/>
        </w:trPr>
        <w:tc>
          <w:tcPr>
            <w:tcW w:w="5200" w:type="dxa"/>
            <w:vAlign w:val="bottom"/>
            <w:shd w:val="clear" w:color="auto" w:fill="CCEEFF"/>
          </w:tcPr>
          <w:p>
            <w:pPr>
              <w:ind w:left="700"/>
              <w:spacing w:after="0" w:line="182" w:lineRule="exact"/>
              <w:rPr>
                <w:sz w:val="20"/>
                <w:szCs w:val="20"/>
                <w:color w:val="auto"/>
              </w:rPr>
            </w:pPr>
            <w:r>
              <w:rPr>
                <w:rFonts w:ascii="Times New Roman" w:cs="Times New Roman" w:eastAsia="Times New Roman" w:hAnsi="Times New Roman"/>
                <w:sz w:val="17"/>
                <w:szCs w:val="17"/>
                <w:color w:val="auto"/>
              </w:rPr>
              <w:t>Net cash flows used in financing activities of discontinued</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operations</w:t>
            </w: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(543)</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(543)</w:t>
            </w:r>
          </w:p>
        </w:tc>
        <w:tc>
          <w:tcPr>
            <w:tcW w:w="0" w:type="dxa"/>
            <w:vAlign w:val="bottom"/>
          </w:tcPr>
          <w:p>
            <w:pPr>
              <w:spacing w:after="0"/>
              <w:rPr>
                <w:sz w:val="1"/>
                <w:szCs w:val="1"/>
                <w:color w:val="auto"/>
              </w:rPr>
            </w:pPr>
          </w:p>
        </w:tc>
      </w:tr>
      <w:tr>
        <w:trPr>
          <w:trHeight w:val="210"/>
        </w:trPr>
        <w:tc>
          <w:tcPr>
            <w:tcW w:w="52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Cash provided by (used in) financing activities</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(49,178)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27,977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7"/>
                <w:szCs w:val="17"/>
                <w:color w:val="auto"/>
              </w:rPr>
              <w:t>Effect of foreign currency exchange rates on cash and cash</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equivalents</w:t>
            </w: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7"/>
        </w:trPr>
        <w:tc>
          <w:tcPr>
            <w:tcW w:w="5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(84,713)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108,985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4,303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113,288</w:t>
            </w:r>
          </w:p>
        </w:tc>
        <w:tc>
          <w:tcPr>
            <w:tcW w:w="0" w:type="dxa"/>
            <w:vAlign w:val="bottom"/>
          </w:tcPr>
          <w:p>
            <w:pPr>
              <w:spacing w:after="0"/>
              <w:rPr>
                <w:sz w:val="1"/>
                <w:szCs w:val="1"/>
                <w:color w:val="auto"/>
              </w:rPr>
            </w:pPr>
          </w:p>
        </w:tc>
      </w:tr>
      <w:tr>
        <w:trPr>
          <w:trHeight w:val="210"/>
        </w:trPr>
        <w:tc>
          <w:tcPr>
            <w:tcW w:w="52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24,272</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w w:val="86"/>
              </w:rPr>
              <w:t>168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Charged to</w:t>
            </w:r>
          </w:p>
        </w:tc>
        <w:tc>
          <w:tcPr>
            <w:tcW w:w="20" w:type="dxa"/>
            <w:vAlign w:val="bottom"/>
          </w:tcPr>
          <w:p>
            <w:pPr>
              <w:spacing w:after="0"/>
              <w:rPr>
                <w:sz w:val="10"/>
                <w:szCs w:val="10"/>
                <w:color w:val="auto"/>
              </w:rPr>
            </w:pPr>
          </w:p>
        </w:tc>
        <w:tc>
          <w:tcPr>
            <w:tcW w:w="5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Charged</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1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 other</w:t>
            </w:r>
          </w:p>
        </w:tc>
        <w:tc>
          <w:tcPr>
            <w:tcW w:w="50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2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accounts</w:t>
            </w:r>
          </w:p>
        </w:tc>
        <w:tc>
          <w:tcPr>
            <w:tcW w:w="50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Description</w:t>
            </w:r>
          </w:p>
        </w:tc>
        <w:tc>
          <w:tcPr>
            <w:tcW w:w="1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Allowances deducted from assets to which they apply:</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Allowances for doubtful accounts</w:t>
            </w:r>
          </w:p>
        </w:tc>
        <w:tc>
          <w:tcPr>
            <w:tcW w:w="15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855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946</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1,051</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3,124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3,352</w:t>
            </w:r>
          </w:p>
        </w:tc>
        <w:tc>
          <w:tcPr>
            <w:tcW w:w="0" w:type="dxa"/>
            <w:vAlign w:val="bottom"/>
          </w:tcPr>
          <w:p>
            <w:pPr>
              <w:spacing w:after="0"/>
              <w:rPr>
                <w:sz w:val="1"/>
                <w:szCs w:val="1"/>
                <w:color w:val="auto"/>
              </w:rPr>
            </w:pPr>
          </w:p>
        </w:tc>
      </w:tr>
      <w:tr>
        <w:trPr>
          <w:trHeight w:val="223"/>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Allowances deducted from assets to which they apply:</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Allowances for doubtful accounts</w:t>
            </w:r>
          </w:p>
        </w:tc>
        <w:tc>
          <w:tcPr>
            <w:tcW w:w="158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1,529</w:t>
            </w:r>
          </w:p>
        </w:tc>
        <w:tc>
          <w:tcPr>
            <w:tcW w:w="0" w:type="dxa"/>
            <w:vAlign w:val="bottom"/>
          </w:tcPr>
          <w:p>
            <w:pPr>
              <w:spacing w:after="0"/>
              <w:rPr>
                <w:sz w:val="1"/>
                <w:szCs w:val="1"/>
                <w:color w:val="auto"/>
              </w:rPr>
            </w:pPr>
          </w:p>
        </w:tc>
      </w:tr>
      <w:tr>
        <w:trPr>
          <w:trHeight w:val="216"/>
        </w:trPr>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2,505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4,403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4,034</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1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Allowances deducted from assets to which they apply:</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Allowances for doubtful accounts</w:t>
            </w:r>
          </w:p>
        </w:tc>
        <w:tc>
          <w:tcPr>
            <w:tcW w:w="15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(1,051)</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2,505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4,074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6,579</w:t>
            </w:r>
          </w:p>
        </w:tc>
        <w:tc>
          <w:tcPr>
            <w:tcW w:w="0" w:type="dxa"/>
            <w:vAlign w:val="bottom"/>
          </w:tcPr>
          <w:p>
            <w:pPr>
              <w:spacing w:after="0"/>
              <w:rPr>
                <w:sz w:val="1"/>
                <w:szCs w:val="1"/>
                <w:color w:val="auto"/>
              </w:rPr>
            </w:pPr>
          </w:p>
        </w:tc>
      </w:tr>
      <w:tr>
        <w:trPr>
          <w:trHeight w:val="223"/>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7,157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2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center"/>
        <w:ind w:left="260"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2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5"/>
                <w:szCs w:val="15"/>
                <w:color w:val="auto"/>
                <w:w w:val="99"/>
              </w:rPr>
              <w:t>S</w:t>
            </w:r>
            <w:r>
              <w:rPr>
                <w:rFonts w:ascii="Times New Roman" w:cs="Times New Roman" w:eastAsia="Times New Roman" w:hAnsi="Times New Roman"/>
                <w:sz w:val="18"/>
                <w:szCs w:val="18"/>
                <w:color w:val="auto"/>
                <w:w w:val="99"/>
              </w:rPr>
              <w:t>/ M</w:t>
            </w:r>
            <w:r>
              <w:rPr>
                <w:rFonts w:ascii="Times New Roman" w:cs="Times New Roman" w:eastAsia="Times New Roman" w:hAnsi="Times New Roman"/>
                <w:sz w:val="15"/>
                <w:szCs w:val="15"/>
                <w:color w:val="auto"/>
                <w:w w:val="99"/>
              </w:rPr>
              <w:t>ARK</w:t>
            </w:r>
            <w:r>
              <w:rPr>
                <w:rFonts w:ascii="Times New Roman" w:cs="Times New Roman" w:eastAsia="Times New Roman" w:hAnsi="Times New Roman"/>
                <w:sz w:val="18"/>
                <w:szCs w:val="18"/>
                <w:color w:val="auto"/>
                <w:w w:val="99"/>
              </w:rPr>
              <w:t xml:space="preserve"> W. M</w:t>
            </w:r>
            <w:r>
              <w:rPr>
                <w:rFonts w:ascii="Times New Roman" w:cs="Times New Roman" w:eastAsia="Times New Roman" w:hAnsi="Times New Roman"/>
                <w:sz w:val="15"/>
                <w:szCs w:val="15"/>
                <w:color w:val="auto"/>
                <w:w w:val="99"/>
              </w:rPr>
              <w:t>ARINKO</w:t>
            </w:r>
          </w:p>
        </w:tc>
      </w:tr>
      <w:tr>
        <w:trPr>
          <w:trHeight w:val="191"/>
        </w:trPr>
        <w:tc>
          <w:tcPr>
            <w:tcW w:w="280" w:type="dxa"/>
            <w:vAlign w:val="bottom"/>
          </w:tcPr>
          <w:p>
            <w:pPr>
              <w:spacing w:after="0"/>
              <w:rPr>
                <w:sz w:val="16"/>
                <w:szCs w:val="16"/>
                <w:color w:val="auto"/>
              </w:rPr>
            </w:pPr>
          </w:p>
        </w:tc>
        <w:tc>
          <w:tcPr>
            <w:tcW w:w="428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8"/>
              </w:rPr>
              <w:t>Mark W. Marinko</w:t>
            </w:r>
          </w:p>
        </w:tc>
      </w:tr>
      <w:tr>
        <w:trPr>
          <w:trHeight w:val="216"/>
        </w:trPr>
        <w:tc>
          <w:tcPr>
            <w:tcW w:w="280" w:type="dxa"/>
            <w:vAlign w:val="bottom"/>
          </w:tcPr>
          <w:p>
            <w:pPr>
              <w:spacing w:after="0"/>
              <w:rPr>
                <w:sz w:val="18"/>
                <w:szCs w:val="18"/>
                <w:color w:val="auto"/>
              </w:rPr>
            </w:pPr>
          </w:p>
        </w:tc>
        <w:tc>
          <w:tcPr>
            <w:tcW w:w="4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r>
        <w:trPr>
          <w:trHeight w:val="216"/>
        </w:trPr>
        <w:tc>
          <w:tcPr>
            <w:tcW w:w="28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 and Duly</w:t>
            </w:r>
          </w:p>
        </w:tc>
      </w:tr>
      <w:tr>
        <w:trPr>
          <w:trHeight w:val="234"/>
        </w:trPr>
        <w:tc>
          <w:tcPr>
            <w:tcW w:w="280" w:type="dxa"/>
            <w:vAlign w:val="bottom"/>
          </w:tcPr>
          <w:p>
            <w:pPr>
              <w:spacing w:after="0"/>
              <w:rPr>
                <w:sz w:val="20"/>
                <w:szCs w:val="20"/>
                <w:color w:val="auto"/>
              </w:rPr>
            </w:pPr>
          </w:p>
        </w:tc>
        <w:tc>
          <w:tcPr>
            <w:tcW w:w="4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Authorized Officer)</w:t>
            </w:r>
          </w:p>
        </w:tc>
      </w:tr>
    </w:tbl>
    <w:p>
      <w:pPr>
        <w:spacing w:after="0" w:line="2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Date: March 6, 2015</w:t>
      </w:r>
    </w:p>
    <w:p>
      <w:pPr>
        <w:spacing w:after="0" w:line="225"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460" w:type="dxa"/>
            <w:vAlign w:val="bottom"/>
          </w:tcPr>
          <w:p>
            <w:pPr>
              <w:spacing w:after="0"/>
              <w:rPr>
                <w:sz w:val="16"/>
                <w:szCs w:val="16"/>
                <w:color w:val="auto"/>
              </w:rPr>
            </w:pPr>
          </w:p>
        </w:tc>
        <w:tc>
          <w:tcPr>
            <w:tcW w:w="14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480" w:type="dxa"/>
            <w:vAlign w:val="bottom"/>
            <w:gridSpan w:val="3"/>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0"/>
        </w:trPr>
        <w:tc>
          <w:tcPr>
            <w:tcW w:w="1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12"/>
        </w:trPr>
        <w:tc>
          <w:tcPr>
            <w:tcW w:w="3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Jonathan W. Berger</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6, 2015</w:t>
            </w:r>
          </w:p>
        </w:tc>
        <w:tc>
          <w:tcPr>
            <w:tcW w:w="64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 Executive Officer)</w:t>
            </w: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Jonathan W. Berger</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27"/>
        </w:trPr>
        <w:tc>
          <w:tcPr>
            <w:tcW w:w="3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Mark W. Marinko</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6, 2015</w:t>
            </w:r>
          </w:p>
        </w:tc>
        <w:tc>
          <w:tcPr>
            <w:tcW w:w="648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 and Principal Accounting Officer)</w:t>
            </w: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Mark W. Marinko</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27"/>
        </w:trPr>
        <w:tc>
          <w:tcPr>
            <w:tcW w:w="3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Carl A. Albert</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6, 2015</w:t>
            </w:r>
          </w:p>
        </w:tc>
        <w:tc>
          <w:tcPr>
            <w:tcW w:w="64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Carl A. Albert</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27"/>
        </w:trPr>
        <w:tc>
          <w:tcPr>
            <w:tcW w:w="3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Denise E. Dickins</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6, 2015</w:t>
            </w:r>
          </w:p>
        </w:tc>
        <w:tc>
          <w:tcPr>
            <w:tcW w:w="64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Denise E. Dickins</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27"/>
        </w:trPr>
        <w:tc>
          <w:tcPr>
            <w:tcW w:w="3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Peter R. Deutsch</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6, 2015</w:t>
            </w:r>
          </w:p>
        </w:tc>
        <w:tc>
          <w:tcPr>
            <w:tcW w:w="64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Peter R. Deutsch</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27"/>
        </w:trPr>
        <w:tc>
          <w:tcPr>
            <w:tcW w:w="3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Nathan D. Leight</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6, 2015</w:t>
            </w:r>
          </w:p>
        </w:tc>
        <w:tc>
          <w:tcPr>
            <w:tcW w:w="64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Nathan D. Leight</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27"/>
        </w:trPr>
        <w:tc>
          <w:tcPr>
            <w:tcW w:w="3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J. Walsh</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6, 2015</w:t>
            </w:r>
          </w:p>
        </w:tc>
        <w:tc>
          <w:tcPr>
            <w:tcW w:w="64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Michael J. Walsh</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27"/>
        </w:trPr>
        <w:tc>
          <w:tcPr>
            <w:tcW w:w="3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Jason G. Weiss</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March 6, 2015</w:t>
            </w:r>
          </w:p>
        </w:tc>
        <w:tc>
          <w:tcPr>
            <w:tcW w:w="6480" w:type="dxa"/>
            <w:vAlign w:val="bottom"/>
            <w:gridSpan w:val="3"/>
          </w:tcPr>
          <w:p>
            <w:pPr>
              <w:jc w:val="center"/>
              <w:ind w:left="15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Jason G. Weiss</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360"/>
        </w:trPr>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20" w:type="dxa"/>
            <w:vAlign w:val="bottom"/>
          </w:tcPr>
          <w:p>
            <w:pPr>
              <w:jc w:val="right"/>
              <w:ind w:right="2232"/>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520" w:type="dxa"/>
            <w:vAlign w:val="bottom"/>
            <w:gridSpan w:val="2"/>
          </w:tcPr>
          <w:p>
            <w:pPr>
              <w:jc w:val="center"/>
              <w:ind w:right="4808"/>
              <w:spacing w:after="0"/>
              <w:rPr>
                <w:sz w:val="20"/>
                <w:szCs w:val="20"/>
                <w:color w:val="auto"/>
              </w:rPr>
            </w:pPr>
            <w:r>
              <w:rPr>
                <w:rFonts w:ascii="Times New Roman" w:cs="Times New Roman" w:eastAsia="Times New Roman" w:hAnsi="Times New Roman"/>
                <w:sz w:val="18"/>
                <w:szCs w:val="18"/>
                <w:b w:val="1"/>
                <w:bCs w:val="1"/>
                <w:color w:val="auto"/>
              </w:rPr>
              <w:t>I. EXHIBIT INDEX</w:t>
            </w:r>
          </w:p>
        </w:tc>
      </w:tr>
      <w:tr>
        <w:trPr>
          <w:trHeight w:val="405"/>
        </w:trPr>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r>
      <w:tr>
        <w:trPr>
          <w:trHeight w:val="286"/>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Amended and Restated Agreement and Plan of Merger dated as of December 22, 2003, among Great Lakes Dredge &amp; Dock Corporation,</w:t>
            </w:r>
          </w:p>
        </w:tc>
      </w:tr>
      <w:tr>
        <w:trPr>
          <w:trHeight w:val="234"/>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GLDD Acquisitions Corp., GLDD Merger Sub, Inc. and Vectura Holding Company LLC. (1)</w:t>
            </w:r>
          </w:p>
        </w:tc>
      </w:tr>
      <w:tr>
        <w:trPr>
          <w:trHeight w:val="306"/>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 and Plan of Merger by and among GLDD Acquisitions Corp., Aldabra Acquisition Corporation, and certain shareholders of</w:t>
            </w:r>
          </w:p>
        </w:tc>
      </w:tr>
      <w:tr>
        <w:trPr>
          <w:trHeight w:val="234"/>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Aldabra Acquisition Corporation and GLDD Acquisitions Corp., dated as of June 20, 2006. (2)</w:t>
            </w:r>
          </w:p>
        </w:tc>
      </w:tr>
      <w:tr>
        <w:trPr>
          <w:trHeight w:val="306"/>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 and Plan of Merger, dated as of August 21, 2006, among Great Lakes Dredge &amp; Dock Holdings Corp., Aldabra Acquisition</w:t>
            </w:r>
          </w:p>
        </w:tc>
      </w:tr>
      <w:tr>
        <w:trPr>
          <w:trHeight w:val="234"/>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Corporation, and GLH Merger Sub, L.L.C. (3)</w:t>
            </w:r>
          </w:p>
        </w:tc>
      </w:tr>
      <w:tr>
        <w:trPr>
          <w:trHeight w:val="306"/>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Great Lakes Dredge &amp; Dock Holdings Corp., effective December 26, 2006 (now</w:t>
            </w:r>
          </w:p>
        </w:tc>
      </w:tr>
      <w:tr>
        <w:trPr>
          <w:trHeight w:val="234"/>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renamed Great Lakes Dredge &amp; Dock Corporation). (4)</w:t>
            </w:r>
          </w:p>
        </w:tc>
      </w:tr>
      <w:tr>
        <w:trPr>
          <w:trHeight w:val="324"/>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Amended and Restated Bylaws of Great Lakes Dredge &amp; Dock Corporation, effective as of March 8, 2011. (5)</w:t>
            </w:r>
          </w:p>
        </w:tc>
      </w:tr>
      <w:tr>
        <w:trPr>
          <w:trHeight w:val="306"/>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 of Ownership and Merger of Great Lakes Dredge &amp; Dock Corporation with and into Great Lakes Dredge &amp; Dock Holdings</w:t>
            </w:r>
          </w:p>
        </w:tc>
      </w:tr>
      <w:tr>
        <w:trPr>
          <w:trHeight w:val="234"/>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 (6)</w:t>
            </w:r>
          </w:p>
        </w:tc>
      </w:tr>
      <w:tr>
        <w:trPr>
          <w:trHeight w:val="306"/>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Indenture, dated January 28, 2011, by and among the Company, certain subsidiary guarantors named therein and Wells Fargo Bank,</w:t>
            </w:r>
          </w:p>
        </w:tc>
      </w:tr>
      <w:tr>
        <w:trPr>
          <w:trHeight w:val="234"/>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National Association, as trustee. (7)</w:t>
            </w:r>
          </w:p>
        </w:tc>
      </w:tr>
      <w:tr>
        <w:trPr>
          <w:trHeight w:val="306"/>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Indenture, dated May 6, 2011, among NASDI, LLC, a Delaware limited liability company (the “New Guarantor”), a</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subsidiary of Great Lakes Dredge &amp; Dock Corporation, as issuer (the “Company”), the Company, the existing Guarantors, and Wells</w:t>
            </w:r>
          </w:p>
        </w:tc>
      </w:tr>
      <w:tr>
        <w:trPr>
          <w:trHeight w:val="234"/>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Fargo Bank, National Association, as trustee. (33)</w:t>
            </w:r>
          </w:p>
        </w:tc>
      </w:tr>
      <w:tr>
        <w:trPr>
          <w:trHeight w:val="306"/>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Indenture, dated January 15, 2013, among Terra Contracting Services, LLC, a Delaware limited liability company, a</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subsidiary of Great Lakes Dredge &amp; Dock Corporation, as issuer, the Company, the existing Guarantors, and Wells Fargo Bank, National</w:t>
            </w:r>
          </w:p>
        </w:tc>
      </w:tr>
      <w:tr>
        <w:trPr>
          <w:trHeight w:val="234"/>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Association, as trustee. (34)</w:t>
            </w:r>
          </w:p>
        </w:tc>
      </w:tr>
      <w:tr>
        <w:trPr>
          <w:trHeight w:val="306"/>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Supplemental Indenture, dated November 19, 2014, among Terra Fluid Management, LLC, a Delaware limited liability company,</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 Lakes Environmental &amp; Infrastructure Solutions, LLC, a Delaware limited liability company, Magnus Pacific Corporation, a</w:t>
            </w:r>
          </w:p>
        </w:tc>
      </w:tr>
      <w:tr>
        <w:trPr>
          <w:trHeight w:val="234"/>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California corporation, the Company, the existing guarantors and Wells Fargo Bank, National Association, as trustee. (23)</w:t>
            </w:r>
          </w:p>
        </w:tc>
      </w:tr>
      <w:tr>
        <w:trPr>
          <w:trHeight w:val="284"/>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7.375% Senior Note due 2019 (filed as Exhibit A to the Indenture, dated January 28, 2011, by and among the Company, certain</w:t>
            </w:r>
          </w:p>
        </w:tc>
      </w:tr>
      <w:tr>
        <w:trPr>
          <w:trHeight w:val="20"/>
        </w:trPr>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subsidiary guarantors named therein and Wells Fargo Bank, National Association, as trustee). (7)</w:t>
            </w:r>
          </w:p>
        </w:tc>
      </w:tr>
      <w:tr>
        <w:trPr>
          <w:trHeight w:val="324"/>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Specimen Common Stock Certificate for Great Lakes Dredge &amp; Dock Corporation. (11)</w:t>
            </w:r>
          </w:p>
        </w:tc>
      </w:tr>
      <w:tr>
        <w:trPr>
          <w:trHeight w:val="306"/>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Amended and Restated Underwriting and Continuing Indemnity Agreement, dated as of December 22, 2003, among Great Lakes</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Dredge &amp; Dock Corporation, certain of its subsidiaries, Travelers Casualty and Surety Company and Travelers Casualty and Surety</w:t>
            </w:r>
          </w:p>
        </w:tc>
      </w:tr>
      <w:tr>
        <w:trPr>
          <w:trHeight w:val="234"/>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of America. (9)</w:t>
            </w:r>
          </w:p>
        </w:tc>
      </w:tr>
      <w:tr>
        <w:trPr>
          <w:trHeight w:val="306"/>
        </w:trPr>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Amendment to Third Amended and Restated Underwriting and Continuing Indemnity Agreement, dated as of September 30, 2004,</w:t>
            </w:r>
          </w:p>
        </w:tc>
      </w:tr>
      <w:tr>
        <w:trPr>
          <w:trHeight w:val="216"/>
        </w:trPr>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and among Great Lakes Dredge &amp; Dock Corporation, certain of its subsidiaries, Travelers Casualty and Surety Company and Travelers</w:t>
            </w:r>
          </w:p>
        </w:tc>
      </w:tr>
      <w:tr>
        <w:trPr>
          <w:trHeight w:val="234"/>
        </w:trPr>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Casualty and Surety Company of America. (10)</w:t>
            </w:r>
          </w:p>
        </w:tc>
      </w:tr>
      <w:tr>
        <w:trPr>
          <w:trHeight w:val="365"/>
        </w:trPr>
        <w:tc>
          <w:tcPr>
            <w:tcW w:w="520" w:type="dxa"/>
            <w:vAlign w:val="bottom"/>
          </w:tcPr>
          <w:p>
            <w:pPr>
              <w:spacing w:after="0"/>
              <w:rPr>
                <w:sz w:val="24"/>
                <w:szCs w:val="24"/>
                <w:color w:val="auto"/>
              </w:rPr>
            </w:pPr>
          </w:p>
        </w:tc>
        <w:tc>
          <w:tcPr>
            <w:tcW w:w="10900" w:type="dxa"/>
            <w:vAlign w:val="bottom"/>
            <w:gridSpan w:val="4"/>
          </w:tcPr>
          <w:p>
            <w:pPr>
              <w:jc w:val="right"/>
              <w:ind w:right="5508"/>
              <w:spacing w:after="0"/>
              <w:rPr>
                <w:sz w:val="20"/>
                <w:szCs w:val="20"/>
                <w:color w:val="auto"/>
              </w:rPr>
            </w:pPr>
            <w:r>
              <w:rPr>
                <w:rFonts w:ascii="Times New Roman" w:cs="Times New Roman" w:eastAsia="Times New Roman" w:hAnsi="Times New Roman"/>
                <w:sz w:val="18"/>
                <w:szCs w:val="18"/>
                <w:color w:val="auto"/>
              </w:rPr>
              <w:t>110</w:t>
            </w:r>
          </w:p>
        </w:tc>
      </w:tr>
    </w:tbl>
    <w:p>
      <w:pPr>
        <w:sectPr>
          <w:pgSz w:w="11900" w:h="16838" w:orient="portrait"/>
          <w:cols w:equalWidth="0" w:num="1">
            <w:col w:w="11420"/>
          </w:cols>
          <w:pgMar w:left="240" w:top="455" w:right="239" w:bottom="1440" w:gutter="0" w:footer="0" w:header="0"/>
        </w:sectPr>
      </w:pPr>
    </w:p>
    <w:bookmarkStart w:id="112" w:name="page113"/>
    <w:bookmarkEnd w:id="1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Times New Roman" w:cs="Times New Roman" w:eastAsia="Times New Roman" w:hAnsi="Times New Roman"/>
                <w:sz w:val="18"/>
                <w:szCs w:val="18"/>
                <w:b w:val="1"/>
                <w:bCs w:val="1"/>
                <w:color w:val="0000EE"/>
                <w:w w:val="99"/>
              </w:rPr>
            </w:pPr>
            <w:hyperlink w:anchor="page2">
              <w:r>
                <w:rPr>
                  <w:rFonts w:ascii="Times New Roman" w:cs="Times New Roman" w:eastAsia="Times New Roman" w:hAnsi="Times New Roman"/>
                  <w:sz w:val="18"/>
                  <w:szCs w:val="18"/>
                  <w:b w:val="1"/>
                  <w:bCs w:val="1"/>
                  <w:color w:val="0000EE"/>
                  <w:w w:val="99"/>
                </w:rPr>
                <w:t>Table of Contents</w:t>
              </w:r>
            </w:hyperlink>
          </w:p>
        </w:tc>
        <w:tc>
          <w:tcPr>
            <w:tcW w:w="10020" w:type="dxa"/>
            <w:vAlign w:val="bottom"/>
          </w:tcPr>
          <w:p>
            <w:pPr>
              <w:spacing w:after="0"/>
              <w:rPr>
                <w:sz w:val="17"/>
                <w:szCs w:val="17"/>
                <w:color w:val="auto"/>
              </w:rPr>
            </w:pPr>
          </w:p>
        </w:tc>
      </w:tr>
      <w:tr>
        <w:trPr>
          <w:trHeight w:val="623"/>
        </w:trPr>
        <w:tc>
          <w:tcPr>
            <w:tcW w:w="1360" w:type="dxa"/>
            <w:vAlign w:val="bottom"/>
            <w:tcBorders>
              <w:top w:val="single" w:sz="8" w:color="0000EE"/>
            </w:tcBorders>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Second Amendment to Third Amended and Restated Underwriting and Continuing Indemnity Agreement, dated as of November 14, 2005,</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w w:val="99"/>
              </w:rPr>
              <w:t>by and among the Great Lakes Dredge &amp; Dock Corporation, the subsidiaries of Great Lakes Dredge &amp; Dock Company, Travelers Casualty</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w w:val="99"/>
              </w:rPr>
              <w:t>and Surety Company, United Pacific Insurance Company, Reliance National Insurance Company, Reliance Surety Company and Travelers</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Casualty and Surety Company of America. (13)</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Third Amendment to Third Amended and Restated Underwriting and Continuing Indemnity Agreement dated as of September 28, 2006,</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by and among Great Lakes Dredge &amp; Dock Corporation, certain of its subsidiaries, Travelers Casualty and Surety Company and Travelers</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Casualty and Surety Company of America. (14)</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w w:val="99"/>
              </w:rPr>
              <w:t>Fourth Amendment to Third Amended and Restated Underwriting and Continuing Indemnity Agreement dated as of June 12, 2007, by and</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among Great Lakes Dredge &amp; Dock Corporation, certain of its subsidiaries, Travelers Casualty and Surety Company of America. (18)</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Fifth Amendment to Third Amended and Restated Underwriting and Continuing Indemnity Agreement dated as of April 27, 2009, by and</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among Great Lakes Dredge &amp; Dock Corporation, certain of its subsidiaries, Travelers Casualty and Surety Company of America. (15)</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Sixth Amendment to Third Amended and Restated Underwriting and Continuing Indemnity Agreement, dated January 24, 2011, by and</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among the Company, the subsidiaries of the Company party thereto, Travelers Casualty and Surety Company and Travelers Casualty and</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Surety Company of America. (7)</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Seventh Amendment to Third Amended and Restated Underwriting and Continuing Indemnity Agreement, dated as of November 11,</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2011, by and among Great Lakes Dredge &amp; Dock Corporation, certain of its subsidiaries, Travelers Casualty and Surety Company and</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Travelers Casualty and Surety Company of America. (26)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Reaffirmation, Ratification and Assumption Agreement dated December 26, 2006, by and between Great Lakes Dredge &amp; Dock</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Corporation (formerly named Great Lakes Dredge &amp; Dock Holdings Corp.) and Wells Fargo Bank, National Association, as successor by</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merger to Wells Fargo HSBC Trade Bank, as amended (the “International Letter of Credit Facility”). (6)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Management Equity Agreement dated December 26, 2006 by and among Aldabra Acquisition Corporation, Great</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Lakes Dredge &amp; Dock Holdings Corp. and each of the other persons identified on the signature pages thereto. †(6)</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between the Company and Jonathan W. Berger. †(12)</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April 9, 2012 between Great Lakes Dredge &amp; Dock Corporation and David E. Simonelli. †(27)</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April 26, 2012 between Great Lakes Dredge &amp; Dock Corporation and Kyle D. Johnson. †(28)</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Employment Agreement with Jonathan W. Berger, dated as of May 8, 2014. †(38)</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Offer letter, dated as of June 5, 2014 to Mark W. Marinko. †(39)</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September 12, 2014 between Great Lakes Dredge &amp; Dock, LLC and Mark W. Marinko. †(16)</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as of September 12, 2014 between Great Lakes Dredge &amp; Dock, LLC and Maryann A. Waryjas .†(16)</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Great Lakes Dredge &amp; Dock Company, LLC Annual Bonus Plan effective as of January 1, 2012. †(25)</w:t>
            </w:r>
          </w:p>
        </w:tc>
      </w:tr>
      <w:tr>
        <w:trPr>
          <w:trHeight w:val="365"/>
        </w:trPr>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111</w:t>
            </w:r>
          </w:p>
        </w:tc>
      </w:tr>
    </w:tbl>
    <w:p>
      <w:pPr>
        <w:sectPr>
          <w:pgSz w:w="11900" w:h="16838" w:orient="portrait"/>
          <w:cols w:equalWidth="0" w:num="1">
            <w:col w:w="11400"/>
          </w:cols>
          <w:pgMar w:left="240" w:top="446" w:right="259" w:bottom="1440" w:gutter="0" w:footer="0" w:header="0"/>
        </w:sectPr>
      </w:pPr>
    </w:p>
    <w:bookmarkStart w:id="113" w:name="page114"/>
    <w:bookmarkEnd w:id="1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Times New Roman" w:cs="Times New Roman" w:eastAsia="Times New Roman" w:hAnsi="Times New Roman"/>
                <w:sz w:val="18"/>
                <w:szCs w:val="18"/>
                <w:b w:val="1"/>
                <w:bCs w:val="1"/>
                <w:color w:val="0000EE"/>
                <w:w w:val="99"/>
              </w:rPr>
            </w:pPr>
            <w:hyperlink w:anchor="page2">
              <w:r>
                <w:rPr>
                  <w:rFonts w:ascii="Times New Roman" w:cs="Times New Roman" w:eastAsia="Times New Roman" w:hAnsi="Times New Roman"/>
                  <w:sz w:val="18"/>
                  <w:szCs w:val="18"/>
                  <w:b w:val="1"/>
                  <w:bCs w:val="1"/>
                  <w:color w:val="0000EE"/>
                  <w:w w:val="99"/>
                </w:rPr>
                <w:t>Table of Contents</w:t>
              </w:r>
            </w:hyperlink>
          </w:p>
        </w:tc>
        <w:tc>
          <w:tcPr>
            <w:tcW w:w="10040" w:type="dxa"/>
            <w:vAlign w:val="bottom"/>
          </w:tcPr>
          <w:p>
            <w:pPr>
              <w:spacing w:after="0"/>
              <w:rPr>
                <w:sz w:val="17"/>
                <w:szCs w:val="17"/>
                <w:color w:val="auto"/>
              </w:rPr>
            </w:pPr>
          </w:p>
        </w:tc>
      </w:tr>
      <w:tr>
        <w:trPr>
          <w:trHeight w:val="642"/>
        </w:trPr>
        <w:tc>
          <w:tcPr>
            <w:tcW w:w="1360" w:type="dxa"/>
            <w:vAlign w:val="bottom"/>
            <w:tcBorders>
              <w:top w:val="single" w:sz="8" w:color="0000EE"/>
            </w:tcBorders>
          </w:tcPr>
          <w:p>
            <w:pPr>
              <w:jc w:val="right"/>
              <w:ind w:right="770"/>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401(k) Savings Plan. †(19)</w:t>
            </w:r>
          </w:p>
        </w:tc>
      </w:tr>
      <w:tr>
        <w:trPr>
          <w:trHeight w:val="324"/>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401(k) Lost Benefit Plan. †(11)</w:t>
            </w:r>
          </w:p>
        </w:tc>
      </w:tr>
      <w:tr>
        <w:trPr>
          <w:trHeight w:val="324"/>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Great Lakes Dredge &amp; Dock Corporation Supplemental Savings Plan effective January 1, 2014. †(17)</w:t>
            </w:r>
          </w:p>
        </w:tc>
      </w:tr>
      <w:tr>
        <w:trPr>
          <w:trHeight w:val="324"/>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Lease Agreement between North American Site Developers, Inc. and MJC Berry Enterprises, LLC, dated as of December 31, 2006. (20)</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Investor Rights Agreement among Aldabra Acquisition Corporation, Great Lakes Dredge &amp; Dock Holdings Corp., Madison</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Dearborn Capital Partners IV, L.P., certain stockholders of Aldabra Acquisition Corporation and certain stockholders of GLDD</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Corp. (3)</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Agreement, dated April 30, 2008, by and among NASDI Holdings Corporation, Christopher A. Berardi and</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NASDI, LLC. (21)</w:t>
            </w:r>
          </w:p>
        </w:tc>
      </w:tr>
      <w:tr>
        <w:trPr>
          <w:trHeight w:val="324"/>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Great Lakes Dredge &amp; Dock Corporation 2007 Long-Term Incentive Plan. †(35)</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Great Lakes Dredge &amp; Dock Corporation Non-Qualified Stock Option Agreement pursuant to the Great Lakes Dredge &amp; Dock</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Corporation 2007 Long-Term Incentive Plan. †(22)</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Great Lakes Dredge &amp; Dock Corporation Restricted Stock Unit Award Agreement pursuant to the Great Lakes Dredge &amp; Dock</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Corporation 2007 Long-Term Incentive Plan. †(22)</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Form of Great Lakes Dredge &amp; Dock Corporation Performance Vesting RSU Award Agreement pursuant to the Great Lakes Dredge &amp;</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Dock Corporation 2007 Long-Term Incentive Plan. †(22)</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Asset Purchase Agreement dated as of December 31, 2010 among Great Lakes Dredge &amp; Dock Corporation, L.W. Matteson, Inc.,</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Lawrence W. Matteson and Larry W. Matteson. (8)</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Share Purchase Agreement dated November 4, 2014 among Great Lakes Environmental and Infrastructure Solutions, LLC and Magnus</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Pacific Corporation.#*</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dated November 4, 2014, made and delivered by Great Lakes Dredge &amp; Dock Company in favor of prior Holders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Magnus Pacific Corporation shares.#*</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Purchase Agreement, dated November 19, 2014, by and among the Company, certain subsidiary guarantors named therein and Deutsche</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Bank Securities Inc., as the initial purchaser. (23)</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January 28, 2011, by and among the Company, certain subsidiary guarantors named therein and the</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initial purchasers named therein. (7)</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November 24, 2014, by and among the Company, certain subsidiary guarantors named therein and</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Securities Inc., as the initial purchaser. (23)</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10.35</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dated as of June 4, 2012 by and among Great Lakes Dredge &amp; Dock Corporation, as Borrower, the other Credit Parties</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party thereto, the financial institutions from time to time party thereto as lenders, Wells Fargo Bank, National Association, as</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 Swingline Lender and an Issuing Lender, Bank of America N.A., as Syndication Agent and PNC Bank, National</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Association, BMO Harris Bank N.A. and Fifth Third Bank, as Co-Documentation Agents. (29)</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10.36</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Credit Agreement dated as of December 11, 2012 by and among Great Lakes Dredge &amp; Dock Corporation, as</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Borrower, the other Credit Parties party thereto, the financial institutions from time to time party thereto as lenders, Wells Fargo Bank,</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w w:val="99"/>
              </w:rPr>
              <w:t>National Association, as Administrative Agent, Swingline Lender and an Issuing Lender, Bank of America N.A., as Syndication Agent and</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PNC Bank, National Association, BMO Harris Bank N.A. and Fifth Third Bank, as Co-Documentation Agents. (30)</w:t>
            </w:r>
          </w:p>
        </w:tc>
      </w:tr>
      <w:tr>
        <w:trPr>
          <w:trHeight w:val="306"/>
        </w:trPr>
        <w:tc>
          <w:tcPr>
            <w:tcW w:w="13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10.37</w:t>
            </w:r>
          </w:p>
        </w:tc>
        <w:tc>
          <w:tcPr>
            <w:tcW w:w="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Waiver and Amendment No. 2 to Credit Agreement, dated as of March 15, 2013, by and among Great Lakes Dredge &amp; Dock Corporation,</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the other Credit Parties party thereto, Wells Fargo Bank, National Association, as Administrative Agent, Swingline Lender and an Issuing</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Lender, and the other lenders party thereto. (31)</w:t>
            </w:r>
          </w:p>
        </w:tc>
      </w:tr>
      <w:tr>
        <w:trPr>
          <w:trHeight w:val="365"/>
        </w:trPr>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112</w:t>
            </w:r>
          </w:p>
        </w:tc>
      </w:tr>
    </w:tbl>
    <w:p>
      <w:pPr>
        <w:sectPr>
          <w:pgSz w:w="11900" w:h="16838" w:orient="portrait"/>
          <w:cols w:equalWidth="0" w:num="1">
            <w:col w:w="11420"/>
          </w:cols>
          <w:pgMar w:left="240" w:top="446" w:right="239" w:bottom="1440" w:gutter="0" w:footer="0" w:header="0"/>
        </w:sectPr>
      </w:pPr>
    </w:p>
    <w:bookmarkStart w:id="114" w:name="page115"/>
    <w:bookmarkEnd w:id="1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Times New Roman" w:cs="Times New Roman" w:eastAsia="Times New Roman" w:hAnsi="Times New Roman"/>
                <w:sz w:val="18"/>
                <w:szCs w:val="18"/>
                <w:b w:val="1"/>
                <w:bCs w:val="1"/>
                <w:color w:val="0000EE"/>
                <w:w w:val="99"/>
              </w:rPr>
            </w:pPr>
            <w:hyperlink w:anchor="page2">
              <w:r>
                <w:rPr>
                  <w:rFonts w:ascii="Times New Roman" w:cs="Times New Roman" w:eastAsia="Times New Roman" w:hAnsi="Times New Roman"/>
                  <w:sz w:val="18"/>
                  <w:szCs w:val="18"/>
                  <w:b w:val="1"/>
                  <w:bCs w:val="1"/>
                  <w:color w:val="0000EE"/>
                  <w:w w:val="99"/>
                </w:rPr>
                <w:t>Table of Contents</w:t>
              </w:r>
            </w:hyperlink>
          </w:p>
        </w:tc>
        <w:tc>
          <w:tcPr>
            <w:tcW w:w="10020" w:type="dxa"/>
            <w:vAlign w:val="bottom"/>
          </w:tcPr>
          <w:p>
            <w:pPr>
              <w:spacing w:after="0"/>
              <w:rPr>
                <w:sz w:val="17"/>
                <w:szCs w:val="17"/>
                <w:color w:val="auto"/>
              </w:rPr>
            </w:pPr>
          </w:p>
        </w:tc>
      </w:tr>
      <w:tr>
        <w:trPr>
          <w:trHeight w:val="623"/>
        </w:trPr>
        <w:tc>
          <w:tcPr>
            <w:tcW w:w="1360" w:type="dxa"/>
            <w:vAlign w:val="bottom"/>
            <w:tcBorders>
              <w:top w:val="single" w:sz="8" w:color="0000EE"/>
            </w:tcBorders>
          </w:tcPr>
          <w:p>
            <w:pPr>
              <w:ind w:left="100"/>
              <w:spacing w:after="0"/>
              <w:rPr>
                <w:sz w:val="20"/>
                <w:szCs w:val="20"/>
                <w:color w:val="auto"/>
              </w:rPr>
            </w:pPr>
            <w:r>
              <w:rPr>
                <w:rFonts w:ascii="Times New Roman" w:cs="Times New Roman" w:eastAsia="Times New Roman" w:hAnsi="Times New Roman"/>
                <w:sz w:val="18"/>
                <w:szCs w:val="18"/>
                <w:color w:val="auto"/>
              </w:rPr>
              <w:t>10.38</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w w:val="99"/>
              </w:rPr>
              <w:t>Amendment No. 3 to Credit Agreement, dated as of July 3, 2013, by and among Great Lakes Dredge &amp; Dock Corporation, the other Credit</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Parties party thereto, Wells Fargo Bank, National Association, as Administrative Agent, Swingline Lender and an Issuing Lender, and the</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lenders party thereto. (32)</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10.39</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4 to Credit Agreement, dated as of April 23, 2014, by and among Great Lakes Dredge &amp; Dock Corporation, the other</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Credit Parties party thereto, Wells Fargo Bank, National Association, as Administrative Agent, Swingline Lender and an Issuing Lender,</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and the other lenders party thereto. (37)</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10.40</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w w:val="99"/>
              </w:rPr>
              <w:t>Amendment No. 5 to Credit Agreement and Incremental Commitment Increase Agreement, dated as of September 15, 2014, by and among</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Great Lakes Dredge &amp; Dock Corporation, the other Credit Parties party thereto, Wells Fargo Bank, National Association, as</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 Swingline Lender and an Issuing Lender, and the other lenders party thereto. (16)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Sixth Amendment to Credit Agreement, dated as of November 4, 2014, by and among Great Lakes Dredge &amp; Dock Corporation, the other</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Credit Parties party thereto and the other lenders party thereto. (36)</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10.42</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Lender-Surety Priority Agreement, dated as of June 4, 2012, by and between Wells Fargo Bank, National Association and Zurich</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American Insurance Company and its subsidiaries and affiliates. (34)</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10.43</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Agreement of Indemnity, dated as of September 7, 2011, by and among Great Lakes Dredge &amp; Dock Corporation, Great Lakes Dredge &amp;</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Dock Company, LLC, Lydon Dredging and Construction Company, Ltd., Fifty-Three Dredging Corporation, Dawson Marine Services</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Company, Great Lakes Dredge &amp; Dock Environmental, Inc. f/k/a Great Lakes Caribbean Dredging, Inc., NASDI, LLC, NASDI Holdings</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Corporation, Yankee Environmental Services, LLC, Great Lakes Dredge &amp; Dock (Bahamas) Ltd. and Zurich American Insurance</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Company and its subsidiaries and affiliates. (34)</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10.44</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Second Rider to General Agreement of Indemnity, dated as April 23, 2014, by and among Great Lakes Dredge &amp; Dock Corporation, Great</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Lakes Dredge &amp; Dock Company, LLC, Lydon Dredging and Construction Company, Ltd., Fifty-Three Dredging Corporation, Dawson</w:t>
            </w: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Marine Services Company, Great Lakes Dredge &amp; Dock Environmental, Inc. f/k/a Great Lakes Caribbean Dredging, Inc., Great Lakes</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Dredge &amp; Dock (Bahamas) Ltd. and Zurich American Insurance Company and its subsidiaries and affiliates. (37)</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Loan Agreement dated as of November 4, 2014 by and among Great Lakes Dredge &amp; Dock Corporation, as Borrower, the Lenders from</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time to time party hereto and Bank of America, N.A., as Administrative Agent.#*</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Vessel Construction Agreement, dated January 10, 2014 by and between Eastern Shipbuilding Group, Inc. and Great Lakes Dredge &amp;</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Dock Company, LLC. ##(16)</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Fixed Charges. *</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Code of Business Conduct and Ethics. (24)</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Great Lakes Dredge &amp; Dock Corporation. *</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Consent of Deloitte &amp; Touche LLP. *</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Rules 13a-14 and 15d-14 under the Securities Exchange Act of 1934, as Adopted Pursuant to Section 302 of the</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 *</w:t>
            </w:r>
          </w:p>
        </w:tc>
      </w:tr>
      <w:tr>
        <w:trPr>
          <w:trHeight w:val="30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Rules 13a-14 and 15d-14 under the Securities Exchange Act of 1934, as Adopted Pursuant to Section 302 of the</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 *</w:t>
            </w:r>
          </w:p>
        </w:tc>
      </w:tr>
      <w:tr>
        <w:trPr>
          <w:trHeight w:val="324"/>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w:t>
            </w:r>
          </w:p>
        </w:tc>
      </w:tr>
      <w:tr>
        <w:trPr>
          <w:trHeight w:val="365"/>
        </w:trPr>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113</w:t>
            </w:r>
          </w:p>
        </w:tc>
      </w:tr>
    </w:tbl>
    <w:p>
      <w:pPr>
        <w:sectPr>
          <w:pgSz w:w="11900" w:h="16838" w:orient="portrait"/>
          <w:cols w:equalWidth="0" w:num="1">
            <w:col w:w="11400"/>
          </w:cols>
          <w:pgMar w:left="240" w:top="446" w:right="259" w:bottom="1440" w:gutter="0" w:footer="0" w:header="0"/>
        </w:sectPr>
      </w:pPr>
    </w:p>
    <w:bookmarkStart w:id="115" w:name="page116"/>
    <w:bookmarkEnd w:id="1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Times New Roman" w:cs="Times New Roman" w:eastAsia="Times New Roman" w:hAnsi="Times New Roman"/>
                <w:sz w:val="18"/>
                <w:szCs w:val="18"/>
                <w:b w:val="1"/>
                <w:bCs w:val="1"/>
                <w:color w:val="0000EE"/>
                <w:w w:val="99"/>
              </w:rPr>
            </w:pPr>
            <w:hyperlink w:anchor="page2">
              <w:r>
                <w:rPr>
                  <w:rFonts w:ascii="Times New Roman" w:cs="Times New Roman" w:eastAsia="Times New Roman" w:hAnsi="Times New Roman"/>
                  <w:sz w:val="18"/>
                  <w:szCs w:val="18"/>
                  <w:b w:val="1"/>
                  <w:bCs w:val="1"/>
                  <w:color w:val="0000EE"/>
                  <w:w w:val="99"/>
                </w:rPr>
                <w:t>Table of Contents</w:t>
              </w:r>
            </w:hyperlink>
          </w:p>
        </w:tc>
        <w:tc>
          <w:tcPr>
            <w:tcW w:w="8920" w:type="dxa"/>
            <w:vAlign w:val="bottom"/>
          </w:tcPr>
          <w:p>
            <w:pPr>
              <w:spacing w:after="0"/>
              <w:rPr>
                <w:sz w:val="17"/>
                <w:szCs w:val="17"/>
                <w:color w:val="auto"/>
              </w:rPr>
            </w:pPr>
          </w:p>
        </w:tc>
      </w:tr>
      <w:tr>
        <w:trPr>
          <w:trHeight w:val="642"/>
        </w:trPr>
        <w:tc>
          <w:tcPr>
            <w:tcW w:w="1360" w:type="dxa"/>
            <w:vAlign w:val="bottom"/>
            <w:tcBorders>
              <w:top w:val="single" w:sz="8" w:color="0000EE"/>
            </w:tcBorders>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w w:val="99"/>
              </w:rPr>
              <w:t>Certification Pursuant to 18 U.S.C. Section 1350, as Adopted Pursuant to Section 906 of the Sarbanes-Oxley Act of 2002. *</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 *</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w:t>
            </w:r>
          </w:p>
        </w:tc>
      </w:tr>
      <w:tr>
        <w:trPr>
          <w:trHeight w:val="32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260" w:hanging="452"/>
        <w:spacing w:after="0" w:line="261"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January 6, 2004 (Commission file no. 333-64687).</w:t>
      </w:r>
    </w:p>
    <w:p>
      <w:pPr>
        <w:ind w:left="460" w:right="40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June 22, 2006 (Commission file no. 333-64687).</w:t>
      </w:r>
    </w:p>
    <w:p>
      <w:pPr>
        <w:ind w:left="460" w:right="76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Holding Corp.’s Registration Statement on Form S-4 filed with the Commission on August 24, 2006 (Commission file no. 333-136861-01).</w:t>
      </w:r>
    </w:p>
    <w:p>
      <w:pPr>
        <w:ind w:left="460" w:right="90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Registration Statement on Form 8-A filed with the Commission on December 26, 2006 (Commission file no. 001-33225).</w:t>
      </w:r>
    </w:p>
    <w:p>
      <w:pPr>
        <w:ind w:left="460" w:right="28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March 14, 2011 (Commission file no. 001-33225).</w:t>
      </w:r>
    </w:p>
    <w:p>
      <w:pPr>
        <w:ind w:left="46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December 29, 2006 (Commission file no. 001-33225).</w:t>
      </w:r>
    </w:p>
    <w:p>
      <w:pPr>
        <w:ind w:left="460" w:right="18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January 28, 2011 (Commission file no. 001-33225).</w:t>
      </w:r>
    </w:p>
    <w:p>
      <w:pPr>
        <w:ind w:left="460" w:right="28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January 3, 2011 (Commission file no. 001-33225).</w:t>
      </w:r>
    </w:p>
    <w:p>
      <w:pPr>
        <w:ind w:left="460" w:right="4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8-K/A filed with the Commission on August 17, 2010 (Commission file no. 001-33225).</w:t>
      </w:r>
    </w:p>
    <w:p>
      <w:pPr>
        <w:ind w:left="460" w:right="4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8-K/A filed with the Commission on August 17, 2010 (Commission file no. 001-33225).</w:t>
      </w:r>
    </w:p>
    <w:p>
      <w:pPr>
        <w:ind w:left="460" w:right="20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Annual Report on Form 10-K filed with the Commission on March 22, 2007 (Commission file no. 001-33225).</w:t>
      </w:r>
    </w:p>
    <w:p>
      <w:pPr>
        <w:ind w:left="460" w:right="6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September 8, 2010 (Commission file no. 001-33225).</w:t>
      </w:r>
    </w:p>
    <w:p>
      <w:pPr>
        <w:ind w:left="460" w:right="38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November 17, 2005 (Commission file no. 333-64687).</w:t>
      </w:r>
    </w:p>
    <w:p>
      <w:pPr>
        <w:ind w:left="460" w:right="24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October 4, 2006 (Commission file no. 333-64687).</w:t>
      </w:r>
    </w:p>
    <w:p>
      <w:pPr>
        <w:ind w:left="460" w:right="36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April 29, 2009 (Commission file no. 001-33225).</w:t>
      </w:r>
    </w:p>
    <w:p>
      <w:pPr>
        <w:ind w:left="460" w:right="36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September 12, 2014 (Commission file no. 001-33225).</w:t>
      </w:r>
    </w:p>
    <w:p>
      <w:pPr>
        <w:ind w:left="460" w:right="20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Annual Report on Form 10-K filed with the Commission on March 11, 2014 (Commission file no. 001-33225).</w:t>
      </w:r>
    </w:p>
    <w:p>
      <w:pPr>
        <w:ind w:left="460" w:right="4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8-K/A filed with the Commission on August 17, 2010 (Commission file no. 001-33225).</w:t>
      </w:r>
    </w:p>
    <w:p>
      <w:pPr>
        <w:ind w:left="460" w:right="200" w:hanging="452"/>
        <w:spacing w:after="0" w:line="250"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Annual Report on Form 10-K filed with the Commission on March 30, 2005 (Commission file no. 333-64687).</w:t>
      </w:r>
    </w:p>
    <w:p>
      <w:pPr>
        <w:ind w:left="460" w:right="80" w:hanging="452"/>
        <w:spacing w:after="0" w:line="261"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February 20, 2007 (Commission file no. 001-33225).</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00"/>
          </w:cols>
          <w:pgMar w:left="240" w:top="446" w:right="2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520" w:hanging="452"/>
        <w:spacing w:after="0" w:line="261"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May 6, 2008 (Commission file no. 001-33225).</w:t>
      </w:r>
    </w:p>
    <w:p>
      <w:pPr>
        <w:ind w:left="460" w:right="56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July 1, 2011 (Commission file no. 001-33225).</w:t>
      </w:r>
    </w:p>
    <w:p>
      <w:pPr>
        <w:ind w:left="460" w:right="40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November 24, 2014 (Commission file no. 001-33225).</w:t>
      </w:r>
    </w:p>
    <w:p>
      <w:pPr>
        <w:ind w:left="460" w:right="18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October 24, 2005 (Commission file no. 333-64687).</w:t>
      </w:r>
    </w:p>
    <w:p>
      <w:pPr>
        <w:ind w:left="460" w:right="20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January 17, 2012 (Commission file no. 001-33225).</w:t>
      </w:r>
    </w:p>
    <w:p>
      <w:pPr>
        <w:ind w:left="46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November 16, 2011 (Commission file no. 001-33225).</w:t>
      </w:r>
    </w:p>
    <w:p>
      <w:pPr>
        <w:ind w:left="460" w:right="38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April 13, 2012 (Commission file no. 001-33225).</w:t>
      </w:r>
    </w:p>
    <w:p>
      <w:pPr>
        <w:ind w:left="460" w:right="52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May 2, 2012 (Commission file no. 001-33225).</w:t>
      </w:r>
    </w:p>
    <w:p>
      <w:pPr>
        <w:ind w:left="460" w:right="52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June 7, 2012 (Commission file no. 001-33225).</w:t>
      </w:r>
    </w:p>
    <w:p>
      <w:pPr>
        <w:ind w:left="460" w:right="2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December 14, 2012 (Commission file no. 001-33225).</w:t>
      </w:r>
    </w:p>
    <w:p>
      <w:pPr>
        <w:ind w:left="460" w:right="28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March 19, 2013 (Commission file no. 001-33225).</w:t>
      </w:r>
    </w:p>
    <w:p>
      <w:pPr>
        <w:ind w:left="460" w:right="46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July 10, 2013 (Commission file no. 001-33225).</w:t>
      </w:r>
    </w:p>
    <w:p>
      <w:pPr>
        <w:ind w:left="460" w:right="52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May 9, 2011 (Commission file no. 001-33225).</w:t>
      </w:r>
    </w:p>
    <w:p>
      <w:pPr>
        <w:ind w:left="460" w:right="22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Annual Report on Form 10-K filed with the Commission on March 29, 2013 (Commission file no. 001-33225).</w:t>
      </w:r>
    </w:p>
    <w:p>
      <w:pPr>
        <w:ind w:left="460" w:right="24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Definitive Proxy Statement on Schedule 14A, filed with the Commission on April 4, 2012 (Commission file no. 001-33225).</w:t>
      </w:r>
    </w:p>
    <w:p>
      <w:pPr>
        <w:ind w:left="460" w:right="8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November 4, 2014 (Commission file no. 001-33225).</w:t>
      </w:r>
    </w:p>
    <w:p>
      <w:pPr>
        <w:ind w:left="460" w:right="28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Quarterly Report on Form 10-Q filed with the Commission on May 7, 2014 (Commission file no. 001-33225).</w:t>
      </w:r>
    </w:p>
    <w:p>
      <w:pPr>
        <w:ind w:left="460" w:right="420" w:hanging="452"/>
        <w:spacing w:after="0" w:line="250"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May 13, 2014 (Commission file no. 001-33225).</w:t>
      </w: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Quarterly Report on Form 10-Q filed with the Commission on August 6, 2014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(Commission file no. 001-33225).</w:t>
      </w:r>
    </w:p>
    <w:p>
      <w:pPr>
        <w:spacing w:after="0" w:line="9"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arrangement</w:t>
      </w:r>
    </w:p>
    <w:p>
      <w:pPr>
        <w:spacing w:after="0" w:line="9" w:lineRule="exact"/>
        <w:rPr>
          <w:sz w:val="20"/>
          <w:szCs w:val="20"/>
          <w:color w:val="auto"/>
        </w:rPr>
      </w:pPr>
    </w:p>
    <w:p>
      <w:pPr>
        <w:ind w:left="460" w:right="100" w:hanging="452"/>
        <w:spacing w:after="0" w:line="250"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pending a determination by the Securities and Exchange Commission as to whether these portions should be granted confidential treatment.</w:t>
      </w:r>
    </w:p>
    <w:p>
      <w:pPr>
        <w:spacing w:after="0" w:line="1" w:lineRule="exact"/>
        <w:rPr>
          <w:sz w:val="20"/>
          <w:szCs w:val="20"/>
          <w:color w:val="auto"/>
        </w:rPr>
      </w:pPr>
    </w:p>
    <w:p>
      <w:pPr>
        <w:ind w:left="5580" w:right="2220" w:hanging="5572"/>
        <w:spacing w:after="0" w:line="433" w:lineRule="auto"/>
        <w:tabs>
          <w:tab w:leader="none" w:pos="4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previously granted confidential treatment by the Securities and Exchange Commission. 115</w:t>
      </w:r>
    </w:p>
    <w:p>
      <w:pPr>
        <w:sectPr>
          <w:pgSz w:w="11900" w:h="16838" w:orient="portrait"/>
          <w:cols w:equalWidth="0" w:num="1">
            <w:col w:w="11420"/>
          </w:cols>
          <w:pgMar w:left="240" w:top="455" w:right="239" w:bottom="1440" w:gutter="0" w:footer="0" w:header="0"/>
        </w:sectPr>
      </w:pPr>
    </w:p>
    <w:bookmarkStart w:id="117" w:name="page118"/>
    <w:bookmarkEnd w:id="117"/>
    <w:p>
      <w:pPr>
        <w:jc w:val="center"/>
        <w:ind w:right="80"/>
        <w:spacing w:after="0"/>
        <w:rPr>
          <w:sz w:val="20"/>
          <w:szCs w:val="20"/>
          <w:color w:val="auto"/>
        </w:rPr>
      </w:pPr>
      <w:r>
        <w:rPr>
          <w:rFonts w:ascii="Times New Roman" w:cs="Times New Roman" w:eastAsia="Times New Roman" w:hAnsi="Times New Roman"/>
          <w:sz w:val="17"/>
          <w:szCs w:val="17"/>
          <w:color w:val="auto"/>
        </w:rPr>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1767205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DATED AS OF THE 4TH DAY OF NOVEMBER, 2014</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GREAT LAKES ENVIRONMENTAL</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 INFRASTRUCTURE SOLUTIONS, LLC, AS PURCHASER</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MAGNUS PACIFIC CORPORATION, AS THE COMPANY</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SELLERS IDENTIFIED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586105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80"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 PURCHASE AND SALE OF THE SHARES</w:t>
      </w:r>
    </w:p>
    <w:p>
      <w:pPr>
        <w:spacing w:after="0" w:line="27"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color w:val="auto"/>
        </w:rPr>
        <w:t>Purchase.</w:t>
      </w:r>
    </w:p>
    <w:p>
      <w:pPr>
        <w:spacing w:after="0" w:line="23"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7"/>
          <w:szCs w:val="17"/>
          <w:color w:val="auto"/>
        </w:rPr>
        <w:t>Purchase Price.</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color w:val="auto"/>
        </w:rPr>
        <w:t>Adjustments to Purchase Price.</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7"/>
          <w:szCs w:val="17"/>
          <w:color w:val="auto"/>
        </w:rPr>
        <w:t>Note.</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7"/>
          <w:szCs w:val="17"/>
          <w:color w:val="auto"/>
        </w:rPr>
        <w:t>Earn-Out Consideration.</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1.06.</w:t>
      </w:r>
      <w:r>
        <w:rPr>
          <w:sz w:val="20"/>
          <w:szCs w:val="20"/>
          <w:color w:val="auto"/>
        </w:rPr>
        <w:tab/>
      </w:r>
      <w:r>
        <w:rPr>
          <w:rFonts w:ascii="Times New Roman" w:cs="Times New Roman" w:eastAsia="Times New Roman" w:hAnsi="Times New Roman"/>
          <w:sz w:val="17"/>
          <w:szCs w:val="17"/>
          <w:color w:val="auto"/>
        </w:rPr>
        <w:t>Allocation of Purchase Price.</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1.07.</w:t>
      </w:r>
      <w:r>
        <w:rPr>
          <w:sz w:val="20"/>
          <w:szCs w:val="20"/>
          <w:color w:val="auto"/>
        </w:rPr>
        <w:tab/>
      </w:r>
      <w:r>
        <w:rPr>
          <w:rFonts w:ascii="Times New Roman" w:cs="Times New Roman" w:eastAsia="Times New Roman" w:hAnsi="Times New Roman"/>
          <w:sz w:val="17"/>
          <w:szCs w:val="17"/>
          <w:color w:val="auto"/>
        </w:rPr>
        <w:t>Section 338(h)(10) Election.</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1.08.</w:t>
      </w:r>
      <w:r>
        <w:rPr>
          <w:sz w:val="20"/>
          <w:szCs w:val="20"/>
          <w:color w:val="auto"/>
        </w:rPr>
        <w:tab/>
      </w:r>
      <w:r>
        <w:rPr>
          <w:rFonts w:ascii="Times New Roman" w:cs="Times New Roman" w:eastAsia="Times New Roman" w:hAnsi="Times New Roman"/>
          <w:sz w:val="17"/>
          <w:szCs w:val="17"/>
          <w:color w:val="auto"/>
        </w:rPr>
        <w:t>Fair Consideration.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 CLOSING</w:t>
      </w:r>
    </w:p>
    <w:p>
      <w:pPr>
        <w:spacing w:after="0" w:line="27"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color w:val="auto"/>
        </w:rPr>
        <w:t>Closing Date.</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color w:val="auto"/>
        </w:rPr>
        <w:t>Deliveries by Seller.</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color w:val="auto"/>
        </w:rPr>
        <w:t>Deliveries by Purchaser.</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color w:val="auto"/>
        </w:rPr>
        <w:t>Post-Closing Matters.</w:t>
      </w:r>
    </w:p>
    <w:p>
      <w:pPr>
        <w:spacing w:after="0" w:line="207" w:lineRule="exact"/>
        <w:rPr>
          <w:sz w:val="20"/>
          <w:szCs w:val="20"/>
          <w:color w:val="auto"/>
        </w:rPr>
      </w:pPr>
    </w:p>
    <w:p>
      <w:pPr>
        <w:ind w:left="220" w:right="2300" w:hanging="202"/>
        <w:spacing w:after="0" w:line="261" w:lineRule="auto"/>
        <w:rPr>
          <w:sz w:val="20"/>
          <w:szCs w:val="20"/>
          <w:color w:val="auto"/>
        </w:rPr>
      </w:pPr>
      <w:r>
        <w:rPr>
          <w:rFonts w:ascii="Times New Roman" w:cs="Times New Roman" w:eastAsia="Times New Roman" w:hAnsi="Times New Roman"/>
          <w:sz w:val="18"/>
          <w:szCs w:val="18"/>
          <w:color w:val="auto"/>
        </w:rPr>
        <w:t>ARTICLE III. INDIVIDUAL REPRESENTATIONS AND WARRANTIES OF SELLERS Section 3.01. Authorization and Validity of Agreement.</w:t>
      </w: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color w:val="auto"/>
        </w:rPr>
        <w:t>No Conflict or Violation.</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color w:val="auto"/>
        </w:rPr>
        <w:t>Consents and Approvals.</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color w:val="auto"/>
        </w:rPr>
        <w:t>Title to the Shares and Related Matters.</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color w:val="auto"/>
        </w:rPr>
        <w:t>Broker’s and Finder’s Fees.</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color w:val="auto"/>
        </w:rPr>
        <w:t>Legal Proceedings.</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3.07.</w:t>
      </w:r>
      <w:r>
        <w:rPr>
          <w:sz w:val="20"/>
          <w:szCs w:val="20"/>
          <w:color w:val="auto"/>
        </w:rPr>
        <w:tab/>
      </w:r>
      <w:r>
        <w:rPr>
          <w:rFonts w:ascii="Times New Roman" w:cs="Times New Roman" w:eastAsia="Times New Roman" w:hAnsi="Times New Roman"/>
          <w:sz w:val="17"/>
          <w:szCs w:val="17"/>
          <w:color w:val="auto"/>
        </w:rPr>
        <w:t>GLDD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 REPRESENTATIONS AND WARRANTIES OF THE COMPANY</w:t>
      </w:r>
    </w:p>
    <w:p>
      <w:pPr>
        <w:spacing w:after="0" w:line="27"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color w:val="auto"/>
        </w:rPr>
        <w:t>Organization; Power.</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color w:val="auto"/>
        </w:rPr>
        <w:t>Authorization and Validity of Agreement.</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8"/>
          <w:szCs w:val="18"/>
          <w:color w:val="auto"/>
        </w:rPr>
        <w:t>Capital Structure of the Company and Related Matters; Owners of Shares; Subsidiaries.</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color w:val="auto"/>
        </w:rPr>
        <w:t>No Conflict or Violation.</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7"/>
          <w:szCs w:val="17"/>
          <w:color w:val="auto"/>
        </w:rPr>
        <w:t>Consents and Approvals.</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7"/>
          <w:szCs w:val="17"/>
          <w:color w:val="auto"/>
        </w:rPr>
        <w:t>Financial Statements; Books and Records.</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4.07.</w:t>
      </w:r>
      <w:r>
        <w:rPr>
          <w:sz w:val="20"/>
          <w:szCs w:val="20"/>
          <w:color w:val="auto"/>
        </w:rPr>
        <w:tab/>
      </w:r>
      <w:r>
        <w:rPr>
          <w:rFonts w:ascii="Times New Roman" w:cs="Times New Roman" w:eastAsia="Times New Roman" w:hAnsi="Times New Roman"/>
          <w:sz w:val="17"/>
          <w:szCs w:val="17"/>
          <w:color w:val="auto"/>
        </w:rPr>
        <w:t>Absence of Certain Changes or Events.</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4.08.</w:t>
      </w:r>
      <w:r>
        <w:rPr>
          <w:sz w:val="20"/>
          <w:szCs w:val="20"/>
          <w:color w:val="auto"/>
        </w:rPr>
        <w:tab/>
      </w:r>
      <w:r>
        <w:rPr>
          <w:rFonts w:ascii="Times New Roman" w:cs="Times New Roman" w:eastAsia="Times New Roman" w:hAnsi="Times New Roman"/>
          <w:sz w:val="17"/>
          <w:szCs w:val="17"/>
          <w:color w:val="auto"/>
        </w:rPr>
        <w:t>Tax Matters.</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4.09.</w:t>
      </w:r>
      <w:r>
        <w:rPr>
          <w:sz w:val="20"/>
          <w:szCs w:val="20"/>
          <w:color w:val="auto"/>
        </w:rPr>
        <w:tab/>
      </w:r>
      <w:r>
        <w:rPr>
          <w:rFonts w:ascii="Times New Roman" w:cs="Times New Roman" w:eastAsia="Times New Roman" w:hAnsi="Times New Roman"/>
          <w:sz w:val="17"/>
          <w:szCs w:val="17"/>
          <w:color w:val="auto"/>
        </w:rPr>
        <w:t>Absence of Undisclosed Liabilities.</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4.10.</w:t>
      </w:r>
      <w:r>
        <w:rPr>
          <w:sz w:val="20"/>
          <w:szCs w:val="20"/>
          <w:color w:val="auto"/>
        </w:rPr>
        <w:tab/>
      </w:r>
      <w:r>
        <w:rPr>
          <w:rFonts w:ascii="Times New Roman" w:cs="Times New Roman" w:eastAsia="Times New Roman" w:hAnsi="Times New Roman"/>
          <w:sz w:val="17"/>
          <w:szCs w:val="17"/>
          <w:color w:val="auto"/>
        </w:rPr>
        <w:t>Real Property.</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4.11.</w:t>
      </w:r>
      <w:r>
        <w:rPr>
          <w:sz w:val="20"/>
          <w:szCs w:val="20"/>
          <w:color w:val="auto"/>
        </w:rPr>
        <w:tab/>
      </w:r>
      <w:r>
        <w:rPr>
          <w:rFonts w:ascii="Times New Roman" w:cs="Times New Roman" w:eastAsia="Times New Roman" w:hAnsi="Times New Roman"/>
          <w:sz w:val="17"/>
          <w:szCs w:val="17"/>
          <w:color w:val="auto"/>
        </w:rPr>
        <w:t>Leased Real Property.</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4.12.</w:t>
      </w:r>
      <w:r>
        <w:rPr>
          <w:sz w:val="20"/>
          <w:szCs w:val="20"/>
          <w:color w:val="auto"/>
        </w:rPr>
        <w:tab/>
      </w:r>
      <w:r>
        <w:rPr>
          <w:rFonts w:ascii="Times New Roman" w:cs="Times New Roman" w:eastAsia="Times New Roman" w:hAnsi="Times New Roman"/>
          <w:sz w:val="17"/>
          <w:szCs w:val="17"/>
          <w:color w:val="auto"/>
        </w:rPr>
        <w:t>Conformity of the Real Property and the Leased Real Property.</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4.13.</w:t>
      </w:r>
      <w:r>
        <w:rPr>
          <w:sz w:val="20"/>
          <w:szCs w:val="20"/>
          <w:color w:val="auto"/>
        </w:rPr>
        <w:tab/>
      </w:r>
      <w:r>
        <w:rPr>
          <w:rFonts w:ascii="Times New Roman" w:cs="Times New Roman" w:eastAsia="Times New Roman" w:hAnsi="Times New Roman"/>
          <w:sz w:val="17"/>
          <w:szCs w:val="17"/>
          <w:color w:val="auto"/>
        </w:rPr>
        <w:t>Equipment and Machinery.</w:t>
      </w:r>
    </w:p>
    <w:p>
      <w:pPr>
        <w:spacing w:after="0" w:line="9"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4.14.</w:t>
      </w:r>
      <w:r>
        <w:rPr>
          <w:sz w:val="20"/>
          <w:szCs w:val="20"/>
          <w:color w:val="auto"/>
        </w:rPr>
        <w:tab/>
      </w:r>
      <w:r>
        <w:rPr>
          <w:rFonts w:ascii="Times New Roman" w:cs="Times New Roman" w:eastAsia="Times New Roman" w:hAnsi="Times New Roman"/>
          <w:sz w:val="17"/>
          <w:szCs w:val="17"/>
          <w:color w:val="auto"/>
        </w:rPr>
        <w:t>Accounts Receivable and Inventories.</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 i -</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b w:val="1"/>
          <w:bCs w:val="1"/>
          <w:u w:val="single" w:color="auto"/>
          <w:color w:val="auto"/>
        </w:rPr>
        <w:t>Page</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w:t>
      </w:r>
    </w:p>
    <w:p>
      <w:pPr>
        <w:spacing w:after="0" w:line="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2</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2</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3</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4</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5</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5</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6</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6</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8</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9</w:t>
      </w:r>
    </w:p>
    <w:p>
      <w:pPr>
        <w:spacing w:after="0" w:line="20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12</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12</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12</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12</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13</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13</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13</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15</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17</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19</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20</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20</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20</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21</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2">
            <w:col w:w="8840" w:space="720"/>
            <w:col w:w="1860"/>
          </w:cols>
          <w:pgMar w:left="240" w:top="270" w:right="239" w:bottom="144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EXECUTION VERSION</w:t>
            </w:r>
          </w:p>
        </w:tc>
      </w:tr>
      <w:tr>
        <w:trPr>
          <w:trHeight w:val="441"/>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4.15.</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4.16.</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4.17.   Employee Benefit Plans.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4.18.   Personnel; Labor Relations.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4.19.</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Compliance.</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4.20.   Licenses and Permits.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4.21.</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Bonds.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4.22.   Contracts and Commitments.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4.23.   Customers and Suppliers.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4.24.   Compliance with Law.</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4.25.</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4.26.   Absence of Certain Business Practices.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4.27.   No Other Agreement to Sell Shares.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4.28.   Relationships With Related Persons.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4.29.   Broker’s and Finder’s Fees.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4.30.   All Material Information.</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4.31.</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 Contracts.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4.32.   Lower Presidio Claims.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41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PURCHASER</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5.01.</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Organization; Power.</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5.02.   Authorization and Validity of Agreement and Related Agreements.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5.03.   No Conflict or Violation.</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5.04.   Approvals and Consents.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5.05.   Broker’s and Finder’s Fees.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INDEMNIFICATION; SET-OFF RIGHTS; SURVIVAL</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6.01.   Indemnification By Sellers.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6.02.   Indemnification by Purchaser, GLDD and the Company.</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6.03.   Indemnification Notice; Litigation Notice.</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6.04.   Defense of Claims.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6.05.</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Disagreement Notice.</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6.06.   Payment of Losses; Set-off Rights.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6.07.</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6.08.   Minimum Loss; Maximum Amount of Indemnified Costs.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6.09.   Matters Disclosed on Section 4.25 of the Disclosure Schedules.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6.10.</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Exclusive Remedy.</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41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RESTRICTIVE COVENANTS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7.01.</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 Information.</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7.02.</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Non-Competition.</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7.03.</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Non-Solicitation.</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7.04.</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Non-Disparagement.</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7.05.</w:t>
            </w:r>
          </w:p>
        </w:tc>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Remedies.</w:t>
            </w:r>
          </w:p>
        </w:tc>
        <w:tc>
          <w:tcPr>
            <w:tcW w:w="3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1420"/>
          </w:cols>
          <w:pgMar w:left="240" w:top="270" w:right="2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EXECUTION VERSION</w:t>
            </w:r>
          </w:p>
        </w:tc>
      </w:tr>
      <w:tr>
        <w:trPr>
          <w:trHeight w:val="441"/>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OTHER AGREEMENTS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8.01.</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8.02.</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Cooperation on Tax Matters.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8.03.</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Preparation of Tax Returns.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8.04.</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Contests.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432"/>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DEFINITIONS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414"/>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10.01.</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Public Announcements.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10.02.</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 and Expenses.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10.03.</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10.04.</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Addresses for Notices, Etc.</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10.05.</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10.06.</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10.07.</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10.08.</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 and Amendment.</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10.09.</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10.10.</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Parties in Interest.</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10.11.</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Successors and Assigns; Assignment.</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10.12.</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 Dispute Resolution; Jurisdiction and Venue.</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10.13.</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Jury Trial.</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10.14.</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10.15.</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10.16.</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Seller Representative.</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10.17.</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Table of Contents and Captions.</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10.18.</w:t>
            </w: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Schedules, Exhibits and Certificates; Knowledge of Purchaser.</w:t>
            </w:r>
          </w:p>
        </w:tc>
        <w:tc>
          <w:tcPr>
            <w:tcW w:w="3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iii -</w:t>
      </w:r>
    </w:p>
    <w:p>
      <w:pPr>
        <w:sectPr>
          <w:pgSz w:w="11900" w:h="16838" w:orient="portrait"/>
          <w:cols w:equalWidth="0" w:num="1">
            <w:col w:w="11420"/>
          </w:cols>
          <w:pgMar w:left="240" w:top="270"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25"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SHARE PURCHASE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the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November, 2014 is by and among GREAT LAKES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AND INFRASTRUCTURE SOLUTIONS, LLC, a Delaware limited liability company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MAGNUS PACIFIC CORPORATION, a California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sellers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(collectively,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solely for purposes of Section 1.04 and Section 6.02(c), Great Lakes Dredge &amp; Dock Corporation, a Delaware corporation (“</w:t>
      </w:r>
      <w:r>
        <w:rPr>
          <w:rFonts w:ascii="Times New Roman" w:cs="Times New Roman" w:eastAsia="Times New Roman" w:hAnsi="Times New Roman"/>
          <w:sz w:val="18"/>
          <w:szCs w:val="18"/>
          <w:u w:val="single" w:color="auto"/>
          <w:color w:val="auto"/>
        </w:rPr>
        <w:t>GLDD</w:t>
      </w:r>
      <w:r>
        <w:rPr>
          <w:rFonts w:ascii="Times New Roman" w:cs="Times New Roman" w:eastAsia="Times New Roman" w:hAnsi="Times New Roman"/>
          <w:sz w:val="18"/>
          <w:szCs w:val="18"/>
          <w:color w:val="auto"/>
        </w:rPr>
        <w:t>”). Purchaser and Sellers are herein after referred to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117" w:lineRule="exact"/>
        <w:rPr>
          <w:sz w:val="20"/>
          <w:szCs w:val="20"/>
          <w:color w:val="auto"/>
        </w:rPr>
      </w:pPr>
    </w:p>
    <w:p>
      <w:pPr>
        <w:ind w:right="6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is engaged in the business of environmental remediation, geotechnical construction, demolition, and sediments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wetlands construction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Sellers own the respective number and type of shares of the Company set forth on Exhibit A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Purchaser desires to purchase from Sellers, and Sellers desire to sell to Purchaser, the Shares upon the terms and subject to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this Agreement;</w:t>
      </w:r>
    </w:p>
    <w:p>
      <w:pPr>
        <w:spacing w:after="0" w:line="155" w:lineRule="exact"/>
        <w:rPr>
          <w:sz w:val="20"/>
          <w:szCs w:val="20"/>
          <w:color w:val="auto"/>
        </w:rPr>
      </w:pPr>
    </w:p>
    <w:p>
      <w:pPr>
        <w:ind w:right="2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simultaneously with the closing of the transactions contemplated by this Agreement, GLDD and each Seller will enter into a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Award Agreement (as defined herein); and</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capitalized terms used but not otherwise defined shall have the meanings ascribed to them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w:t>
      </w:r>
    </w:p>
    <w:p>
      <w:pPr>
        <w:spacing w:after="0" w:line="225" w:lineRule="exact"/>
        <w:rPr>
          <w:sz w:val="20"/>
          <w:szCs w:val="20"/>
          <w:color w:val="auto"/>
        </w:rPr>
      </w:pPr>
    </w:p>
    <w:p>
      <w:pPr>
        <w:jc w:val="both"/>
        <w:ind w:right="4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foregoing and the mutual covenants and promises contained in this Agreement and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valuable consideration, the receipt and sufficiency of which are hereby acknowledged, the Parties hereto, intending to be legally bound, hereby agree as follows: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AND SALE OF THE SHARES</w:t>
      </w:r>
    </w:p>
    <w:p>
      <w:pPr>
        <w:spacing w:after="0" w:line="203" w:lineRule="exact"/>
        <w:rPr>
          <w:sz w:val="20"/>
          <w:szCs w:val="20"/>
          <w:color w:val="auto"/>
        </w:rPr>
      </w:pPr>
    </w:p>
    <w:p>
      <w:pPr>
        <w:ind w:right="560" w:firstLine="91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1.01.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and subject to the conditions set forth in this Agreement and on the basis of the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covenants and agreements herein contained, at the Closing Purchaser shall purchase, acquire and accept from Sellers, and Sellers shall sell, transfer, assign, convey and deliver to Purchaser, all of the right, title and interests in and to the Shares, free and clear of all Encumbrances.</w:t>
      </w:r>
    </w:p>
    <w:p>
      <w:pPr>
        <w:sectPr>
          <w:pgSz w:w="11900" w:h="16838" w:orient="portrait"/>
          <w:cols w:equalWidth="0" w:num="1">
            <w:col w:w="11420"/>
          </w:cols>
          <w:pgMar w:left="240" w:top="270" w:right="2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right="280" w:firstLine="91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1.02. 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consideration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to be paid by Purchaser to Sellers for the Shares,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adjustment as provided in </w:t>
      </w:r>
      <w:r>
        <w:rPr>
          <w:rFonts w:ascii="Times New Roman" w:cs="Times New Roman" w:eastAsia="Times New Roman" w:hAnsi="Times New Roman"/>
          <w:sz w:val="18"/>
          <w:szCs w:val="18"/>
          <w:u w:val="single" w:color="auto"/>
          <w:color w:val="auto"/>
        </w:rPr>
        <w:t>Sections 1.03 and 1.04</w:t>
      </w:r>
      <w:r>
        <w:rPr>
          <w:rFonts w:ascii="Times New Roman" w:cs="Times New Roman" w:eastAsia="Times New Roman" w:hAnsi="Times New Roman"/>
          <w:sz w:val="18"/>
          <w:szCs w:val="18"/>
          <w:color w:val="auto"/>
        </w:rPr>
        <w:t xml:space="preserve"> below, and additional payments as provided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below, shall be payable as follows (and as provided in </w:t>
      </w:r>
      <w:r>
        <w:rPr>
          <w:rFonts w:ascii="Times New Roman" w:cs="Times New Roman" w:eastAsia="Times New Roman" w:hAnsi="Times New Roman"/>
          <w:sz w:val="18"/>
          <w:szCs w:val="18"/>
          <w:u w:val="single" w:color="auto"/>
          <w:color w:val="auto"/>
        </w:rPr>
        <w:t>Sections 1.03, 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920" w:right="640" w:firstLine="421"/>
        <w:spacing w:after="0" w:line="282" w:lineRule="auto"/>
        <w:tabs>
          <w:tab w:leader="none" w:pos="15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FIVE MILLION and NO/100s DOLLARS ($25,000,000.00), payable at the Closing by wire transfer of immediately available funds to an account designated in writing by Sellers prior to or at the time of Closing (the “</w:t>
      </w:r>
      <w:r>
        <w:rPr>
          <w:rFonts w:ascii="Times New Roman" w:cs="Times New Roman" w:eastAsia="Times New Roman" w:hAnsi="Times New Roman"/>
          <w:sz w:val="18"/>
          <w:szCs w:val="18"/>
          <w:u w:val="single" w:color="auto"/>
          <w:color w:val="auto"/>
        </w:rPr>
        <w:t>Closing Cash Payment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or minus, as the case may be, the amount by which the Final Working Capital is less than or greater than the Target Working</w:t>
      </w:r>
    </w:p>
    <w:p>
      <w:pPr>
        <w:spacing w:after="0" w:line="27"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w:t>
      </w:r>
    </w:p>
    <w:p>
      <w:pPr>
        <w:spacing w:after="0" w:line="98"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additional payments payable pursuant to </w:t>
      </w:r>
      <w:r>
        <w:rPr>
          <w:rFonts w:ascii="Times New Roman" w:cs="Times New Roman" w:eastAsia="Times New Roman" w:hAnsi="Times New Roman"/>
          <w:sz w:val="18"/>
          <w:szCs w:val="18"/>
          <w:u w:val="single" w:color="auto"/>
          <w:color w:val="auto"/>
        </w:rPr>
        <w:t>Sections 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 xml:space="preserve"> below.</w:t>
      </w:r>
    </w:p>
    <w:p>
      <w:pPr>
        <w:spacing w:after="0" w:line="221" w:lineRule="exact"/>
        <w:rPr>
          <w:sz w:val="20"/>
          <w:szCs w:val="20"/>
          <w:color w:val="auto"/>
        </w:rPr>
      </w:pPr>
    </w:p>
    <w:p>
      <w:pPr>
        <w:ind w:right="38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1.03.</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8"/>
          <w:szCs w:val="18"/>
          <w:b w:val="1"/>
          <w:bCs w:val="1"/>
          <w:u w:val="single" w:color="auto"/>
          <w:color w:val="auto"/>
        </w:rPr>
        <w:t>djustments to 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all calculations of the Company’s working capital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made in accordance with the calculations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w:t>
      </w:r>
    </w:p>
    <w:p>
      <w:pPr>
        <w:spacing w:after="0" w:line="51" w:lineRule="exact"/>
        <w:rPr>
          <w:sz w:val="20"/>
          <w:szCs w:val="20"/>
          <w:color w:val="auto"/>
        </w:rPr>
      </w:pPr>
    </w:p>
    <w:p>
      <w:pPr>
        <w:ind w:left="920" w:right="20" w:firstLine="421"/>
        <w:spacing w:after="0" w:line="255" w:lineRule="auto"/>
        <w:tabs>
          <w:tab w:leader="none" w:pos="15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Closing Date, but in no event later than forty-five (45) calendar days thereafter, Purchaser shall prepare and deliver to the Sellers (i) a balance sheet of the Company setting forth the assets and liabilities of the Company as of the close of business on October 31, 2014, which balance sheet shall be prepared in accordance with GAAP (the “</w:t>
      </w:r>
      <w:r>
        <w:rPr>
          <w:rFonts w:ascii="Times New Roman" w:cs="Times New Roman" w:eastAsia="Times New Roman" w:hAnsi="Times New Roman"/>
          <w:sz w:val="18"/>
          <w:szCs w:val="18"/>
          <w:u w:val="single" w:color="auto"/>
          <w:color w:val="auto"/>
        </w:rPr>
        <w:t>Closing Balance Sheet</w:t>
      </w:r>
      <w:r>
        <w:rPr>
          <w:rFonts w:ascii="Times New Roman" w:cs="Times New Roman" w:eastAsia="Times New Roman" w:hAnsi="Times New Roman"/>
          <w:sz w:val="18"/>
          <w:szCs w:val="18"/>
          <w:color w:val="auto"/>
        </w:rPr>
        <w:t>”). Using the data set forth in such Closing Balance Sheet, promptly following the Closing, Purchaser shall prepare a Closing Date Working Capital Statement of the Company (together with supporting calculations in reasonable detail, the “</w:t>
      </w:r>
      <w:r>
        <w:rPr>
          <w:rFonts w:ascii="Times New Roman" w:cs="Times New Roman" w:eastAsia="Times New Roman" w:hAnsi="Times New Roman"/>
          <w:sz w:val="18"/>
          <w:szCs w:val="18"/>
          <w:u w:val="single" w:color="auto"/>
          <w:color w:val="auto"/>
        </w:rPr>
        <w:t>Closing Date Working Capital Statement</w:t>
      </w:r>
      <w:r>
        <w:rPr>
          <w:rFonts w:ascii="Times New Roman" w:cs="Times New Roman" w:eastAsia="Times New Roman" w:hAnsi="Times New Roman"/>
          <w:sz w:val="18"/>
          <w:szCs w:val="18"/>
          <w:color w:val="auto"/>
        </w:rPr>
        <w:t>”) showing as of October 31, 2014, the working capital of the Company (the “</w:t>
      </w:r>
      <w:r>
        <w:rPr>
          <w:rFonts w:ascii="Times New Roman" w:cs="Times New Roman" w:eastAsia="Times New Roman" w:hAnsi="Times New Roman"/>
          <w:sz w:val="18"/>
          <w:szCs w:val="18"/>
          <w:u w:val="single" w:color="auto"/>
          <w:color w:val="auto"/>
        </w:rPr>
        <w:t>Purchaser’s Final Working Capital Determination</w:t>
      </w:r>
      <w:r>
        <w:rPr>
          <w:rFonts w:ascii="Times New Roman" w:cs="Times New Roman" w:eastAsia="Times New Roman" w:hAnsi="Times New Roman"/>
          <w:sz w:val="18"/>
          <w:szCs w:val="18"/>
          <w:color w:val="auto"/>
        </w:rPr>
        <w:t>”). Purchaser shall complete such Closing Date Working Capital Statement within sixty (60) days after the Closing Date and, upon completion, shall delver a copy to the Seller.</w:t>
      </w:r>
    </w:p>
    <w:p>
      <w:pPr>
        <w:spacing w:after="0" w:line="81" w:lineRule="exact"/>
        <w:rPr>
          <w:rFonts w:ascii="Times New Roman" w:cs="Times New Roman" w:eastAsia="Times New Roman" w:hAnsi="Times New Roman"/>
          <w:sz w:val="18"/>
          <w:szCs w:val="18"/>
          <w:color w:val="auto"/>
        </w:rPr>
      </w:pPr>
    </w:p>
    <w:p>
      <w:pPr>
        <w:ind w:left="920" w:right="460" w:firstLine="421"/>
        <w:spacing w:after="0" w:line="269" w:lineRule="auto"/>
        <w:tabs>
          <w:tab w:leader="none" w:pos="159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promptly as practicable, but in no event later than thirty (30) calendar days after receipt of the Closing Date Working Capital Statement, Sellers shall notify Purchaser in writing whether it accepts or disputes the accuracy of the Purchaser’s Final Working Capital Determination determined pursuant to </w:t>
      </w:r>
      <w:r>
        <w:rPr>
          <w:rFonts w:ascii="Times New Roman" w:cs="Times New Roman" w:eastAsia="Times New Roman" w:hAnsi="Times New Roman"/>
          <w:sz w:val="17"/>
          <w:szCs w:val="17"/>
          <w:u w:val="single" w:color="auto"/>
          <w:color w:val="auto"/>
        </w:rPr>
        <w:t>Section 1.03(a)</w:t>
      </w:r>
      <w:r>
        <w:rPr>
          <w:rFonts w:ascii="Times New Roman" w:cs="Times New Roman" w:eastAsia="Times New Roman" w:hAnsi="Times New Roman"/>
          <w:sz w:val="17"/>
          <w:szCs w:val="17"/>
          <w:color w:val="auto"/>
        </w:rPr>
        <w:t xml:space="preserve"> above. During such thirty (30) day period, Sellers and their representatives shall be provided with such access to all Files and Records of the Company as they may reasonably request to respond to the Closing Date Working Capital Statement. If Sellers accept the calculation of the Purchaser’s Final Working Capital Determination, determined pursuant to</w:t>
      </w:r>
    </w:p>
    <w:p>
      <w:pPr>
        <w:spacing w:after="0" w:line="3" w:lineRule="exact"/>
        <w:rPr>
          <w:rFonts w:ascii="Times New Roman" w:cs="Times New Roman" w:eastAsia="Times New Roman" w:hAnsi="Times New Roman"/>
          <w:sz w:val="17"/>
          <w:szCs w:val="17"/>
          <w:color w:val="auto"/>
        </w:rPr>
      </w:pPr>
    </w:p>
    <w:p>
      <w:pPr>
        <w:jc w:val="both"/>
        <w:ind w:left="920"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above, or if Sellers fail within such thirty (30) day period to notify Purchaser of any dispute with respect thereto, the calculation of the Purchaser’s Final Working Capital Determination determined pursuant to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above, shall be deemed final and conclusive and binding upon all Parties.</w:t>
      </w:r>
    </w:p>
    <w:p>
      <w:pPr>
        <w:spacing w:after="0" w:line="78" w:lineRule="exact"/>
        <w:rPr>
          <w:rFonts w:ascii="Times New Roman" w:cs="Times New Roman" w:eastAsia="Times New Roman" w:hAnsi="Times New Roman"/>
          <w:sz w:val="17"/>
          <w:szCs w:val="17"/>
          <w:color w:val="auto"/>
        </w:rPr>
      </w:pPr>
    </w:p>
    <w:p>
      <w:pPr>
        <w:ind w:left="920" w:right="320" w:firstLine="421"/>
        <w:spacing w:after="0" w:line="289" w:lineRule="auto"/>
        <w:tabs>
          <w:tab w:leader="none" w:pos="158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Sellers dispute the calculation of the Purchaser’s Final Working Capital Determination, Sellers shall give timely written notice to Purchaser no later than thirty (30) calendar days following the receipt of the Closing Date Working Capital Statement (the “</w:t>
      </w:r>
      <w:r>
        <w:rPr>
          <w:rFonts w:ascii="Times New Roman" w:cs="Times New Roman" w:eastAsia="Times New Roman" w:hAnsi="Times New Roman"/>
          <w:sz w:val="17"/>
          <w:szCs w:val="17"/>
          <w:u w:val="single" w:color="auto"/>
          <w:color w:val="auto"/>
        </w:rPr>
        <w:t>Dispute Notice</w:t>
      </w:r>
      <w:r>
        <w:rPr>
          <w:rFonts w:ascii="Times New Roman" w:cs="Times New Roman" w:eastAsia="Times New Roman" w:hAnsi="Times New Roman"/>
          <w:sz w:val="17"/>
          <w:szCs w:val="17"/>
          <w:color w:val="auto"/>
        </w:rPr>
        <w:t>”), which Dispute Notice shall specify the reasons for such disagreement, the amounts of any adjustments that are necessary in Sellers’</w:t>
      </w:r>
    </w:p>
    <w:p>
      <w:pPr>
        <w:spacing w:after="0" w:line="90" w:lineRule="exact"/>
        <w:rPr>
          <w:rFonts w:ascii="Times New Roman" w:cs="Times New Roman" w:eastAsia="Times New Roman" w:hAnsi="Times New Roman"/>
          <w:sz w:val="17"/>
          <w:szCs w:val="17"/>
          <w:color w:val="auto"/>
        </w:rPr>
      </w:pPr>
    </w:p>
    <w:p>
      <w:pPr>
        <w:ind w:left="5660" w:hanging="96"/>
        <w:spacing w:after="0"/>
        <w:tabs>
          <w:tab w:leader="none" w:pos="56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420"/>
          </w:cols>
          <w:pgMar w:left="240" w:top="270" w:right="2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right="20"/>
        <w:spacing w:after="0" w:line="252" w:lineRule="auto"/>
        <w:rPr>
          <w:sz w:val="20"/>
          <w:szCs w:val="20"/>
          <w:color w:val="auto"/>
        </w:rPr>
      </w:pPr>
      <w:r>
        <w:rPr>
          <w:rFonts w:ascii="Times New Roman" w:cs="Times New Roman" w:eastAsia="Times New Roman" w:hAnsi="Times New Roman"/>
          <w:sz w:val="18"/>
          <w:szCs w:val="18"/>
          <w:color w:val="auto"/>
        </w:rPr>
        <w:t xml:space="preserve">judgment for the computation of the Purchaser’s Final Working Capital Determination to conform to GAAP and the basis for Sellers’ suggested adjustment. If the Parties resolve their differences over the disputed items in accordance with the foregoing procedures, the final determination of the Working Capital Adjustment (as so determined or as determined pursuant to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 as the case may be, “</w:t>
      </w:r>
      <w:r>
        <w:rPr>
          <w:rFonts w:ascii="Times New Roman" w:cs="Times New Roman" w:eastAsia="Times New Roman" w:hAnsi="Times New Roman"/>
          <w:sz w:val="18"/>
          <w:szCs w:val="18"/>
          <w:u w:val="single" w:color="auto"/>
          <w:color w:val="auto"/>
        </w:rPr>
        <w:t>Final Working Capital</w:t>
      </w:r>
      <w:r>
        <w:rPr>
          <w:rFonts w:ascii="Times New Roman" w:cs="Times New Roman" w:eastAsia="Times New Roman" w:hAnsi="Times New Roman"/>
          <w:sz w:val="18"/>
          <w:szCs w:val="18"/>
          <w:color w:val="auto"/>
        </w:rPr>
        <w:t>”), shall be the amount agreed upon. If the Sellers and Purchaser are unable to resolve the disputed matters outstanding within such thirty (30) day period, all disputed matters raised by Sellers not so resolved shall be submitted to an independent accounting firm mutually agreeable to Sellers and Purchaser (the “</w:t>
      </w:r>
      <w:r>
        <w:rPr>
          <w:rFonts w:ascii="Times New Roman" w:cs="Times New Roman" w:eastAsia="Times New Roman" w:hAnsi="Times New Roman"/>
          <w:sz w:val="18"/>
          <w:szCs w:val="18"/>
          <w:u w:val="single" w:color="auto"/>
          <w:color w:val="auto"/>
        </w:rPr>
        <w:t>Independent Auditor</w:t>
      </w:r>
      <w:r>
        <w:rPr>
          <w:rFonts w:ascii="Times New Roman" w:cs="Times New Roman" w:eastAsia="Times New Roman" w:hAnsi="Times New Roman"/>
          <w:sz w:val="18"/>
          <w:szCs w:val="18"/>
          <w:color w:val="auto"/>
        </w:rPr>
        <w:t xml:space="preserve">”), for final resolution in accordance with the terms and provisions of this Agreement. The Sellers and Purchaser shall use their respective Best Efforts to cause the Independent Auditor to make its determination as soon as possible, but in no event later than fifteen (15) days after receipt of the disputed matters. Such determination shall be final, binding and conclusive upon the Parties hereto. The Independent Auditor’s determination shall be limited to matters of dispute which are raised by the Sellers. In no event shall the Independent Auditor’s determination of the Final Working Capital be greater than Sellers’ determination pursuant to </w:t>
      </w:r>
      <w:r>
        <w:rPr>
          <w:rFonts w:ascii="Times New Roman" w:cs="Times New Roman" w:eastAsia="Times New Roman" w:hAnsi="Times New Roman"/>
          <w:sz w:val="18"/>
          <w:szCs w:val="18"/>
          <w:u w:val="single" w:color="auto"/>
          <w:color w:val="auto"/>
        </w:rPr>
        <w:t>Section 1.03(a)</w:t>
      </w:r>
      <w:r>
        <w:rPr>
          <w:rFonts w:ascii="Times New Roman" w:cs="Times New Roman" w:eastAsia="Times New Roman" w:hAnsi="Times New Roman"/>
          <w:sz w:val="18"/>
          <w:szCs w:val="18"/>
          <w:color w:val="auto"/>
        </w:rPr>
        <w:t xml:space="preserve"> or less than Purchaser’s’ determination pursuant to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 xml:space="preserve">. The Independent Auditor’s resolution of any such disagreement shall be reflected in a written report, which shall be delivered promptly to the Sellers and Purchaser. All fees, costs, expenses and disbursements of the Independent Auditor shall be paid by the party with whose determination the Independent Auditor does not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Independent Auditor’s determination represents a compromise between the determination of Sellers and Purchaser, then each party shall pay an allocable share of such fees and disbursements with such allocation to be calculated by reference to the difference between the numbers suggested by each of the Parties as compared with the Final Working Capital amount determined by the Independent Auditor. Any payment to be made as a consequence of the Independent Auditor’s decision shall be made, free and clear of any deductions, not later than three (3) Business Days after receipt of such report by the Sellers and Purchaser.</w:t>
      </w:r>
    </w:p>
    <w:p>
      <w:pPr>
        <w:spacing w:after="0" w:line="86" w:lineRule="exact"/>
        <w:rPr>
          <w:sz w:val="20"/>
          <w:szCs w:val="20"/>
          <w:color w:val="auto"/>
        </w:rPr>
      </w:pPr>
    </w:p>
    <w:p>
      <w:pPr>
        <w:ind w:left="920" w:right="140" w:firstLine="421"/>
        <w:spacing w:after="0" w:line="266" w:lineRule="auto"/>
        <w:tabs>
          <w:tab w:leader="none" w:pos="15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Purchaser</w:t>
      </w:r>
      <w:r>
        <w:rPr>
          <w:rFonts w:ascii="Times New Roman" w:cs="Times New Roman" w:eastAsia="Times New Roman" w:hAnsi="Times New Roman"/>
          <w:sz w:val="18"/>
          <w:szCs w:val="18"/>
          <w:color w:val="auto"/>
        </w:rPr>
        <w:t>. In the event that the amount of the Final Working Capital is greater than the Target Working Capital, then Purchaser shall, within five (5) calendar days after the determination thereof, pay to Sellers an amount equal to such difference, by wire transfer of immediately available funds to an account designated in writing by Sellers.</w:t>
      </w:r>
    </w:p>
    <w:p>
      <w:pPr>
        <w:spacing w:after="0" w:line="68" w:lineRule="exact"/>
        <w:rPr>
          <w:rFonts w:ascii="Times New Roman" w:cs="Times New Roman" w:eastAsia="Times New Roman" w:hAnsi="Times New Roman"/>
          <w:sz w:val="18"/>
          <w:szCs w:val="18"/>
          <w:color w:val="auto"/>
        </w:rPr>
      </w:pPr>
    </w:p>
    <w:p>
      <w:pPr>
        <w:ind w:left="920" w:right="420" w:firstLine="421"/>
        <w:spacing w:after="0" w:line="282" w:lineRule="auto"/>
        <w:tabs>
          <w:tab w:leader="none" w:pos="15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Sellers</w:t>
      </w:r>
      <w:r>
        <w:rPr>
          <w:rFonts w:ascii="Times New Roman" w:cs="Times New Roman" w:eastAsia="Times New Roman" w:hAnsi="Times New Roman"/>
          <w:sz w:val="18"/>
          <w:szCs w:val="18"/>
          <w:color w:val="auto"/>
        </w:rPr>
        <w:t xml:space="preserve">. In the event that the Final Working Capital is less than the Target Working Capital, then the Purchaser shall be entitled to a set off against the Note described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for the amount of such difference.</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1.04. Note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all EBITDA calculations shall be determined within sixty (60) days after the applicable year end, and shall include only the Business, and shall be calculated in accordance with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420"/>
          </w:cols>
          <w:pgMar w:left="240" w:top="270" w:right="2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right="240" w:firstLine="421"/>
        <w:spacing w:after="0" w:line="281" w:lineRule="auto"/>
        <w:tabs>
          <w:tab w:leader="none" w:pos="158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payments set forth in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xml:space="preserve"> above, GLDD will issue to the Sellers a promissory note in the form 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Note</w:t>
      </w:r>
      <w:r>
        <w:rPr>
          <w:rFonts w:ascii="Times New Roman" w:cs="Times New Roman" w:eastAsia="Times New Roman" w:hAnsi="Times New Roman"/>
          <w:sz w:val="17"/>
          <w:szCs w:val="17"/>
          <w:color w:val="auto"/>
        </w:rPr>
        <w:t xml:space="preserve">”) in a value to be determined by utilizing the following formula: the Company’s 2014 EBITDA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Twelve Million and NO/100s Dollars ($12,000,000.00) </w:t>
      </w:r>
      <w:r>
        <w:rPr>
          <w:rFonts w:ascii="Times New Roman" w:cs="Times New Roman" w:eastAsia="Times New Roman" w:hAnsi="Times New Roman"/>
          <w:sz w:val="17"/>
          <w:szCs w:val="17"/>
          <w:u w:val="single" w:color="auto"/>
          <w:color w:val="auto"/>
        </w:rPr>
        <w:t>multiplied</w:t>
      </w:r>
      <w:r>
        <w:rPr>
          <w:rFonts w:ascii="Times New Roman" w:cs="Times New Roman" w:eastAsia="Times New Roman" w:hAnsi="Times New Roman"/>
          <w:sz w:val="17"/>
          <w:szCs w:val="17"/>
          <w:color w:val="auto"/>
        </w:rPr>
        <w:t xml:space="preserve"> by two (2). The Note shall bear interest at five percent (5%) per annum, which shall begin to accrue on January 1, 2015, and shall continue to accrue until payment of the second installment as set forth in </w:t>
      </w:r>
      <w:r>
        <w:rPr>
          <w:rFonts w:ascii="Times New Roman" w:cs="Times New Roman" w:eastAsia="Times New Roman" w:hAnsi="Times New Roman"/>
          <w:sz w:val="17"/>
          <w:szCs w:val="17"/>
          <w:u w:val="single" w:color="auto"/>
          <w:color w:val="auto"/>
        </w:rPr>
        <w:t>Section 1.04(c)</w:t>
      </w:r>
      <w:r>
        <w:rPr>
          <w:rFonts w:ascii="Times New Roman" w:cs="Times New Roman" w:eastAsia="Times New Roman" w:hAnsi="Times New Roman"/>
          <w:sz w:val="17"/>
          <w:szCs w:val="17"/>
          <w:color w:val="auto"/>
        </w:rPr>
        <w:t xml:space="preserve"> below.</w:t>
      </w:r>
    </w:p>
    <w:p>
      <w:pPr>
        <w:spacing w:after="0" w:line="56" w:lineRule="exact"/>
        <w:rPr>
          <w:rFonts w:ascii="Times New Roman" w:cs="Times New Roman" w:eastAsia="Times New Roman" w:hAnsi="Times New Roman"/>
          <w:sz w:val="17"/>
          <w:szCs w:val="17"/>
          <w:color w:val="auto"/>
        </w:rPr>
      </w:pPr>
    </w:p>
    <w:p>
      <w:pPr>
        <w:ind w:left="920" w:right="80" w:firstLine="421"/>
        <w:spacing w:after="0" w:line="266" w:lineRule="auto"/>
        <w:tabs>
          <w:tab w:leader="none" w:pos="15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does not in calendar year 2015 obtain a minimum EBITDA of $14,720,000.00 (“</w:t>
      </w:r>
      <w:r>
        <w:rPr>
          <w:rFonts w:ascii="Times New Roman" w:cs="Times New Roman" w:eastAsia="Times New Roman" w:hAnsi="Times New Roman"/>
          <w:sz w:val="18"/>
          <w:szCs w:val="18"/>
          <w:u w:val="single" w:color="auto"/>
          <w:color w:val="auto"/>
        </w:rPr>
        <w:t>Minimum 2015 EBITDA</w:t>
      </w:r>
      <w:r>
        <w:rPr>
          <w:rFonts w:ascii="Times New Roman" w:cs="Times New Roman" w:eastAsia="Times New Roman" w:hAnsi="Times New Roman"/>
          <w:sz w:val="18"/>
          <w:szCs w:val="18"/>
          <w:color w:val="auto"/>
        </w:rPr>
        <w:t>”), [*], the value of the Note will be reduced by the sum the following amounts: (i) [*] and (ii) an amount equal to number of dollars by which the actual 2015 EBITDA was below the Minimum 2015 EBITDA, calculated on a dollar for dollar basis.</w:t>
      </w:r>
    </w:p>
    <w:p>
      <w:pPr>
        <w:spacing w:after="0" w:line="68"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on the Note will be made in two (2) equal installments on January 1, 2017 and January 1, 2018.</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1.05. Earn-Out Consideration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all EBITDA calculations shall include both the Business and the business of Terra Contracting Services, LLC (“</w:t>
      </w:r>
      <w:r>
        <w:rPr>
          <w:rFonts w:ascii="Times New Roman" w:cs="Times New Roman" w:eastAsia="Times New Roman" w:hAnsi="Times New Roman"/>
          <w:sz w:val="18"/>
          <w:szCs w:val="18"/>
          <w:u w:val="single" w:color="auto"/>
          <w:color w:val="auto"/>
        </w:rPr>
        <w:t>Terra</w:t>
      </w:r>
      <w:r>
        <w:rPr>
          <w:rFonts w:ascii="Times New Roman" w:cs="Times New Roman" w:eastAsia="Times New Roman" w:hAnsi="Times New Roman"/>
          <w:sz w:val="18"/>
          <w:szCs w:val="18"/>
          <w:color w:val="auto"/>
        </w:rPr>
        <w:t xml:space="preserve">”), and shall be calculated in accordance with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w:t>
      </w:r>
    </w:p>
    <w:p>
      <w:pPr>
        <w:spacing w:after="0" w:line="54" w:lineRule="exact"/>
        <w:rPr>
          <w:sz w:val="20"/>
          <w:szCs w:val="20"/>
          <w:color w:val="auto"/>
        </w:rPr>
      </w:pPr>
    </w:p>
    <w:p>
      <w:pPr>
        <w:jc w:val="both"/>
        <w:ind w:left="920" w:right="60" w:firstLine="421"/>
        <w:spacing w:after="0" w:line="261" w:lineRule="auto"/>
        <w:tabs>
          <w:tab w:leader="none" w:pos="15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payments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1.04</w:t>
      </w:r>
      <w:r>
        <w:rPr>
          <w:rFonts w:ascii="Times New Roman" w:cs="Times New Roman" w:eastAsia="Times New Roman" w:hAnsi="Times New Roman"/>
          <w:sz w:val="18"/>
          <w:szCs w:val="18"/>
          <w:color w:val="auto"/>
        </w:rPr>
        <w:t xml:space="preserve"> above, Purchaser will pay to Sellers, assuming certain conditions set forth in (b) below are satisfied, an additional payment in an amount up to [*] (the “</w:t>
      </w:r>
      <w:r>
        <w:rPr>
          <w:rFonts w:ascii="Times New Roman" w:cs="Times New Roman" w:eastAsia="Times New Roman" w:hAnsi="Times New Roman"/>
          <w:sz w:val="18"/>
          <w:szCs w:val="18"/>
          <w:u w:val="single" w:color="auto"/>
          <w:color w:val="auto"/>
        </w:rPr>
        <w:t>Earnout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amount shall not exceed Eleven Million Four Hundred Thousand and NO/100s Dollars ($11,400,000.00). References to “EBITDA of Purchaser” shall mean the combined EBITDA from both the Business and Terra.</w:t>
      </w:r>
    </w:p>
    <w:p>
      <w:pPr>
        <w:spacing w:after="0" w:line="71" w:lineRule="exact"/>
        <w:rPr>
          <w:rFonts w:ascii="Times New Roman" w:cs="Times New Roman" w:eastAsia="Times New Roman" w:hAnsi="Times New Roman"/>
          <w:sz w:val="18"/>
          <w:szCs w:val="18"/>
          <w:color w:val="auto"/>
        </w:rPr>
      </w:pPr>
    </w:p>
    <w:p>
      <w:pPr>
        <w:ind w:left="920" w:right="220" w:firstLine="421"/>
        <w:spacing w:after="0" w:line="258" w:lineRule="auto"/>
        <w:tabs>
          <w:tab w:leader="none" w:pos="15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received by Sellers pursuant to (a) above will be adjusted based on the value of the EBITDA of Purchaser as of December 31, 2019 (the “</w:t>
      </w:r>
      <w:r>
        <w:rPr>
          <w:rFonts w:ascii="Times New Roman" w:cs="Times New Roman" w:eastAsia="Times New Roman" w:hAnsi="Times New Roman"/>
          <w:sz w:val="18"/>
          <w:szCs w:val="18"/>
          <w:u w:val="single" w:color="auto"/>
          <w:color w:val="auto"/>
        </w:rPr>
        <w:t>2019 EBITDA of Purchaser</w:t>
      </w:r>
      <w:r>
        <w:rPr>
          <w:rFonts w:ascii="Times New Roman" w:cs="Times New Roman" w:eastAsia="Times New Roman" w:hAnsi="Times New Roman"/>
          <w:sz w:val="18"/>
          <w:szCs w:val="18"/>
          <w:color w:val="auto"/>
        </w:rPr>
        <w:t xml:space="preserve">”). Sellers shall receive the full value of the Earnout Payment provided that the 2019 EBITDA of Purchaser meets or exceeds [*] (the “2019 </w:t>
      </w:r>
      <w:r>
        <w:rPr>
          <w:rFonts w:ascii="Times New Roman" w:cs="Times New Roman" w:eastAsia="Times New Roman" w:hAnsi="Times New Roman"/>
          <w:sz w:val="18"/>
          <w:szCs w:val="18"/>
          <w:u w:val="single" w:color="auto"/>
          <w:color w:val="auto"/>
        </w:rPr>
        <w:t>EBITDA Target</w:t>
      </w:r>
      <w:r>
        <w:rPr>
          <w:rFonts w:ascii="Times New Roman" w:cs="Times New Roman" w:eastAsia="Times New Roman" w:hAnsi="Times New Roman"/>
          <w:sz w:val="18"/>
          <w:szCs w:val="18"/>
          <w:color w:val="auto"/>
        </w:rPr>
        <w:t>”). In the event the 2019 EBITDA of Purchaser does not meet the 2019 EBITDA Target, the Earnout Payment shall be reduced in an amount proportional to the amount by which the 2019 EBITDA of Purchaser was below the 2019 EBITDA Target.</w:t>
      </w:r>
    </w:p>
    <w:p>
      <w:pPr>
        <w:spacing w:after="0" w:line="116" w:lineRule="exact"/>
        <w:rPr>
          <w:rFonts w:ascii="Times New Roman" w:cs="Times New Roman" w:eastAsia="Times New Roman" w:hAnsi="Times New Roman"/>
          <w:sz w:val="18"/>
          <w:szCs w:val="18"/>
          <w:color w:val="auto"/>
        </w:rPr>
      </w:pPr>
    </w:p>
    <w:p>
      <w:pPr>
        <w:ind w:left="5660" w:hanging="96"/>
        <w:spacing w:after="0"/>
        <w:tabs>
          <w:tab w:leader="none" w:pos="5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420"/>
          </w:cols>
          <w:pgMar w:left="240" w:top="270" w:right="2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jc w:val="both"/>
        <w:ind w:left="920" w:right="100" w:firstLine="421"/>
        <w:spacing w:after="0" w:line="261" w:lineRule="auto"/>
        <w:tabs>
          <w:tab w:leader="none" w:pos="15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Earnout Payments made 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paid in either cash, by wire transfer of immediately available funds to an account designated in writing by the Seller Representative, or common shares of stock of GLDD (“</w:t>
      </w:r>
      <w:r>
        <w:rPr>
          <w:rFonts w:ascii="Times New Roman" w:cs="Times New Roman" w:eastAsia="Times New Roman" w:hAnsi="Times New Roman"/>
          <w:sz w:val="18"/>
          <w:szCs w:val="18"/>
          <w:u w:val="single" w:color="auto"/>
          <w:color w:val="auto"/>
        </w:rPr>
        <w:t>GLDD Stock</w:t>
      </w:r>
      <w:r>
        <w:rPr>
          <w:rFonts w:ascii="Times New Roman" w:cs="Times New Roman" w:eastAsia="Times New Roman" w:hAnsi="Times New Roman"/>
          <w:sz w:val="18"/>
          <w:szCs w:val="18"/>
          <w:color w:val="auto"/>
        </w:rPr>
        <w:t xml:space="preserve">”), in the sole election and in the sole discretion of Purchaser, and shall be paid on March 31, 2020. Any GLDD Stock paid to the Sellers pursuant to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shall be valued at the GLDD Stock per share value as of March 31, 2020.</w:t>
      </w:r>
    </w:p>
    <w:p>
      <w:pPr>
        <w:spacing w:after="0" w:line="176"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1.06. Allocation of Purchase Price</w:t>
      </w:r>
      <w:r>
        <w:rPr>
          <w:rFonts w:ascii="Times New Roman" w:cs="Times New Roman" w:eastAsia="Times New Roman" w:hAnsi="Times New Roman"/>
          <w:sz w:val="18"/>
          <w:szCs w:val="18"/>
          <w:color w:val="auto"/>
        </w:rPr>
        <w:t>. The Allocation of Purchase Price Schedule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forth the preliminary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allocation of the Purchase Price among the Company’s assets (the “</w:t>
      </w:r>
      <w:r>
        <w:rPr>
          <w:rFonts w:ascii="Times New Roman" w:cs="Times New Roman" w:eastAsia="Times New Roman" w:hAnsi="Times New Roman"/>
          <w:sz w:val="18"/>
          <w:szCs w:val="18"/>
          <w:u w:val="single" w:color="auto"/>
          <w:color w:val="auto"/>
        </w:rPr>
        <w:t>Preliminary Allocation</w:t>
      </w:r>
      <w:r>
        <w:rPr>
          <w:rFonts w:ascii="Times New Roman" w:cs="Times New Roman" w:eastAsia="Times New Roman" w:hAnsi="Times New Roman"/>
          <w:sz w:val="18"/>
          <w:szCs w:val="18"/>
          <w:color w:val="auto"/>
        </w:rPr>
        <w:t xml:space="preserve">”). Purchaser and Sellers shall file, in accordance with Section 1060 of the Code, an Asset Allocation Statement on Form 8594 (which reflects such allocation) with their federal income Tax Return for the Tax year in which the Closing Date occurs and shall contemporaneously provide the other Parties hereto with a copy of the Form 8594 being filed. The Parties hereto agree that the Preliminary Allocation shall be modified to reflect any adjustments made pursuant to this Agreement or the payment of any indemnification claims by Sellers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as mutually agreed upon by Purchaser and Sellers in good faith (and, if applicable, consistent with the prior allocation of similar items). The Parties shall file an amendment to Form 8594 to reflect any adjustments made to the Preliminary Allocation as provided in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Purchaser and Sellers agree not to assert, in connection with any Tax Return, audit or similar proceeding, any allocation of the Purchase Price that differs from the allocation set forth on the Allocation of Purchase Price Schedule herein.</w:t>
      </w:r>
    </w:p>
    <w:p>
      <w:pPr>
        <w:spacing w:after="0" w:line="1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1.07. Section 338(h)(10) Election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20" w:right="40" w:firstLine="421"/>
        <w:spacing w:after="0" w:line="253" w:lineRule="auto"/>
        <w:tabs>
          <w:tab w:leader="none" w:pos="15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Purchaser shall jointly make a timely election pursuant to Section 338(h)(10) of the Code and Section 1.338(h)(10)-1 of the United States Treasury Regulations, any comparable election under applicable state or local Law (collectively, the “</w:t>
      </w:r>
      <w:r>
        <w:rPr>
          <w:rFonts w:ascii="Times New Roman" w:cs="Times New Roman" w:eastAsia="Times New Roman" w:hAnsi="Times New Roman"/>
          <w:sz w:val="18"/>
          <w:szCs w:val="18"/>
          <w:u w:val="single" w:color="auto"/>
          <w:color w:val="auto"/>
        </w:rPr>
        <w:t>Tax Treatment Election</w:t>
      </w:r>
      <w:r>
        <w:rPr>
          <w:rFonts w:ascii="Times New Roman" w:cs="Times New Roman" w:eastAsia="Times New Roman" w:hAnsi="Times New Roman"/>
          <w:sz w:val="18"/>
          <w:szCs w:val="18"/>
          <w:color w:val="auto"/>
        </w:rPr>
        <w:t>”) with respect to the purchase by Purchaser of the Shares. In addition, Sellers and Purchaser shall, as promptly as practicable following the Closing Date, cooperate with each other to take all actions necessary and appropriate (including such additional forms, returns, elections, schedules and other documents as may be required by applicable state or local Law) to effect and preserve a timely Tax Treatment Election in accordance with any comparable provisions of applicable Law, and the Parties responsible for filing any such Tax Treatment Election under applicable Law shall promptly file or cause to be filed such Tax Treatment Election with the appropriate Taxing authority and provide written evidence of such filing to the other Parties. Sellers and Purchaser shall report the purchase by Purchaser of the Shares consistent with the Tax Treatment Election and the allocation as set forth on Allocation of Purchase Price Schedule and no party shall take (and prior to the Closing Sellers shall not permit the Company to take, and after the Closing the Company shall not take) any position contrary thereto in any Tax Return, any proceeding before any Tax authority or otherwise. In the event that any Tax Treatment Election is disputed by any Tax authority, the party receiving notice of such dispute shall promptly notify and consult with the other party concerning such dispute.</w:t>
      </w:r>
    </w:p>
    <w:p>
      <w:pPr>
        <w:spacing w:after="0" w:line="123" w:lineRule="exact"/>
        <w:rPr>
          <w:rFonts w:ascii="Times New Roman" w:cs="Times New Roman" w:eastAsia="Times New Roman" w:hAnsi="Times New Roman"/>
          <w:sz w:val="18"/>
          <w:szCs w:val="18"/>
          <w:color w:val="auto"/>
        </w:rPr>
      </w:pPr>
    </w:p>
    <w:p>
      <w:pPr>
        <w:ind w:left="5660" w:hanging="96"/>
        <w:spacing w:after="0"/>
        <w:tabs>
          <w:tab w:leader="none" w:pos="5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420"/>
          </w:cols>
          <w:pgMar w:left="240" w:top="270" w:right="2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firstLine="421"/>
        <w:spacing w:after="0" w:line="252" w:lineRule="auto"/>
        <w:tabs>
          <w:tab w:leader="none" w:pos="15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it is determined by a finding or order in connection with any governmental or judicial audit or proceeding, including any settlement of such a proceeding to which any of the Parties hereto are parties (but only if the requirements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have been satisfied, unless the failure to satisfy such requirements is not materially prejudicial to Sellers), that the Company’s S election was not validly in effect for any period after such election was purportedly made (including the period ending on the Closing Date, but excluding any periods commencing with the Closing), then Sellers shall be obligated, jointly and severally, to indemnify and hold harmless Purchaser and the Company with respect to (i) any and all Taxes imposed on the Company due to such invalid election or pre-Closing termination of the Company’s S Corporation status and (ii)(a) any and all Taxes imposed on the Company due to an invalid Tax Treatment Election caused by the invalid election or the pre-Closing termination of the Company’s S status resulting in the disallowance of any and all Tax benefits, including, but not limited to, the disallowance of deductions and losses that otherwise could have been available pursuant to a valid Tax Treatment Election and (b) the net present value of any and all future Tax benefits, including, but not limited to, deductions and losses that were disallowed that the Company could reasonably have expected to realize in subsequent periods as the result of a valid Tax Treatment Election (with such expectation to be measured based on circumstances as of the Closing Date), using a discount rate of fifteen percent (15%) per annum from the date upon which such Tax benefits were disallowed through the date the Company could reasonably have expected to realize such Tax benefits (with such expectation to be measured based on circumstances as of the Closing Date). Such payment shall be made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Notwithstanding anything to the contrary contained in this Agreement, the provisions of this Section shall remain in effect as personal obligations of Sellers on a joint and several basis until the applicable statutes of limitations shall have expired and shall not be subject to the limitations set forth in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91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1.08. Fair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Parties acknowledges and agrees that the consideration provided for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consideration and reasonable equivalent value for the sale and transfer of the Shares and the transactions, covenants and agreements set forth in this Agreement and the Related Agreements, which consideration was agreed upon as the result of arms-length good faith negotiations among the Parties and their respective representatives.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p>
    <w:p>
      <w:pPr>
        <w:spacing w:after="0" w:line="225" w:lineRule="exact"/>
        <w:rPr>
          <w:sz w:val="20"/>
          <w:szCs w:val="20"/>
          <w:color w:val="auto"/>
        </w:rPr>
      </w:pPr>
    </w:p>
    <w:p>
      <w:pPr>
        <w:ind w:right="16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2.01.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concurrently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of this Agreement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Parties hereto acknowledge and agree that all proceedings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420"/>
          </w:cols>
          <w:pgMar w:left="240" w:top="270" w:right="2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at the Closing shall be deemed to be taken and all documents to be executed and delivered by all Parties at the Closing shall be deemed to have been taken and executed simultaneously, and no proceedings shall be deemed taken nor any document executed or delivered until all have been taken, executed and delivered.</w:t>
      </w:r>
    </w:p>
    <w:p>
      <w:pPr>
        <w:spacing w:after="0" w:line="172" w:lineRule="exact"/>
        <w:rPr>
          <w:sz w:val="20"/>
          <w:szCs w:val="20"/>
          <w:color w:val="auto"/>
        </w:rPr>
      </w:pPr>
    </w:p>
    <w:p>
      <w:pPr>
        <w:ind w:right="16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2.02. Deliveries by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Closing, Sellers shall deliver possession of all of the Shares to Purchaser, and Sellers shall deliver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to be delivered) to Purchaser originals or copies, if specified, of the following:</w:t>
      </w:r>
    </w:p>
    <w:p>
      <w:pPr>
        <w:spacing w:after="0" w:line="51" w:lineRule="exact"/>
        <w:rPr>
          <w:sz w:val="20"/>
          <w:szCs w:val="20"/>
          <w:color w:val="auto"/>
        </w:rPr>
      </w:pPr>
    </w:p>
    <w:p>
      <w:pPr>
        <w:ind w:left="920" w:right="20" w:firstLine="421"/>
        <w:spacing w:after="0" w:line="282" w:lineRule="auto"/>
        <w:tabs>
          <w:tab w:leader="none" w:pos="158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all agreements, documents and instruments required to be delivered by the Company or any of Sellers pursuant to any of the Related Agreements duly executed by the Company or Sellers, as applicable;</w:t>
      </w:r>
    </w:p>
    <w:p>
      <w:pPr>
        <w:spacing w:after="0" w:line="53" w:lineRule="exact"/>
        <w:rPr>
          <w:rFonts w:ascii="Times New Roman" w:cs="Times New Roman" w:eastAsia="Times New Roman" w:hAnsi="Times New Roman"/>
          <w:sz w:val="18"/>
          <w:szCs w:val="18"/>
          <w:color w:val="auto"/>
        </w:rPr>
      </w:pPr>
    </w:p>
    <w:p>
      <w:pPr>
        <w:ind w:left="920" w:right="180" w:firstLine="421"/>
        <w:spacing w:after="0" w:line="282" w:lineRule="auto"/>
        <w:tabs>
          <w:tab w:leader="none" w:pos="159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copies of each consent, waiver, authorization and approval required pursuant to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of this Agreement, except for those to be delivered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below;</w:t>
      </w:r>
    </w:p>
    <w:p>
      <w:pPr>
        <w:spacing w:after="0" w:line="53" w:lineRule="exact"/>
        <w:rPr>
          <w:rFonts w:ascii="Times New Roman" w:cs="Times New Roman" w:eastAsia="Times New Roman" w:hAnsi="Times New Roman"/>
          <w:sz w:val="18"/>
          <w:szCs w:val="18"/>
          <w:color w:val="auto"/>
        </w:rPr>
      </w:pPr>
    </w:p>
    <w:p>
      <w:pPr>
        <w:ind w:left="920" w:right="80" w:firstLine="421"/>
        <w:spacing w:after="0" w:line="272" w:lineRule="auto"/>
        <w:tabs>
          <w:tab w:leader="none" w:pos="158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Good Standing of the Company issued by the Secretary of State of the State of California and certificates of qualification to do business as a foreign corporation issued by the appropriate Governmental Entities of each state in which the nature of the Business or the ownership of assets in such state would require the Company to be qualified to do business in such state, each dated within thirty</w:t>
      </w:r>
    </w:p>
    <w:p>
      <w:pPr>
        <w:spacing w:after="0" w:line="1" w:lineRule="exact"/>
        <w:rPr>
          <w:rFonts w:ascii="Times New Roman" w:cs="Times New Roman" w:eastAsia="Times New Roman" w:hAnsi="Times New Roman"/>
          <w:sz w:val="17"/>
          <w:szCs w:val="17"/>
          <w:color w:val="auto"/>
        </w:rPr>
      </w:pPr>
    </w:p>
    <w:p>
      <w:pPr>
        <w:ind w:left="1260" w:hanging="339"/>
        <w:spacing w:after="0"/>
        <w:tabs>
          <w:tab w:leader="none" w:pos="1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of the Closing;</w:t>
      </w:r>
    </w:p>
    <w:p>
      <w:pPr>
        <w:spacing w:after="0" w:line="98" w:lineRule="exact"/>
        <w:rPr>
          <w:rFonts w:ascii="Times New Roman" w:cs="Times New Roman" w:eastAsia="Times New Roman" w:hAnsi="Times New Roman"/>
          <w:sz w:val="18"/>
          <w:szCs w:val="18"/>
          <w:color w:val="auto"/>
        </w:rPr>
      </w:pPr>
    </w:p>
    <w:p>
      <w:pPr>
        <w:ind w:left="920" w:right="40" w:firstLine="421"/>
        <w:spacing w:after="0" w:line="266" w:lineRule="auto"/>
        <w:tabs>
          <w:tab w:leader="none" w:pos="159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resolutions adopted by the Board of Directors and shareholders of the Company (including Sellers) authorizing and approving the execution and delivery of this Agreement, the Related Agreements and all agreements and other documents and instruments contemplated hereby and thereby and the consummation of the transactions contemplated hereby and thereby;</w:t>
      </w:r>
    </w:p>
    <w:p>
      <w:pPr>
        <w:spacing w:after="0" w:line="68" w:lineRule="exact"/>
        <w:rPr>
          <w:rFonts w:ascii="Times New Roman" w:cs="Times New Roman" w:eastAsia="Times New Roman" w:hAnsi="Times New Roman"/>
          <w:sz w:val="18"/>
          <w:szCs w:val="18"/>
          <w:color w:val="auto"/>
        </w:rPr>
      </w:pPr>
    </w:p>
    <w:p>
      <w:pPr>
        <w:ind w:left="920" w:firstLine="421"/>
        <w:spacing w:after="0" w:line="266" w:lineRule="auto"/>
        <w:tabs>
          <w:tab w:leader="none" w:pos="158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certified articles of incorporation of the Company, including all amendments thereto, certified as true, complete and correct and in full force and effect by the Secretary of the Company, and a copy of the Bylaws of the Company, including all amendments thereto, certified as true, complete and correct and in full force and effect by the Secretary of the Company;</w:t>
      </w:r>
    </w:p>
    <w:p>
      <w:pPr>
        <w:spacing w:after="0" w:line="68" w:lineRule="exact"/>
        <w:rPr>
          <w:rFonts w:ascii="Times New Roman" w:cs="Times New Roman" w:eastAsia="Times New Roman" w:hAnsi="Times New Roman"/>
          <w:sz w:val="18"/>
          <w:szCs w:val="18"/>
          <w:color w:val="auto"/>
        </w:rPr>
      </w:pPr>
    </w:p>
    <w:p>
      <w:pPr>
        <w:ind w:left="920" w:right="20" w:firstLine="421"/>
        <w:spacing w:after="0" w:line="258" w:lineRule="auto"/>
        <w:tabs>
          <w:tab w:leader="none" w:pos="156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as of the Closing Date, duly executed by the Sellers’ Representative to the effect that (i) all representations and warranties made by the Sellers (considered collectively and individually) in this Agreement, are true and correct in all material respects as of the Closing Date, except that representations and warranties made as of a specific date are true and correct in all material respects as of such date and (ii) Sellers have performed, complied and fulfilled in all material respects all of the covenants, agreements, obligations and conditions required under this Agreement and each of the Related Agreements to which it is a party to be complied with or fulfilled by the Sellers;</w:t>
      </w:r>
    </w:p>
    <w:p>
      <w:pPr>
        <w:spacing w:after="0" w:line="116" w:lineRule="exact"/>
        <w:rPr>
          <w:rFonts w:ascii="Times New Roman" w:cs="Times New Roman" w:eastAsia="Times New Roman" w:hAnsi="Times New Roman"/>
          <w:sz w:val="18"/>
          <w:szCs w:val="18"/>
          <w:color w:val="auto"/>
        </w:rPr>
      </w:pPr>
    </w:p>
    <w:p>
      <w:pPr>
        <w:ind w:left="5660" w:hanging="96"/>
        <w:spacing w:after="0"/>
        <w:tabs>
          <w:tab w:leader="none" w:pos="56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420"/>
          </w:cols>
          <w:pgMar w:left="240" w:top="270" w:right="2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right="780" w:firstLine="421"/>
        <w:spacing w:after="0" w:line="282" w:lineRule="auto"/>
        <w:tabs>
          <w:tab w:leader="none" w:pos="15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of the releases of all Encumbrances on the Shares, other than Permitted Encumbrances, each in form and substance satisfactory to Purchaser in its sole discretion;</w:t>
      </w:r>
    </w:p>
    <w:p>
      <w:pPr>
        <w:spacing w:after="0" w:line="53" w:lineRule="exact"/>
        <w:rPr>
          <w:rFonts w:ascii="Times New Roman" w:cs="Times New Roman" w:eastAsia="Times New Roman" w:hAnsi="Times New Roman"/>
          <w:sz w:val="18"/>
          <w:szCs w:val="18"/>
          <w:color w:val="auto"/>
        </w:rPr>
      </w:pPr>
    </w:p>
    <w:p>
      <w:pPr>
        <w:ind w:left="920" w:right="160" w:firstLine="421"/>
        <w:spacing w:after="0" w:line="282" w:lineRule="auto"/>
        <w:tabs>
          <w:tab w:leader="none" w:pos="15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that certain Restricted Stock Unit Award Agreement (the “</w:t>
      </w:r>
      <w:r>
        <w:rPr>
          <w:rFonts w:ascii="Times New Roman" w:cs="Times New Roman" w:eastAsia="Times New Roman" w:hAnsi="Times New Roman"/>
          <w:sz w:val="18"/>
          <w:szCs w:val="18"/>
          <w:u w:val="single" w:color="auto"/>
          <w:color w:val="auto"/>
        </w:rPr>
        <w:t>Restricted Unit Award Agreement</w:t>
      </w:r>
      <w:r>
        <w:rPr>
          <w:rFonts w:ascii="Times New Roman" w:cs="Times New Roman" w:eastAsia="Times New Roman" w:hAnsi="Times New Roman"/>
          <w:sz w:val="18"/>
          <w:szCs w:val="18"/>
          <w:color w:val="auto"/>
        </w:rPr>
        <w:t xml:space="preserve">”) by and between GLDD and each Seller set forth on the Employee Schedule attached hereto as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C;</w:t>
      </w:r>
    </w:p>
    <w:p>
      <w:pPr>
        <w:spacing w:after="0" w:line="53" w:lineRule="exact"/>
        <w:rPr>
          <w:rFonts w:ascii="Times New Roman" w:cs="Times New Roman" w:eastAsia="Times New Roman" w:hAnsi="Times New Roman"/>
          <w:sz w:val="18"/>
          <w:szCs w:val="18"/>
          <w:color w:val="auto"/>
        </w:rPr>
      </w:pPr>
    </w:p>
    <w:p>
      <w:pPr>
        <w:ind w:left="920" w:right="180" w:firstLine="421"/>
        <w:spacing w:after="0" w:line="266" w:lineRule="auto"/>
        <w:tabs>
          <w:tab w:leader="none" w:pos="15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Lease by and between the Company and Magnus Real Estate Group, LLC, or its assigned entity (“</w:t>
      </w:r>
      <w:r>
        <w:rPr>
          <w:rFonts w:ascii="Times New Roman" w:cs="Times New Roman" w:eastAsia="Times New Roman" w:hAnsi="Times New Roman"/>
          <w:sz w:val="18"/>
          <w:szCs w:val="18"/>
          <w:u w:val="single" w:color="auto"/>
          <w:color w:val="auto"/>
        </w:rPr>
        <w:t>Magnus Real Estate</w:t>
      </w:r>
      <w:r>
        <w:rPr>
          <w:rFonts w:ascii="Times New Roman" w:cs="Times New Roman" w:eastAsia="Times New Roman" w:hAnsi="Times New Roman"/>
          <w:sz w:val="18"/>
          <w:szCs w:val="18"/>
          <w:color w:val="auto"/>
        </w:rPr>
        <w:t>”), for the office space located in Rocklin, California (the “</w:t>
      </w:r>
      <w:r>
        <w:rPr>
          <w:rFonts w:ascii="Times New Roman" w:cs="Times New Roman" w:eastAsia="Times New Roman" w:hAnsi="Times New Roman"/>
          <w:sz w:val="18"/>
          <w:szCs w:val="18"/>
          <w:u w:val="single" w:color="auto"/>
          <w:color w:val="auto"/>
        </w:rPr>
        <w:t>Office Lease</w:t>
      </w:r>
      <w:r>
        <w:rPr>
          <w:rFonts w:ascii="Times New Roman" w:cs="Times New Roman" w:eastAsia="Times New Roman" w:hAnsi="Times New Roman"/>
          <w:sz w:val="18"/>
          <w:szCs w:val="18"/>
          <w:color w:val="auto"/>
        </w:rPr>
        <w:t xml:space="preserve">”), duly executed by Magnus Real Estate and the Company,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920" w:right="640" w:firstLine="421"/>
        <w:spacing w:after="0" w:line="313" w:lineRule="auto"/>
        <w:tabs>
          <w:tab w:leader="none" w:pos="155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Lease by and between the Company and Magnus Real Estate for the yard and warehouse space located in Rocklin, California (the “</w:t>
      </w:r>
      <w:r>
        <w:rPr>
          <w:rFonts w:ascii="Times New Roman" w:cs="Times New Roman" w:eastAsia="Times New Roman" w:hAnsi="Times New Roman"/>
          <w:sz w:val="17"/>
          <w:szCs w:val="17"/>
          <w:u w:val="single" w:color="auto"/>
          <w:color w:val="auto"/>
        </w:rPr>
        <w:t>Yard Lease</w:t>
      </w:r>
      <w:r>
        <w:rPr>
          <w:rFonts w:ascii="Times New Roman" w:cs="Times New Roman" w:eastAsia="Times New Roman" w:hAnsi="Times New Roman"/>
          <w:sz w:val="17"/>
          <w:szCs w:val="17"/>
          <w:color w:val="auto"/>
        </w:rPr>
        <w:t xml:space="preserve">”), duly executed by Magnus Real Estate and the Company, in the form attached hereto as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w:t>
      </w:r>
    </w:p>
    <w:p>
      <w:pPr>
        <w:spacing w:after="0" w:line="30" w:lineRule="exact"/>
        <w:rPr>
          <w:rFonts w:ascii="Times New Roman" w:cs="Times New Roman" w:eastAsia="Times New Roman" w:hAnsi="Times New Roman"/>
          <w:sz w:val="17"/>
          <w:szCs w:val="17"/>
          <w:color w:val="auto"/>
        </w:rPr>
      </w:pPr>
    </w:p>
    <w:p>
      <w:pPr>
        <w:ind w:left="920" w:right="140" w:firstLine="421"/>
        <w:spacing w:after="0" w:line="282" w:lineRule="auto"/>
        <w:tabs>
          <w:tab w:leader="none" w:pos="15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of Merger, by and between the Company and Magnus Equipment Group (“</w:t>
      </w:r>
      <w:r>
        <w:rPr>
          <w:rFonts w:ascii="Times New Roman" w:cs="Times New Roman" w:eastAsia="Times New Roman" w:hAnsi="Times New Roman"/>
          <w:sz w:val="18"/>
          <w:szCs w:val="18"/>
          <w:u w:val="single" w:color="auto"/>
          <w:color w:val="auto"/>
        </w:rPr>
        <w:t>MEG</w:t>
      </w:r>
      <w:r>
        <w:rPr>
          <w:rFonts w:ascii="Times New Roman" w:cs="Times New Roman" w:eastAsia="Times New Roman" w:hAnsi="Times New Roman"/>
          <w:sz w:val="18"/>
          <w:szCs w:val="18"/>
          <w:color w:val="auto"/>
        </w:rPr>
        <w:t>”), effectively merging MEG into the Company;</w:t>
      </w:r>
    </w:p>
    <w:p>
      <w:pPr>
        <w:spacing w:after="0" w:line="53" w:lineRule="exact"/>
        <w:rPr>
          <w:rFonts w:ascii="Times New Roman" w:cs="Times New Roman" w:eastAsia="Times New Roman" w:hAnsi="Times New Roman"/>
          <w:sz w:val="18"/>
          <w:szCs w:val="18"/>
          <w:color w:val="auto"/>
        </w:rPr>
      </w:pPr>
    </w:p>
    <w:p>
      <w:pPr>
        <w:ind w:left="920" w:right="760" w:firstLine="421"/>
        <w:spacing w:after="0" w:line="282" w:lineRule="auto"/>
        <w:tabs>
          <w:tab w:leader="none" w:pos="15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consent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 executed by the spouses of each of the Sellers and Executives, as applicable; and</w:t>
      </w:r>
    </w:p>
    <w:p>
      <w:pPr>
        <w:spacing w:after="0" w:line="53" w:lineRule="exact"/>
        <w:rPr>
          <w:rFonts w:ascii="Times New Roman" w:cs="Times New Roman" w:eastAsia="Times New Roman" w:hAnsi="Times New Roman"/>
          <w:sz w:val="18"/>
          <w:szCs w:val="18"/>
          <w:color w:val="auto"/>
        </w:rPr>
      </w:pPr>
    </w:p>
    <w:p>
      <w:pPr>
        <w:ind w:left="920" w:right="100" w:firstLine="421"/>
        <w:spacing w:after="0" w:line="282" w:lineRule="auto"/>
        <w:tabs>
          <w:tab w:leader="none" w:pos="164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Purchaser may reasonably request for the purpose of otherwise facilitating the consummation or performance of any of the transactions contemplated by this Agreement or any of the Related Agreements.</w:t>
      </w:r>
    </w:p>
    <w:p>
      <w:pPr>
        <w:spacing w:after="0" w:line="158" w:lineRule="exact"/>
        <w:rPr>
          <w:sz w:val="20"/>
          <w:szCs w:val="20"/>
          <w:color w:val="auto"/>
        </w:rPr>
      </w:pPr>
    </w:p>
    <w:p>
      <w:pPr>
        <w:ind w:right="62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2.03. Deliveries by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Closing, Purchaser shall deliver (or cause to be delivered) to Sellers originals, or copies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of the following agreements, documents and other items:</w:t>
      </w:r>
    </w:p>
    <w:p>
      <w:pPr>
        <w:spacing w:after="0" w:line="51" w:lineRule="exact"/>
        <w:rPr>
          <w:sz w:val="20"/>
          <w:szCs w:val="20"/>
          <w:color w:val="auto"/>
        </w:rPr>
      </w:pPr>
    </w:p>
    <w:p>
      <w:pPr>
        <w:ind w:left="1580" w:hanging="239"/>
        <w:spacing w:after="0"/>
        <w:tabs>
          <w:tab w:leader="none" w:pos="1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Cash Payment;</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duly executed by GLDD;</w:t>
      </w:r>
    </w:p>
    <w:p>
      <w:pPr>
        <w:spacing w:after="0" w:line="117" w:lineRule="exact"/>
        <w:rPr>
          <w:rFonts w:ascii="Times New Roman" w:cs="Times New Roman" w:eastAsia="Times New Roman" w:hAnsi="Times New Roman"/>
          <w:sz w:val="18"/>
          <w:szCs w:val="18"/>
          <w:color w:val="auto"/>
        </w:rPr>
      </w:pPr>
    </w:p>
    <w:p>
      <w:pPr>
        <w:ind w:left="920" w:right="660" w:firstLine="421"/>
        <w:spacing w:after="0" w:line="282" w:lineRule="auto"/>
        <w:tabs>
          <w:tab w:leader="none" w:pos="15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all agreements, documents and instruments required to be delivered by Purchaser pursuant to any of the Related Agreements, duly executed by Purchaser;</w:t>
      </w:r>
    </w:p>
    <w:p>
      <w:pPr>
        <w:spacing w:after="0" w:line="53" w:lineRule="exact"/>
        <w:rPr>
          <w:rFonts w:ascii="Times New Roman" w:cs="Times New Roman" w:eastAsia="Times New Roman" w:hAnsi="Times New Roman"/>
          <w:sz w:val="18"/>
          <w:szCs w:val="18"/>
          <w:color w:val="auto"/>
        </w:rPr>
      </w:pPr>
    </w:p>
    <w:p>
      <w:pPr>
        <w:ind w:left="920" w:right="40" w:firstLine="421"/>
        <w:spacing w:after="0" w:line="266" w:lineRule="auto"/>
        <w:tabs>
          <w:tab w:leader="none" w:pos="15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the resolutions adopted by the Board of Managers of Purchaser authorizing and approving the execution and delivery of this Agreement, the Related Agreements and all agreements contemplated hereby and the consummation of the transactions contemplated hereby and thereby;</w:t>
      </w:r>
    </w:p>
    <w:p>
      <w:pPr>
        <w:spacing w:after="0" w:line="108" w:lineRule="exact"/>
        <w:rPr>
          <w:rFonts w:ascii="Times New Roman" w:cs="Times New Roman" w:eastAsia="Times New Roman" w:hAnsi="Times New Roman"/>
          <w:sz w:val="18"/>
          <w:szCs w:val="18"/>
          <w:color w:val="auto"/>
        </w:rPr>
      </w:pPr>
    </w:p>
    <w:p>
      <w:pPr>
        <w:ind w:left="5660" w:hanging="96"/>
        <w:spacing w:after="0"/>
        <w:tabs>
          <w:tab w:leader="none" w:pos="5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420"/>
          </w:cols>
          <w:pgMar w:left="240" w:top="270" w:right="2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1580" w:hanging="239"/>
        <w:spacing w:after="0"/>
        <w:tabs>
          <w:tab w:leader="none" w:pos="15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of Purchaser issued by the Secretary of State of the State of Delaware;</w:t>
      </w:r>
    </w:p>
    <w:p>
      <w:pPr>
        <w:spacing w:after="0" w:line="117" w:lineRule="exact"/>
        <w:rPr>
          <w:rFonts w:ascii="Times New Roman" w:cs="Times New Roman" w:eastAsia="Times New Roman" w:hAnsi="Times New Roman"/>
          <w:sz w:val="18"/>
          <w:szCs w:val="18"/>
          <w:color w:val="auto"/>
        </w:rPr>
      </w:pPr>
    </w:p>
    <w:p>
      <w:pPr>
        <w:ind w:left="920" w:right="40" w:firstLine="421"/>
        <w:spacing w:after="0" w:line="258" w:lineRule="auto"/>
        <w:tabs>
          <w:tab w:leader="none" w:pos="15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as of the Closing Date, duly executed by an officer of Purchaser to the effect that (i) all representations and warranties made by the Purchaser in this Agreement, are true and correct in all material respects as of the Closing Date, except that representations and warranties made as of a specific date are true and correct in all material respects as of such date and (ii) Purchaser has performed, complied and fulfilled in all material respects all of the covenants, agreements, obligations and conditions required under this Agreement and each of the Related Agreements to which it is a party to be complied with or fulfilled by the Purchaser;</w:t>
      </w:r>
    </w:p>
    <w:p>
      <w:pPr>
        <w:spacing w:after="0" w:line="75"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 of the Restricted Stock Unit Award Agreement, by and between GLDD and each Seller, duly executed by GLDD;</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2.04. Post-Closing Matters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20" w:right="60" w:firstLine="421"/>
        <w:spacing w:after="0" w:line="261" w:lineRule="auto"/>
        <w:tabs>
          <w:tab w:leader="none" w:pos="15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calendar days of the Closing Date, the Company shall prepare and file (i) a Form D filing with the Securities and Exchange Commission as required under Rule 506 of Regulation D; (ii) any additional filings to the extent required by the blue sky administration laws of the state of California; and (iii) a press release to announce the transaction contemplated by this Agreement, as well as the Restricted Stock Unit Award Agreement.</w:t>
      </w:r>
    </w:p>
    <w:p>
      <w:pPr>
        <w:spacing w:after="0" w:line="71" w:lineRule="exact"/>
        <w:rPr>
          <w:rFonts w:ascii="Times New Roman" w:cs="Times New Roman" w:eastAsia="Times New Roman" w:hAnsi="Times New Roman"/>
          <w:sz w:val="18"/>
          <w:szCs w:val="18"/>
          <w:color w:val="auto"/>
        </w:rPr>
      </w:pPr>
    </w:p>
    <w:p>
      <w:pPr>
        <w:ind w:left="920" w:right="60" w:firstLine="421"/>
        <w:spacing w:after="0" w:line="266" w:lineRule="auto"/>
        <w:tabs>
          <w:tab w:leader="none" w:pos="15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Closing Date, Sellers’ Representative shall prepare and file any and all filings required by the Secretary of State of California and by the Secretary of State of any of each state in which the Company is qualified to do business as a result of the transactions contemplated by this Agreement.</w:t>
      </w:r>
    </w:p>
    <w:p>
      <w:pPr>
        <w:spacing w:after="0" w:line="68" w:lineRule="exact"/>
        <w:rPr>
          <w:rFonts w:ascii="Times New Roman" w:cs="Times New Roman" w:eastAsia="Times New Roman" w:hAnsi="Times New Roman"/>
          <w:sz w:val="18"/>
          <w:szCs w:val="18"/>
          <w:color w:val="auto"/>
        </w:rPr>
      </w:pPr>
    </w:p>
    <w:p>
      <w:pPr>
        <w:ind w:left="920" w:right="220" w:firstLine="421"/>
        <w:spacing w:after="0" w:line="266" w:lineRule="auto"/>
        <w:tabs>
          <w:tab w:leader="none" w:pos="15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after the Closing Date, Sellers’ Representative shall provide to Purchaser copies of any consent, waiver, authorization and approval required pursuant to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of this Agreement, which was not obtained prior to the Closing Date, as indicated on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of the Disclosure Schedules.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INDIVIDUAL REPRESENTATIONS AND WARRANTIES OF SELLERS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Seller severally, and not jointly, hereby represents and warrants to Purchaser, solely as to such Seller, as follows:</w:t>
      </w:r>
    </w:p>
    <w:p>
      <w:pPr>
        <w:spacing w:after="0" w:line="113" w:lineRule="exact"/>
        <w:rPr>
          <w:sz w:val="20"/>
          <w:szCs w:val="20"/>
          <w:color w:val="auto"/>
        </w:rPr>
      </w:pPr>
    </w:p>
    <w:p>
      <w:pPr>
        <w:ind w:right="200" w:firstLine="91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3.01. Authorization and Validity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Seller has the legal capacity and authority to enter into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Agreements to which he, she or it is a party and such other agreements, documents and instruments to which he, she or it is a party and to carry out his, her or its obligations hereunder and thereunder. The execution and delivery of this Agreement, the Related Agreements to which he, she or it is a party and such other agreements, documents and instruments by each of Sellers and the consummation by each of Sellers of the transactions contemplated hereby and thereby have been duly authorized by all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420"/>
          </w:cols>
          <w:pgMar w:left="240" w:top="270" w:right="2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necessary action on the part of each of Sellers, and no other corporate or other proceedings on the part of any Sellers are necessary to authorize the execution, delivery and performance of this Agreement, the Related Agreements or any other such agreement, document or instrument, as applicable. This Agreement, each of the Related Agreements and all other agreements, documents and instruments executed by any Sellers in connection with the transactions contemplated by this Agreement have been duly executed and delivered by each Seller, as applicable, and constitute Sellers’ legal, valid and binding obligation, as applicable, enforceable against Sellers, as applicable, in accordance with their respective terms and conditions.</w:t>
      </w:r>
    </w:p>
    <w:p>
      <w:pPr>
        <w:spacing w:after="0" w:line="180" w:lineRule="exact"/>
        <w:rPr>
          <w:sz w:val="20"/>
          <w:szCs w:val="20"/>
          <w:color w:val="auto"/>
        </w:rPr>
      </w:pPr>
    </w:p>
    <w:p>
      <w:pPr>
        <w:ind w:firstLine="91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3.02. No Conflict or Violation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consummation and performance of this Agreement and each of the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by each Seller do not and shall not: (a) in the case of each Seller who is not an individual, violate or conflict with any provision of any Governing Document of such Seller; (b) violate any provision of Law applicable to such Seller; (c) violate or result in a breach of or constitute (with or without due notice or lapse of time or both) a default under any Contract, consent, order or other instrument or obligation to which any Seller is a party, or by which any of Sellers’ respective assets or properties may be bound; or (d) result in the imposition of any Encumbrance or restriction on the Business, the Shares or any of the assets or properties of the Company (with or without due notice or lapse of time or both).</w:t>
      </w:r>
    </w:p>
    <w:p>
      <w:pPr>
        <w:spacing w:after="0" w:line="183" w:lineRule="exact"/>
        <w:rPr>
          <w:sz w:val="20"/>
          <w:szCs w:val="20"/>
          <w:color w:val="auto"/>
        </w:rPr>
      </w:pPr>
    </w:p>
    <w:p>
      <w:pPr>
        <w:ind w:right="40" w:firstLine="91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3.03. Consents and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by such Seller of this Agreement or any Related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it is a party and the consummation by such party of the transactions contemplated thereby, will not require any notice to, or consent, authorization or approval from any Governmental Entity or any other third party.</w:t>
      </w:r>
    </w:p>
    <w:p>
      <w:pPr>
        <w:spacing w:after="0" w:line="171" w:lineRule="exact"/>
        <w:rPr>
          <w:sz w:val="20"/>
          <w:szCs w:val="20"/>
          <w:color w:val="auto"/>
        </w:rPr>
      </w:pPr>
    </w:p>
    <w:p>
      <w:pPr>
        <w:ind w:right="140" w:firstLine="913"/>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3.04. Title to the Shares and Related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have good, marketable and insurable title to all of the Shares, free and clear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Encumbrances. Sellers have complete and unrestricted power and the unqualified right to sell, convey, assign, transfer and deliver the Shares, and the instruments of assignment and transfer to be executed and delivered by Sellers to Purchaser at the Closing shall be valid and binding obligations of Sellers, enforceable in accordance with their respective terms, and shall effectively vest in Purchaser good, marketable and insurable title to the Shares. All consents necessary to consummate the transactions contemplated by this Agreement have been obtained, or, shall be obtained on or prior to, and be in effect as of, the Closing Date, and are or shall be when obtained enforceable, valid and binding upon the Persons giving the same. There does not exist any condition which may interfere with the economic value or use of any of the Shares.</w:t>
      </w:r>
    </w:p>
    <w:p>
      <w:pPr>
        <w:spacing w:after="0" w:line="183" w:lineRule="exact"/>
        <w:rPr>
          <w:sz w:val="20"/>
          <w:szCs w:val="20"/>
          <w:color w:val="auto"/>
        </w:rPr>
      </w:pPr>
    </w:p>
    <w:p>
      <w:pPr>
        <w:ind w:right="240" w:firstLine="91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3.05. Broker’s and Finder’s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(which fees shall be paid and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discharged by the Sellers), no broker, finder or other Person is entitled to any commission or finder’s fee in connection with this Agreement or the transactions contemplated by this Agreement as a result of any actions or commitments of the Sellers (or any Affiliates). Any fees shall be paid from the Sellers’ available cash at the time of Closing or the Closing Cash Payment.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420"/>
          </w:cols>
          <w:pgMar w:left="240" w:top="270" w:right="2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right="18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3.06. Legal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is not pending, or to such Sellers’ Knowledge, threatened, any Proceeding that challenges, or that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effect of preventing, delaying, making illegal or otherwise interfering with, any of the transactions contemplated by this Agreement.</w:t>
      </w:r>
    </w:p>
    <w:p>
      <w:pPr>
        <w:spacing w:after="0" w:line="155" w:lineRule="exact"/>
        <w:rPr>
          <w:sz w:val="20"/>
          <w:szCs w:val="20"/>
          <w:color w:val="auto"/>
        </w:rPr>
      </w:pPr>
    </w:p>
    <w:p>
      <w:pPr>
        <w:ind w:right="60" w:firstLine="91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3.07. GLDD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1.03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and the Restricted Stock Unit Award Agreements,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and other securities of GLDD (“</w:t>
      </w:r>
      <w:r>
        <w:rPr>
          <w:rFonts w:ascii="Times New Roman" w:cs="Times New Roman" w:eastAsia="Times New Roman" w:hAnsi="Times New Roman"/>
          <w:sz w:val="18"/>
          <w:szCs w:val="18"/>
          <w:u w:val="single" w:color="auto"/>
          <w:color w:val="auto"/>
        </w:rPr>
        <w:t>GLDD Consideration Securities</w:t>
      </w:r>
      <w:r>
        <w:rPr>
          <w:rFonts w:ascii="Times New Roman" w:cs="Times New Roman" w:eastAsia="Times New Roman" w:hAnsi="Times New Roman"/>
          <w:sz w:val="18"/>
          <w:szCs w:val="18"/>
          <w:color w:val="auto"/>
        </w:rPr>
        <w:t>”) may be issued to the Sellers as part of the consideration for the purchase of the Company’s shares. The Sellers make the following representations with respect to the GLDD Consideration Securities:</w:t>
      </w:r>
    </w:p>
    <w:p>
      <w:pPr>
        <w:spacing w:after="0" w:line="67" w:lineRule="exact"/>
        <w:rPr>
          <w:sz w:val="20"/>
          <w:szCs w:val="20"/>
          <w:color w:val="auto"/>
        </w:rPr>
      </w:pPr>
    </w:p>
    <w:p>
      <w:pPr>
        <w:ind w:left="920" w:right="100" w:firstLine="421"/>
        <w:spacing w:after="0" w:line="282" w:lineRule="auto"/>
        <w:tabs>
          <w:tab w:leader="none" w:pos="15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appointed Louay Owaidat as the Seller’s Rule 506 Representative (the “</w:t>
      </w:r>
      <w:r>
        <w:rPr>
          <w:rFonts w:ascii="Times New Roman" w:cs="Times New Roman" w:eastAsia="Times New Roman" w:hAnsi="Times New Roman"/>
          <w:sz w:val="18"/>
          <w:szCs w:val="18"/>
          <w:u w:val="single" w:color="auto"/>
          <w:color w:val="auto"/>
        </w:rPr>
        <w:t>Rule 506 Representative</w:t>
      </w:r>
      <w:r>
        <w:rPr>
          <w:rFonts w:ascii="Times New Roman" w:cs="Times New Roman" w:eastAsia="Times New Roman" w:hAnsi="Times New Roman"/>
          <w:sz w:val="18"/>
          <w:szCs w:val="18"/>
          <w:color w:val="auto"/>
        </w:rPr>
        <w:t>”) to explain to them, among other matters, the merits and risks of investment in the GLDD Consideration Securities.</w:t>
      </w:r>
    </w:p>
    <w:p>
      <w:pPr>
        <w:spacing w:after="0" w:line="53" w:lineRule="exact"/>
        <w:rPr>
          <w:rFonts w:ascii="Times New Roman" w:cs="Times New Roman" w:eastAsia="Times New Roman" w:hAnsi="Times New Roman"/>
          <w:sz w:val="18"/>
          <w:szCs w:val="18"/>
          <w:color w:val="auto"/>
        </w:rPr>
      </w:pPr>
    </w:p>
    <w:p>
      <w:pPr>
        <w:ind w:left="920" w:right="280" w:firstLine="421"/>
        <w:spacing w:after="0" w:line="282" w:lineRule="auto"/>
        <w:tabs>
          <w:tab w:leader="none" w:pos="15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either alone or with the Rule 506 Representative, has knowledge and experience in financial and business matters and is capable of evaluating the merits and risks of the GLDD Consideration Securities.</w:t>
      </w:r>
    </w:p>
    <w:p>
      <w:pPr>
        <w:spacing w:after="0" w:line="53"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is acquiring the GLDD Consideration Securities with an investment intent.</w:t>
      </w:r>
    </w:p>
    <w:p>
      <w:pPr>
        <w:spacing w:after="0" w:line="117" w:lineRule="exact"/>
        <w:rPr>
          <w:rFonts w:ascii="Times New Roman" w:cs="Times New Roman" w:eastAsia="Times New Roman" w:hAnsi="Times New Roman"/>
          <w:sz w:val="18"/>
          <w:szCs w:val="18"/>
          <w:color w:val="auto"/>
        </w:rPr>
      </w:pPr>
    </w:p>
    <w:p>
      <w:pPr>
        <w:ind w:left="920" w:right="60" w:firstLine="421"/>
        <w:spacing w:after="0" w:line="282" w:lineRule="auto"/>
        <w:tabs>
          <w:tab w:leader="none" w:pos="15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has received GLDD’s most recent Form 10-K, proxy, and annual report and has had ample opportunity to ask questions and review information regarding the GLDD Consideration Securities.</w:t>
      </w:r>
    </w:p>
    <w:p>
      <w:pPr>
        <w:spacing w:after="0" w:line="53" w:lineRule="exact"/>
        <w:rPr>
          <w:rFonts w:ascii="Times New Roman" w:cs="Times New Roman" w:eastAsia="Times New Roman" w:hAnsi="Times New Roman"/>
          <w:sz w:val="18"/>
          <w:szCs w:val="18"/>
          <w:color w:val="auto"/>
        </w:rPr>
      </w:pPr>
    </w:p>
    <w:p>
      <w:pPr>
        <w:ind w:left="920" w:right="200" w:firstLine="421"/>
        <w:spacing w:after="0" w:line="266" w:lineRule="auto"/>
        <w:tabs>
          <w:tab w:leader="none" w:pos="15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GLDD Consideration Securities will be issued pursuant to Rule 506 of the Securities Act and will not be registered under federal or state securities laws. As a result, any GLDD shares issued as GLDD Consideration Securities will be subject to restrictions on transfer. Certificates for GLDD Consideration Securities in the form of GLDD stock will bear a legend stating the restrictions on transfer.</w:t>
      </w:r>
    </w:p>
    <w:p>
      <w:pPr>
        <w:spacing w:after="0" w:line="68" w:lineRule="exact"/>
        <w:rPr>
          <w:rFonts w:ascii="Times New Roman" w:cs="Times New Roman" w:eastAsia="Times New Roman" w:hAnsi="Times New Roman"/>
          <w:sz w:val="18"/>
          <w:szCs w:val="18"/>
          <w:color w:val="auto"/>
        </w:rPr>
      </w:pPr>
    </w:p>
    <w:p>
      <w:pPr>
        <w:jc w:val="both"/>
        <w:ind w:left="920" w:right="40" w:firstLine="421"/>
        <w:spacing w:after="0" w:line="261" w:lineRule="auto"/>
        <w:tabs>
          <w:tab w:leader="none" w:pos="15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further represents that they, and any Related Person, do not currently own, and have not previously owned since August 29, 2014, any GLDD Stock, or rights to acquire GLDD Stock, except to the extent such GLDD Stock was part of a portfolio investment in any fund owned by such Seller or Related Person wherein any such investment decisions are made by third Parties not under the direction or control of the Seller or any Related Person.</w:t>
      </w:r>
    </w:p>
    <w:p>
      <w:pPr>
        <w:spacing w:after="0" w:line="112" w:lineRule="exact"/>
        <w:rPr>
          <w:rFonts w:ascii="Times New Roman" w:cs="Times New Roman" w:eastAsia="Times New Roman" w:hAnsi="Times New Roman"/>
          <w:sz w:val="18"/>
          <w:szCs w:val="18"/>
          <w:color w:val="auto"/>
        </w:rPr>
      </w:pPr>
    </w:p>
    <w:p>
      <w:pPr>
        <w:ind w:left="5620" w:hanging="98"/>
        <w:spacing w:after="0"/>
        <w:tabs>
          <w:tab w:leader="none" w:pos="5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1420"/>
          </w:cols>
          <w:pgMar w:left="240" w:top="270" w:right="2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07"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The Company and each of the Sellers, jointly and severally, hereby represent and warrant to Purchaser, subject to such exceptions as are specifically disclosed in the Disclosure Schedules (each such disclosures, in order to be effective, shall clearly reference the appropriate section and, if applicable, subsection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to which it relates) delivered by the Company and the Sellers concurrently with the execution of this Agreement, dated as of the date hereof (the “</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as follows:</w:t>
      </w:r>
    </w:p>
    <w:p>
      <w:pPr>
        <w:spacing w:after="0" w:line="68" w:lineRule="exact"/>
        <w:rPr>
          <w:sz w:val="20"/>
          <w:szCs w:val="20"/>
          <w:color w:val="auto"/>
        </w:rPr>
      </w:pPr>
    </w:p>
    <w:p>
      <w:pPr>
        <w:ind w:right="80" w:firstLine="913"/>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4.01. Organization;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a corporation duly organized,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State of California. The Company has all requisite corporate power and authority to own, lease, and operate its properties and assets and to carry on its business as it is now conducted and as it is now proposed to be conducted. The Company is qualified as a foreign corporation to transact business, and is validly existing and in good standing in each state or jurisdiction, as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of the Disclosure Schedules, where such qualification is necessary or desirable because of the nature of the assets and properties it owns, leases or operates or because of the nature of the business it conducts or now proposes to conduct, except where such failure to qualify would not have a Material Adverse Effect. Except as set forth on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of the Disclosure Schedules, the Company has no Subsidiaries and does not own any equity securities of any other Person. Sellers have delivered or caused to be delivered to Purchaser true, accurate and complete copies of (i) the Governing Documents of the Company, and (ii) the minute books of the Company which contain records of all meetings held, and other actions taken by, the Company’s board of directors or shareholders, or any committees appointed by the Company’s board of directors.</w:t>
      </w:r>
    </w:p>
    <w:p>
      <w:pPr>
        <w:spacing w:after="0" w:line="186" w:lineRule="exact"/>
        <w:rPr>
          <w:sz w:val="20"/>
          <w:szCs w:val="20"/>
          <w:color w:val="auto"/>
        </w:rPr>
      </w:pPr>
    </w:p>
    <w:p>
      <w:pPr>
        <w:ind w:right="20" w:firstLine="913"/>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4.02. Authorization and Validity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all requisite power and authority to enter into, execute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Related Agreements to which it is a party and all agreements, documents and instruments contemplated hereby or thereby, to consummate the transactions contemplated thereby, to perform all of its obligations under this Agreement, the Related Agreements to which it is a party and all agreements, documents and instruments contemplated hereby or thereby, and to comply with and fulfill the terms and conditions of this Agreement, the Related Agreements to which it is a party and all agreements, documents and instruments contemplated hereby or thereby. The execution and delivery of this Agreement, the Related Agreements to which it is a party and such other agreements, documents and instruments by the Company and the consummation by the Company of the transactions contemplated thereby have been duly authorized by all necessary action on the part of the Company and each Seller, and no other corporate or other proceedings on the part of the Company or any Seller is necessary to authorize the execution, delivery and performance of this Agreement, the Related Agreements or any other such agreement, document or instrument, as applicable. This Agreement, each of the Related Agreements and all other agreements, documents and instruments executed by the Company in connection with the transactions contemplated thereby have been duly executed and delivered by each of the Company and constitute the Company’s legal, valid and binding obligation, as applicable, enforceable against the Company in accordance with their respective terms and conditions.</w:t>
      </w:r>
    </w:p>
    <w:p>
      <w:pPr>
        <w:spacing w:after="0" w:line="19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4.03. Capital Structure of the Company and Related Matters; Owners of Shares; Subsidiaries</w:t>
      </w:r>
      <w:r>
        <w:rPr>
          <w:rFonts w:ascii="Times New Roman" w:cs="Times New Roman" w:eastAsia="Times New Roman" w:hAnsi="Times New Roman"/>
          <w:sz w:val="18"/>
          <w:szCs w:val="18"/>
          <w:u w:val="single" w:color="auto"/>
          <w:color w:val="auto"/>
        </w:rPr>
        <w:t>.</w:t>
      </w:r>
    </w:p>
    <w:p>
      <w:pPr>
        <w:spacing w:after="0" w:line="121" w:lineRule="exact"/>
        <w:rPr>
          <w:sz w:val="20"/>
          <w:szCs w:val="20"/>
          <w:color w:val="auto"/>
        </w:rPr>
      </w:pPr>
    </w:p>
    <w:p>
      <w:pPr>
        <w:ind w:left="920" w:right="120" w:firstLine="421"/>
        <w:spacing w:after="0" w:line="266" w:lineRule="auto"/>
        <w:tabs>
          <w:tab w:leader="none" w:pos="15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authorized, issued and outstanding shares of the Company are set forth on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of the Disclosure Schedules. All of the issued and outstanding shares of the Company are owned by Sellers. All outstanding shares of the Company have been duly authorized and validly issued and are fully paid and non assessable.</w:t>
      </w:r>
    </w:p>
    <w:p>
      <w:pPr>
        <w:spacing w:after="0" w:line="108"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1420"/>
          </w:cols>
          <w:pgMar w:left="240" w:top="270" w:right="2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right="120"/>
        <w:spacing w:after="0" w:line="261" w:lineRule="auto"/>
        <w:rPr>
          <w:sz w:val="20"/>
          <w:szCs w:val="20"/>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of the Disclosure Schedules, there are no outstanding options, warrants or other rights of any kind to acquire any shares of the Company, nor any outstanding securities convertible into or exchangeable for, or which otherwise confer on the holder thereof any right to acquire, any shares of the Company. Except as set forth on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of the Disclosure Schedules, the Company is not committed to issue any such option, warrant, right or security.</w:t>
      </w:r>
    </w:p>
    <w:p>
      <w:pPr>
        <w:spacing w:after="0" w:line="72" w:lineRule="exact"/>
        <w:rPr>
          <w:sz w:val="20"/>
          <w:szCs w:val="20"/>
          <w:color w:val="auto"/>
        </w:rPr>
      </w:pPr>
    </w:p>
    <w:p>
      <w:pPr>
        <w:ind w:left="920" w:right="20" w:firstLine="421"/>
        <w:spacing w:after="0" w:line="256" w:lineRule="auto"/>
        <w:tabs>
          <w:tab w:leader="none" w:pos="15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of the Disclosure Schedules attached hereto sets forth a true, complete and correct list of the subsidiaries of the Company, and for each subsidiary of the Company, (i) its name, (ii) the number of authorized shares for each class of its capital stock, (iii) the number of issued and outstanding shares of each class of its capital stock, (iv) the names of the holders of such issued and outstanding shares and the number and class of shares held by each such holder and (v) the number of shares of its capital stock held in treasury. The Company or one or more of its subsidiaries holds of record and owns beneficially all of the outstanding shares of each subsidiary of the Company, free and clear of any Encumbrances or Taxes.</w:t>
      </w:r>
    </w:p>
    <w:p>
      <w:pPr>
        <w:spacing w:after="0" w:line="184" w:lineRule="exact"/>
        <w:rPr>
          <w:sz w:val="20"/>
          <w:szCs w:val="20"/>
          <w:color w:val="auto"/>
        </w:rPr>
      </w:pPr>
    </w:p>
    <w:p>
      <w:pPr>
        <w:ind w:right="40" w:firstLine="913"/>
        <w:spacing w:after="0" w:line="272" w:lineRule="auto"/>
        <w:rPr>
          <w:sz w:val="20"/>
          <w:szCs w:val="20"/>
          <w:color w:val="auto"/>
        </w:rPr>
      </w:pPr>
      <w:r>
        <w:rPr>
          <w:rFonts w:ascii="Times New Roman" w:cs="Times New Roman" w:eastAsia="Times New Roman" w:hAnsi="Times New Roman"/>
          <w:sz w:val="17"/>
          <w:szCs w:val="17"/>
          <w:b w:val="1"/>
          <w:bCs w:val="1"/>
          <w:u w:val="single" w:color="auto"/>
          <w:color w:val="auto"/>
        </w:rPr>
        <w:t>Section 4.04. No Conflict or Violation.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execution, delivery, consummation and performance of this Agreement and each of the Related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Agreements by the Company do not and shall not: (a) violate or conflict with any provision of the articles of incorporation, bylaws, other Governing Documents of the Company or resolutions adopted by the board of directors or the shareholders of the Company, as applicable; (b) violate any provision of Law applicable to the Company, or the Business; (c) violate or result in a breach of or constitute (with or without due notice or lapse of time or both) a default under any Contract, consent, order or other instrument or obligation to which the Company is a party, or to the Company’s or Sellers’ Knowledge by which any of the Company’s respective assets or properties may be bound; (d) result in the imposition of any Encumbrance or restriction on the Business or any of the assets of the Company (with or without due notice or lapse of time or both); or (e) except as disclosed on </w:t>
      </w:r>
      <w:r>
        <w:rPr>
          <w:rFonts w:ascii="Times New Roman" w:cs="Times New Roman" w:eastAsia="Times New Roman" w:hAnsi="Times New Roman"/>
          <w:sz w:val="17"/>
          <w:szCs w:val="17"/>
          <w:u w:val="single" w:color="auto"/>
          <w:color w:val="auto"/>
        </w:rPr>
        <w:t>Section 4.04(e)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4.08</w:t>
      </w:r>
      <w:r>
        <w:rPr>
          <w:rFonts w:ascii="Times New Roman" w:cs="Times New Roman" w:eastAsia="Times New Roman" w:hAnsi="Times New Roman"/>
          <w:sz w:val="17"/>
          <w:szCs w:val="17"/>
          <w:color w:val="auto"/>
        </w:rPr>
        <w:t xml:space="preserve"> of the Disclosure Schedules, cause the Company to become subject to, or to become liable for the payment of, any Tax for any time period ending prior to the Closing Date.</w:t>
      </w:r>
    </w:p>
    <w:p>
      <w:pPr>
        <w:spacing w:after="0" w:line="172" w:lineRule="exact"/>
        <w:rPr>
          <w:sz w:val="20"/>
          <w:szCs w:val="20"/>
          <w:color w:val="auto"/>
        </w:rPr>
      </w:pPr>
    </w:p>
    <w:p>
      <w:pPr>
        <w:ind w:right="20" w:firstLine="91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4.05. Consents and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a list of each consent, waiver, authorization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of any Governmental Entity, or of any other Person, and each declaration to or filing or registration with any Governmental Entity required in connection with the execution and delivery of this Agreement or any of the Related Agreements by the Company, or any agreement, document or instrument contemplated thereby by the Company, as applicable, or the performance by the Company of its obligations hereunder or thereunder, as applicable. Other than as set forth on Section 4.05 of the Disclosure Schedules, no other consents, waivers, authorizations or approvals are required by any Governmental Entity or any other Person.</w:t>
      </w:r>
    </w:p>
    <w:p>
      <w:pPr>
        <w:spacing w:after="0" w:line="1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4.06. Financial Statements; Books and Records.</w:t>
      </w:r>
    </w:p>
    <w:p>
      <w:pPr>
        <w:spacing w:after="0" w:line="121" w:lineRule="exact"/>
        <w:rPr>
          <w:sz w:val="20"/>
          <w:szCs w:val="20"/>
          <w:color w:val="auto"/>
        </w:rPr>
      </w:pPr>
    </w:p>
    <w:p>
      <w:pPr>
        <w:ind w:left="920" w:right="360" w:firstLine="421"/>
        <w:spacing w:after="0" w:line="282" w:lineRule="auto"/>
        <w:tabs>
          <w:tab w:leader="none" w:pos="15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 xml:space="preserve"> of the Disclosure Schedules are true and complete copies of: (i) the audited balance sheets of the Company as of</w:t>
      </w:r>
    </w:p>
    <w:p>
      <w:pPr>
        <w:spacing w:after="0" w:line="94"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1420"/>
          </w:cols>
          <w:pgMar w:left="240" w:top="270" w:right="239" w:bottom="1440" w:gutter="0" w:footer="0" w:header="0"/>
        </w:sectPr>
      </w:pPr>
    </w:p>
    <w:bookmarkStart w:id="134" w:name="page135"/>
    <w:bookmarkEnd w:id="134"/>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right="80"/>
        <w:spacing w:after="0" w:line="254" w:lineRule="auto"/>
        <w:rPr>
          <w:sz w:val="20"/>
          <w:szCs w:val="20"/>
          <w:color w:val="auto"/>
        </w:rPr>
      </w:pPr>
      <w:r>
        <w:rPr>
          <w:rFonts w:ascii="Times New Roman" w:cs="Times New Roman" w:eastAsia="Times New Roman" w:hAnsi="Times New Roman"/>
          <w:sz w:val="18"/>
          <w:szCs w:val="18"/>
          <w:color w:val="auto"/>
        </w:rPr>
        <w:t>December 31, 2012 and December 31, 2013, and the related statements of income, changes in shareholders’ equity and cash flows for the fiscal years then ended, together with the notes thereto and the audit report thereon of Gallina LLP, certified public accountants; and (ii) the unaudited balance sheet of the Company (the “</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as of September 30, 2014 (the “</w:t>
      </w:r>
      <w:r>
        <w:rPr>
          <w:rFonts w:ascii="Times New Roman" w:cs="Times New Roman" w:eastAsia="Times New Roman" w:hAnsi="Times New Roman"/>
          <w:sz w:val="18"/>
          <w:szCs w:val="18"/>
          <w:u w:val="single" w:color="auto"/>
          <w:color w:val="auto"/>
        </w:rPr>
        <w:t>Interim Balance Sheet Date</w:t>
      </w:r>
      <w:r>
        <w:rPr>
          <w:rFonts w:ascii="Times New Roman" w:cs="Times New Roman" w:eastAsia="Times New Roman" w:hAnsi="Times New Roman"/>
          <w:sz w:val="18"/>
          <w:szCs w:val="18"/>
          <w:color w:val="auto"/>
        </w:rPr>
        <w:t>”), and the related statements of income, changes in shareholders’ equity and cash flow for the nine (9) months then ended (collectively, the “</w:t>
      </w:r>
      <w:r>
        <w:rPr>
          <w:rFonts w:ascii="Times New Roman" w:cs="Times New Roman" w:eastAsia="Times New Roman" w:hAnsi="Times New Roman"/>
          <w:sz w:val="18"/>
          <w:szCs w:val="18"/>
          <w:u w:val="single" w:color="auto"/>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xml:space="preserve">”). All Financial Statements referred to in this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 including the notes thereto, have been prepared in accordance with GAAP from the books and records of the Company and fairly and accurately present the financial position of the Company as of the respective dates thereof and the results of the Company’s income, cash flows and changes in shareholders’ equity for the periods then ended. The Company has also delivered to Purchaser copies of all letters from the Company’s auditors to the Company’s Board of Directors or the audit committee thereof during the thirty-six (36) months preceding the execution of this Agreement, together with copies of all responses thereto.</w:t>
      </w:r>
    </w:p>
    <w:p>
      <w:pPr>
        <w:spacing w:after="0" w:line="81" w:lineRule="exact"/>
        <w:rPr>
          <w:sz w:val="20"/>
          <w:szCs w:val="20"/>
          <w:color w:val="auto"/>
        </w:rPr>
      </w:pPr>
    </w:p>
    <w:p>
      <w:pPr>
        <w:ind w:left="840" w:right="100" w:firstLine="421"/>
        <w:spacing w:after="0" w:line="255" w:lineRule="auto"/>
        <w:tabs>
          <w:tab w:leader="none" w:pos="15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and other financial records of the Company, all of which have been provided to Purchaser, are complete and correct in all respects and represent actual, bona fide transactions and have been maintained in accordance with sound business practices and the requirements of Section 13(b)(2) of the Exchange Act (regardless of whether the Company is subject to such section or not), including, without limitation, the maintenance of an adequate system of internal control over financial reporting. The minute books of the Company, all of which have been provided to Purchaser, are accurate and complete in all respects and contain records of all meetings held, and corporate action taken by, the shareholders of the Company (including Sellers) and the Board of Directors (and committees of the Board of Directors) of the Company, and no meeting of any such shareholders, Board of Directors or committee has been held for which minutes are not contained in such minute books.</w:t>
      </w:r>
    </w:p>
    <w:p>
      <w:pPr>
        <w:spacing w:after="0" w:line="77" w:lineRule="exact"/>
        <w:rPr>
          <w:rFonts w:ascii="Times New Roman" w:cs="Times New Roman" w:eastAsia="Times New Roman" w:hAnsi="Times New Roman"/>
          <w:sz w:val="18"/>
          <w:szCs w:val="18"/>
          <w:color w:val="auto"/>
        </w:rPr>
      </w:pPr>
    </w:p>
    <w:p>
      <w:pPr>
        <w:ind w:left="840" w:right="460" w:firstLine="421"/>
        <w:spacing w:after="0" w:line="282" w:lineRule="auto"/>
        <w:tabs>
          <w:tab w:leader="none" w:pos="15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and the Company have provided Purchaser with a calculation of Contracted Backlog, a copy of which is attached hereto as </w:t>
      </w:r>
      <w:r>
        <w:rPr>
          <w:rFonts w:ascii="Times New Roman" w:cs="Times New Roman" w:eastAsia="Times New Roman" w:hAnsi="Times New Roman"/>
          <w:sz w:val="18"/>
          <w:szCs w:val="18"/>
          <w:u w:val="single" w:color="auto"/>
          <w:color w:val="auto"/>
        </w:rPr>
        <w:t>Section 4.06(c)</w:t>
      </w:r>
      <w:r>
        <w:rPr>
          <w:rFonts w:ascii="Times New Roman" w:cs="Times New Roman" w:eastAsia="Times New Roman" w:hAnsi="Times New Roman"/>
          <w:sz w:val="18"/>
          <w:szCs w:val="18"/>
          <w:color w:val="auto"/>
        </w:rPr>
        <w:t xml:space="preserve"> of the Disclosure Schedules, and which is complete and correct in all respects.</w:t>
      </w:r>
    </w:p>
    <w:p>
      <w:pPr>
        <w:spacing w:after="0" w:line="53" w:lineRule="exact"/>
        <w:rPr>
          <w:rFonts w:ascii="Times New Roman" w:cs="Times New Roman" w:eastAsia="Times New Roman" w:hAnsi="Times New Roman"/>
          <w:sz w:val="18"/>
          <w:szCs w:val="18"/>
          <w:color w:val="auto"/>
        </w:rPr>
      </w:pPr>
    </w:p>
    <w:p>
      <w:pPr>
        <w:ind w:left="840" w:firstLine="421"/>
        <w:spacing w:after="0" w:line="273" w:lineRule="auto"/>
        <w:tabs>
          <w:tab w:leader="none" w:pos="151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remaining amount of the Company’s work in process for projects or jobs begun but not yet completed, as of the Closing Date, based upon a percentage of completion basis, as reflected in </w:t>
      </w:r>
      <w:r>
        <w:rPr>
          <w:rFonts w:ascii="Times New Roman" w:cs="Times New Roman" w:eastAsia="Times New Roman" w:hAnsi="Times New Roman"/>
          <w:sz w:val="17"/>
          <w:szCs w:val="17"/>
          <w:u w:val="single" w:color="auto"/>
          <w:color w:val="auto"/>
        </w:rPr>
        <w:t>Section 4.06(d)</w:t>
      </w:r>
      <w:r>
        <w:rPr>
          <w:rFonts w:ascii="Times New Roman" w:cs="Times New Roman" w:eastAsia="Times New Roman" w:hAnsi="Times New Roman"/>
          <w:sz w:val="17"/>
          <w:szCs w:val="17"/>
          <w:color w:val="auto"/>
        </w:rPr>
        <w:t xml:space="preserve"> of the Disclosure Schedules (the “</w:t>
      </w:r>
      <w:r>
        <w:rPr>
          <w:rFonts w:ascii="Times New Roman" w:cs="Times New Roman" w:eastAsia="Times New Roman" w:hAnsi="Times New Roman"/>
          <w:sz w:val="17"/>
          <w:szCs w:val="17"/>
          <w:u w:val="single" w:color="auto"/>
          <w:color w:val="auto"/>
        </w:rPr>
        <w:t>Work In Process</w:t>
      </w:r>
      <w:r>
        <w:rPr>
          <w:rFonts w:ascii="Times New Roman" w:cs="Times New Roman" w:eastAsia="Times New Roman" w:hAnsi="Times New Roman"/>
          <w:sz w:val="17"/>
          <w:szCs w:val="17"/>
          <w:color w:val="auto"/>
        </w:rPr>
        <w:t xml:space="preserve">”), represents a true and correct statement of the remaining work to be completed for such projects or jobs, together with the listing of costs incurred for those jobs, fees billed, and fees collected, and to Seller’s and Company’s knowledge, is true, complete and correct in all material respects. For purposes of this </w:t>
      </w:r>
      <w:r>
        <w:rPr>
          <w:rFonts w:ascii="Times New Roman" w:cs="Times New Roman" w:eastAsia="Times New Roman" w:hAnsi="Times New Roman"/>
          <w:sz w:val="17"/>
          <w:szCs w:val="17"/>
          <w:u w:val="single" w:color="auto"/>
          <w:color w:val="auto"/>
        </w:rPr>
        <w:t>Section 4.06(d)</w:t>
      </w:r>
      <w:r>
        <w:rPr>
          <w:rFonts w:ascii="Times New Roman" w:cs="Times New Roman" w:eastAsia="Times New Roman" w:hAnsi="Times New Roman"/>
          <w:sz w:val="17"/>
          <w:szCs w:val="17"/>
          <w:color w:val="auto"/>
        </w:rPr>
        <w:t xml:space="preserve"> only, </w:t>
      </w:r>
      <w:r>
        <w:rPr>
          <w:rFonts w:ascii="Times New Roman" w:cs="Times New Roman" w:eastAsia="Times New Roman" w:hAnsi="Times New Roman"/>
          <w:sz w:val="17"/>
          <w:szCs w:val="17"/>
          <w:u w:val="single" w:color="auto"/>
          <w:color w:val="auto"/>
        </w:rPr>
        <w:t>Section 4.06(d)</w:t>
      </w:r>
      <w:r>
        <w:rPr>
          <w:rFonts w:ascii="Times New Roman" w:cs="Times New Roman" w:eastAsia="Times New Roman" w:hAnsi="Times New Roman"/>
          <w:sz w:val="17"/>
          <w:szCs w:val="17"/>
          <w:color w:val="auto"/>
        </w:rPr>
        <w:t xml:space="preserve"> of the Disclosure Schedules shall not be considered as being “true, complete or correct in all material respects” if: (i) a job which is under contract is omitted from the Schedule; or (ii) if a listed job reflects either costs or billings or collections that are in error by more than 20% from actual; or (iii) if the percentage of work claimed to be completed deviates by more than 20% from actual.</w:t>
      </w:r>
    </w:p>
    <w:p>
      <w:pPr>
        <w:spacing w:after="0" w:line="104" w:lineRule="exact"/>
        <w:rPr>
          <w:rFonts w:ascii="Times New Roman" w:cs="Times New Roman" w:eastAsia="Times New Roman" w:hAnsi="Times New Roman"/>
          <w:sz w:val="17"/>
          <w:szCs w:val="17"/>
          <w:color w:val="auto"/>
        </w:rPr>
      </w:pPr>
    </w:p>
    <w:p>
      <w:pPr>
        <w:ind w:left="5540" w:hanging="101"/>
        <w:spacing w:after="0"/>
        <w:tabs>
          <w:tab w:leader="none" w:pos="5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1340"/>
          </w:cols>
          <w:pgMar w:left="320" w:top="270" w:right="2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right="200" w:firstLine="91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4.07. Absence of Certain Changes or Events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or as reflected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September 30, 2014 financial statement, since September 30, 2014, the Company has operated the Business in the Ordinary Course of Business and there has not been any:</w:t>
      </w:r>
    </w:p>
    <w:p>
      <w:pPr>
        <w:spacing w:after="0" w:line="67" w:lineRule="exact"/>
        <w:rPr>
          <w:sz w:val="20"/>
          <w:szCs w:val="20"/>
          <w:color w:val="auto"/>
        </w:rPr>
      </w:pPr>
    </w:p>
    <w:p>
      <w:pPr>
        <w:ind w:left="920" w:right="500" w:firstLine="421"/>
        <w:spacing w:after="0" w:line="282" w:lineRule="auto"/>
        <w:tabs>
          <w:tab w:leader="none" w:pos="15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event or condition (whether or not covered by insurance) that has resulted in, or might be expected to result in, a Material Adverse Effect on the Company, the Shares or the Business;</w:t>
      </w:r>
    </w:p>
    <w:p>
      <w:pPr>
        <w:spacing w:after="0" w:line="53" w:lineRule="exact"/>
        <w:rPr>
          <w:rFonts w:ascii="Times New Roman" w:cs="Times New Roman" w:eastAsia="Times New Roman" w:hAnsi="Times New Roman"/>
          <w:sz w:val="18"/>
          <w:szCs w:val="18"/>
          <w:color w:val="auto"/>
        </w:rPr>
      </w:pPr>
    </w:p>
    <w:p>
      <w:pPr>
        <w:ind w:left="920" w:right="40" w:firstLine="421"/>
        <w:spacing w:after="0" w:line="256" w:lineRule="auto"/>
        <w:tabs>
          <w:tab w:leader="none" w:pos="15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increase in the compensation payable or to become payable to any Personnel engaged in the Business, whether agreed upon orally or in writing, and whether or not conditional; (ii) bonus, incentive compensation, service award or other like benefit granted, made, or accrued, contingently or otherwise, for or to the credit of any Personnel engaged in the Business, whether agreed upon orally or in writing, and whether or not conditional; (iii) addition to or modification of any Employee Plan, arrangement or practice or other employee welfare, pension, retirement, profit-sharing or similar payment or arrangement made or agreed to by the Company for any Personnel engaged in the Business; or (iv) new employment agreement with any Personnel engaged in the Business to which the Company is a party;</w:t>
      </w:r>
    </w:p>
    <w:p>
      <w:pPr>
        <w:spacing w:after="0" w:line="79" w:lineRule="exact"/>
        <w:rPr>
          <w:rFonts w:ascii="Times New Roman" w:cs="Times New Roman" w:eastAsia="Times New Roman" w:hAnsi="Times New Roman"/>
          <w:sz w:val="18"/>
          <w:szCs w:val="18"/>
          <w:color w:val="auto"/>
        </w:rPr>
      </w:pPr>
    </w:p>
    <w:p>
      <w:pPr>
        <w:ind w:left="920" w:right="220" w:firstLine="421"/>
        <w:spacing w:after="0" w:line="282" w:lineRule="auto"/>
        <w:tabs>
          <w:tab w:leader="none" w:pos="15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assignment or transfer of any of the Shares, assets or properties of the Company except for fair market value and in the Ordinary Course of Business;</w:t>
      </w:r>
    </w:p>
    <w:p>
      <w:pPr>
        <w:spacing w:after="0" w:line="53" w:lineRule="exact"/>
        <w:rPr>
          <w:rFonts w:ascii="Times New Roman" w:cs="Times New Roman" w:eastAsia="Times New Roman" w:hAnsi="Times New Roman"/>
          <w:sz w:val="18"/>
          <w:szCs w:val="18"/>
          <w:color w:val="auto"/>
        </w:rPr>
      </w:pPr>
    </w:p>
    <w:p>
      <w:pPr>
        <w:ind w:left="920" w:right="360" w:firstLine="421"/>
        <w:spacing w:after="0" w:line="282" w:lineRule="auto"/>
        <w:tabs>
          <w:tab w:leader="none" w:pos="15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any indebtedness or waiver of any rights having a value in the aggregate of $50,000 or greater, whether or not in the Ordinary Course of Business;</w:t>
      </w:r>
    </w:p>
    <w:p>
      <w:pPr>
        <w:spacing w:after="0" w:line="53"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delivery, amendment, cancellation, waiver, modification or termination of any Contract;</w:t>
      </w:r>
    </w:p>
    <w:p>
      <w:pPr>
        <w:spacing w:after="0" w:line="117" w:lineRule="exact"/>
        <w:rPr>
          <w:rFonts w:ascii="Times New Roman" w:cs="Times New Roman" w:eastAsia="Times New Roman" w:hAnsi="Times New Roman"/>
          <w:sz w:val="18"/>
          <w:szCs w:val="18"/>
          <w:color w:val="auto"/>
        </w:rPr>
      </w:pPr>
    </w:p>
    <w:p>
      <w:pPr>
        <w:ind w:left="920" w:right="400" w:firstLine="421"/>
        <w:spacing w:after="0" w:line="282" w:lineRule="auto"/>
        <w:tabs>
          <w:tab w:leader="none" w:pos="15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 or acquisition of any securities or the execution of any lease or any incurring of Liability in connection with the Business involving payments in excess of $50,000 in the aggregate;</w:t>
      </w:r>
    </w:p>
    <w:p>
      <w:pPr>
        <w:spacing w:after="0" w:line="53"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repay or discharge any obligation or Liability;</w:t>
      </w:r>
    </w:p>
    <w:p>
      <w:pPr>
        <w:spacing w:after="0" w:line="117" w:lineRule="exact"/>
        <w:rPr>
          <w:rFonts w:ascii="Times New Roman" w:cs="Times New Roman" w:eastAsia="Times New Roman" w:hAnsi="Times New Roman"/>
          <w:sz w:val="18"/>
          <w:szCs w:val="18"/>
          <w:color w:val="auto"/>
        </w:rPr>
      </w:pPr>
    </w:p>
    <w:p>
      <w:pPr>
        <w:ind w:left="920" w:right="620" w:firstLine="421"/>
        <w:spacing w:after="0" w:line="282" w:lineRule="auto"/>
        <w:tabs>
          <w:tab w:leader="none" w:pos="15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preserve the Business intact, to exercise best efforts to keep available to Purchaser the services of the Personnel and to preserve for Purchaser the goodwill of the Company’s dealers, suppliers, customers and others having business relations with it;</w:t>
      </w:r>
    </w:p>
    <w:p>
      <w:pPr>
        <w:spacing w:after="0" w:line="53"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policies or practices relating to selling practices, returns, credit, discounts or other terms of sale or in policies of employment;</w:t>
      </w:r>
    </w:p>
    <w:p>
      <w:pPr>
        <w:spacing w:after="0" w:line="117"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methods or practices or in the rate or timing of payment of trade payables or collection of Accounts Receivable;</w:t>
      </w:r>
    </w:p>
    <w:p>
      <w:pPr>
        <w:spacing w:after="0" w:line="157"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420"/>
          </w:cols>
          <w:pgMar w:left="240" w:top="270" w:right="239" w:bottom="1440" w:gutter="0" w:footer="0" w:header="0"/>
        </w:sectPr>
      </w:pPr>
    </w:p>
    <w:bookmarkStart w:id="136" w:name="page137"/>
    <w:bookmarkEnd w:id="136"/>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1520" w:hanging="259"/>
        <w:spacing w:after="0"/>
        <w:tabs>
          <w:tab w:leader="none" w:pos="1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revaluation by the Company of any of the Company’s assets, including writing off any Accounts Receivable;</w:t>
      </w:r>
    </w:p>
    <w:p>
      <w:pPr>
        <w:spacing w:after="0" w:line="117" w:lineRule="exact"/>
        <w:rPr>
          <w:rFonts w:ascii="Times New Roman" w:cs="Times New Roman" w:eastAsia="Times New Roman" w:hAnsi="Times New Roman"/>
          <w:sz w:val="18"/>
          <w:szCs w:val="18"/>
          <w:color w:val="auto"/>
        </w:rPr>
      </w:pPr>
    </w:p>
    <w:p>
      <w:pPr>
        <w:ind w:left="840" w:right="180" w:firstLine="421"/>
        <w:spacing w:after="0" w:line="282" w:lineRule="auto"/>
        <w:tabs>
          <w:tab w:leader="none" w:pos="14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in full force and effect insurance comparable in amount and scope of coverage to insurance carried as of the date of this Agreement in connection with the Business;</w:t>
      </w:r>
    </w:p>
    <w:p>
      <w:pPr>
        <w:spacing w:after="0" w:line="53" w:lineRule="exact"/>
        <w:rPr>
          <w:rFonts w:ascii="Times New Roman" w:cs="Times New Roman" w:eastAsia="Times New Roman" w:hAnsi="Times New Roman"/>
          <w:sz w:val="18"/>
          <w:szCs w:val="18"/>
          <w:color w:val="auto"/>
        </w:rPr>
      </w:pPr>
    </w:p>
    <w:p>
      <w:pPr>
        <w:ind w:left="1560" w:hanging="299"/>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destruction or loss (whether or not covered by insurance) affecting the Company’s assets or the Business;</w:t>
      </w:r>
    </w:p>
    <w:p>
      <w:pPr>
        <w:spacing w:after="0" w:line="117" w:lineRule="exact"/>
        <w:rPr>
          <w:rFonts w:ascii="Times New Roman" w:cs="Times New Roman" w:eastAsia="Times New Roman" w:hAnsi="Times New Roman"/>
          <w:sz w:val="18"/>
          <w:szCs w:val="18"/>
          <w:color w:val="auto"/>
        </w:rPr>
      </w:pPr>
    </w:p>
    <w:p>
      <w:pPr>
        <w:ind w:left="1520" w:hanging="259"/>
        <w:spacing w:after="0"/>
        <w:tabs>
          <w:tab w:leader="none" w:pos="1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pledge or other Encumbrance placed upon any of the Company’s assets;</w:t>
      </w:r>
    </w:p>
    <w:p>
      <w:pPr>
        <w:spacing w:after="0" w:line="117" w:lineRule="exact"/>
        <w:rPr>
          <w:rFonts w:ascii="Times New Roman" w:cs="Times New Roman" w:eastAsia="Times New Roman" w:hAnsi="Times New Roman"/>
          <w:sz w:val="18"/>
          <w:szCs w:val="18"/>
          <w:color w:val="auto"/>
        </w:rPr>
      </w:pPr>
    </w:p>
    <w:p>
      <w:pPr>
        <w:ind w:left="840" w:firstLine="421"/>
        <w:spacing w:after="0" w:line="266" w:lineRule="auto"/>
        <w:tabs>
          <w:tab w:leader="none" w:pos="15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for borrowed money or any commitment to borrow money by the Company, or any loans, investments or capital contributions made or agreed to be made by the Company, or any guarantee, assumption, endorsement of, or other assumption of an obligation by the Company with respect to any Liabilities or obligations of any other Person;</w:t>
      </w:r>
    </w:p>
    <w:p>
      <w:pPr>
        <w:spacing w:after="0" w:line="68" w:lineRule="exact"/>
        <w:rPr>
          <w:rFonts w:ascii="Times New Roman" w:cs="Times New Roman" w:eastAsia="Times New Roman" w:hAnsi="Times New Roman"/>
          <w:sz w:val="18"/>
          <w:szCs w:val="18"/>
          <w:color w:val="auto"/>
        </w:rPr>
      </w:pPr>
    </w:p>
    <w:p>
      <w:pPr>
        <w:ind w:left="840" w:right="120" w:firstLine="421"/>
        <w:spacing w:after="0" w:line="282" w:lineRule="auto"/>
        <w:tabs>
          <w:tab w:leader="none" w:pos="15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the Company’s authorized or issued capital stock, grant of any stock option or right to purchase shares of capital stock of the Company or issuance of any security convertible into such capital stock;</w:t>
      </w:r>
    </w:p>
    <w:p>
      <w:pPr>
        <w:spacing w:after="0" w:line="53" w:lineRule="exact"/>
        <w:rPr>
          <w:rFonts w:ascii="Times New Roman" w:cs="Times New Roman" w:eastAsia="Times New Roman" w:hAnsi="Times New Roman"/>
          <w:sz w:val="18"/>
          <w:szCs w:val="18"/>
          <w:color w:val="auto"/>
        </w:rPr>
      </w:pPr>
    </w:p>
    <w:p>
      <w:pPr>
        <w:ind w:left="840" w:right="180" w:firstLine="421"/>
        <w:spacing w:after="0" w:line="266" w:lineRule="auto"/>
        <w:tabs>
          <w:tab w:leader="none" w:pos="15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make any distribution with respect to its capital stock (whether in cash or in kind) or redeem, purchase or otherwise acquire any of its capital stock for the benefit of, any Seller or any Affiliate of any Seller (other than payments made to officers, directors, managers and employees in the Ordinary Course of Business);</w:t>
      </w:r>
    </w:p>
    <w:p>
      <w:pPr>
        <w:spacing w:after="0" w:line="68" w:lineRule="exact"/>
        <w:rPr>
          <w:rFonts w:ascii="Times New Roman" w:cs="Times New Roman" w:eastAsia="Times New Roman" w:hAnsi="Times New Roman"/>
          <w:sz w:val="18"/>
          <w:szCs w:val="18"/>
          <w:color w:val="auto"/>
        </w:rPr>
      </w:pPr>
    </w:p>
    <w:p>
      <w:pPr>
        <w:ind w:left="840" w:right="500" w:firstLine="421"/>
        <w:spacing w:after="0" w:line="282" w:lineRule="auto"/>
        <w:tabs>
          <w:tab w:leader="none" w:pos="14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or waiver to or modification, termination or cancellation of the Governing Documents or any Material Contract of the Company;</w:t>
      </w:r>
    </w:p>
    <w:p>
      <w:pPr>
        <w:spacing w:after="0" w:line="53" w:lineRule="exact"/>
        <w:rPr>
          <w:rFonts w:ascii="Times New Roman" w:cs="Times New Roman" w:eastAsia="Times New Roman" w:hAnsi="Times New Roman"/>
          <w:sz w:val="18"/>
          <w:szCs w:val="18"/>
          <w:color w:val="auto"/>
        </w:rPr>
      </w:pPr>
    </w:p>
    <w:p>
      <w:pPr>
        <w:ind w:left="840" w:right="480" w:firstLine="421"/>
        <w:spacing w:after="0" w:line="282" w:lineRule="auto"/>
        <w:tabs>
          <w:tab w:leader="none" w:pos="14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by the Company into any transaction with any of its Personnel or payment to or from, or entry into any transaction with, any Affiliate or Related Party of Seller or any such Personnel;</w:t>
      </w:r>
    </w:p>
    <w:p>
      <w:pPr>
        <w:spacing w:after="0" w:line="53" w:lineRule="exact"/>
        <w:rPr>
          <w:rFonts w:ascii="Times New Roman" w:cs="Times New Roman" w:eastAsia="Times New Roman" w:hAnsi="Times New Roman"/>
          <w:sz w:val="18"/>
          <w:szCs w:val="18"/>
          <w:color w:val="auto"/>
        </w:rPr>
      </w:pPr>
    </w:p>
    <w:p>
      <w:pPr>
        <w:ind w:left="1480" w:hanging="219"/>
        <w:spacing w:after="0"/>
        <w:tabs>
          <w:tab w:leader="none" w:pos="1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indication by any customer or supplier of an intention to discontinue or change the terms of its relationship with the Company;</w:t>
      </w:r>
    </w:p>
    <w:p>
      <w:pPr>
        <w:spacing w:after="0" w:line="117" w:lineRule="exact"/>
        <w:rPr>
          <w:rFonts w:ascii="Times New Roman" w:cs="Times New Roman" w:eastAsia="Times New Roman" w:hAnsi="Times New Roman"/>
          <w:sz w:val="18"/>
          <w:szCs w:val="18"/>
          <w:color w:val="auto"/>
        </w:rPr>
      </w:pPr>
    </w:p>
    <w:p>
      <w:pPr>
        <w:ind w:left="1520" w:hanging="259"/>
        <w:spacing w:after="0"/>
        <w:tabs>
          <w:tab w:leader="none" w:pos="1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any rights or interests to any other Person in any Intellectual Property Assets, the Real Property or the Leased Real Property;</w:t>
      </w:r>
    </w:p>
    <w:p>
      <w:pPr>
        <w:spacing w:after="0" w:line="117" w:lineRule="exact"/>
        <w:rPr>
          <w:rFonts w:ascii="Times New Roman" w:cs="Times New Roman" w:eastAsia="Times New Roman" w:hAnsi="Times New Roman"/>
          <w:sz w:val="18"/>
          <w:szCs w:val="18"/>
          <w:color w:val="auto"/>
        </w:rPr>
      </w:pPr>
    </w:p>
    <w:p>
      <w:pPr>
        <w:ind w:left="1520" w:hanging="259"/>
        <w:spacing w:after="0"/>
        <w:tabs>
          <w:tab w:leader="none" w:pos="1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union organizing activity or any actual or threatened employee strikes, work stoppages, slowdowns or lockouts;</w:t>
      </w:r>
    </w:p>
    <w:p>
      <w:pPr>
        <w:spacing w:after="0" w:line="117" w:lineRule="exact"/>
        <w:rPr>
          <w:rFonts w:ascii="Times New Roman" w:cs="Times New Roman" w:eastAsia="Times New Roman" w:hAnsi="Times New Roman"/>
          <w:sz w:val="18"/>
          <w:szCs w:val="18"/>
          <w:color w:val="auto"/>
        </w:rPr>
      </w:pPr>
    </w:p>
    <w:p>
      <w:pPr>
        <w:ind w:left="1560" w:hanging="299"/>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election outside of the Ordinary Course of Business;</w:t>
      </w:r>
    </w:p>
    <w:p>
      <w:pPr>
        <w:spacing w:after="0" w:line="157"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1340"/>
          </w:cols>
          <w:pgMar w:left="320" w:top="270" w:right="239" w:bottom="1440" w:gutter="0" w:footer="0" w:header="0"/>
        </w:sectPr>
      </w:pPr>
    </w:p>
    <w:bookmarkStart w:id="137" w:name="page138"/>
    <w:bookmarkEnd w:id="137"/>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1520" w:hanging="259"/>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or from, or entry into any transaction with, any Affiliate of the Company; or</w:t>
      </w:r>
    </w:p>
    <w:p>
      <w:pPr>
        <w:spacing w:after="0" w:line="117" w:lineRule="exact"/>
        <w:rPr>
          <w:rFonts w:ascii="Times New Roman" w:cs="Times New Roman" w:eastAsia="Times New Roman" w:hAnsi="Times New Roman"/>
          <w:sz w:val="18"/>
          <w:szCs w:val="18"/>
          <w:color w:val="auto"/>
        </w:rPr>
      </w:pPr>
    </w:p>
    <w:p>
      <w:pPr>
        <w:ind w:left="840" w:right="200" w:firstLine="421"/>
        <w:spacing w:after="0" w:line="282" w:lineRule="auto"/>
        <w:tabs>
          <w:tab w:leader="none" w:pos="15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by the Company to do any of the foregoing or any action by the Company that would result in the occurrence of any of the foregoing.</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Section 4.08. Tax Matters.</w:t>
      </w:r>
    </w:p>
    <w:p>
      <w:pPr>
        <w:spacing w:after="0" w:line="121" w:lineRule="exact"/>
        <w:rPr>
          <w:sz w:val="20"/>
          <w:szCs w:val="20"/>
          <w:color w:val="auto"/>
        </w:rPr>
      </w:pPr>
    </w:p>
    <w:p>
      <w:pPr>
        <w:ind w:left="840" w:right="40" w:firstLine="421"/>
        <w:spacing w:after="0" w:line="252" w:lineRule="auto"/>
        <w:tabs>
          <w:tab w:leader="none" w:pos="15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below, the Company and LLC have filed or caused to be filed on a timely basis all Tax Returns and all reports with respect to Taxes that are or were required to be filed pursuant to applicable Law. All Tax Returns and reports filed by the Company and LLC are true, correct and complete in all respects and were prepared in compliance with all applicable laws and regulations. The Company and LLC have paid, or made provision for the payment of, all filed or required to be filed, Taxes that have or may have become due for all periods covered by all Tax Returns filed or required to be filed, or otherwise, or pursuant to any assessment received by the Company, except such Taxes as are set forth on </w:t>
      </w:r>
      <w:r>
        <w:rPr>
          <w:rFonts w:ascii="Times New Roman" w:cs="Times New Roman" w:eastAsia="Times New Roman" w:hAnsi="Times New Roman"/>
          <w:sz w:val="18"/>
          <w:szCs w:val="18"/>
          <w:u w:val="single" w:color="auto"/>
          <w:color w:val="auto"/>
        </w:rPr>
        <w:t>Section 4.08(a)</w:t>
      </w:r>
      <w:r>
        <w:rPr>
          <w:rFonts w:ascii="Times New Roman" w:cs="Times New Roman" w:eastAsia="Times New Roman" w:hAnsi="Times New Roman"/>
          <w:sz w:val="18"/>
          <w:szCs w:val="18"/>
          <w:color w:val="auto"/>
        </w:rPr>
        <w:t xml:space="preserve"> of the Disclosure Schedules and are being contested in good faith and as to which adequate reserves (determined in accordance with GAAP) have been provided in the Interim Balance Sheet. The Company and LLC have made all withholding of Taxes required to be made under all applicable Laws, including, without limitation, withholding with respect to sales and use Taxes and compensation paid to employees, and the amounts withheld have been properly paid over to the appropriate Tax authorities. The Company and LLC currently are not the beneficiary of any extension of time within which to file any Tax Return. No claim has ever been made or could reasonably be made by any Governmental Entity in a jurisdiction where the Company or LLC does not file Tax Returns that they are or may be subject to taxation by that jurisdiction. There are no Encumbrances on any of the Shares or Interests that arose in connection with any failure (or alleged failure) to pay any Tax and no basis exists for assertion of any claims attributable to Taxes which, if adversely determined, would result in any such Encumbrance. The Company and LLC are not a “foreign person” within the meaning of Section 1445(f)(3) of the Code. The transactions contemplated by this Agreement are not subject to the Tax withholding provisions of Section 3406 of the Code or of Sub-Chapter A or Chapter 3 of the Code, or of any other comparable provision of Law.</w:t>
      </w:r>
    </w:p>
    <w:p>
      <w:pPr>
        <w:spacing w:after="0" w:line="88" w:lineRule="exact"/>
        <w:rPr>
          <w:rFonts w:ascii="Times New Roman" w:cs="Times New Roman" w:eastAsia="Times New Roman" w:hAnsi="Times New Roman"/>
          <w:sz w:val="18"/>
          <w:szCs w:val="18"/>
          <w:color w:val="auto"/>
        </w:rPr>
      </w:pPr>
    </w:p>
    <w:p>
      <w:pPr>
        <w:ind w:left="840" w:right="40" w:firstLine="421"/>
        <w:spacing w:after="0" w:line="256" w:lineRule="auto"/>
        <w:tabs>
          <w:tab w:leader="none" w:pos="15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LLC have delivered to Purchaser copies of, and </w:t>
      </w:r>
      <w:r>
        <w:rPr>
          <w:rFonts w:ascii="Times New Roman" w:cs="Times New Roman" w:eastAsia="Times New Roman" w:hAnsi="Times New Roman"/>
          <w:sz w:val="18"/>
          <w:szCs w:val="18"/>
          <w:u w:val="single" w:color="auto"/>
          <w:color w:val="auto"/>
        </w:rPr>
        <w:t>Section 4.08(b)</w:t>
      </w:r>
      <w:r>
        <w:rPr>
          <w:rFonts w:ascii="Times New Roman" w:cs="Times New Roman" w:eastAsia="Times New Roman" w:hAnsi="Times New Roman"/>
          <w:sz w:val="18"/>
          <w:szCs w:val="18"/>
          <w:color w:val="auto"/>
        </w:rPr>
        <w:t xml:space="preserve"> of the Disclosure Schedules contains a complete and accurate list of, all Tax Returns filed since December 31, 2010. The federal and state income or franchise Tax Returns of the Company and LLC have been audited by the IRS or relevant state tax authorities or are closed by the applicable statute of limitations for all taxable years through December 31, 2009. </w:t>
      </w:r>
      <w:r>
        <w:rPr>
          <w:rFonts w:ascii="Times New Roman" w:cs="Times New Roman" w:eastAsia="Times New Roman" w:hAnsi="Times New Roman"/>
          <w:sz w:val="18"/>
          <w:szCs w:val="18"/>
          <w:u w:val="single" w:color="auto"/>
          <w:color w:val="auto"/>
        </w:rPr>
        <w:t>Section 4.08(b)</w:t>
      </w:r>
      <w:r>
        <w:rPr>
          <w:rFonts w:ascii="Times New Roman" w:cs="Times New Roman" w:eastAsia="Times New Roman" w:hAnsi="Times New Roman"/>
          <w:sz w:val="18"/>
          <w:szCs w:val="18"/>
          <w:color w:val="auto"/>
        </w:rPr>
        <w:t xml:space="preserve"> of the Disclosure Schedules contains a complete and accurate list of all Tax Returns of the Company and LLC that have been audited or are currently under audit and accurately describes any deficiencies or other amounts that were paid or are currently being contested. No deficiencies are expected to be asserted with respect to any such current audit. All</w:t>
      </w:r>
    </w:p>
    <w:p>
      <w:pPr>
        <w:spacing w:after="0" w:line="120"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1340"/>
          </w:cols>
          <w:pgMar w:left="320" w:top="270" w:right="239" w:bottom="1440" w:gutter="0" w:footer="0" w:header="0"/>
        </w:sectPr>
      </w:pPr>
    </w:p>
    <w:bookmarkStart w:id="138" w:name="page139"/>
    <w:bookmarkEnd w:id="138"/>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right="40"/>
        <w:spacing w:after="0" w:line="254" w:lineRule="auto"/>
        <w:rPr>
          <w:sz w:val="20"/>
          <w:szCs w:val="20"/>
          <w:color w:val="auto"/>
        </w:rPr>
      </w:pPr>
      <w:r>
        <w:rPr>
          <w:rFonts w:ascii="Times New Roman" w:cs="Times New Roman" w:eastAsia="Times New Roman" w:hAnsi="Times New Roman"/>
          <w:sz w:val="18"/>
          <w:szCs w:val="18"/>
          <w:color w:val="auto"/>
        </w:rPr>
        <w:t xml:space="preserve">deficiencies proposed as a result of such audits have been paid, reserved against, settled or are being contested in good faith by appropriate proceedings as described on </w:t>
      </w:r>
      <w:r>
        <w:rPr>
          <w:rFonts w:ascii="Times New Roman" w:cs="Times New Roman" w:eastAsia="Times New Roman" w:hAnsi="Times New Roman"/>
          <w:sz w:val="18"/>
          <w:szCs w:val="18"/>
          <w:u w:val="single" w:color="auto"/>
          <w:color w:val="auto"/>
        </w:rPr>
        <w:t>Section 4.08(b)</w:t>
      </w:r>
      <w:r>
        <w:rPr>
          <w:rFonts w:ascii="Times New Roman" w:cs="Times New Roman" w:eastAsia="Times New Roman" w:hAnsi="Times New Roman"/>
          <w:sz w:val="18"/>
          <w:szCs w:val="18"/>
          <w:color w:val="auto"/>
        </w:rPr>
        <w:t xml:space="preserve"> of the Disclosure Schedules. The Company and LLC have delivered to Purchaser, copies of any examination reports, statements or deficiencies or similar items with respect to such audits. Neither the Company, LLC nor any Seller expect that any Governmental Entity may assess any additional Taxes for any period for which Tax Returns have been filed. There is no dispute or claim concerning any Taxes of the Company or LLC either: (i) claimed or raised by any Governmental Entity; or (ii) as to which the Company or LLC have Knowledge. </w:t>
      </w:r>
      <w:r>
        <w:rPr>
          <w:rFonts w:ascii="Times New Roman" w:cs="Times New Roman" w:eastAsia="Times New Roman" w:hAnsi="Times New Roman"/>
          <w:sz w:val="18"/>
          <w:szCs w:val="18"/>
          <w:u w:val="single" w:color="auto"/>
          <w:color w:val="auto"/>
        </w:rPr>
        <w:t>Section 4.08(b)</w:t>
      </w:r>
      <w:r>
        <w:rPr>
          <w:rFonts w:ascii="Times New Roman" w:cs="Times New Roman" w:eastAsia="Times New Roman" w:hAnsi="Times New Roman"/>
          <w:sz w:val="18"/>
          <w:szCs w:val="18"/>
          <w:color w:val="auto"/>
        </w:rPr>
        <w:t xml:space="preserve"> of the Disclosure Schedules contains a list of all Federal and California, Washington and Texas state Tax Returns for which the applicable statute of limitations has not run. The Company and LLC have not given or been requested to give waivers or extensions (or is or would be subject to a waiver or extension given by any other Person) of any statute of limitations relating to the payment of Taxes of the Company or LLC or for which the Company or LLC may be liable.</w:t>
      </w:r>
    </w:p>
    <w:p>
      <w:pPr>
        <w:spacing w:after="0" w:line="81" w:lineRule="exact"/>
        <w:rPr>
          <w:sz w:val="20"/>
          <w:szCs w:val="20"/>
          <w:color w:val="auto"/>
        </w:rPr>
      </w:pPr>
    </w:p>
    <w:p>
      <w:pPr>
        <w:ind w:left="840" w:right="140" w:firstLine="421"/>
        <w:spacing w:after="0" w:line="266" w:lineRule="auto"/>
        <w:tabs>
          <w:tab w:leader="none" w:pos="15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Tax sharing agreement, Tax allocation agreement, Tax indemnity obligation or similar Contract understanding or practice with respect to Taxes (including any advance pricing agreement, closing agreement or other arrangement relating to Taxes) that will require any payment by the Company or LLC.</w:t>
      </w:r>
    </w:p>
    <w:p>
      <w:pPr>
        <w:spacing w:after="0" w:line="68" w:lineRule="exact"/>
        <w:rPr>
          <w:rFonts w:ascii="Times New Roman" w:cs="Times New Roman" w:eastAsia="Times New Roman" w:hAnsi="Times New Roman"/>
          <w:sz w:val="18"/>
          <w:szCs w:val="18"/>
          <w:color w:val="auto"/>
        </w:rPr>
      </w:pPr>
    </w:p>
    <w:p>
      <w:pPr>
        <w:ind w:left="840" w:right="20" w:firstLine="421"/>
        <w:spacing w:after="0" w:line="261" w:lineRule="auto"/>
        <w:tabs>
          <w:tab w:leader="none" w:pos="15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been a member of an affiliated group within the meaning of Code Section 1504(a) (or any similar group defined under a similar provision of state, local or foreign Law), and (ii) has no Liability for Taxes of any Person (other than the Company and its subsidiaries) under Treas. Reg. sect. 1.1502-6 (or any similar provision of state, local or foreign Law), as a transferee or successor by contract or otherwise.</w:t>
      </w:r>
    </w:p>
    <w:p>
      <w:pPr>
        <w:spacing w:after="0" w:line="71" w:lineRule="exact"/>
        <w:rPr>
          <w:rFonts w:ascii="Times New Roman" w:cs="Times New Roman" w:eastAsia="Times New Roman" w:hAnsi="Times New Roman"/>
          <w:sz w:val="18"/>
          <w:szCs w:val="18"/>
          <w:color w:val="auto"/>
        </w:rPr>
      </w:pPr>
    </w:p>
    <w:p>
      <w:pPr>
        <w:ind w:left="840" w:right="100" w:firstLine="421"/>
        <w:spacing w:after="0" w:line="282" w:lineRule="auto"/>
        <w:tabs>
          <w:tab w:leader="none" w:pos="15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LLC have disclosed on its federal income Tax Returns all positions taken therein that could give rise to a substantial understatement of federal income Tax within the meaning of Code Section 6662.</w:t>
      </w:r>
    </w:p>
    <w:p>
      <w:pPr>
        <w:spacing w:after="0" w:line="53" w:lineRule="exact"/>
        <w:rPr>
          <w:rFonts w:ascii="Times New Roman" w:cs="Times New Roman" w:eastAsia="Times New Roman" w:hAnsi="Times New Roman"/>
          <w:sz w:val="18"/>
          <w:szCs w:val="18"/>
          <w:color w:val="auto"/>
        </w:rPr>
      </w:pPr>
    </w:p>
    <w:p>
      <w:pPr>
        <w:jc w:val="both"/>
        <w:ind w:left="840" w:right="220" w:firstLine="421"/>
        <w:spacing w:after="0" w:line="261" w:lineRule="auto"/>
        <w:tabs>
          <w:tab w:leader="none" w:pos="14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elected to be taxed as an S corporation within the meaning of Code Sections 1361 and 1362 by filing a valid IRS form 2553 to be effective as of December 10, 2008 (the “</w:t>
      </w:r>
      <w:r>
        <w:rPr>
          <w:rFonts w:ascii="Times New Roman" w:cs="Times New Roman" w:eastAsia="Times New Roman" w:hAnsi="Times New Roman"/>
          <w:sz w:val="18"/>
          <w:szCs w:val="18"/>
          <w:u w:val="single" w:color="auto"/>
          <w:color w:val="auto"/>
        </w:rPr>
        <w:t>S Election</w:t>
      </w:r>
      <w:r>
        <w:rPr>
          <w:rFonts w:ascii="Times New Roman" w:cs="Times New Roman" w:eastAsia="Times New Roman" w:hAnsi="Times New Roman"/>
          <w:sz w:val="18"/>
          <w:szCs w:val="18"/>
          <w:color w:val="auto"/>
        </w:rPr>
        <w:t>”) and has been a taxed as a validly electing S corporation within the meaning of Code Sections 1361 and 1362 at all times since the effective date of the S Election. The Company will be an S corporation up to and including the Closing Date.</w:t>
      </w:r>
    </w:p>
    <w:p>
      <w:pPr>
        <w:spacing w:after="0" w:line="71" w:lineRule="exact"/>
        <w:rPr>
          <w:rFonts w:ascii="Times New Roman" w:cs="Times New Roman" w:eastAsia="Times New Roman" w:hAnsi="Times New Roman"/>
          <w:sz w:val="18"/>
          <w:szCs w:val="18"/>
          <w:color w:val="auto"/>
        </w:rPr>
      </w:pPr>
    </w:p>
    <w:p>
      <w:pPr>
        <w:ind w:left="840" w:right="200" w:firstLine="421"/>
        <w:spacing w:after="0" w:line="282" w:lineRule="auto"/>
        <w:tabs>
          <w:tab w:leader="none" w:pos="15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since its formation, LLC has been and will be through the date of contribution to the Company, classified as a partnership for federal income tax purposes.</w:t>
      </w:r>
    </w:p>
    <w:p>
      <w:pPr>
        <w:spacing w:after="0" w:line="53" w:lineRule="exact"/>
        <w:rPr>
          <w:rFonts w:ascii="Times New Roman" w:cs="Times New Roman" w:eastAsia="Times New Roman" w:hAnsi="Times New Roman"/>
          <w:sz w:val="18"/>
          <w:szCs w:val="18"/>
          <w:color w:val="auto"/>
        </w:rPr>
      </w:pPr>
    </w:p>
    <w:p>
      <w:pPr>
        <w:ind w:left="840" w:right="320" w:firstLine="421"/>
        <w:spacing w:after="0" w:line="282" w:lineRule="auto"/>
        <w:tabs>
          <w:tab w:leader="none" w:pos="15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liable for any Tax under Code Section 1374 in connection with the deemed sale of its assets caused by the Section 338(h)(10) Election. The Company has not, in the past 10 years (A) acquired assets from another</w:t>
      </w:r>
    </w:p>
    <w:p>
      <w:pPr>
        <w:spacing w:after="0" w:line="94"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1340"/>
          </w:cols>
          <w:pgMar w:left="320" w:top="270" w:right="239" w:bottom="1440" w:gutter="0" w:footer="0" w:header="0"/>
        </w:sectPr>
      </w:pPr>
    </w:p>
    <w:bookmarkStart w:id="139" w:name="page140"/>
    <w:bookmarkEnd w:id="139"/>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right="20"/>
        <w:spacing w:after="0" w:line="266" w:lineRule="auto"/>
        <w:rPr>
          <w:sz w:val="20"/>
          <w:szCs w:val="20"/>
          <w:color w:val="auto"/>
        </w:rPr>
      </w:pPr>
      <w:r>
        <w:rPr>
          <w:rFonts w:ascii="Times New Roman" w:cs="Times New Roman" w:eastAsia="Times New Roman" w:hAnsi="Times New Roman"/>
          <w:sz w:val="18"/>
          <w:szCs w:val="18"/>
          <w:color w:val="auto"/>
        </w:rPr>
        <w:t>corporation in a transaction in which the Company’s Tax basis for the acquired assets was determined, in whole or in part, by reference to the Tax basis of the acquired assets (or any other property) in the hands of the transferor or (B) acquired the stock of any corporation that is a qualified subchapter S subsidiary.</w:t>
      </w:r>
    </w:p>
    <w:p>
      <w:pPr>
        <w:spacing w:after="0" w:line="68" w:lineRule="exact"/>
        <w:rPr>
          <w:sz w:val="20"/>
          <w:szCs w:val="20"/>
          <w:color w:val="auto"/>
        </w:rPr>
      </w:pPr>
    </w:p>
    <w:p>
      <w:pPr>
        <w:ind w:left="840" w:right="100" w:firstLine="421"/>
        <w:spacing w:after="0" w:line="282" w:lineRule="auto"/>
        <w:tabs>
          <w:tab w:leader="none" w:pos="14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Company nor LLC has engaged in a trade or business, had a permanent establishment (within the meaning of an applicable Tax treaty), or otherwise become subject to Tax jurisdiction in a country other than the country of its formation.</w:t>
      </w:r>
    </w:p>
    <w:p>
      <w:pPr>
        <w:spacing w:after="0" w:line="53" w:lineRule="exact"/>
        <w:rPr>
          <w:rFonts w:ascii="Times New Roman" w:cs="Times New Roman" w:eastAsia="Times New Roman" w:hAnsi="Times New Roman"/>
          <w:sz w:val="18"/>
          <w:szCs w:val="18"/>
          <w:color w:val="auto"/>
        </w:rPr>
      </w:pPr>
    </w:p>
    <w:p>
      <w:pPr>
        <w:ind w:left="840" w:right="100" w:firstLine="421"/>
        <w:spacing w:after="0" w:line="261" w:lineRule="auto"/>
        <w:tabs>
          <w:tab w:leader="none" w:pos="147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Company nor LLC has agreed, or are required, to make any adjustment under Section 481(a) of the Code by reason of a change in accounting method or otherwise. Neither the Company nor LLC will be required to include any item of income in, or exclude any item of deduction from, taxable income for any period (or any portion thereof) ending after the Closing Date as a result of any installment sale or other transaction on or prior to the Closing Date or any accounting method change or agreement with any Taxing Authority.</w:t>
      </w:r>
    </w:p>
    <w:p>
      <w:pPr>
        <w:spacing w:after="0" w:line="71" w:lineRule="exact"/>
        <w:rPr>
          <w:rFonts w:ascii="Times New Roman" w:cs="Times New Roman" w:eastAsia="Times New Roman" w:hAnsi="Times New Roman"/>
          <w:sz w:val="18"/>
          <w:szCs w:val="18"/>
          <w:color w:val="auto"/>
        </w:rPr>
      </w:pPr>
    </w:p>
    <w:p>
      <w:pPr>
        <w:ind w:left="840" w:right="20" w:firstLine="421"/>
        <w:spacing w:after="0" w:line="266" w:lineRule="auto"/>
        <w:tabs>
          <w:tab w:leader="none" w:pos="15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Company nor LLC has been a party to a transaction that is or is substantially similar to a “listed transaction,” as such term is defined in Treasury Regulations Section 1.6011 4(b)(2), or any other transaction requiring disclosure under analogous provisions of state, local or foreign Tax Law.</w:t>
      </w:r>
    </w:p>
    <w:p>
      <w:pPr>
        <w:spacing w:after="0" w:line="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Section 4.09. Absence of Undisclosed Liabilities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840" w:right="20" w:firstLine="421"/>
        <w:spacing w:after="0" w:line="253" w:lineRule="auto"/>
        <w:tabs>
          <w:tab w:leader="none" w:pos="15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of the Disclosure Schedules, the Company has no indebtedness, obligation or Liability (in any case, whether known or unknown, asserted or unasserted, absolute or contingent, accrued or unaccrued, liquidated or unliquidated or due or to become due) which is not shown on the face of the Interim Balance Sheet (rather than in the notes thereto), other than Liabilities incurred or accrued in the Ordinary Course of Business since the Interim Balance Sheet Date (none of which is a Liability resulting from, arising out of, relating to, in the nature of, or caused by any breach of any Contract, breach of warranty, tort, infringement, violation of Law, environmental matter, claim or lawsuit) and, to the Knowledge of the Company and the Sellers, there is no basis for any present or future action, suit, proceeding, hearing, investigation, charge, complaint, claim or demand against any of the Sellers, the Business or the Company giving rise to any such indebtedness, obligation or Liability. None of the Company’s Personnel is now or shall by the passage of time hereinafter become entitled to receive any vacation time, vacation pay or severance pay attributable to services rendered prior to such date except as disclosed on the face of the Interim Balance Sheet and included in the calculation of the Final Working Capital. The Shares shall be conveyed to Purchaser pursuant to this Agreement free and clear of all Encumbrances (other than the Permitted Encumbrances), and Purchaser shall not incur any Liability or obligation as a result of its acquisition of the Shares.</w:t>
      </w:r>
    </w:p>
    <w:p>
      <w:pPr>
        <w:spacing w:after="0" w:line="123"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1340"/>
          </w:cols>
          <w:pgMar w:left="320" w:top="270" w:right="2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right="80" w:firstLine="421"/>
        <w:spacing w:after="0" w:line="272" w:lineRule="auto"/>
        <w:tabs>
          <w:tab w:leader="none" w:pos="1595"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avoidance of doubt, upon the occurrence of Closing all long term liabilities of the Company shall be paid from Company’s existing cash or the Closing Cash Payment, and all liabilities discussed on </w:t>
      </w:r>
      <w:r>
        <w:rPr>
          <w:rFonts w:ascii="Times New Roman" w:cs="Times New Roman" w:eastAsia="Times New Roman" w:hAnsi="Times New Roman"/>
          <w:sz w:val="17"/>
          <w:szCs w:val="17"/>
          <w:u w:val="single" w:color="auto"/>
          <w:color w:val="auto"/>
        </w:rPr>
        <w:t>Section 4.09</w:t>
      </w:r>
      <w:r>
        <w:rPr>
          <w:rFonts w:ascii="Times New Roman" w:cs="Times New Roman" w:eastAsia="Times New Roman" w:hAnsi="Times New Roman"/>
          <w:sz w:val="17"/>
          <w:szCs w:val="17"/>
          <w:color w:val="auto"/>
        </w:rPr>
        <w:t xml:space="preserve"> of the Disclosure Schedules will be either paid by the Sellers or properly reserved for in connection with the calculation of the Final Working Capital and the only remaining liabilities of the Company shall be:</w:t>
      </w:r>
    </w:p>
    <w:p>
      <w:pPr>
        <w:spacing w:after="0" w:line="1" w:lineRule="exact"/>
        <w:rPr>
          <w:rFonts w:ascii="Times New Roman" w:cs="Times New Roman" w:eastAsia="Times New Roman" w:hAnsi="Times New Roman"/>
          <w:sz w:val="17"/>
          <w:szCs w:val="17"/>
          <w:color w:val="auto"/>
        </w:rPr>
      </w:pPr>
    </w:p>
    <w:p>
      <w:pPr>
        <w:ind w:left="920" w:right="600" w:firstLine="1"/>
        <w:spacing w:after="0" w:line="261" w:lineRule="auto"/>
        <w:tabs>
          <w:tab w:leader="none" w:pos="11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liabilities reflected or accrued in the calculation of the Final Working Capital; and (ii) those liabilities which relate to an ongoing obligation to complete performance under any contracts in existence at Closing.</w:t>
      </w:r>
    </w:p>
    <w:p>
      <w:pPr>
        <w:spacing w:after="0" w:line="176" w:lineRule="exact"/>
        <w:rPr>
          <w:sz w:val="20"/>
          <w:szCs w:val="20"/>
          <w:color w:val="auto"/>
        </w:rPr>
      </w:pPr>
    </w:p>
    <w:p>
      <w:pPr>
        <w:ind w:right="160" w:firstLine="91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4.10. Real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does not own any real property which is held for, or used in, the Business (collectively, the “</w:t>
      </w:r>
      <w:r>
        <w:rPr>
          <w:rFonts w:ascii="Times New Roman" w:cs="Times New Roman" w:eastAsia="Times New Roman" w:hAnsi="Times New Roman"/>
          <w:sz w:val="18"/>
          <w:szCs w:val="18"/>
          <w:u w:val="single" w:color="auto"/>
          <w:color w:val="auto"/>
        </w:rPr>
        <w:t>Real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Magnus Real Estate Group, LLC (“</w:t>
      </w:r>
      <w:r>
        <w:rPr>
          <w:rFonts w:ascii="Times New Roman" w:cs="Times New Roman" w:eastAsia="Times New Roman" w:hAnsi="Times New Roman"/>
          <w:sz w:val="18"/>
          <w:szCs w:val="18"/>
          <w:u w:val="single" w:color="auto"/>
          <w:color w:val="auto"/>
        </w:rPr>
        <w:t>MRE</w:t>
      </w:r>
      <w:r>
        <w:rPr>
          <w:rFonts w:ascii="Times New Roman" w:cs="Times New Roman" w:eastAsia="Times New Roman" w:hAnsi="Times New Roman"/>
          <w:sz w:val="18"/>
          <w:szCs w:val="18"/>
          <w:color w:val="auto"/>
        </w:rPr>
        <w:t>”), an Affiliate of the Company, owns certain Real Property which it leases to the Company. To the Company or Seller’s Knowledge, no portion of the Real Property owned by MRE and being leased by the Company is located in either a “Special Flood Hazard Area” pursuant to the Federal Insurance Rate Maps created by the Federal Emergency Management Agency or an area which is inundated by a “100 year” flood as provided by any Governmental Entity.</w:t>
      </w:r>
    </w:p>
    <w:p>
      <w:pPr>
        <w:spacing w:after="0" w:line="180" w:lineRule="exact"/>
        <w:rPr>
          <w:sz w:val="20"/>
          <w:szCs w:val="20"/>
          <w:color w:val="auto"/>
        </w:rPr>
      </w:pPr>
    </w:p>
    <w:p>
      <w:pPr>
        <w:ind w:right="60" w:firstLine="913"/>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4.11. Leased Real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a list of all real property in which the Company has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leasehold interest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with the leases or other agreements evidencing such interests being referred to as the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The Company has provided Purchaser with complete and accurate copies of all Real Property Leases. Neither the Company nor any party thereto is in breach of or default under any Real Property Lease, and no party to any Real Property Lease has given the Company notice (whether written or oral) of or made a claim with respect to any breach or default thereunder. None of the Leased Real Property is subject to any sublease or grant to any Person of any right to the use, occupancy or enjoyment of the property or any portion thereof except as provided for in the Real Property Leases. The Leased Real Property is not subject to any Encumbrance (other than the lien, if any, of current property Taxes and assessments not in default and other than as provided for in the Real Estates Leases). The Leased Real Property is not subject to any use restrictions, exceptions, reservations or limitations which in any respect interfere with or impair the present and continued use thereof in the Ordinary Course of Business. There are no pending or, to the Company’s or Sellers’ Knowledge, threatened condemnation or other Proceedings or claims relating to any of the Leased Real Property. The Real Property Leases shall continue to be legal, valid, binding, enforceable and in full force and effect on identical terms immediately following the consummation of the transactions contemplated by this Agreement.</w:t>
      </w:r>
    </w:p>
    <w:p>
      <w:pPr>
        <w:spacing w:after="0" w:line="191" w:lineRule="exact"/>
        <w:rPr>
          <w:sz w:val="20"/>
          <w:szCs w:val="20"/>
          <w:color w:val="auto"/>
        </w:rPr>
      </w:pPr>
    </w:p>
    <w:p>
      <w:pPr>
        <w:ind w:right="200" w:firstLine="91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4.12. Conformity of the Real Property and the Leased Real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Company’s or Sellers’ Knowledge all buildings,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structures and improvements located on, fixtures contained in, and appurtenances attached to the Real Property or the Leased Real Property conform in all respects to all applicable Laws, including those related to zoning, use or construction, and the Real Property and the Leased Real Property are zoned for the purposes for which they are presently used by the Company. All such buildings, structures, improvements, fixtures and appurtenances are in good condition and repair, subject to normal wear and tear, and no condition exists which interferes with the economic value or use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1420"/>
          </w:cols>
          <w:pgMar w:left="240" w:top="270" w:right="239" w:bottom="1440" w:gutter="0" w:footer="0" w:header="0"/>
        </w:sectPr>
      </w:pPr>
    </w:p>
    <w:bookmarkStart w:id="141" w:name="page142"/>
    <w:bookmarkEnd w:id="141"/>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Section 4.13. Equipment and Machinery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840" w:right="20" w:firstLine="421"/>
        <w:spacing w:after="0" w:line="256" w:lineRule="auto"/>
        <w:tabs>
          <w:tab w:leader="none" w:pos="15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Disclosure Schedules sets forth a list of all Equipment and Machinery (whether owned or leased by the Company) included in the Company’s assets and a designation as to whether such Equipment and Machinery is owned or leased by the Company. Except as set forth on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Disclosure Schedules, as of the Closing, the Company has good title, free and clear of all Encumbrances (other than the Permitted Encumbrances), to the Equipment and Machinery listed as owned by it. Except as set forth on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Disclosure Schedules, the Company holds good and transferable leasehold interests in all Equipment and Machinery listed as leased by it, in each case under valid and enforceable leases.</w:t>
      </w:r>
    </w:p>
    <w:p>
      <w:pPr>
        <w:spacing w:after="0" w:line="79" w:lineRule="exact"/>
        <w:rPr>
          <w:rFonts w:ascii="Times New Roman" w:cs="Times New Roman" w:eastAsia="Times New Roman" w:hAnsi="Times New Roman"/>
          <w:sz w:val="18"/>
          <w:szCs w:val="18"/>
          <w:color w:val="auto"/>
        </w:rPr>
      </w:pPr>
    </w:p>
    <w:p>
      <w:pPr>
        <w:jc w:val="both"/>
        <w:ind w:left="840" w:right="120" w:firstLine="421"/>
        <w:spacing w:after="0" w:line="266" w:lineRule="auto"/>
        <w:tabs>
          <w:tab w:leader="none" w:pos="15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Equipment and Machinery are in good operating condition and repair (except for ordinary wear and tear), are all of the Equipment and Machinery necessary or desirable for the operation of the Business as presently conducted (and as presently proposed to be conducted), and are in conformity in all respects with all applicable Laws and other applicable requirements.</w:t>
      </w:r>
    </w:p>
    <w:p>
      <w:pPr>
        <w:spacing w:after="0" w:line="17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Section 4.14. Accounts Receivable and Inventories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840" w:right="20" w:firstLine="421"/>
        <w:spacing w:after="0" w:line="269" w:lineRule="auto"/>
        <w:tabs>
          <w:tab w:leader="none" w:pos="150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billing corrections made in the Ordinary Course of Business, which have no impact on the calculation of Final Working Capital, the Accounts Receivable reflected in the Interim Balance Sheet, and all Accounts Receivable arising since the Interim Balance Sheet Date, represent or shall represent bona fide claims, arms-length transactions, against debtors for sales, services performed or other charges arising in the Ordinary Course of Business and are not subject to dispute, set-off or counterclaim. The Company shall use commercially reasonable efforts to collect all Accounts Receivable in full in the Ordinary Course of Business (without the necessity of legal Proceedings) within ninety</w:t>
      </w:r>
    </w:p>
    <w:p>
      <w:pPr>
        <w:spacing w:after="0" w:line="3" w:lineRule="exact"/>
        <w:rPr>
          <w:rFonts w:ascii="Times New Roman" w:cs="Times New Roman" w:eastAsia="Times New Roman" w:hAnsi="Times New Roman"/>
          <w:sz w:val="17"/>
          <w:szCs w:val="17"/>
          <w:color w:val="auto"/>
        </w:rPr>
      </w:pPr>
    </w:p>
    <w:p>
      <w:pPr>
        <w:ind w:left="840" w:right="40" w:firstLine="1"/>
        <w:spacing w:after="0" w:line="253" w:lineRule="auto"/>
        <w:tabs>
          <w:tab w:leader="none" w:pos="11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invoicing therefor in accordance with their terms, and at the aggregate recorded amounts thereof. Except for any billing corrections made in the Ordinary Course of Business, which have no impact on the calculation of Final Working Capital, as referenced above, in the event the Company is unable to collect any Accounts Receivable within such ninety (90) day period, Purchaser shall be entitled to setoff such uncollected amounts from the then remaining value of the Note, provided, however, that if any of such funds are collected after such setoff then the collected funds shall be paid to the Sellers.</w:t>
      </w:r>
    </w:p>
    <w:p>
      <w:pPr>
        <w:spacing w:after="0" w:line="79" w:lineRule="exact"/>
        <w:rPr>
          <w:rFonts w:ascii="Times New Roman" w:cs="Times New Roman" w:eastAsia="Times New Roman" w:hAnsi="Times New Roman"/>
          <w:sz w:val="18"/>
          <w:szCs w:val="18"/>
          <w:color w:val="auto"/>
        </w:rPr>
      </w:pPr>
    </w:p>
    <w:p>
      <w:pPr>
        <w:ind w:left="840" w:right="160" w:firstLine="421"/>
        <w:spacing w:after="0" w:line="266" w:lineRule="auto"/>
        <w:tabs>
          <w:tab w:leader="none" w:pos="151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Inventory included in the Company’s assets reflected on the Interim Balance Sheet or acquired after the Interim Balance Sheet Date and prior to the Closing Date consist or shall consist of a quality and quantity usable and saleable within a reasonable period of time in the Ordinary Course of Business. All Inventory had or shall have a commercial value at least equal to the value shown on the Interim</w:t>
      </w:r>
    </w:p>
    <w:p>
      <w:pPr>
        <w:spacing w:after="0" w:line="108"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1340"/>
          </w:cols>
          <w:pgMar w:left="320" w:top="270" w:right="239" w:bottom="1440" w:gutter="0" w:footer="0" w:header="0"/>
        </w:sectPr>
      </w:pPr>
    </w:p>
    <w:bookmarkStart w:id="142" w:name="page143"/>
    <w:bookmarkEnd w:id="142"/>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right="160"/>
        <w:spacing w:after="0" w:line="266" w:lineRule="auto"/>
        <w:rPr>
          <w:sz w:val="20"/>
          <w:szCs w:val="20"/>
          <w:color w:val="auto"/>
        </w:rPr>
      </w:pPr>
      <w:r>
        <w:rPr>
          <w:rFonts w:ascii="Times New Roman" w:cs="Times New Roman" w:eastAsia="Times New Roman" w:hAnsi="Times New Roman"/>
          <w:sz w:val="18"/>
          <w:szCs w:val="18"/>
          <w:color w:val="auto"/>
        </w:rPr>
        <w:t>Balance Sheet and is or shall be valued in accordance with GAAP at the lower of cost or market value on a first in, first out basis. All Inventory (other than Inventory in transit in the Ordinary Course of Business) is located at the Real Property or at the Leased Real Property. Work-in-process Inventories are now valued, and shall be valued on the Closing Date, according to GAAP.</w:t>
      </w:r>
    </w:p>
    <w:p>
      <w:pPr>
        <w:spacing w:after="0" w:line="17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Section 4.15. Services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840" w:right="80" w:firstLine="421"/>
        <w:spacing w:after="0" w:line="261" w:lineRule="auto"/>
        <w:tabs>
          <w:tab w:leader="none" w:pos="150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has been furnished with complete and accurate copies of the standard terms and conditions of sale for each of the products or services of the Company (containing applicable guaranty, warranty and indemnity provisions). Except as set forth on </w:t>
      </w:r>
      <w:r>
        <w:rPr>
          <w:rFonts w:ascii="Times New Roman" w:cs="Times New Roman" w:eastAsia="Times New Roman" w:hAnsi="Times New Roman"/>
          <w:sz w:val="18"/>
          <w:szCs w:val="18"/>
          <w:u w:val="single" w:color="auto"/>
          <w:color w:val="auto"/>
        </w:rPr>
        <w:t>Section 4.15(a)</w:t>
      </w:r>
      <w:r>
        <w:rPr>
          <w:rFonts w:ascii="Times New Roman" w:cs="Times New Roman" w:eastAsia="Times New Roman" w:hAnsi="Times New Roman"/>
          <w:sz w:val="18"/>
          <w:szCs w:val="18"/>
          <w:color w:val="auto"/>
        </w:rPr>
        <w:t xml:space="preserve"> of the Disclosure Schedules, no product manufactured, sold or delivered by, or service rendered by or on behalf of, the Company is subject to any guaranty, warranty or other indemnity, express or implied, beyond such standard terms and conditions.</w:t>
      </w:r>
    </w:p>
    <w:p>
      <w:pPr>
        <w:spacing w:after="0" w:line="71" w:lineRule="exact"/>
        <w:rPr>
          <w:rFonts w:ascii="Times New Roman" w:cs="Times New Roman" w:eastAsia="Times New Roman" w:hAnsi="Times New Roman"/>
          <w:sz w:val="18"/>
          <w:szCs w:val="18"/>
          <w:color w:val="auto"/>
        </w:rPr>
      </w:pPr>
    </w:p>
    <w:p>
      <w:pPr>
        <w:ind w:left="840" w:firstLine="421"/>
        <w:spacing w:after="0" w:line="261" w:lineRule="auto"/>
        <w:tabs>
          <w:tab w:leader="none" w:pos="15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Liability of any nature whether based on strict liability, negligence, breach of warranty (express or implied), breach of contract or otherwise, in respect of any product, component or other item manufactured, sold, designed or produced prior to the Closing by, or service rendered prior to the Closing by or on behalf of, the Company or any predecessor of the Company that is not otherwise fully and adequately reserved against as reflected on the face of the Interim Balance Sheet.</w:t>
      </w:r>
    </w:p>
    <w:p>
      <w:pPr>
        <w:spacing w:after="0" w:line="71" w:lineRule="exact"/>
        <w:rPr>
          <w:rFonts w:ascii="Times New Roman" w:cs="Times New Roman" w:eastAsia="Times New Roman" w:hAnsi="Times New Roman"/>
          <w:sz w:val="18"/>
          <w:szCs w:val="18"/>
          <w:color w:val="auto"/>
        </w:rPr>
      </w:pPr>
    </w:p>
    <w:p>
      <w:pPr>
        <w:ind w:left="840" w:right="20" w:firstLine="421"/>
        <w:spacing w:after="0" w:line="266" w:lineRule="auto"/>
        <w:tabs>
          <w:tab w:leader="none" w:pos="150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or offered to enter into, any Contract pursuant to which the Company or Purchaser (after the Closing Date) is or shall be obligated to make any rebates, discounts, promotional allowances or similar payments or arrangements with or to any customer or other business relation.</w:t>
      </w:r>
    </w:p>
    <w:p>
      <w:pPr>
        <w:spacing w:after="0" w:line="17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Section 4.16. Intellectual Property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840" w:right="60" w:firstLine="421"/>
        <w:spacing w:after="0" w:line="277" w:lineRule="auto"/>
        <w:tabs>
          <w:tab w:leader="none" w:pos="150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4.16(a)</w:t>
      </w:r>
      <w:r>
        <w:rPr>
          <w:rFonts w:ascii="Times New Roman" w:cs="Times New Roman" w:eastAsia="Times New Roman" w:hAnsi="Times New Roman"/>
          <w:sz w:val="17"/>
          <w:szCs w:val="17"/>
          <w:color w:val="auto"/>
        </w:rPr>
        <w:t xml:space="preserve"> of the Disclosure Schedules contains a complete and accurate list of all of the Intellectual Property Assets owned, in whole or in part, or licensed by the Company. Except as set forth on </w:t>
      </w:r>
      <w:r>
        <w:rPr>
          <w:rFonts w:ascii="Times New Roman" w:cs="Times New Roman" w:eastAsia="Times New Roman" w:hAnsi="Times New Roman"/>
          <w:sz w:val="17"/>
          <w:szCs w:val="17"/>
          <w:u w:val="single" w:color="auto"/>
          <w:color w:val="auto"/>
        </w:rPr>
        <w:t>Section 4.16(a)</w:t>
      </w:r>
      <w:r>
        <w:rPr>
          <w:rFonts w:ascii="Times New Roman" w:cs="Times New Roman" w:eastAsia="Times New Roman" w:hAnsi="Times New Roman"/>
          <w:sz w:val="17"/>
          <w:szCs w:val="17"/>
          <w:color w:val="auto"/>
        </w:rPr>
        <w:t xml:space="preserve"> of the Disclosure Schedules, the Intellectual Property Assets are all those necessary for the operation of the Business as it is currently conducted or presently proposed to be conducted by the Company. All of the Intellectual Property Assets are in good standing, are duly authorized, validly, issued and enforceable and have not been cancelled. The Company, nor any Seller, has Knowledge of any facts that would invalidate or render any of the Intellectual Property Assets unenforceable.</w:t>
      </w:r>
    </w:p>
    <w:p>
      <w:pPr>
        <w:spacing w:after="0" w:line="60" w:lineRule="exact"/>
        <w:rPr>
          <w:rFonts w:ascii="Times New Roman" w:cs="Times New Roman" w:eastAsia="Times New Roman" w:hAnsi="Times New Roman"/>
          <w:sz w:val="17"/>
          <w:szCs w:val="17"/>
          <w:color w:val="auto"/>
        </w:rPr>
      </w:pPr>
    </w:p>
    <w:p>
      <w:pPr>
        <w:ind w:left="840" w:right="20" w:firstLine="421"/>
        <w:spacing w:after="0" w:line="261" w:lineRule="auto"/>
        <w:tabs>
          <w:tab w:leader="none" w:pos="15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owner or licensee of all right, title and interest in and to each of the Intellectual Property Assets, free and clear of all Encumbrances. The Company’s use of its Intellectual Property Assets, and the operation of the Business as currently conducted and as presently proposed to be conducted does not and shall not infringe, misappropriate or otherwise make any unlawful or unauthorized use of any of the intellectual property assets or other proprietary right of any Person. Except as set</w:t>
      </w:r>
    </w:p>
    <w:p>
      <w:pPr>
        <w:spacing w:after="0" w:line="112"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ectPr>
          <w:pgSz w:w="11900" w:h="16838" w:orient="portrait"/>
          <w:cols w:equalWidth="0" w:num="1">
            <w:col w:w="11340"/>
          </w:cols>
          <w:pgMar w:left="320" w:top="270" w:right="239" w:bottom="1440" w:gutter="0" w:footer="0" w:header="0"/>
        </w:sectPr>
      </w:pPr>
    </w:p>
    <w:bookmarkStart w:id="143" w:name="page144"/>
    <w:bookmarkEnd w:id="143"/>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right="80"/>
        <w:spacing w:after="0" w:line="253" w:lineRule="auto"/>
        <w:rPr>
          <w:sz w:val="20"/>
          <w:szCs w:val="20"/>
          <w:color w:val="auto"/>
        </w:rPr>
      </w:pPr>
      <w:r>
        <w:rPr>
          <w:rFonts w:ascii="Times New Roman" w:cs="Times New Roman" w:eastAsia="Times New Roman" w:hAnsi="Times New Roman"/>
          <w:sz w:val="18"/>
          <w:szCs w:val="18"/>
          <w:color w:val="auto"/>
        </w:rPr>
        <w:t xml:space="preserve">forth on </w:t>
      </w: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 xml:space="preserve"> of the Disclosure Schedules, (i) there are no licenses now outstanding or other rights granted to any Person with respect to any of the intellectual property assets, (ii) neither the Company, nor any Seller is a party to any Contract with respect to any of the Intellectual Property Assets and (iii) neither the Company, nor any Seller has received any notice or other communication claiming, alleging or suggesting that the Company has infringed, misappropriated or otherwise made any unlawful or unauthorized use of any of its Intellectual Property Assets, and, to the Knowledge of the Company or any Seller, no other Person has threatened to make any such claims and there are no basis for any claims. To the Knowledge of the Company or any Seller, no third party is infringing any of the Company’s rights in any of its Intellectual Property Assets. All of the Intellectual Property Assets are assignable to Purchaser without the consent or approval of any Person. Except as described on </w:t>
      </w: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 xml:space="preserve"> of the Disclosure Schedules, there are no unresolved claims made that any of the Intellectual Property Assets or the activities of the Company or any Seller in connection with the Intellectual Property Assets constitutes unfair competition or are in violation or infringement of any Mark, Patent, Copyright, Trade Secret, Documentation, Domain Name, Software or Website or registration therefore, of any other Person.</w:t>
      </w:r>
    </w:p>
    <w:p>
      <w:pPr>
        <w:spacing w:after="0" w:line="85" w:lineRule="exact"/>
        <w:rPr>
          <w:sz w:val="20"/>
          <w:szCs w:val="20"/>
          <w:color w:val="auto"/>
        </w:rPr>
      </w:pPr>
    </w:p>
    <w:p>
      <w:pPr>
        <w:ind w:left="840" w:right="20" w:firstLine="421"/>
        <w:spacing w:after="0" w:line="255" w:lineRule="auto"/>
        <w:tabs>
          <w:tab w:leader="none" w:pos="150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consummation of the transactions contemplated by this Agreement, Purchaser shall receive complete and exclusive right, title and interest in and to all tangible and intangible property rights existing in the Intellectual Property Assets. The Company has developed the Intellectual Property Assets entirely through its own efforts and for its own account. There are no Intellectual Property Assets that have been created by any independent contractor or other third party for the Company, other than the Intellectual Property Assets owned by independent contractors or third Parties and licensed to the Company pursuant to the license agreements listed on </w:t>
      </w:r>
      <w:r>
        <w:rPr>
          <w:rFonts w:ascii="Times New Roman" w:cs="Times New Roman" w:eastAsia="Times New Roman" w:hAnsi="Times New Roman"/>
          <w:sz w:val="18"/>
          <w:szCs w:val="18"/>
          <w:u w:val="single" w:color="auto"/>
          <w:color w:val="auto"/>
        </w:rPr>
        <w:t>Section 4.16(c)</w:t>
      </w:r>
      <w:r>
        <w:rPr>
          <w:rFonts w:ascii="Times New Roman" w:cs="Times New Roman" w:eastAsia="Times New Roman" w:hAnsi="Times New Roman"/>
          <w:sz w:val="18"/>
          <w:szCs w:val="18"/>
          <w:color w:val="auto"/>
        </w:rPr>
        <w:t xml:space="preserve"> of the Disclosure Schedules. Each of the license agreements listed on </w:t>
      </w:r>
      <w:r>
        <w:rPr>
          <w:rFonts w:ascii="Times New Roman" w:cs="Times New Roman" w:eastAsia="Times New Roman" w:hAnsi="Times New Roman"/>
          <w:sz w:val="18"/>
          <w:szCs w:val="18"/>
          <w:u w:val="single" w:color="auto"/>
          <w:color w:val="auto"/>
        </w:rPr>
        <w:t>Section 4.16(c)</w:t>
      </w:r>
      <w:r>
        <w:rPr>
          <w:rFonts w:ascii="Times New Roman" w:cs="Times New Roman" w:eastAsia="Times New Roman" w:hAnsi="Times New Roman"/>
          <w:sz w:val="18"/>
          <w:szCs w:val="18"/>
          <w:color w:val="auto"/>
        </w:rPr>
        <w:t xml:space="preserve"> of the Disclosure Schedules following the consummation of the transactions contemplated by this Agreement (i) shall remain the legal, valid, binding and enforceable obligations of such independent contractor or third party and (ii) have not been repudiated in any way by the Company nor is the Company in default under such agreements.</w:t>
      </w:r>
    </w:p>
    <w:p>
      <w:pPr>
        <w:spacing w:after="0" w:line="77" w:lineRule="exact"/>
        <w:rPr>
          <w:rFonts w:ascii="Times New Roman" w:cs="Times New Roman" w:eastAsia="Times New Roman" w:hAnsi="Times New Roman"/>
          <w:sz w:val="18"/>
          <w:szCs w:val="18"/>
          <w:color w:val="auto"/>
        </w:rPr>
      </w:pPr>
    </w:p>
    <w:p>
      <w:pPr>
        <w:ind w:left="840" w:right="160" w:firstLine="421"/>
        <w:spacing w:after="0" w:line="266" w:lineRule="auto"/>
        <w:tabs>
          <w:tab w:leader="none" w:pos="15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default with respect to any order, writ, judgment, award, injunction or decree of any Governmental Entity or regulatory authority or arbitrator applicable to the Intellectual Property Assets or the Company’s activities in connection therewith, nor does the Company or any Seller have any Knowledge that any factual circumstances could result in such default.</w:t>
      </w:r>
    </w:p>
    <w:p>
      <w:pPr>
        <w:spacing w:after="0" w:line="68" w:lineRule="exact"/>
        <w:rPr>
          <w:rFonts w:ascii="Times New Roman" w:cs="Times New Roman" w:eastAsia="Times New Roman" w:hAnsi="Times New Roman"/>
          <w:sz w:val="18"/>
          <w:szCs w:val="18"/>
          <w:color w:val="auto"/>
        </w:rPr>
      </w:pPr>
    </w:p>
    <w:p>
      <w:pPr>
        <w:ind w:left="840" w:right="200" w:firstLine="421"/>
        <w:spacing w:after="0" w:line="282" w:lineRule="auto"/>
        <w:tabs>
          <w:tab w:leader="none" w:pos="150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agreed to indemnify any Person against any charge of infringement or other violation with respect to any of the Intellectual Property Assets.</w:t>
      </w:r>
    </w:p>
    <w:p>
      <w:pPr>
        <w:spacing w:after="0" w:line="53" w:lineRule="exact"/>
        <w:rPr>
          <w:rFonts w:ascii="Times New Roman" w:cs="Times New Roman" w:eastAsia="Times New Roman" w:hAnsi="Times New Roman"/>
          <w:sz w:val="18"/>
          <w:szCs w:val="18"/>
          <w:color w:val="auto"/>
        </w:rPr>
      </w:pPr>
    </w:p>
    <w:p>
      <w:pPr>
        <w:ind w:left="840" w:right="700" w:firstLine="421"/>
        <w:spacing w:after="0" w:line="282" w:lineRule="auto"/>
        <w:tabs>
          <w:tab w:leader="none" w:pos="14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which, to the Company’s or Sellers’ Knowledge, is non-terminable and not subject to expiration or revocation, to develop,</w:t>
      </w:r>
    </w:p>
    <w:p>
      <w:pPr>
        <w:spacing w:after="0" w:line="94"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11340"/>
          </w:cols>
          <w:pgMar w:left="320" w:top="270" w:right="239" w:bottom="1440" w:gutter="0" w:footer="0" w:header="0"/>
        </w:sectPr>
      </w:pPr>
    </w:p>
    <w:bookmarkStart w:id="144" w:name="page145"/>
    <w:bookmarkEnd w:id="144"/>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right="40"/>
        <w:spacing w:after="0" w:line="282" w:lineRule="auto"/>
        <w:rPr>
          <w:sz w:val="20"/>
          <w:szCs w:val="20"/>
          <w:color w:val="auto"/>
        </w:rPr>
      </w:pPr>
      <w:r>
        <w:rPr>
          <w:rFonts w:ascii="Times New Roman" w:cs="Times New Roman" w:eastAsia="Times New Roman" w:hAnsi="Times New Roman"/>
          <w:sz w:val="18"/>
          <w:szCs w:val="18"/>
          <w:color w:val="auto"/>
        </w:rPr>
        <w:t>license, control, regulate the use of or otherwise exploit the Intellectual Property Assets without any valid legal or equitable claim by, or payment or other obligation owing to, or required consent from, any Person.</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Section 4.17. Employee Benefit Plans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840" w:right="220" w:firstLine="421"/>
        <w:spacing w:after="0" w:line="256" w:lineRule="auto"/>
        <w:tabs>
          <w:tab w:leader="none" w:pos="150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of the Disclosure Schedules contains a complete and accurate list of all Employee Plans and the Company’s Benefit Obligations. All such Employee Plans and the Company’s Benefit Obligations are in full force and effect and are in compliance in all respects, both as to form and operation, with all applicable provisions of ERISA, the Code and any other applicable Laws, and with any applicable collective bargaining agreements. No event has occurred, and there exists no condition or set of circumstances which has resulted in or which could result in the imposition of any Liability on the Company under ERISA, the Code or other applicable Law with respect to such Employee Plans or the Company’s Benefit Obligations.</w:t>
      </w:r>
    </w:p>
    <w:p>
      <w:pPr>
        <w:spacing w:after="0" w:line="79" w:lineRule="exact"/>
        <w:rPr>
          <w:rFonts w:ascii="Times New Roman" w:cs="Times New Roman" w:eastAsia="Times New Roman" w:hAnsi="Times New Roman"/>
          <w:sz w:val="18"/>
          <w:szCs w:val="18"/>
          <w:color w:val="auto"/>
        </w:rPr>
      </w:pPr>
    </w:p>
    <w:p>
      <w:pPr>
        <w:jc w:val="both"/>
        <w:ind w:left="840" w:right="80" w:firstLine="421"/>
        <w:spacing w:after="0" w:line="261" w:lineRule="auto"/>
        <w:tabs>
          <w:tab w:leader="none" w:pos="15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 Plans which are “employee pension benefit plans” within the meaning of Section 3(2) of ERISA and which are intended to meet the qualification requirements of Section 401(a) of the Code have at all times met the qualification requirements of Section 401(a) of the Code (“</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and each related trust has at all times been exempt from taxation under Section 501(a) of the Code. All contributions required to be made under the terms of any Employee Plans have been timely made or have been reflected in the Financial Statements.</w:t>
      </w:r>
    </w:p>
    <w:p>
      <w:pPr>
        <w:spacing w:after="0" w:line="71" w:lineRule="exact"/>
        <w:rPr>
          <w:rFonts w:ascii="Times New Roman" w:cs="Times New Roman" w:eastAsia="Times New Roman" w:hAnsi="Times New Roman"/>
          <w:sz w:val="18"/>
          <w:szCs w:val="18"/>
          <w:color w:val="auto"/>
        </w:rPr>
      </w:pPr>
    </w:p>
    <w:p>
      <w:pPr>
        <w:ind w:left="840" w:right="60" w:firstLine="421"/>
        <w:spacing w:after="0" w:line="266" w:lineRule="auto"/>
        <w:tabs>
          <w:tab w:leader="none" w:pos="150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part of a controlled group of employers with any other Person (as defined in Section 7701(a)(l) of the Code) which is considered a single employer under Sections 414(b), (c), (m) or (o) of the Code, or Section 3(5) or 4001(b)(1) of ERISA, or the regulations promulgated thereunder.</w:t>
      </w:r>
    </w:p>
    <w:p>
      <w:pPr>
        <w:spacing w:after="0" w:line="68" w:lineRule="exact"/>
        <w:rPr>
          <w:rFonts w:ascii="Times New Roman" w:cs="Times New Roman" w:eastAsia="Times New Roman" w:hAnsi="Times New Roman"/>
          <w:sz w:val="18"/>
          <w:szCs w:val="18"/>
          <w:color w:val="auto"/>
        </w:rPr>
      </w:pPr>
    </w:p>
    <w:p>
      <w:pPr>
        <w:ind w:left="840" w:right="180" w:firstLine="421"/>
        <w:spacing w:after="0" w:line="266" w:lineRule="auto"/>
        <w:tabs>
          <w:tab w:leader="none" w:pos="15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sponsor, maintain or contribute to, and is not required to contribute to, and has never contributed to, any Employee Plan that is subject to Title IV of ERISA or any Multiemployer Plan and has no Liability of any nature, whether known or unknown, fixed or contingent, choate or inchoate, with respect to any such Employee Plan or Multiemployer Plan.</w:t>
      </w:r>
    </w:p>
    <w:p>
      <w:pPr>
        <w:spacing w:after="0" w:line="68" w:lineRule="exact"/>
        <w:rPr>
          <w:rFonts w:ascii="Times New Roman" w:cs="Times New Roman" w:eastAsia="Times New Roman" w:hAnsi="Times New Roman"/>
          <w:sz w:val="18"/>
          <w:szCs w:val="18"/>
          <w:color w:val="auto"/>
        </w:rPr>
      </w:pPr>
    </w:p>
    <w:p>
      <w:pPr>
        <w:ind w:left="840" w:right="20" w:firstLine="421"/>
        <w:spacing w:after="0" w:line="261" w:lineRule="auto"/>
        <w:tabs>
          <w:tab w:leader="none" w:pos="150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sponsor, maintain or contribute to, and is not required to contribute to, and has never contributed to any medical, health, life or other welfare benefits for present or future terminated or retired employees or their spouses or dependents, other than as required by Part 6 of Subtitle B of Title I of ERISA, COBRA, or any comparable state Law, and has no Liability of any nature, whether known or unknown, fixed or contingent, choate or inchoate, with respect to any such post-termination welfare benefits.</w:t>
      </w:r>
    </w:p>
    <w:p>
      <w:pPr>
        <w:spacing w:after="0" w:line="71" w:lineRule="exact"/>
        <w:rPr>
          <w:rFonts w:ascii="Times New Roman" w:cs="Times New Roman" w:eastAsia="Times New Roman" w:hAnsi="Times New Roman"/>
          <w:sz w:val="18"/>
          <w:szCs w:val="18"/>
          <w:color w:val="auto"/>
        </w:rPr>
      </w:pPr>
    </w:p>
    <w:p>
      <w:pPr>
        <w:ind w:left="840" w:firstLine="421"/>
        <w:spacing w:after="0" w:line="261" w:lineRule="auto"/>
        <w:tabs>
          <w:tab w:leader="none" w:pos="14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Pension Plan has received determination letters from the IRS to the effect that each such Pension Plan is qualified and the related trusts are exempt from federal income taxes, and no determination letter received with respect to any Pension Plan has been revoked, nor is there any reason for such revocation, nor has any Pension Plan been amended since the date of its most recent determination letter in any respect which could adversely affect its qualification.</w:t>
      </w:r>
    </w:p>
    <w:p>
      <w:pPr>
        <w:spacing w:after="0" w:line="112"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1340"/>
          </w:cols>
          <w:pgMar w:left="320" w:top="270" w:right="239" w:bottom="1440" w:gutter="0" w:footer="0" w:header="0"/>
        </w:sectPr>
      </w:pPr>
    </w:p>
    <w:bookmarkStart w:id="145" w:name="page146"/>
    <w:bookmarkEnd w:id="145"/>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right="340" w:firstLine="421"/>
        <w:spacing w:after="0" w:line="261" w:lineRule="auto"/>
        <w:tabs>
          <w:tab w:leader="none" w:pos="151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audits or investigations by any governmental agency involving any of the Employee Plans, and there are no threatened or pending claims (except for individual claims for benefits payable in the normal operation of the Employee Plans), suits or Proceedings involving any Employee Plan, any fiduciary thereof or service provider thereto, nor, to the Company’s or Sellers’ Knowledge, is there any reasonable basis for any such claim, suit or Proceeding.</w:t>
      </w:r>
    </w:p>
    <w:p>
      <w:pPr>
        <w:spacing w:after="0" w:line="71" w:lineRule="exact"/>
        <w:rPr>
          <w:rFonts w:ascii="Times New Roman" w:cs="Times New Roman" w:eastAsia="Times New Roman" w:hAnsi="Times New Roman"/>
          <w:sz w:val="18"/>
          <w:szCs w:val="18"/>
          <w:color w:val="auto"/>
        </w:rPr>
      </w:pPr>
    </w:p>
    <w:p>
      <w:pPr>
        <w:ind w:left="840" w:right="80" w:firstLine="421"/>
        <w:spacing w:after="0" w:line="261" w:lineRule="auto"/>
        <w:tabs>
          <w:tab w:leader="none" w:pos="151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ERISA Affiliate or any employee of the Company or any ERISA Affiliate has engaged in a “prohibited transaction” within the meaning of Section 406 of ERISA or Section 4975 of the Code, nor has any such person breached any duty imposed by Title I of ERISA, with respect to any Employee Plan. No other Person has engaged in such a prohibited transaction or breach with respect to any Employee Plan.</w:t>
      </w:r>
    </w:p>
    <w:p>
      <w:pPr>
        <w:spacing w:after="0" w:line="71" w:lineRule="exact"/>
        <w:rPr>
          <w:rFonts w:ascii="Times New Roman" w:cs="Times New Roman" w:eastAsia="Times New Roman" w:hAnsi="Times New Roman"/>
          <w:sz w:val="18"/>
          <w:szCs w:val="18"/>
          <w:color w:val="auto"/>
        </w:rPr>
      </w:pPr>
    </w:p>
    <w:p>
      <w:pPr>
        <w:ind w:left="840" w:right="40" w:firstLine="421"/>
        <w:spacing w:after="0" w:line="261" w:lineRule="auto"/>
        <w:tabs>
          <w:tab w:leader="none" w:pos="147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premiums under any insurance policy related to an Employee Plan for any period up to and including the Closing Date have been paid, or accrued and booked on or prior to the Closing Date in the Financial Statements, and, with respect to any such insurance policy or premium payment obligation, the Company is not subject to a retroactive rate adjustment, loss sharing arrangement or other actual or contingent Liability.</w:t>
      </w:r>
    </w:p>
    <w:p>
      <w:pPr>
        <w:spacing w:after="0" w:line="71" w:lineRule="exact"/>
        <w:rPr>
          <w:rFonts w:ascii="Times New Roman" w:cs="Times New Roman" w:eastAsia="Times New Roman" w:hAnsi="Times New Roman"/>
          <w:sz w:val="18"/>
          <w:szCs w:val="18"/>
          <w:color w:val="auto"/>
        </w:rPr>
      </w:pPr>
    </w:p>
    <w:p>
      <w:pPr>
        <w:ind w:left="840" w:firstLine="421"/>
        <w:spacing w:after="0" w:line="261" w:lineRule="auto"/>
        <w:tabs>
          <w:tab w:leader="none" w:pos="147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six-month period preceding the Closing Date, there has been no amendment to, announcement by the Company relating to, or change in employee participation or coverage under, any Employee Plan which would increase the expense of maintaining such Employee Plan above the level of the expense incurred therefor for the most recent fiscal year, except for increases directly resulting from an increase in the number of persons employed by the Company or promotions of existing employees in the Ordinary Course of Business.</w:t>
      </w:r>
    </w:p>
    <w:p>
      <w:pPr>
        <w:spacing w:after="0" w:line="71" w:lineRule="exact"/>
        <w:rPr>
          <w:rFonts w:ascii="Times New Roman" w:cs="Times New Roman" w:eastAsia="Times New Roman" w:hAnsi="Times New Roman"/>
          <w:sz w:val="18"/>
          <w:szCs w:val="18"/>
          <w:color w:val="auto"/>
        </w:rPr>
      </w:pPr>
    </w:p>
    <w:p>
      <w:pPr>
        <w:ind w:left="840" w:right="360" w:firstLine="421"/>
        <w:spacing w:after="0" w:line="282" w:lineRule="auto"/>
        <w:tabs>
          <w:tab w:leader="none" w:pos="151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Contract, whether legally binding or not, to create any additional Employee Plan or to modify any existing Employee Plan.</w:t>
      </w:r>
    </w:p>
    <w:p>
      <w:pPr>
        <w:spacing w:after="0" w:line="53" w:lineRule="exact"/>
        <w:rPr>
          <w:rFonts w:ascii="Times New Roman" w:cs="Times New Roman" w:eastAsia="Times New Roman" w:hAnsi="Times New Roman"/>
          <w:sz w:val="18"/>
          <w:szCs w:val="18"/>
          <w:color w:val="auto"/>
        </w:rPr>
      </w:pPr>
    </w:p>
    <w:p>
      <w:pPr>
        <w:ind w:left="840" w:right="320" w:firstLine="421"/>
        <w:spacing w:after="0" w:line="282" w:lineRule="auto"/>
        <w:tabs>
          <w:tab w:leader="none" w:pos="147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 fact or circumstance exists which would prevent the Company from amending or terminating any Employee Plan with respect to any future, current, former or retired employee, independent contractor or agent of the Company.</w:t>
      </w:r>
    </w:p>
    <w:p>
      <w:pPr>
        <w:spacing w:after="0" w:line="53" w:lineRule="exact"/>
        <w:rPr>
          <w:rFonts w:ascii="Times New Roman" w:cs="Times New Roman" w:eastAsia="Times New Roman" w:hAnsi="Times New Roman"/>
          <w:sz w:val="18"/>
          <w:szCs w:val="18"/>
          <w:color w:val="auto"/>
        </w:rPr>
      </w:pPr>
    </w:p>
    <w:p>
      <w:pPr>
        <w:ind w:left="1560" w:hanging="299"/>
        <w:spacing w:after="0"/>
        <w:tabs>
          <w:tab w:leader="none" w:pos="15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with respect to each of the Employee Plans, the Company has delivered to Purchaser complete and accurate copies of:</w:t>
      </w:r>
    </w:p>
    <w:p>
      <w:pPr>
        <w:spacing w:after="0" w:line="27" w:lineRule="exact"/>
        <w:rPr>
          <w:rFonts w:ascii="Times New Roman" w:cs="Times New Roman" w:eastAsia="Times New Roman" w:hAnsi="Times New Roman"/>
          <w:sz w:val="18"/>
          <w:szCs w:val="18"/>
          <w:color w:val="auto"/>
        </w:rPr>
      </w:pPr>
    </w:p>
    <w:p>
      <w:pPr>
        <w:ind w:left="840" w:right="440" w:firstLine="1"/>
        <w:spacing w:after="0" w:line="254" w:lineRule="auto"/>
        <w:tabs>
          <w:tab w:leader="none" w:pos="10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plan documents (including all amendments and modifications thereof) and, in the case of an unwritten Employee Plan, a written description thereof, and in either case all related agreements including the trust agreement and amendments thereto, insurance contracts and investment management agreements; (ii) the last three (3) filed Form 5500 series and all schedules thereto; (iii) the current summary plan descriptions and all modifications thereto; (iv) the three (3) most recent actuarial reports, financial statements and trustee</w:t>
      </w:r>
    </w:p>
    <w:p>
      <w:pPr>
        <w:spacing w:after="0" w:line="118"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1340"/>
          </w:cols>
          <w:pgMar w:left="320" w:top="270" w:right="239" w:bottom="1440" w:gutter="0" w:footer="0" w:header="0"/>
        </w:sectPr>
      </w:pPr>
    </w:p>
    <w:bookmarkStart w:id="146" w:name="page147"/>
    <w:bookmarkEnd w:id="146"/>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right="40"/>
        <w:spacing w:after="0" w:line="261" w:lineRule="auto"/>
        <w:rPr>
          <w:sz w:val="20"/>
          <w:szCs w:val="20"/>
          <w:color w:val="auto"/>
        </w:rPr>
      </w:pPr>
      <w:r>
        <w:rPr>
          <w:rFonts w:ascii="Times New Roman" w:cs="Times New Roman" w:eastAsia="Times New Roman" w:hAnsi="Times New Roman"/>
          <w:sz w:val="18"/>
          <w:szCs w:val="18"/>
          <w:color w:val="auto"/>
        </w:rPr>
        <w:t>reports; and (v) copies of all private letter rulings, requests and determination letters issued with respect to any Employee Plan and filings, summaries of self-corrections or applications made under the Employee Plans Compliance Resolution System (as set forth in Revenue Procedure 2003-44, and any successor thereto) or the Voluntary Fiduciary Correction or Delinquent Filer Voluntary Compliance programs with respect to the Employee Plans within the past five (5) years.</w:t>
      </w:r>
    </w:p>
    <w:p>
      <w:pPr>
        <w:spacing w:after="0" w:line="72" w:lineRule="exact"/>
        <w:rPr>
          <w:sz w:val="20"/>
          <w:szCs w:val="20"/>
          <w:color w:val="auto"/>
        </w:rPr>
      </w:pPr>
    </w:p>
    <w:p>
      <w:pPr>
        <w:ind w:left="840" w:right="100" w:firstLine="421"/>
        <w:spacing w:after="0" w:line="258" w:lineRule="auto"/>
        <w:tabs>
          <w:tab w:leader="none" w:pos="15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since December 31, 2013, (i) granted an interest in a nonqualified deferred compensation plan (as defined in Section 409A(d)(1) of the Code) which interest has been or, upon the lapse of a substantial risk of forfeiture with respect to such interest, will be subject to the Tax imposed by Sections 409A(a)(1)(B) or (b)(4)(A) of the Code, or (ii) modified the terms of any nonqualified deferred compensation plan in a manner that could cause an interest previously granted under such plan to become subject to the Tax imposed by Sections 409A(a)(1)(B) or (b)(4) of the Code.</w:t>
      </w:r>
    </w:p>
    <w:p>
      <w:pPr>
        <w:spacing w:after="0" w:line="75" w:lineRule="exact"/>
        <w:rPr>
          <w:rFonts w:ascii="Times New Roman" w:cs="Times New Roman" w:eastAsia="Times New Roman" w:hAnsi="Times New Roman"/>
          <w:sz w:val="18"/>
          <w:szCs w:val="18"/>
          <w:color w:val="auto"/>
        </w:rPr>
      </w:pPr>
    </w:p>
    <w:p>
      <w:pPr>
        <w:ind w:left="840" w:right="100" w:firstLine="421"/>
        <w:spacing w:after="0" w:line="276" w:lineRule="auto"/>
        <w:tabs>
          <w:tab w:leader="none" w:pos="151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deferred compensation arrangements, as defined under Section 409A of the Code, have been or will be amended to comply with Code Section 409A on or prior to the Closing Date, and therefore, no such arrangements will be subject to the Tax imposed by Sections 409A(a)</w:t>
      </w:r>
    </w:p>
    <w:p>
      <w:pPr>
        <w:ind w:left="8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(1)(B) or (b)(4)(A) of the Code.</w:t>
      </w:r>
    </w:p>
    <w:p>
      <w:pPr>
        <w:spacing w:after="0" w:line="98" w:lineRule="exact"/>
        <w:rPr>
          <w:rFonts w:ascii="Times New Roman" w:cs="Times New Roman" w:eastAsia="Times New Roman" w:hAnsi="Times New Roman"/>
          <w:sz w:val="17"/>
          <w:szCs w:val="17"/>
          <w:color w:val="auto"/>
        </w:rPr>
      </w:pPr>
    </w:p>
    <w:p>
      <w:pPr>
        <w:ind w:left="840" w:right="120" w:firstLine="421"/>
        <w:spacing w:after="0" w:line="266" w:lineRule="auto"/>
        <w:tabs>
          <w:tab w:leader="none" w:pos="15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understood that Purchaser assumes no Liability for any underfunding of the Employee Plans or the Company’s Benefit Obligations, and that the ongoing operations or termination of such Employee Plans or the Company’s Benefit Obligations, and any expenses or Liabilities incidental thereto, shall be the sole responsibility of the Company.</w:t>
      </w:r>
    </w:p>
    <w:p>
      <w:pPr>
        <w:spacing w:after="0" w:line="17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Section 4.18. Personnel; Labor Relations.</w:t>
      </w:r>
    </w:p>
    <w:p>
      <w:pPr>
        <w:spacing w:after="0" w:line="121" w:lineRule="exact"/>
        <w:rPr>
          <w:sz w:val="20"/>
          <w:szCs w:val="20"/>
          <w:color w:val="auto"/>
        </w:rPr>
      </w:pPr>
    </w:p>
    <w:p>
      <w:pPr>
        <w:ind w:left="840" w:right="140" w:firstLine="421"/>
        <w:spacing w:after="0" w:line="277" w:lineRule="auto"/>
        <w:tabs>
          <w:tab w:leader="none" w:pos="150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4.18(a)</w:t>
      </w:r>
      <w:r>
        <w:rPr>
          <w:rFonts w:ascii="Times New Roman" w:cs="Times New Roman" w:eastAsia="Times New Roman" w:hAnsi="Times New Roman"/>
          <w:sz w:val="17"/>
          <w:szCs w:val="17"/>
          <w:color w:val="auto"/>
        </w:rPr>
        <w:t xml:space="preserve"> of the Disclosure Schedules sets forth a list of all collective bargaining agreements and other agreements or documents relating to relationships with Personnel to which the Company is a party, identifying the Parties thereto, the expiration dates and the status thereof. The Company has provided Purchaser a true and complete copy of all such collective bargaining agreements. In the event the Company has entered into any collective bargaining agreements of which Purchaser has not been provided a true and complete copy, Sellers and the Company represent and warrant that any such agreements do not contain any terms materially different than those which have been provided.</w:t>
      </w:r>
    </w:p>
    <w:p>
      <w:pPr>
        <w:spacing w:after="0" w:line="60" w:lineRule="exact"/>
        <w:rPr>
          <w:rFonts w:ascii="Times New Roman" w:cs="Times New Roman" w:eastAsia="Times New Roman" w:hAnsi="Times New Roman"/>
          <w:sz w:val="17"/>
          <w:szCs w:val="17"/>
          <w:color w:val="auto"/>
        </w:rPr>
      </w:pPr>
    </w:p>
    <w:p>
      <w:pPr>
        <w:ind w:left="840" w:right="20" w:firstLine="421"/>
        <w:spacing w:after="0" w:line="258" w:lineRule="auto"/>
        <w:tabs>
          <w:tab w:leader="none" w:pos="15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is no labor strike, lockout, dispute, slowdown or stoppage pending or threatened against or involving the Company, nor has any such event or labor difficulty occurred within the past five (5) years, (ii) no union claims to represent the Company’s Personnel, (iii) the Company is not a party to nor is the Company bound by any collective bargaining or similar agreement with any labor organization, written work rules or practices or unwritten work rules or practices agreed to with any labor organization or employee association, (iv) there has been no attempt to organize</w:t>
      </w:r>
    </w:p>
    <w:p>
      <w:pPr>
        <w:spacing w:after="0" w:line="116"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ectPr>
          <w:pgSz w:w="11900" w:h="16838" w:orient="portrait"/>
          <w:cols w:equalWidth="0" w:num="1">
            <w:col w:w="11340"/>
          </w:cols>
          <w:pgMar w:left="320" w:top="270" w:right="239" w:bottom="1440" w:gutter="0" w:footer="0" w:header="0"/>
        </w:sectPr>
      </w:pPr>
    </w:p>
    <w:bookmarkStart w:id="147" w:name="page148"/>
    <w:bookmarkEnd w:id="147"/>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right="40"/>
        <w:spacing w:after="0" w:line="252" w:lineRule="auto"/>
        <w:rPr>
          <w:sz w:val="20"/>
          <w:szCs w:val="20"/>
          <w:color w:val="auto"/>
        </w:rPr>
      </w:pPr>
      <w:r>
        <w:rPr>
          <w:rFonts w:ascii="Times New Roman" w:cs="Times New Roman" w:eastAsia="Times New Roman" w:hAnsi="Times New Roman"/>
          <w:sz w:val="18"/>
          <w:szCs w:val="18"/>
          <w:color w:val="auto"/>
        </w:rPr>
        <w:t>any group or all of the Company’s Personnel within the past five (5) years, (v) the Company is in compliance in all respects with all applicable Laws relating to employment and employment practices, terms and conditions of employment, wages, hours of work and occupational safety and health, (vi) there is no unfair labor practice charge or complaint against the Company pending or threatened before the National Labor Relations Board or any Governmental Entity (and there is no reasonable basis therefor), (vii) there is no charge with respect to or relating to the Company pending before the Equal Employment Opportunity Commission or any other agency responsible for the prevention of unlawful or discriminatory employment practices (and there is no reasonable basis therefor), (viii) the Company has not received any notice of the intent of any Governmental Entity responsible for the enforcement of labor or employment Laws to conduct an investigation or other inquiry relating to the Company, and no such investigation or other inquiry is in progress, (ix) there is no Proceeding pending or threatened, in any forum by or on behalf of any present or former Personnel of the Company, any applicant for employment or any class or classes of the foregoing alleging breach of any express or implied Contract of employment, any Law governing employment or the termination thereof or other discriminatory, wrongful or tortious conduct in connection with the employment relationship, (x) there is no agreement of any kind which restricts the Company from relocating, closing or terminating any of its operations or facilities, (xi) neither the Company nor any Seller has any Knowledge that any of the Company’s Personnel has any current or immediate plans to terminate his or her employment with the Company, and (xii) the Company has no present intention to terminate the employment of any Personnel due to misconduct, absenteeism or unsatisfactory performance.</w:t>
      </w:r>
    </w:p>
    <w:p>
      <w:pPr>
        <w:spacing w:after="0" w:line="91" w:lineRule="exact"/>
        <w:rPr>
          <w:sz w:val="20"/>
          <w:szCs w:val="20"/>
          <w:color w:val="auto"/>
        </w:rPr>
      </w:pPr>
    </w:p>
    <w:p>
      <w:pPr>
        <w:ind w:left="840" w:right="100" w:firstLine="421"/>
        <w:spacing w:after="0" w:line="276" w:lineRule="auto"/>
        <w:tabs>
          <w:tab w:leader="none" w:pos="1505"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in the past five (5) years, with respect to the Business, effectuated (i) a “plant closing” (as defined in the WARN Act) affecting any site of employment or one or more facilities or operating units within any site of employment or facility of the Business, or</w:t>
      </w:r>
    </w:p>
    <w:p>
      <w:pPr>
        <w:ind w:left="840" w:firstLine="1"/>
        <w:spacing w:after="0" w:line="255" w:lineRule="auto"/>
        <w:tabs>
          <w:tab w:leader="none" w:pos="110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“mass layoff” (as defined in the WARN Act) affecting any site of employment or facility of the Business, nor has the Business been affected by any transaction or engaged in layoffs or employment terminations sufficient in number to trigger application of any similar Law. None of the Company’s Personnel has suffered an “employment loss” (as defined in the WARN Act) during the previous six (6) months.</w:t>
      </w:r>
    </w:p>
    <w:p>
      <w:pPr>
        <w:spacing w:after="0" w:line="78" w:lineRule="exact"/>
        <w:rPr>
          <w:rFonts w:ascii="Times New Roman" w:cs="Times New Roman" w:eastAsia="Times New Roman" w:hAnsi="Times New Roman"/>
          <w:sz w:val="18"/>
          <w:szCs w:val="18"/>
          <w:color w:val="auto"/>
        </w:rPr>
      </w:pPr>
    </w:p>
    <w:p>
      <w:pPr>
        <w:ind w:left="840" w:right="160" w:firstLine="421"/>
        <w:spacing w:after="0" w:line="277" w:lineRule="auto"/>
        <w:tabs>
          <w:tab w:leader="none" w:pos="1515"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Agreement shall confer upon any Personnel of the Company any right with regard to continued employment by Purchaser nor any third party beneficiary rights, nor shall anything herein (i) interfere with the right of Purchaser after the Closing Date to terminate the employment of any of its Personnel at any time, with or without cause or notice, or (ii) restrict Purchaser in the exercise of its independent business judgment in establishing or modifying any of the terms or conditions of the employment of its Personnel. Purchaser will not incur any Liability on account of the Company’s Personnel in connection with the transactions contemplated by this Agreement.</w:t>
      </w:r>
    </w:p>
    <w:p>
      <w:pPr>
        <w:spacing w:after="0" w:line="100" w:lineRule="exact"/>
        <w:rPr>
          <w:rFonts w:ascii="Times New Roman" w:cs="Times New Roman" w:eastAsia="Times New Roman" w:hAnsi="Times New Roman"/>
          <w:sz w:val="17"/>
          <w:szCs w:val="17"/>
          <w:color w:val="auto"/>
        </w:rPr>
      </w:pPr>
    </w:p>
    <w:p>
      <w:pPr>
        <w:ind w:left="5540" w:hanging="101"/>
        <w:spacing w:after="0"/>
        <w:tabs>
          <w:tab w:leader="none" w:pos="554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11340"/>
          </w:cols>
          <w:pgMar w:left="320" w:top="270" w:right="2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right="140" w:firstLine="421"/>
        <w:spacing w:after="0" w:line="258" w:lineRule="auto"/>
        <w:tabs>
          <w:tab w:leader="none" w:pos="15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Personnel of the Company is bound by any Contract that purports to limit the ability of such Personnel (i) to engage in or continue to perform any conduct, activity, duties or practice relating to the Business or (ii) to assign to the Company or to any other Person any rights to any invention, improvement or discovery. No former or current Personnel of the Company is a party to, or is otherwise bound by, any Contract that in any way adversely affected, affects or will affect the ability of Purchaser to conduct the Business as presently conducted and as presently proposed to be conducted.</w:t>
      </w:r>
    </w:p>
    <w:p>
      <w:pPr>
        <w:spacing w:after="0" w:line="75" w:lineRule="exact"/>
        <w:rPr>
          <w:rFonts w:ascii="Times New Roman" w:cs="Times New Roman" w:eastAsia="Times New Roman" w:hAnsi="Times New Roman"/>
          <w:sz w:val="18"/>
          <w:szCs w:val="18"/>
          <w:color w:val="auto"/>
        </w:rPr>
      </w:pPr>
    </w:p>
    <w:p>
      <w:pPr>
        <w:ind w:left="920" w:right="40" w:firstLine="421"/>
        <w:spacing w:after="0" w:line="254" w:lineRule="auto"/>
        <w:tabs>
          <w:tab w:leader="none" w:pos="15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not entered into any severance or similar arrangement in respect of any present or former Personnel that shall result in any Liability of the Company or Purchaser to make any payment to any present or former Personnel following termination of employment, including the termination of employment effected by the transactions contemplated by this Agreement, and (ii) the consummation of the transactions contemplated by this Agreement shall not (A) increase or modify any benefits otherwise payable by the Company or Purchaser to any Personnel or former Personnel of the Company, or (B) result in the acceleration of time of payment or vesting of any such benefits except as required under Section 411(d)(3) of the Code. The consummation of the transactions contemplated by this Agreement shall not trigger any severance or similar arrangement of the Company payable by Purchaser after the Closing. There are no Contracts providing for payments that could subject any Person to Liability for Tax under Section 409A or Section 4999 of the Code. No Employee Plans provide for “parachute payments” within the meaning of Section 280G of the Code.</w:t>
      </w:r>
    </w:p>
    <w:p>
      <w:pPr>
        <w:spacing w:after="0" w:line="81" w:lineRule="exact"/>
        <w:rPr>
          <w:rFonts w:ascii="Times New Roman" w:cs="Times New Roman" w:eastAsia="Times New Roman" w:hAnsi="Times New Roman"/>
          <w:sz w:val="18"/>
          <w:szCs w:val="18"/>
          <w:color w:val="auto"/>
        </w:rPr>
      </w:pPr>
    </w:p>
    <w:p>
      <w:pPr>
        <w:ind w:left="920" w:right="240" w:firstLine="421"/>
        <w:spacing w:after="0" w:line="282" w:lineRule="auto"/>
        <w:tabs>
          <w:tab w:leader="none" w:pos="15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maintained workers’ compensation coverage as required by applicable Law through the purchase of insurance and not by self-insurance or otherwise.</w:t>
      </w:r>
    </w:p>
    <w:p>
      <w:pPr>
        <w:spacing w:after="0" w:line="158" w:lineRule="exact"/>
        <w:rPr>
          <w:sz w:val="20"/>
          <w:szCs w:val="20"/>
          <w:color w:val="auto"/>
        </w:rPr>
      </w:pPr>
    </w:p>
    <w:p>
      <w:pPr>
        <w:ind w:right="10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4.19. Environmental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result of the Company’s and Sellers actions, and to the Company and Sellers’ Knowledge,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of the actions of a third party:</w:t>
      </w:r>
    </w:p>
    <w:p>
      <w:pPr>
        <w:spacing w:after="0" w:line="51" w:lineRule="exact"/>
        <w:rPr>
          <w:sz w:val="20"/>
          <w:szCs w:val="20"/>
          <w:color w:val="auto"/>
        </w:rPr>
      </w:pPr>
    </w:p>
    <w:p>
      <w:pPr>
        <w:ind w:left="920" w:right="160" w:firstLine="421"/>
        <w:spacing w:after="0" w:line="255" w:lineRule="auto"/>
        <w:tabs>
          <w:tab w:leader="none" w:pos="15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Hazardous Material has been disposed of, spilled, leaked or otherwise released on any Real Property or Leased Real Property or at any geologically or hydrologically adjoining property, no Hazardous Materials are present on or in the ambient air, surface water, ground water, land surface or subsurface strata at any Real Property or Leased Real Property, including any Hazardous Materials contained in barrels, aboveground or underground storage tanks, landfills, land deposits, dumps, equipment (whether movable or fixed) or other containers, either temporary or permanent, and deposited or located in land, water, sumps or any other part of the Real Property or Leased Real Property or such adjoining property, or incorporated into any structure therein or thereon, nor has any Hazardous Material come to be located in the soil, surface water or groundwater on or below any Real Property or Leased Real Property. No Hazardous Materials are or have been generated, manufactured, treated, stored, transported, used, disposed of or otherwise handled by the Company either on</w:t>
      </w:r>
    </w:p>
    <w:p>
      <w:pPr>
        <w:spacing w:after="0" w:line="117"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1420"/>
          </w:cols>
          <w:pgMar w:left="240" w:top="270" w:right="2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18"/>
          <w:szCs w:val="18"/>
          <w:color w:val="auto"/>
        </w:rPr>
        <w:t>or off of any Real Property or Leased Real Property, and there are no underground storage tanks thereon (whether or not regulated and whether or not out of service, closed or decommissioned). There is no condition affecting any Real Property or Leased Real Property causing it to be in violation of any Environmental Requirement. There are no asbestos-containing materials incorporated into the buildings or interior improvements that are part of any of the Real Property or Leased Real Property, or into any other assets of the Company. There is no electrical transformer, fluorescent light fixture with ballasts or other equipment containing polychlorinated biphenyls on any of the Real Property or Leased Real Property. The Company has not conducted activities on the Real Property or Leased Real Property involving the treatment, storage or disposal of Hazardous Materials. To the Sellers’ Knowledge, and without inquiry, and except as set forth in any Phase 1 study previously delivered by Purchaser, no previous owner or tenant of the Real Property or Leased Real Property has spilled, disposed, discharged, emitted or released any Hazardous Materials into, upon or from any Real Property or Leased Real Property or into or upon the soil, ground water or surface water thereof, nor has any previous owner or tenant of the Real Property or Leased Real Property violated any Environmental Requirements with respect to the Real Property or Leased Real Property.</w:t>
      </w:r>
    </w:p>
    <w:p>
      <w:pPr>
        <w:spacing w:after="0" w:line="85" w:lineRule="exact"/>
        <w:rPr>
          <w:sz w:val="20"/>
          <w:szCs w:val="20"/>
          <w:color w:val="auto"/>
        </w:rPr>
      </w:pPr>
    </w:p>
    <w:p>
      <w:pPr>
        <w:ind w:left="920" w:right="40" w:firstLine="421"/>
        <w:spacing w:after="0" w:line="253" w:lineRule="auto"/>
        <w:tabs>
          <w:tab w:leader="none" w:pos="15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 xml:space="preserve"> of the Disclosure Schedules, the Company is in compliance with, and has at all times complied in all respects with, all Environmental Requirements, and the Company has not received any notice or been cited for any violation or potential violation of any such Environmental Requirements. No capital expenditures by the Company or Purchaser (following the Closing Date) shall be required to establish or maintain compliance with any applicable Environmental Requirements. There is no pending investigation, civil, criminal or administrative action, notice or demand letter, notice of violation or other Proceeding by any Governmental Entity with respect to ground water or surface water, soil or air contamination, the storage, treatment, release, transportation or disposal of Hazardous Materials, the use of underground storage tanks by the Company or any previous owner or tenant of any Real Property or Leased Real Property or the violation of any Environmental Requirement relating to any Real Property, Leased Real Property or the Business. Neither the Company nor any Seller has received any notice or other communication concerning any past, present or future events, actions or conditions which under present Law may give rise to any Liability of the Company or Purchaser (following the Closing Date) relating to the presence of Hazardous Materials on the Real Property or Leased Real Property or on the real property of any Person. The Company has no agreement with any Governmental Entity relating to any such environmental matter or any environmental or Hazardous Materials cleanup.</w:t>
      </w:r>
    </w:p>
    <w:p>
      <w:pPr>
        <w:spacing w:after="0" w:line="82" w:lineRule="exact"/>
        <w:rPr>
          <w:rFonts w:ascii="Times New Roman" w:cs="Times New Roman" w:eastAsia="Times New Roman" w:hAnsi="Times New Roman"/>
          <w:sz w:val="18"/>
          <w:szCs w:val="18"/>
          <w:color w:val="auto"/>
        </w:rPr>
      </w:pPr>
    </w:p>
    <w:p>
      <w:pPr>
        <w:ind w:left="920" w:right="20" w:firstLine="421"/>
        <w:spacing w:after="0" w:line="282" w:lineRule="auto"/>
        <w:tabs>
          <w:tab w:leader="none" w:pos="15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complete listing of all projects where Company transported Hazardous Materials offsite, and the location where those offsite facilities are located, is set forth on </w:t>
      </w:r>
      <w:r>
        <w:rPr>
          <w:rFonts w:ascii="Times New Roman" w:cs="Times New Roman" w:eastAsia="Times New Roman" w:hAnsi="Times New Roman"/>
          <w:sz w:val="18"/>
          <w:szCs w:val="18"/>
          <w:u w:val="single" w:color="auto"/>
          <w:color w:val="auto"/>
        </w:rPr>
        <w:t>Section 4.19(c)</w:t>
      </w:r>
      <w:r>
        <w:rPr>
          <w:rFonts w:ascii="Times New Roman" w:cs="Times New Roman" w:eastAsia="Times New Roman" w:hAnsi="Times New Roman"/>
          <w:sz w:val="18"/>
          <w:szCs w:val="18"/>
          <w:color w:val="auto"/>
        </w:rPr>
        <w:t xml:space="preserve"> of the Disclosure Schedules.</w:t>
      </w:r>
    </w:p>
    <w:p>
      <w:pPr>
        <w:spacing w:after="0" w:line="158" w:lineRule="exact"/>
        <w:rPr>
          <w:sz w:val="20"/>
          <w:szCs w:val="20"/>
          <w:color w:val="auto"/>
        </w:rPr>
      </w:pPr>
    </w:p>
    <w:p>
      <w:pPr>
        <w:ind w:right="16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4.20. Licenses and Permits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a list, together with a description of type, duration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of each of the Licenses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1420"/>
          </w:cols>
          <w:pgMar w:left="240" w:top="270" w:right="2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and Permits held by the Company or required in order to operate the Business. The Company has obtained and maintained in full force and effect all Licenses and Permits required to operate the Business in the Ordinary Course of Business. The Company has provided Purchaser with true and complete copies of all Licenses and Permits. The consummation of the transactions contemplated hereby shall not interrupt or give any Governmental Entity the right to modify, terminate or interrupt the continuation of any of the Licenses and Permits or the conduct of the Business. The Company is in compliance with all terms, conditions and requirements of all Licenses and Permits and no Proceeding is pending or threatened relating to the revocation or limitation of any of the Licenses or Permits.</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4.21. Insurance; Bonds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20" w:right="80" w:firstLine="421"/>
        <w:spacing w:after="0" w:line="258" w:lineRule="auto"/>
        <w:tabs>
          <w:tab w:leader="none" w:pos="158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4.21(a)</w:t>
      </w:r>
      <w:r>
        <w:rPr>
          <w:rFonts w:ascii="Times New Roman" w:cs="Times New Roman" w:eastAsia="Times New Roman" w:hAnsi="Times New Roman"/>
          <w:sz w:val="18"/>
          <w:szCs w:val="18"/>
          <w:color w:val="auto"/>
        </w:rPr>
        <w:t xml:space="preserve"> of the Disclosure Schedules sets forth a list of all policies of title, liability, fire, casualty, business interruption, workers’ compensation and all other forms of insurance (including, without limitation, self-insurance arrangements) (collectively,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insuring the properties, assets or other operations of the Company, setting forth the carrier, policy number, expiration dates, premiums, deductibles, description of type of coverage and coverage amounts. The Company has provided Purchaser with true and complete copies of all of the Policies.</w:t>
      </w:r>
    </w:p>
    <w:p>
      <w:pPr>
        <w:spacing w:after="0" w:line="75" w:lineRule="exact"/>
        <w:rPr>
          <w:rFonts w:ascii="Times New Roman" w:cs="Times New Roman" w:eastAsia="Times New Roman" w:hAnsi="Times New Roman"/>
          <w:sz w:val="18"/>
          <w:szCs w:val="18"/>
          <w:color w:val="auto"/>
        </w:rPr>
      </w:pPr>
    </w:p>
    <w:p>
      <w:pPr>
        <w:ind w:left="920" w:right="100" w:firstLine="421"/>
        <w:spacing w:after="0" w:line="254" w:lineRule="auto"/>
        <w:tabs>
          <w:tab w:leader="none" w:pos="15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Policies is in an amount and insures against the risks usually and customarily carried by a Person engaged in the type of business which constitutes the Business. Each of the Policies is in full force and effect. The Company is not in default under any provisions of any Policy, and the Company has not received notice of cancellation or modification of any Policy. There is no claim by the Company pending under any Policy as to which coverage has been questioned, denied or disputed by the underwriters of any Policy, and neither the Company nor any of Sellers has any Knowledge of any basis for denial of any claim under any Policy. The Company has not received any notice from or on behalf of any insurance carrier issuing any Policy that insurance rates therefor shall hereafter be increased or that there shall hereafter be a cancellation or an increase in a deductible (or an increase in premiums in order to maintain an existing deductible) or non-renewal of any Policy. The Policies are sufficient in all respects for compliance by the Company with all requirements of Law and with the requirements of all Material Contracts.</w:t>
      </w:r>
    </w:p>
    <w:p>
      <w:pPr>
        <w:spacing w:after="0" w:line="81" w:lineRule="exact"/>
        <w:rPr>
          <w:rFonts w:ascii="Times New Roman" w:cs="Times New Roman" w:eastAsia="Times New Roman" w:hAnsi="Times New Roman"/>
          <w:sz w:val="18"/>
          <w:szCs w:val="18"/>
          <w:color w:val="auto"/>
        </w:rPr>
      </w:pPr>
    </w:p>
    <w:p>
      <w:pPr>
        <w:ind w:left="920" w:right="580" w:firstLine="421"/>
        <w:spacing w:after="0" w:line="282" w:lineRule="auto"/>
        <w:tabs>
          <w:tab w:leader="none" w:pos="158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4.21(c)</w:t>
      </w:r>
      <w:r>
        <w:rPr>
          <w:rFonts w:ascii="Times New Roman" w:cs="Times New Roman" w:eastAsia="Times New Roman" w:hAnsi="Times New Roman"/>
          <w:sz w:val="18"/>
          <w:szCs w:val="18"/>
          <w:color w:val="auto"/>
        </w:rPr>
        <w:t xml:space="preserve"> of the Disclosure Schedules set forth all outstanding bonds or other surety arrangements issued or entered into in connection with the assets and properties of the Company or the Business.</w:t>
      </w:r>
    </w:p>
    <w:p>
      <w:pPr>
        <w:spacing w:after="0" w:line="158" w:lineRule="exact"/>
        <w:rPr>
          <w:sz w:val="20"/>
          <w:szCs w:val="20"/>
          <w:color w:val="auto"/>
        </w:rPr>
      </w:pPr>
    </w:p>
    <w:p>
      <w:pPr>
        <w:ind w:right="82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4.22. Contracts and Commitments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contains a list of all of the following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920" w:right="260" w:firstLine="421"/>
        <w:spacing w:after="0" w:line="266" w:lineRule="auto"/>
        <w:tabs>
          <w:tab w:leader="none" w:pos="15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consulting, bonus, profit-sharing, percentage compensation, deferred compensation, pension, welfare, retirement, stock purchase or stock option plans and agreements and commitments with or relating to the Personnel (current or former) or Affiliates of the Company;</w:t>
      </w:r>
    </w:p>
    <w:p>
      <w:pPr>
        <w:spacing w:after="0" w:line="108"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ectPr>
          <w:pgSz w:w="11900" w:h="16838" w:orient="portrait"/>
          <w:cols w:equalWidth="0" w:num="1">
            <w:col w:w="11420"/>
          </w:cols>
          <w:pgMar w:left="240" w:top="270" w:right="2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jc w:val="both"/>
        <w:ind w:left="920" w:right="420" w:firstLine="421"/>
        <w:spacing w:after="0" w:line="266" w:lineRule="auto"/>
        <w:tabs>
          <w:tab w:leader="none" w:pos="15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mortgages and Contracts for the repayment or borrowing of money by the Company in excess of $50,000 in any one case or $200,000 in the aggregate, or for a line of credit, including borrowings by the Company in the form of guarantees of, indemnification for or agreements to acquire any obligations of others, and all security or pledge agreements related thereto;</w:t>
      </w:r>
    </w:p>
    <w:p>
      <w:pPr>
        <w:spacing w:after="0" w:line="68" w:lineRule="exact"/>
        <w:rPr>
          <w:rFonts w:ascii="Times New Roman" w:cs="Times New Roman" w:eastAsia="Times New Roman" w:hAnsi="Times New Roman"/>
          <w:sz w:val="18"/>
          <w:szCs w:val="18"/>
          <w:color w:val="auto"/>
        </w:rPr>
      </w:pPr>
    </w:p>
    <w:p>
      <w:pPr>
        <w:ind w:left="920" w:right="600" w:firstLine="421"/>
        <w:spacing w:after="0" w:line="282" w:lineRule="auto"/>
        <w:tabs>
          <w:tab w:leader="none" w:pos="15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relating to any joint venture, partnership, strategic alliance or sharing of profits or losses with any Person to which the Company is a party or by which it or any of its assets is bound;</w:t>
      </w:r>
    </w:p>
    <w:p>
      <w:pPr>
        <w:spacing w:after="0" w:line="53" w:lineRule="exact"/>
        <w:rPr>
          <w:rFonts w:ascii="Times New Roman" w:cs="Times New Roman" w:eastAsia="Times New Roman" w:hAnsi="Times New Roman"/>
          <w:sz w:val="18"/>
          <w:szCs w:val="18"/>
          <w:color w:val="auto"/>
        </w:rPr>
      </w:pPr>
    </w:p>
    <w:p>
      <w:pPr>
        <w:ind w:left="920" w:right="80" w:firstLine="421"/>
        <w:spacing w:after="0" w:line="282" w:lineRule="auto"/>
        <w:tabs>
          <w:tab w:leader="none" w:pos="15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containing covenants purporting to limit the freedom of the Company or any Personnel (current or former) to compete in any business or in any geographic area;</w:t>
      </w:r>
    </w:p>
    <w:p>
      <w:pPr>
        <w:spacing w:after="0" w:line="53" w:lineRule="exact"/>
        <w:rPr>
          <w:rFonts w:ascii="Times New Roman" w:cs="Times New Roman" w:eastAsia="Times New Roman" w:hAnsi="Times New Roman"/>
          <w:sz w:val="18"/>
          <w:szCs w:val="18"/>
          <w:color w:val="auto"/>
        </w:rPr>
      </w:pPr>
    </w:p>
    <w:p>
      <w:pPr>
        <w:ind w:left="920" w:right="300" w:firstLine="421"/>
        <w:spacing w:after="0" w:line="282" w:lineRule="auto"/>
        <w:tabs>
          <w:tab w:leader="none" w:pos="15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requiring payments or distributions to any shareholder or Personnel of the Company (current or former), or any relative or Affiliate of any such Person; and</w:t>
      </w:r>
    </w:p>
    <w:p>
      <w:pPr>
        <w:spacing w:after="0" w:line="53"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not made in the Ordinary Course of Business.</w:t>
      </w:r>
    </w:p>
    <w:p>
      <w:pPr>
        <w:spacing w:after="0" w:line="2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provided Purchaser with true and complete copies of all the Contracts and each amendment, supplement, waiver or modification thereto. All of the Material Contracts identified on, or required to be identified on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of the Disclosure Schedules are in full force and effect and shall continue to be in full force and effect on identical terms following the consummation of the transactions contemplated hereby. Neither the Company, nor, to the Company’s or Sellers’ Knowledge, any other party thereto, has breached any provision of, or is in default under the terms of, nor does any condition exist which, with or without notice or lapse of time, or both, would cause the Company or any other party to be in default under any of the Material Contracts or would constitute a breach or default or permit termination, modification or acceleration under any such Material Contract. There are no renegotiations of, attempts to renegotiate or outstanding rights to renegotiate any amounts paid by or payable to the Company under current or completed Material Contracts with any Person having the contractual or statutory right to demand or require such renegotiation, and no such Person has made written demand for such renegotiation.</w:t>
      </w:r>
    </w:p>
    <w:p>
      <w:pPr>
        <w:spacing w:after="0" w:line="185" w:lineRule="exact"/>
        <w:rPr>
          <w:sz w:val="20"/>
          <w:szCs w:val="20"/>
          <w:color w:val="auto"/>
        </w:rPr>
      </w:pPr>
    </w:p>
    <w:p>
      <w:pPr>
        <w:ind w:right="60" w:firstLine="91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4.23. Customers and Suppliers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sets forth a list of the names and addresses of (a)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customers whose purchases exceeded eighty-five percent (85%) of the Company’s total revenue in the calendar years ended December 31, 2012 and December 31, 2013, showing the dollar volume of sales or leases to each such customer for such year, (b) the Company’s ten (10) largest customers by dollar volume (with specification of the dollar volume) in the calendar years ended December 31, 2012 and December 31, 2013, and (c) any suppliers of the Company’s whose dollar volume (with specification of the dollar volume) in the calendar years ended December 31, 2012 and December 31, 2013 equaled or exceeded Two-Hundred and Fifty Thousand and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1420"/>
          </w:cols>
          <w:pgMar w:left="240" w:top="270" w:right="2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jc w:val="both"/>
        <w:ind w:right="60"/>
        <w:spacing w:after="0" w:line="313" w:lineRule="auto"/>
        <w:rPr>
          <w:sz w:val="20"/>
          <w:szCs w:val="20"/>
          <w:color w:val="auto"/>
        </w:rPr>
      </w:pPr>
      <w:r>
        <w:rPr>
          <w:rFonts w:ascii="Times New Roman" w:cs="Times New Roman" w:eastAsia="Times New Roman" w:hAnsi="Times New Roman"/>
          <w:sz w:val="17"/>
          <w:szCs w:val="17"/>
          <w:color w:val="auto"/>
        </w:rPr>
        <w:t xml:space="preserve">No/100s dollars ($25,000.00). No customer or supplier required to be set forth on </w:t>
      </w:r>
      <w:r>
        <w:rPr>
          <w:rFonts w:ascii="Times New Roman" w:cs="Times New Roman" w:eastAsia="Times New Roman" w:hAnsi="Times New Roman"/>
          <w:sz w:val="17"/>
          <w:szCs w:val="17"/>
          <w:u w:val="single" w:color="auto"/>
          <w:color w:val="auto"/>
        </w:rPr>
        <w:t>Section 4.23</w:t>
      </w:r>
      <w:r>
        <w:rPr>
          <w:rFonts w:ascii="Times New Roman" w:cs="Times New Roman" w:eastAsia="Times New Roman" w:hAnsi="Times New Roman"/>
          <w:sz w:val="17"/>
          <w:szCs w:val="17"/>
          <w:color w:val="auto"/>
        </w:rPr>
        <w:t xml:space="preserve"> of the Disclosure Schedules has terminated or modified within the past eighteen (18) months, or, to the Knowledge of the Company or any Seller, intends to terminate or modify its business relationship with the Company.</w:t>
      </w:r>
    </w:p>
    <w:p>
      <w:pPr>
        <w:spacing w:after="0" w:line="134"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4.24. Compliance with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to the Company’s or Sellers’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Business are in compliance with all applicable Laws, including, without limitation, those applicable to discrimination in employment, occupational safety and health, trade practices, competition and pricing, product warranties, zoning, building, sanitation, employment, retirement, labor relations, product advertising and any and all applicable Environmental Requirements. The Company is not in default with respect to any order, writ, judgment, award, injunction or decree of any Governmental Entity or arbitrator applicable to it or the Business, its Personnel or any of its assets, and there are no factual circumstances that are likely to result in such default. The Company has not received, at any time since December 31, 2012, any notice or other communication (whether oral or written) from any Governmental Entity or any other Person regarding any actual, alleged, possible or potential violation of, or failure to comply with, any term or requirement of any order to which the Company or any of its assets is or has been subject.</w:t>
      </w:r>
    </w:p>
    <w:p>
      <w:pPr>
        <w:spacing w:after="0" w:line="185" w:lineRule="exact"/>
        <w:rPr>
          <w:sz w:val="20"/>
          <w:szCs w:val="20"/>
          <w:color w:val="auto"/>
        </w:rPr>
      </w:pPr>
    </w:p>
    <w:p>
      <w:pPr>
        <w:ind w:right="200" w:firstLine="91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4.25. Litigation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(a) there are no investigations, inquiries, audits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pending or threatened against or affecting the Company, the Business or any of its assets (nor is there any basis for the foregoing), (b) there are no unsatisfied judgments of any kind against the Company, the Business or any of its assets and (c) the Company is not subject to any judgment, order, decree, rule or regulation of any court or Governmental Entity.</w:t>
      </w:r>
    </w:p>
    <w:p>
      <w:pPr>
        <w:spacing w:after="0" w:line="177" w:lineRule="exact"/>
        <w:rPr>
          <w:sz w:val="20"/>
          <w:szCs w:val="20"/>
          <w:color w:val="auto"/>
        </w:rPr>
      </w:pPr>
    </w:p>
    <w:p>
      <w:pPr>
        <w:ind w:right="80" w:firstLine="91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4.26. Absence of Certain Business Practices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five (5) years immediately preceding the Closing, neither the Company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Seller, nor to the Company’s or Sellers’ Knowledge, any Personnel of the Company, nor any other Person acting on behalf of the Company, has given or agreed to give, directly or indirectly, any gift or similar benefit to any dealer, supplier, customer, governmental employee or other Person who is or may be in a position to help or hinder the Business (or assist the Company in connection with any actual or proposed transaction relating to the Business or the Shares) which might subject the Company to any damage or penalty in any civil, criminal or governmental Proceeding or which, if not continued in the future, would be reasonably likely to have a Material Adverse Effect on the Company, Purchaser or the Business.</w:t>
      </w:r>
    </w:p>
    <w:p>
      <w:pPr>
        <w:spacing w:after="0" w:line="183" w:lineRule="exact"/>
        <w:rPr>
          <w:sz w:val="20"/>
          <w:szCs w:val="20"/>
          <w:color w:val="auto"/>
        </w:rPr>
      </w:pPr>
    </w:p>
    <w:p>
      <w:pPr>
        <w:jc w:val="both"/>
        <w:ind w:right="60" w:firstLine="91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4.27. No Other Agreement to Sell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Seller has an obligation, absolute or contingent, to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Purchaser) to sell any of the Shares, or to effect any merger, consolidation or other reorganization of the Company, or to enter into any agreement with respect thereto.</w:t>
      </w:r>
    </w:p>
    <w:p>
      <w:pPr>
        <w:spacing w:after="0" w:line="171" w:lineRule="exact"/>
        <w:rPr>
          <w:sz w:val="20"/>
          <w:szCs w:val="20"/>
          <w:color w:val="auto"/>
        </w:rPr>
      </w:pPr>
    </w:p>
    <w:p>
      <w:pPr>
        <w:jc w:val="both"/>
        <w:ind w:right="200" w:firstLine="91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4.28. Relationships With Related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neither the Company,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Seller or any Related Person of any of them has, or since December 31, 2010 has had, any interest in any property (whether real, personal or mixed and whether tangible or intangible) used in or pertaining to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1420"/>
          </w:cols>
          <w:pgMar w:left="240" w:top="270" w:right="2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Business. Neither the Company nor any Seller nor any Related Person of any of them currently owns, or since December 31, 2010 has owned, of record or as a beneficial owner, an equity interest or any other financial or profit interest in any Person that (a) has had business dealings or a financial interest in any transaction with the Company other than business dealings or transactions set forth on </w:t>
      </w:r>
      <w:r>
        <w:rPr>
          <w:rFonts w:ascii="Times New Roman" w:cs="Times New Roman" w:eastAsia="Times New Roman" w:hAnsi="Times New Roman"/>
          <w:sz w:val="18"/>
          <w:szCs w:val="18"/>
          <w:u w:val="single" w:color="auto"/>
          <w:color w:val="auto"/>
        </w:rPr>
        <w:t>Section 4.28</w:t>
      </w:r>
      <w:r>
        <w:rPr>
          <w:rFonts w:ascii="Times New Roman" w:cs="Times New Roman" w:eastAsia="Times New Roman" w:hAnsi="Times New Roman"/>
          <w:sz w:val="18"/>
          <w:szCs w:val="18"/>
          <w:color w:val="auto"/>
        </w:rPr>
        <w:t xml:space="preserve"> of the Disclosure Schedules, each of which has been conducted in the Ordinary Course of Business with the Company at substantially prevailing market prices and on substantially prevailing market terms, or</w:t>
      </w:r>
    </w:p>
    <w:p>
      <w:pPr>
        <w:spacing w:after="0" w:line="3" w:lineRule="exact"/>
        <w:rPr>
          <w:sz w:val="20"/>
          <w:szCs w:val="20"/>
          <w:color w:val="auto"/>
        </w:rPr>
      </w:pPr>
    </w:p>
    <w:p>
      <w:pPr>
        <w:ind w:right="80" w:firstLine="8"/>
        <w:spacing w:after="0" w:line="255" w:lineRule="auto"/>
        <w:tabs>
          <w:tab w:leader="none" w:pos="2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engaged in competition with the Company with respect to any line of the products or services of the Company (a “</w:t>
      </w:r>
      <w:r>
        <w:rPr>
          <w:rFonts w:ascii="Times New Roman" w:cs="Times New Roman" w:eastAsia="Times New Roman" w:hAnsi="Times New Roman"/>
          <w:sz w:val="18"/>
          <w:szCs w:val="18"/>
          <w:u w:val="single" w:color="auto"/>
          <w:color w:val="auto"/>
        </w:rPr>
        <w:t>Competing Business</w:t>
      </w:r>
      <w:r>
        <w:rPr>
          <w:rFonts w:ascii="Times New Roman" w:cs="Times New Roman" w:eastAsia="Times New Roman" w:hAnsi="Times New Roman"/>
          <w:sz w:val="18"/>
          <w:szCs w:val="18"/>
          <w:color w:val="auto"/>
        </w:rPr>
        <w:t>”) in any market presently served by the Company, except for ownership of less than one percent (1%) of the outstanding capital stock of any Competing Business that has shares of capital stock that are publicly traded on any nationally recognized exchange.</w:t>
      </w:r>
    </w:p>
    <w:p>
      <w:pPr>
        <w:spacing w:after="0" w:line="182" w:lineRule="exact"/>
        <w:rPr>
          <w:sz w:val="20"/>
          <w:szCs w:val="20"/>
          <w:color w:val="auto"/>
        </w:rPr>
      </w:pPr>
    </w:p>
    <w:p>
      <w:pPr>
        <w:ind w:right="240" w:firstLine="91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4.29. Broker’s and Finder’s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Schedules (which fees shall be paid and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discharged by the Sellers), no broker, finder or other Person is entitled to any commission or finder’s fee in connection with this Agreement or the transactions contemplated by this Agreement as a result of any actions or commitments of the Company (or its Affiliates).</w:t>
      </w:r>
    </w:p>
    <w:p>
      <w:pPr>
        <w:spacing w:after="0" w:line="171" w:lineRule="exact"/>
        <w:rPr>
          <w:sz w:val="20"/>
          <w:szCs w:val="20"/>
          <w:color w:val="auto"/>
        </w:rPr>
      </w:pPr>
    </w:p>
    <w:p>
      <w:pPr>
        <w:ind w:right="160" w:firstLine="91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4.30. All Material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Company, nor any Seller has intentionally withheld from Purchaser any material facts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Shares, the Business, the operations of the Company or the financial or other condition of the Company. Subject to any conditions or qualifications set forth in this Agreement, no representation or warranty made herein or in any of the Related Agreements by the Company or any Seller and no statement contained in any certificate, schedule, exhibit or other instrument furnished or to be furnished to Purchaser by the Company or any Seller in connection with the transactions contemplated by this Agreement contains or will contain an untrue statement of a fact or omits or will omit to state any fact necessary in order to make any representation, warranty or other statement of the Company or any Seller not misleading.</w:t>
      </w:r>
    </w:p>
    <w:p>
      <w:pPr>
        <w:spacing w:after="0" w:line="1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4.31. Government Contracts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20" w:right="100" w:firstLine="421"/>
        <w:spacing w:after="0" w:line="255" w:lineRule="auto"/>
        <w:tabs>
          <w:tab w:leader="none" w:pos="15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Contracts, including all task orders issued from such Contracts, between any of the Companies and any Governmental Entity (collectively, the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 xml:space="preserve">”) constitute valid and binding obligations of the Company and the other party or Parties thereto, enforceable in accordance with, and subject to, their respective terms, (ii) the Company is in compliance in all respects with the terms of each of the Government Contracts, (iii) neither the Company nor any other party has terminated, canceled or waived any term or condition of any Government Contract, and (iv) the cost accounting, estimating, property and procurement systems relating to the Government Contracts are in compliance in all respects with applicable Laws and Contract provisions, including applicable cost principles and applicable cost accounting standards. </w:t>
      </w:r>
      <w:r>
        <w:rPr>
          <w:rFonts w:ascii="Times New Roman" w:cs="Times New Roman" w:eastAsia="Times New Roman" w:hAnsi="Times New Roman"/>
          <w:sz w:val="18"/>
          <w:szCs w:val="18"/>
          <w:u w:val="single" w:color="auto"/>
          <w:color w:val="auto"/>
        </w:rPr>
        <w:t>Section 4.31(a)</w:t>
      </w:r>
      <w:r>
        <w:rPr>
          <w:rFonts w:ascii="Times New Roman" w:cs="Times New Roman" w:eastAsia="Times New Roman" w:hAnsi="Times New Roman"/>
          <w:sz w:val="18"/>
          <w:szCs w:val="18"/>
          <w:color w:val="auto"/>
        </w:rPr>
        <w:t xml:space="preserve"> of the Disclosure Schedules sets forth a list of all Government Contracts which require a performance bond and the amount of such bond.</w:t>
      </w:r>
    </w:p>
    <w:p>
      <w:pPr>
        <w:spacing w:after="0" w:line="7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 Contract has a currently incurred or currently projected cost overrun.</w:t>
      </w:r>
    </w:p>
    <w:p>
      <w:pPr>
        <w:spacing w:after="0" w:line="157"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ectPr>
          <w:pgSz w:w="11900" w:h="16838" w:orient="portrait"/>
          <w:cols w:equalWidth="0" w:num="1">
            <w:col w:w="11420"/>
          </w:cols>
          <w:pgMar w:left="240" w:top="270" w:right="239" w:bottom="1440" w:gutter="0" w:footer="0" w:header="0"/>
        </w:sectPr>
      </w:pPr>
    </w:p>
    <w:bookmarkStart w:id="154" w:name="page155"/>
    <w:bookmarkEnd w:id="154"/>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right="40" w:firstLine="421"/>
        <w:spacing w:after="0" w:line="258" w:lineRule="auto"/>
        <w:tabs>
          <w:tab w:leader="none" w:pos="150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4.31 (c)</w:t>
      </w:r>
      <w:r>
        <w:rPr>
          <w:rFonts w:ascii="Times New Roman" w:cs="Times New Roman" w:eastAsia="Times New Roman" w:hAnsi="Times New Roman"/>
          <w:sz w:val="18"/>
          <w:szCs w:val="18"/>
          <w:color w:val="auto"/>
        </w:rPr>
        <w:t xml:space="preserve"> of the Disclosure Schedules, all of which assignments were made in accordance with 31 U.S.C. § 3727 (otherwise known as the Assignment of Claims Act) and 41 U.S.C. § 15 (otherwise known as the Assignment of Contracts Act), and except for Encumbrances which will be discharged or terminated on or prior to the Closing, the Company has not assigned or otherwise conveyed or transferred, or agreed to assign or otherwise convey or transfer, to any Person, any right, title or interest in or to any of the Government Contracts, or any Accounts Receivable relating thereto, whether as a security interest or otherwise.</w:t>
      </w:r>
    </w:p>
    <w:p>
      <w:pPr>
        <w:spacing w:after="0" w:line="75" w:lineRule="exact"/>
        <w:rPr>
          <w:rFonts w:ascii="Times New Roman" w:cs="Times New Roman" w:eastAsia="Times New Roman" w:hAnsi="Times New Roman"/>
          <w:sz w:val="18"/>
          <w:szCs w:val="18"/>
          <w:color w:val="auto"/>
        </w:rPr>
      </w:pPr>
    </w:p>
    <w:p>
      <w:pPr>
        <w:ind w:left="840" w:firstLine="421"/>
        <w:spacing w:after="0" w:line="258" w:lineRule="auto"/>
        <w:tabs>
          <w:tab w:leader="none" w:pos="15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nor the Company has received any notice or other communication in any form from any federal, state, local or foreign Governmental Entity regarding its actual or threatened disqualification, suspension or debarment from contracting with any federal, state, local or foreign government including any show cause notice or cure notice, notice of termination for default, notice for deductive change or, in the case of any notification of termination for convenience, any such notifications which in the aggregate or individually could have a Material Adverse Effect on the Company or the Business.</w:t>
      </w:r>
    </w:p>
    <w:p>
      <w:pPr>
        <w:spacing w:after="0" w:line="75" w:lineRule="exact"/>
        <w:rPr>
          <w:rFonts w:ascii="Times New Roman" w:cs="Times New Roman" w:eastAsia="Times New Roman" w:hAnsi="Times New Roman"/>
          <w:sz w:val="18"/>
          <w:szCs w:val="18"/>
          <w:color w:val="auto"/>
        </w:rPr>
      </w:pPr>
    </w:p>
    <w:p>
      <w:pPr>
        <w:ind w:left="840" w:right="140" w:firstLine="421"/>
        <w:spacing w:after="0" w:line="282" w:lineRule="auto"/>
        <w:tabs>
          <w:tab w:leader="none" w:pos="150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 pending or, to the Knowledge of the Company or any Seller, threatened investigation relating to any Government Contract, or (ii) termination for default or cure notice or show cause notice proposed or currently in effect relating to any Government Contract.</w:t>
      </w:r>
    </w:p>
    <w:p>
      <w:pPr>
        <w:spacing w:after="0" w:line="53" w:lineRule="exact"/>
        <w:rPr>
          <w:rFonts w:ascii="Times New Roman" w:cs="Times New Roman" w:eastAsia="Times New Roman" w:hAnsi="Times New Roman"/>
          <w:sz w:val="18"/>
          <w:szCs w:val="18"/>
          <w:color w:val="auto"/>
        </w:rPr>
      </w:pPr>
    </w:p>
    <w:p>
      <w:pPr>
        <w:ind w:left="840" w:right="100" w:firstLine="421"/>
        <w:spacing w:after="0" w:line="282" w:lineRule="auto"/>
        <w:tabs>
          <w:tab w:leader="none" w:pos="14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currently no claims or Proceedings under the False Claims Act or other relevant statutes relating to any Government Contract for any period preceding the Closing.</w:t>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Section 4.32. Lower Presidio Claims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40" w:firstLine="421"/>
        <w:spacing w:after="0" w:line="254" w:lineRule="auto"/>
        <w:tabs>
          <w:tab w:leader="none" w:pos="15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“Lower Presidio Claim” means all claims arising out of the contract and facts at issue in Magnus Pacific Corporation v. United States (IBWC Litigation), pending in the United States Court of Federal Claims. The Purchasers, the Company and the Sellers agree that the Sellers may, in their sole discretion, continue to pursue litigation regarding the Lower Presidio Claim, and agree that the litigation decisions and litigation strategies will be under the control of the Sellers’ Representative, with the exception of decisions related to the settlement of any claims, which shall require approval of the Purchaser, which approval shall not be unreasonably withheld. The Sellers agree to promptly pay all costs of such litigation, including, but not limited to attorney’s fees and costs. All amounts recovered in connection with the Lower Presidio Claim shall be the property of Sellers, and shall be transferred by the Company to the Sellers as promptly as practicable after receipt by the Company, and any amounts payable by the Company in connection with the Lower Presidio Claim shall be the sole responsibility of, and paid by, the Sellers.</w:t>
      </w:r>
    </w:p>
    <w:p>
      <w:pPr>
        <w:spacing w:after="0" w:line="81" w:lineRule="exact"/>
        <w:rPr>
          <w:rFonts w:ascii="Times New Roman" w:cs="Times New Roman" w:eastAsia="Times New Roman" w:hAnsi="Times New Roman"/>
          <w:sz w:val="18"/>
          <w:szCs w:val="18"/>
          <w:color w:val="auto"/>
        </w:rPr>
      </w:pPr>
    </w:p>
    <w:p>
      <w:pPr>
        <w:ind w:left="840" w:right="820" w:firstLine="421"/>
        <w:spacing w:after="0" w:line="282" w:lineRule="auto"/>
        <w:tabs>
          <w:tab w:leader="none" w:pos="15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“Lower Presidio Disputed Liability” refers to a claim made against Company in Far South Mining, LLC v. Magnus Corporation, U.S. District</w:t>
      </w:r>
    </w:p>
    <w:p>
      <w:pPr>
        <w:spacing w:after="0" w:line="94"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ectPr>
          <w:pgSz w:w="11900" w:h="16838" w:orient="portrait"/>
          <w:cols w:equalWidth="0" w:num="1">
            <w:col w:w="11340"/>
          </w:cols>
          <w:pgMar w:left="320" w:top="270" w:right="2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right="140"/>
        <w:spacing w:after="0" w:line="261" w:lineRule="auto"/>
        <w:rPr>
          <w:sz w:val="20"/>
          <w:szCs w:val="20"/>
          <w:color w:val="auto"/>
        </w:rPr>
      </w:pPr>
      <w:r>
        <w:rPr>
          <w:rFonts w:ascii="Times New Roman" w:cs="Times New Roman" w:eastAsia="Times New Roman" w:hAnsi="Times New Roman"/>
          <w:sz w:val="18"/>
          <w:szCs w:val="18"/>
          <w:color w:val="auto"/>
        </w:rPr>
        <w:t>Court of Texas, San Antonio Division, Case No. 5:14-CV-00217DAE. The Company has settled the Lower Presidio Disputed Liability for [*] through the negotiation of a settlement agreement with Far South Mining, LLC, through which settlement agreement the Company does not admit fault, and which settlement agreement, pursuant to its terms, is confidential. The [*] settlement amount will be included in the calculation of Final Working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PURCHASER</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Purchaser hereby represents and warrants to Sellers as follows:</w:t>
      </w:r>
    </w:p>
    <w:p>
      <w:pPr>
        <w:spacing w:after="0" w:line="113" w:lineRule="exact"/>
        <w:rPr>
          <w:sz w:val="20"/>
          <w:szCs w:val="20"/>
          <w:color w:val="auto"/>
        </w:rPr>
      </w:pPr>
    </w:p>
    <w:p>
      <w:pPr>
        <w:ind w:right="38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5.01. Organization; Power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is a corporation duly organized,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Illinois, and has all requisite corporate power and authority to own its properties and assets and to conduct its business as it is now conducted.</w:t>
      </w:r>
    </w:p>
    <w:p>
      <w:pPr>
        <w:spacing w:after="0" w:line="155" w:lineRule="exact"/>
        <w:rPr>
          <w:sz w:val="20"/>
          <w:szCs w:val="20"/>
          <w:color w:val="auto"/>
        </w:rPr>
      </w:pPr>
    </w:p>
    <w:p>
      <w:pPr>
        <w:ind w:right="20" w:firstLine="91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5.02. Authorization and Validity of Agreement and Related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has all requisite corporate power and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enter into this Agreement and the Related Agreements and to perform its obligations hereunder and thereunder. The execution and delivery of this Agreement and the Related Agreements, and the performance of the obligations of Purchaser hereunder and thereunder, have been duly authorized by all necessary corporate action by the Board of Directors of Purchaser, and no other corporate proceedings on the part of Purchaser are necessary to authorize the execution, delivery or performance of this Agreement and the Related Agreements. This Agreement, and the Related Agreements, have been duly executed by Purchaser and constitute Purchaser’s valid and binding obligations, enforceable against Purchaser in accordance with their terms.</w:t>
      </w:r>
    </w:p>
    <w:p>
      <w:pPr>
        <w:spacing w:after="0" w:line="183" w:lineRule="exact"/>
        <w:rPr>
          <w:sz w:val="20"/>
          <w:szCs w:val="20"/>
          <w:color w:val="auto"/>
        </w:rPr>
      </w:pPr>
    </w:p>
    <w:p>
      <w:pPr>
        <w:ind w:right="20" w:firstLine="91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5.03. No Conflict or Violation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of this Agreement by Purchaser do not and shall not (a) violate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conflict with any provision of its articles of incorporation, bylaws or other Governing Document of Purchaser, (b) violate any applicable provision of Law or (c) violate or result in a breach of, or constitute (with due notice or lapse of time or both) a default under, any Contract, lease, loan agreement, mortgage, security agreement, trust indenture or other agreement or instrument to which Purchaser is a party or by which it is bound or to which any of its properties or assets is subject.</w:t>
      </w:r>
    </w:p>
    <w:p>
      <w:pPr>
        <w:spacing w:after="0" w:line="180"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5.04. Approvals and Consents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of this Agreement by Purchaser do not require Purchaser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the consent or approval of, or to make any filing with, any Governmental Entity or any other Person except (a) as may be required to obtain the transfer of any Licenses or Permits, and (b) such consents, approvals and filings, the failure to obtain or make which would not, individually or in the aggregate, have a Material Adverse Effect on Sellers or on the ability of Purchaser to perform its obligations hereunder.</w:t>
      </w:r>
    </w:p>
    <w:p>
      <w:pPr>
        <w:spacing w:after="0" w:line="177" w:lineRule="exact"/>
        <w:rPr>
          <w:sz w:val="20"/>
          <w:szCs w:val="20"/>
          <w:color w:val="auto"/>
        </w:rPr>
      </w:pPr>
    </w:p>
    <w:p>
      <w:pPr>
        <w:ind w:right="120" w:firstLine="91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5.05. Broker’s and Finder’s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Knowledge of Purchaser, no broker, finder or other Person is entitled to any commission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finder’s fee in connection with this Agreement or the transactions contemplated by this Agreement as a result of any actions or commitments of Purchaser or its Affiliates.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1420"/>
          </w:cols>
          <w:pgMar w:left="240" w:top="270" w:right="2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SET-OFF RIGHTS; SURVIVAL</w:t>
      </w:r>
    </w:p>
    <w:p>
      <w:pPr>
        <w:spacing w:after="0" w:line="203" w:lineRule="exact"/>
        <w:rPr>
          <w:sz w:val="20"/>
          <w:szCs w:val="20"/>
          <w:color w:val="auto"/>
        </w:rPr>
      </w:pPr>
    </w:p>
    <w:p>
      <w:pPr>
        <w:ind w:right="40" w:firstLine="91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6.01. Indemnification By Sellers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applicable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Sellers shall jointly and severally indemnify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harmless Purchaser and its successors, shareholders, Personnel, representatives, Affiliates and agents (the “</w:t>
      </w:r>
      <w:r>
        <w:rPr>
          <w:rFonts w:ascii="Times New Roman" w:cs="Times New Roman" w:eastAsia="Times New Roman" w:hAnsi="Times New Roman"/>
          <w:sz w:val="18"/>
          <w:szCs w:val="18"/>
          <w:u w:val="single" w:color="auto"/>
          <w:color w:val="auto"/>
        </w:rPr>
        <w:t>Purchaser Indemnified Parties</w:t>
      </w:r>
      <w:r>
        <w:rPr>
          <w:rFonts w:ascii="Times New Roman" w:cs="Times New Roman" w:eastAsia="Times New Roman" w:hAnsi="Times New Roman"/>
          <w:sz w:val="18"/>
          <w:szCs w:val="18"/>
          <w:color w:val="auto"/>
        </w:rPr>
        <w:t>”) from and against any and all damages, losses, obligations, Liabilities, claims, encumbrances, penalties, costs and expenses (including costs of investigation and defense and reasonable attorneys’ fees and expenses) (each, an “</w:t>
      </w:r>
      <w:r>
        <w:rPr>
          <w:rFonts w:ascii="Times New Roman" w:cs="Times New Roman" w:eastAsia="Times New Roman" w:hAnsi="Times New Roman"/>
          <w:sz w:val="18"/>
          <w:szCs w:val="18"/>
          <w:u w:val="single" w:color="auto"/>
          <w:color w:val="auto"/>
        </w:rPr>
        <w:t>Indemnity Loss</w:t>
      </w:r>
      <w:r>
        <w:rPr>
          <w:rFonts w:ascii="Times New Roman" w:cs="Times New Roman" w:eastAsia="Times New Roman" w:hAnsi="Times New Roman"/>
          <w:sz w:val="18"/>
          <w:szCs w:val="18"/>
          <w:color w:val="auto"/>
        </w:rPr>
        <w:t>”), directly or indirectly arising from or relating to:</w:t>
      </w:r>
    </w:p>
    <w:p>
      <w:pPr>
        <w:spacing w:after="0" w:line="73" w:lineRule="exact"/>
        <w:rPr>
          <w:sz w:val="20"/>
          <w:szCs w:val="20"/>
          <w:color w:val="auto"/>
        </w:rPr>
      </w:pPr>
    </w:p>
    <w:p>
      <w:pPr>
        <w:ind w:left="920" w:right="140" w:firstLine="421"/>
        <w:spacing w:after="0" w:line="266" w:lineRule="auto"/>
        <w:tabs>
          <w:tab w:leader="none" w:pos="15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nonfulfillment of any of the representations and warranties of Sellers in this Agreement, any of the Related Agreements, or any certificate, document, schedule, exhibit, or instrument executed in connection herewith or therewith (in each case without regard to any qualification as to materiality or Material Adverse Effect or Knowledge);</w:t>
      </w:r>
    </w:p>
    <w:p>
      <w:pPr>
        <w:spacing w:after="0" w:line="68" w:lineRule="exact"/>
        <w:rPr>
          <w:rFonts w:ascii="Times New Roman" w:cs="Times New Roman" w:eastAsia="Times New Roman" w:hAnsi="Times New Roman"/>
          <w:sz w:val="18"/>
          <w:szCs w:val="18"/>
          <w:color w:val="auto"/>
        </w:rPr>
      </w:pPr>
    </w:p>
    <w:p>
      <w:pPr>
        <w:ind w:left="920" w:right="180" w:firstLine="421"/>
        <w:spacing w:after="0" w:line="266" w:lineRule="auto"/>
        <w:tabs>
          <w:tab w:leader="none" w:pos="15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Sellers of or failure by Sellers to comply with any covenants or obligations of Sellers in this Agreement, any of the Related Agreements, or any certificate, document, schedule or instrument executed in connection herewith or therewith (in each without regard to any qualification as to materiality or Material Adverse Effect or Knowledge);</w:t>
      </w:r>
    </w:p>
    <w:p>
      <w:pPr>
        <w:spacing w:after="0" w:line="68" w:lineRule="exact"/>
        <w:rPr>
          <w:rFonts w:ascii="Times New Roman" w:cs="Times New Roman" w:eastAsia="Times New Roman" w:hAnsi="Times New Roman"/>
          <w:sz w:val="18"/>
          <w:szCs w:val="18"/>
          <w:color w:val="auto"/>
        </w:rPr>
      </w:pPr>
    </w:p>
    <w:p>
      <w:pPr>
        <w:ind w:left="920" w:right="460" w:firstLine="421"/>
        <w:spacing w:after="0" w:line="261" w:lineRule="auto"/>
        <w:tabs>
          <w:tab w:leader="none" w:pos="15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civil, criminal or administrative action, notice or demand letter, notice of violation, or other Proceeding by any Governmental Entity with respect to ground water or surface water, soil or air contamination, the storage, treatment, release, transportation, disposal or use of Hazardous Materials, or the use of underground storage tanks by the Company to the extent such contamination, storage, treatment, release, transportation, disposal or use occurred or relates to any time on or before the Closing Date; and</w:t>
      </w:r>
    </w:p>
    <w:p>
      <w:pPr>
        <w:spacing w:after="0" w:line="71"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Proceedings, demands, assessments, audits or judgments arising out of any of the foregoing.</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6.02. Indemnification by Purchaser, GLDD and the Company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20" w:right="60" w:firstLine="421"/>
        <w:spacing w:after="0" w:line="266" w:lineRule="auto"/>
        <w:tabs>
          <w:tab w:leader="none" w:pos="15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applicable provisions of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Purchaser shall indemnify and hold harmless Sellers and their respective successors, shareholders, Personnel, representatives, Affiliates and agents from and against any and all Indemnity Losses arising from or relating to:</w:t>
      </w:r>
    </w:p>
    <w:p>
      <w:pPr>
        <w:spacing w:after="0" w:line="68" w:lineRule="exact"/>
        <w:rPr>
          <w:rFonts w:ascii="Times New Roman" w:cs="Times New Roman" w:eastAsia="Times New Roman" w:hAnsi="Times New Roman"/>
          <w:sz w:val="18"/>
          <w:szCs w:val="18"/>
          <w:color w:val="auto"/>
        </w:rPr>
      </w:pPr>
    </w:p>
    <w:p>
      <w:pPr>
        <w:ind w:left="1500" w:firstLine="389"/>
        <w:spacing w:after="0" w:line="266" w:lineRule="auto"/>
        <w:tabs>
          <w:tab w:leader="none" w:pos="211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misrepresentation, breach of warranty or nonfulfillment of any of the representations, warranties, covenants or agreements of Purchaser in this Agreement, any of the Related Agreements, or any certificate, document, schedule, exhibit or instrument executed in connection herewith or therewith; and</w:t>
      </w:r>
    </w:p>
    <w:p>
      <w:pPr>
        <w:spacing w:after="0" w:line="108"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ectPr>
          <w:pgSz w:w="11900" w:h="16838" w:orient="portrait"/>
          <w:cols w:equalWidth="0" w:num="1">
            <w:col w:w="11420"/>
          </w:cols>
          <w:pgMar w:left="240" w:top="270" w:right="2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2160" w:hanging="271"/>
        <w:spacing w:after="0"/>
        <w:tabs>
          <w:tab w:leader="none" w:pos="21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Proceedings, demands, assessments, audits or judgments arising out of any of the foregoing.</w:t>
      </w:r>
    </w:p>
    <w:p>
      <w:pPr>
        <w:spacing w:after="0" w:line="117" w:lineRule="exact"/>
        <w:rPr>
          <w:rFonts w:ascii="Times New Roman" w:cs="Times New Roman" w:eastAsia="Times New Roman" w:hAnsi="Times New Roman"/>
          <w:sz w:val="18"/>
          <w:szCs w:val="18"/>
          <w:color w:val="auto"/>
        </w:rPr>
      </w:pPr>
    </w:p>
    <w:p>
      <w:pPr>
        <w:ind w:left="920" w:right="20" w:firstLine="421"/>
        <w:spacing w:after="0" w:line="258" w:lineRule="auto"/>
        <w:tabs>
          <w:tab w:leader="none" w:pos="15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agrees to acquire a “tail” director and officer insurance policy (“D&amp;O Policy”) to cover Sellers’ officers and directors for pre-Closing claims that are first presented post-Closing. Such D&amp;O Policy shall be in lieu of any other obligation of GLDD, Purchaser, or Company to provide any such indemnification for officers and directors of Company for pre-Closing acts. All Sellers agree that Company, Purchaser, and GLDD are released of any further obligations with respect thereto, with any and all such claims and recoveries being as provided in the D&amp;O Policy.</w:t>
      </w:r>
    </w:p>
    <w:p>
      <w:pPr>
        <w:spacing w:after="0" w:line="75" w:lineRule="exact"/>
        <w:rPr>
          <w:rFonts w:ascii="Times New Roman" w:cs="Times New Roman" w:eastAsia="Times New Roman" w:hAnsi="Times New Roman"/>
          <w:sz w:val="18"/>
          <w:szCs w:val="18"/>
          <w:color w:val="auto"/>
        </w:rPr>
      </w:pPr>
    </w:p>
    <w:p>
      <w:pPr>
        <w:ind w:left="920" w:right="40" w:firstLine="421"/>
        <w:spacing w:after="0" w:line="266" w:lineRule="auto"/>
        <w:tabs>
          <w:tab w:leader="none" w:pos="15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GLDD shall indemnify and hold harmless Sellers or any Related Persons of Seller from and against any and all Indemnity Losses arising from or relating to any bonding obligations, or other delegations, of the Company, for which such Seller or Related Person was a personal guarantor.</w:t>
      </w:r>
    </w:p>
    <w:p>
      <w:pPr>
        <w:spacing w:after="0" w:line="172"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6.03. Indemnification Notice; Litigation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party entitled to indemnity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Claimant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believes that it has suffered or incurred any Indemnity Loss, it shall so notify the party which the Claimant believes has an obligation to indemnify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promptly in writing describing such loss or expense, the amount thereof, if known, and the method of computation of such loss or expense, all with reasonable particularity (the “</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xml:space="preserve">”). If any action at Law, suit in equity, arbitration or administrative action is instituted by or against a third party with respect to which the Claimant intends to claim any Liability or expense as an Indemnity Loss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it shall promptly notify the Indemnifying Party in writing of such action, matter or suit describing such loss or expense, the amount thereof, if known, and the method of computation of such loss or expense, all with reasonable particularity (the “</w:t>
      </w:r>
      <w:r>
        <w:rPr>
          <w:rFonts w:ascii="Times New Roman" w:cs="Times New Roman" w:eastAsia="Times New Roman" w:hAnsi="Times New Roman"/>
          <w:sz w:val="18"/>
          <w:szCs w:val="18"/>
          <w:u w:val="single" w:color="auto"/>
          <w:color w:val="auto"/>
        </w:rPr>
        <w:t>Litigation Notice</w:t>
      </w:r>
      <w:r>
        <w:rPr>
          <w:rFonts w:ascii="Times New Roman" w:cs="Times New Roman" w:eastAsia="Times New Roman" w:hAnsi="Times New Roman"/>
          <w:sz w:val="18"/>
          <w:szCs w:val="18"/>
          <w:color w:val="auto"/>
        </w:rPr>
        <w:t>”) in lieu of an Indemnification Notice.</w:t>
      </w:r>
    </w:p>
    <w:p>
      <w:pPr>
        <w:spacing w:after="0" w:line="183"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6.04. Defense of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Indemnifying Party shall have twenty (20) calendar days after receipt of the Litigation Notice to notify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Claimant that it acknowledges its obligation to indemnify and hold harmless the Claimant with respect to the Indemnity Loss set forth in the Litigation Notice and that it elects to conduct and control any legal or administrative action or suit with respect to an identifiable claim (the “</w:t>
      </w:r>
      <w:r>
        <w:rPr>
          <w:rFonts w:ascii="Times New Roman" w:cs="Times New Roman" w:eastAsia="Times New Roman" w:hAnsi="Times New Roman"/>
          <w:sz w:val="18"/>
          <w:szCs w:val="18"/>
          <w:u w:val="single" w:color="auto"/>
          <w:color w:val="auto"/>
        </w:rPr>
        <w:t>Election Notice</w:t>
      </w:r>
      <w:r>
        <w:rPr>
          <w:rFonts w:ascii="Times New Roman" w:cs="Times New Roman" w:eastAsia="Times New Roman" w:hAnsi="Times New Roman"/>
          <w:sz w:val="18"/>
          <w:szCs w:val="18"/>
          <w:color w:val="auto"/>
        </w:rPr>
        <w:t xml:space="preserve">”). If the Indemnifying Party gives a Disagreement Notice or does not give the foregoing Election Notice, the Claimant shall have the right to defend, contest, settle or compromise such action or suit in the exercise of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right of the Claimant to indemnification hereunder shall not be conclusively established thereby. If the Indemnifying Party gives the foregoing Election Notice and provides information satisfactory to the Claimant in its sole discretion confirming the Indemnifying Party’s financial capacity to defend such Indemnity Loss and provide indemnification with respect to such Indemnity Loss, the Indemnifying Party shall have the right to undertake, conduct and control, through counsel satisfactory to the Claimant and at the Indemnifying Party’s sole expense, the conduct 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ectPr>
          <w:pgSz w:w="11900" w:h="16838" w:orient="portrait"/>
          <w:cols w:equalWidth="0" w:num="1">
            <w:col w:w="11420"/>
          </w:cols>
          <w:pgMar w:left="240" w:top="270" w:right="2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jc w:val="both"/>
        <w:ind w:right="480"/>
        <w:spacing w:after="0" w:line="261" w:lineRule="auto"/>
        <w:rPr>
          <w:sz w:val="20"/>
          <w:szCs w:val="20"/>
          <w:color w:val="auto"/>
        </w:rPr>
      </w:pPr>
      <w:r>
        <w:rPr>
          <w:rFonts w:ascii="Times New Roman" w:cs="Times New Roman" w:eastAsia="Times New Roman" w:hAnsi="Times New Roman"/>
          <w:sz w:val="18"/>
          <w:szCs w:val="18"/>
          <w:color w:val="auto"/>
        </w:rPr>
        <w:t xml:space="preserve">settlement of such action or suit, and the Claimant shall cooperate with the Indemnifying Party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Indemnifying Party shall not thereby consent to the imposition of any injunction against the Claimant without the prior written consent of the Claimant,</w:t>
      </w:r>
    </w:p>
    <w:p>
      <w:pPr>
        <w:ind w:right="80" w:firstLine="8"/>
        <w:spacing w:after="0" w:line="252"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Indemnifying Party shall permit the Claimant to participate in such conduct or settlement through legal counsel chosen by the Claimant, but the fees and expenses of such legal counsel shall be borne by the Claimant, except as provided in clause (c) below, (c) upon a final determination of such action or suit, the Indemnifying Party shall promptly reimburse the Claimant, to the extent required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for the full amount of any Indemnity Loss incurred by the Claimant, except fees and expenses of legal counsel that the Claimant incurred after the assumption of the conduct and control of such action or suit by the Indemnifying Party in good faith and (d) the Claimant shall have the right to pay or settle any such action or suit;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of such payment or settlement, the Claimant shall waive any right to indemnity therefor by the Indemnifying Party and no amount in respect thereof shall be claimed as an Indemnity Loss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40" w:firstLine="91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6.05. Disagreement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Indemnifying Party does not agree that the Claimant is entitled to full reimbursement for the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the Indemnification Notice or the Litigation Notice, as the case may be, the Indemnifying Party shall notify the Claimant (the “</w:t>
      </w:r>
      <w:r>
        <w:rPr>
          <w:rFonts w:ascii="Times New Roman" w:cs="Times New Roman" w:eastAsia="Times New Roman" w:hAnsi="Times New Roman"/>
          <w:sz w:val="18"/>
          <w:szCs w:val="18"/>
          <w:u w:val="single" w:color="auto"/>
          <w:color w:val="auto"/>
        </w:rPr>
        <w:t>Disagreement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within twenty (20) calendar days of its receipt of the Indemnification Notice or the Litigation Notice, as the case may be. Failure to deliver a Disagreement Notice in a timely manner shall be considered an express acknowledgment by the Indemnifying Party of its obligation to indemnify and hold harmless the Claimant with respect to the Indemnity Loss set forth in the Indemnification Notice or the Litigation Notice, as the case may be. Any dispute regarding Indemnity shall be resolved as provided for in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913"/>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6.06. Payment of Losses; Set-off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Indemnifying Party shall pay to the Claimant in cash the amount to which the Claimant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become entitled by reason of the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within fifteen (15) Business Days after such amount is finally determined either by mutual agreement of the Parties or pursuant to the dispute resolution process set forth in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in the case of an Indemnity Loss described in any Litigation Notice, the date on which both such amount and Claimant’s obligation to pay such amount have been determined by a final judgment of the trial court or administrative body having jurisdiction over such Proceeding. Notwithstanding the foregoing, any amount to which Purchaser becomes entitled by reason of the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paid as follows:</w:t>
      </w:r>
    </w:p>
    <w:p>
      <w:pPr>
        <w:spacing w:after="0" w:line="79" w:lineRule="exact"/>
        <w:rPr>
          <w:sz w:val="20"/>
          <w:szCs w:val="20"/>
          <w:color w:val="auto"/>
        </w:rPr>
      </w:pPr>
    </w:p>
    <w:p>
      <w:pPr>
        <w:ind w:left="920" w:right="60" w:firstLine="421"/>
        <w:spacing w:after="0" w:line="255" w:lineRule="auto"/>
        <w:tabs>
          <w:tab w:leader="none" w:pos="15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Purchaser shall be entitled to reduce any payment due to the Seller pursuant to the terms of this Agreement in the following order (the “</w:t>
      </w:r>
      <w:r>
        <w:rPr>
          <w:rFonts w:ascii="Times New Roman" w:cs="Times New Roman" w:eastAsia="Times New Roman" w:hAnsi="Times New Roman"/>
          <w:sz w:val="18"/>
          <w:szCs w:val="18"/>
          <w:u w:val="single" w:color="auto"/>
          <w:color w:val="auto"/>
        </w:rPr>
        <w:t>Set-Off Rights</w:t>
      </w:r>
      <w:r>
        <w:rPr>
          <w:rFonts w:ascii="Times New Roman" w:cs="Times New Roman" w:eastAsia="Times New Roman" w:hAnsi="Times New Roman"/>
          <w:sz w:val="18"/>
          <w:szCs w:val="18"/>
          <w:color w:val="auto"/>
        </w:rPr>
        <w:t>”): (i) so long as there is money due and payable by GLDD to Sellers under the terms of the Note, Purchaser, shall notify Sellers that GLDD is reducing any amount of principal or accrued interest owed to Sellers under the Note, which Set-Off Rights shall be administered in accordance with the terms and procedures set forth in the Note and the exercise of which by Purchaser, whether or not ultimately determined to be justified, shall not constitute an event of default under the Note or any instrument securing the Note, (ii) so long as there are amounts due to Sellers under the Earn Out Payment, Purchaser shall notify Sellers that Purchaser is reducing any amounts owed to Sellers under the Earn Out Payment, and (iii) so long as there are amounts due to</w:t>
      </w:r>
    </w:p>
    <w:p>
      <w:pPr>
        <w:spacing w:after="0" w:line="121"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ectPr>
          <w:pgSz w:w="11900" w:h="16838" w:orient="portrait"/>
          <w:cols w:equalWidth="0" w:num="1">
            <w:col w:w="11420"/>
          </w:cols>
          <w:pgMar w:left="240" w:top="270" w:right="2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right="200"/>
        <w:spacing w:after="0" w:line="258" w:lineRule="auto"/>
        <w:rPr>
          <w:sz w:val="20"/>
          <w:szCs w:val="20"/>
          <w:color w:val="auto"/>
        </w:rPr>
      </w:pPr>
      <w:r>
        <w:rPr>
          <w:rFonts w:ascii="Times New Roman" w:cs="Times New Roman" w:eastAsia="Times New Roman" w:hAnsi="Times New Roman"/>
          <w:sz w:val="18"/>
          <w:szCs w:val="18"/>
          <w:color w:val="auto"/>
        </w:rPr>
        <w:t xml:space="preserve">Sellers pursuant to the Restricted Stock Unit Award Agreement, Purchaser shall notify Sellers that Purchaser is reducing any amounts owed to Sellers pursuant to the Restricted Stock Unit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contained herein shall be construed to limit Purchaser’s limit Purchaser’s recovery from Sellers for any Indemnity Loss or losses to the Set-Off Rights nor shall the failure to exercise such Set-Off Rights constitute an election of remedies or limit Purchaser in any manner in the enforcement of its rights to obtain injunctive relief otherwise provided to Purchaser by the provisions of this Agreement; and</w:t>
      </w:r>
    </w:p>
    <w:p>
      <w:pPr>
        <w:spacing w:after="0" w:line="76" w:lineRule="exact"/>
        <w:rPr>
          <w:sz w:val="20"/>
          <w:szCs w:val="20"/>
          <w:color w:val="auto"/>
        </w:rPr>
      </w:pPr>
    </w:p>
    <w:p>
      <w:pPr>
        <w:ind w:left="920" w:right="200" w:firstLine="421"/>
        <w:spacing w:after="0" w:line="266" w:lineRule="auto"/>
        <w:tabs>
          <w:tab w:leader="none" w:pos="15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Sellers, who hereby agree to be jointly and severally liable for any Indemnity Loss suffered under this Agreement or the Related Agreements which have not otherwise been satisfied pursuant to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 Sellers shall pay such claims by certified or bank check in immediately available funds or by wire transfer of immediately available to an account designated by Purchaser.</w:t>
      </w:r>
    </w:p>
    <w:p>
      <w:pPr>
        <w:spacing w:after="0" w:line="172"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6.07. Survival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foregoing, the Indemnifying Party shall have no Liability with respect to any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 arising from a breach of a representation or warranty which is not received by the Indemnifying Party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on or before the eighteen (18) month anniversary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Indemnifying Party shall remain liable for any Indemnity Loss arising from a breach of the Tax Representations or any representation contained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or Indemnity Losses arising pursuant to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6.02(c)</w:t>
      </w:r>
      <w:r>
        <w:rPr>
          <w:rFonts w:ascii="Times New Roman" w:cs="Times New Roman" w:eastAsia="Times New Roman" w:hAnsi="Times New Roman"/>
          <w:sz w:val="18"/>
          <w:szCs w:val="18"/>
          <w:color w:val="auto"/>
        </w:rPr>
        <w:t xml:space="preserve"> until sixty (60) days after the expiration of the statute of limitations which is the basis of the Indemnification Notice, or until the expiration of the period in which any regulatory authority has the power to make any claims, assessment or reassessment with respect thereto, whichever is longer, with respect to any matter subject to the representations and warranties contained in those sections;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Indemnifying Party shall remain liable for any Indemnity Loss arising from fraud, willful misconduct, intentional misrepresentation or criminal activity on the part of Sellers or arising from a breach of any of the Title Representations or the Broker Representations or any representation contained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w:t>
      </w:r>
      <w:r>
        <w:rPr>
          <w:rFonts w:ascii="Times New Roman" w:cs="Times New Roman" w:eastAsia="Times New Roman" w:hAnsi="Times New Roman"/>
          <w:sz w:val="18"/>
          <w:szCs w:val="18"/>
          <w:u w:val="single" w:color="auto"/>
          <w:color w:val="auto"/>
        </w:rPr>
        <w:t>.01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without limitation as to time.</w:t>
      </w:r>
    </w:p>
    <w:p>
      <w:pPr>
        <w:spacing w:after="0" w:line="186"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6.08. Minimum Loss; Maximum Amount of Indemnified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hereafter provided, Sellers shall not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indemnify the Purchaser Indemnified Parties for Indemnity Losses arising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xml:space="preserve">, (except as hereinafter described) unless and until the aggregate amount of such Indemnity Losses for which the Purchaser Indemnified Parties are otherwise entitled to indemnification pursuant to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exceeds Two Hundred Fifty Thousand and No/100s dollars ($250,000.00) (the “</w:t>
      </w:r>
      <w:r>
        <w:rPr>
          <w:rFonts w:ascii="Times New Roman" w:cs="Times New Roman" w:eastAsia="Times New Roman" w:hAnsi="Times New Roman"/>
          <w:sz w:val="18"/>
          <w:szCs w:val="18"/>
          <w:u w:val="single" w:color="auto"/>
          <w:color w:val="auto"/>
        </w:rPr>
        <w:t>Indemnification Basket</w:t>
      </w:r>
      <w:r>
        <w:rPr>
          <w:rFonts w:ascii="Times New Roman" w:cs="Times New Roman" w:eastAsia="Times New Roman" w:hAnsi="Times New Roman"/>
          <w:sz w:val="18"/>
          <w:szCs w:val="18"/>
          <w:color w:val="auto"/>
        </w:rPr>
        <w:t xml:space="preserve">”). The Indemnification Basket shall not apply to Indemnity Losses arising under the Title Representations, the Broker Representations, the Tax Representations, </w:t>
      </w:r>
      <w:r>
        <w:rPr>
          <w:rFonts w:ascii="Times New Roman" w:cs="Times New Roman" w:eastAsia="Times New Roman" w:hAnsi="Times New Roman"/>
          <w:sz w:val="18"/>
          <w:szCs w:val="18"/>
          <w:u w:val="single" w:color="auto"/>
          <w:color w:val="auto"/>
        </w:rPr>
        <w:t>Section 4.14(a)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6.01(c)</w:t>
      </w:r>
      <w:r>
        <w:rPr>
          <w:rFonts w:ascii="Times New Roman" w:cs="Times New Roman" w:eastAsia="Times New Roman" w:hAnsi="Times New Roman"/>
          <w:sz w:val="18"/>
          <w:szCs w:val="18"/>
          <w:color w:val="auto"/>
        </w:rPr>
        <w:t xml:space="preserve">, or based upon fraud, willful misconduct, intentional misrepresentation or criminal activity on the part of any Seller. Except as hereafter provided, in no event shall Sellers in the aggregate be liable to indemnify the Purchaser Indemnified Parties for Indemnity Losses arising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xml:space="preserve"> in excess of Six Million and No/100s Dollars and No/100s dollars ($6,000,000.00) (the “</w:t>
      </w:r>
      <w:r>
        <w:rPr>
          <w:rFonts w:ascii="Times New Roman" w:cs="Times New Roman" w:eastAsia="Times New Roman" w:hAnsi="Times New Roman"/>
          <w:sz w:val="18"/>
          <w:szCs w:val="18"/>
          <w:u w:val="single" w:color="auto"/>
          <w:color w:val="auto"/>
        </w:rPr>
        <w:t>Indemnification</w:t>
      </w:r>
    </w:p>
    <w:p>
      <w:pPr>
        <w:spacing w:after="0" w:line="12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- 39 -</w:t>
      </w:r>
    </w:p>
    <w:p>
      <w:pPr>
        <w:sectPr>
          <w:pgSz w:w="11900" w:h="16838" w:orient="portrait"/>
          <w:cols w:equalWidth="0" w:num="1">
            <w:col w:w="11420"/>
          </w:cols>
          <w:pgMar w:left="240" w:top="270" w:right="2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Indemnity Losses arising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4.18</w:t>
      </w:r>
      <w:r>
        <w:rPr>
          <w:rFonts w:ascii="Times New Roman" w:cs="Times New Roman" w:eastAsia="Times New Roman" w:hAnsi="Times New Roman"/>
          <w:sz w:val="18"/>
          <w:szCs w:val="18"/>
          <w:color w:val="auto"/>
        </w:rPr>
        <w:t xml:space="preserve"> and the Title Representations, the Broker Representations or the Tax Representations shall be limited to the value of the Purchase Price paid and the share value awarded under the Restricted Stock Unit Agreement. Indemnity Losses based upon Section 4.19, 6.01(c), fraud, willful misconduct, intentional misrepresentation or criminal activity of Sellers shall be unlimited.</w:t>
      </w:r>
    </w:p>
    <w:p>
      <w:pPr>
        <w:spacing w:after="0" w:line="176"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6.09. Matters Disclosed on Section 4.25 of the Disclosure Schedules</w:t>
      </w:r>
      <w:r>
        <w:rPr>
          <w:rFonts w:ascii="Times New Roman" w:cs="Times New Roman" w:eastAsia="Times New Roman" w:hAnsi="Times New Roman"/>
          <w:sz w:val="18"/>
          <w:szCs w:val="18"/>
          <w:color w:val="auto"/>
        </w:rPr>
        <w:t>. Notwithstanding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6.07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Sellers shall remain responsible for the settlement or resolution of all actual and threatened litigation matters set forth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of the Disclosure Schedules. The Purchasers, the Company and the Sellers agree that the Sellers may, in their sole discretion, continue to pursue those actual and threatened litigation matters set forth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of the Disclosure Schedules, and agree that the litigation decisions and litigation strategies related to such will be under the control of the Sellers’ Representative, with the exception of decisions related to the settlement of any claims, which shall require approval of the Purchaser, which approval shall not be unreasonably withheld. Any and all costs, judgments and settlements shall be netted against any and all recoveries, with the net amount being applied in the same manner as set forth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above (assuming total costs exceed total recoveries), or if total recoveries exceed total costs, by Company’s payment to the Sellers of such additional amounts as soon as practicable after a final determination.</w:t>
      </w:r>
    </w:p>
    <w:p>
      <w:pPr>
        <w:spacing w:after="0" w:line="185" w:lineRule="exact"/>
        <w:rPr>
          <w:sz w:val="20"/>
          <w:szCs w:val="20"/>
          <w:color w:val="auto"/>
        </w:rPr>
      </w:pPr>
    </w:p>
    <w:p>
      <w:pPr>
        <w:ind w:right="10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6.10. Exclusive Remedy.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any available injunctive relief, Purchaser’s exclusive remedy for the breach or non-performance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of this Agreement shall be to seek indemnification pursuant to the provisions of this Article VI.</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RESTRICTIVE COVENANTS</w:t>
      </w:r>
    </w:p>
    <w:p>
      <w:pPr>
        <w:spacing w:after="0" w:line="2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7.01. Confidential Information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20" w:right="40" w:firstLine="421"/>
        <w:spacing w:after="0" w:line="253" w:lineRule="auto"/>
        <w:tabs>
          <w:tab w:leader="none" w:pos="158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Acquired During Negotiations and/or the Preparation of Agreements</w:t>
      </w:r>
      <w:r>
        <w:rPr>
          <w:rFonts w:ascii="Times New Roman" w:cs="Times New Roman" w:eastAsia="Times New Roman" w:hAnsi="Times New Roman"/>
          <w:sz w:val="18"/>
          <w:szCs w:val="18"/>
          <w:color w:val="auto"/>
        </w:rPr>
        <w:t>. Each of Purchaser and Sellers agrees that he, she or it will treat in confidence and will not use, disseminate or disclose, other than in connection with the transactions contemplated by this Agreement, or, in the case of Purchaser, the operation of the Business following the Closing, all documents, materials and other information regarding the other Parties to this Agreement which it obtains during the course of the negotiations leading to the consummation of the transactions contemplated by this Agreement (whether obtained on, prior to or following the date hereof) or the preparation of this Agreement or any of the Related Agreements. The obligation of each party to treat such documents, materials and other information in confidence and not to use, disseminate or disclose such materials shall not apply to any information which: (a) such party can demonstrate was already lawfully in its possession prior to the disclosure thereof by the other Parties; (b) is known to the public and did not become so known through any violation of a legal obligation on the part of the disclosing party; (c) is later lawfully acquired by such party from other sources; (d) is required to be disclosed under the provisions of any Law, or by any stock exchange or similar body; or (e) is required to be disclosed by a rule or order of any court of competent jurisdiction.</w:t>
      </w:r>
    </w:p>
    <w:p>
      <w:pPr>
        <w:spacing w:after="0" w:line="125"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ectPr>
          <w:pgSz w:w="11900" w:h="16838" w:orient="portrait"/>
          <w:cols w:equalWidth="0" w:num="1">
            <w:col w:w="11420"/>
          </w:cols>
          <w:pgMar w:left="240" w:top="270" w:right="239" w:bottom="1440" w:gutter="0" w:footer="0" w:header="0"/>
        </w:sectPr>
      </w:pPr>
    </w:p>
    <w:bookmarkStart w:id="161" w:name="page162"/>
    <w:bookmarkEnd w:id="161"/>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right="40" w:firstLine="421"/>
        <w:spacing w:after="0" w:line="254" w:lineRule="auto"/>
        <w:tabs>
          <w:tab w:leader="none" w:pos="15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of the Company</w:t>
      </w:r>
      <w:r>
        <w:rPr>
          <w:rFonts w:ascii="Times New Roman" w:cs="Times New Roman" w:eastAsia="Times New Roman" w:hAnsi="Times New Roman"/>
          <w:sz w:val="18"/>
          <w:szCs w:val="18"/>
          <w:color w:val="auto"/>
        </w:rPr>
        <w:t>. Sellers acknowledge and agree that the Confidential Information of the Company is an asset which Purchaser will acquire pursuant to this Agreement. For purposes of this Agreement,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shall mean the Company’s trade secrets, other Intellectual Property Assets and other information regarding the Company, the Business and the other business operations of the Company, which information: (i) was used in the Business of the Company and was proprietary to, about or created by the Company (including any of the Company’s Personnel) for use in the Business of the Company; (ii) is used in the Business of the Company as of the effective date of this Agreement and is proprietary to, about or created by the Company (including any of the Company’s Personnel) for use in the Business of the Company; (iii) is designated and/or, in fact, treated as confidential by the Company; or (iv) is not generally known by any non-Company personnel. Confidential Information includes, but is not limited to, the following types of information (whether or not reduced to writing or designated as confidential, and whether or not also covered under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of this Agreement):</w:t>
      </w:r>
    </w:p>
    <w:p>
      <w:pPr>
        <w:spacing w:after="0" w:line="81" w:lineRule="exact"/>
        <w:rPr>
          <w:rFonts w:ascii="Times New Roman" w:cs="Times New Roman" w:eastAsia="Times New Roman" w:hAnsi="Times New Roman"/>
          <w:sz w:val="18"/>
          <w:szCs w:val="18"/>
          <w:color w:val="auto"/>
        </w:rPr>
      </w:pPr>
    </w:p>
    <w:p>
      <w:pPr>
        <w:jc w:val="both"/>
        <w:ind w:left="1420" w:right="160" w:firstLine="389"/>
        <w:spacing w:after="0" w:line="266" w:lineRule="auto"/>
        <w:tabs>
          <w:tab w:leader="none" w:pos="211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any of the Company’s current and potential customers, clients, leads and referral sources, including but not limited to customer, client, lead and referral source lists, databases, files, information relating to representatives and contacts, future needs, specifications or other similar current and potential customer, client, lead and referral source information;</w:t>
      </w:r>
    </w:p>
    <w:p>
      <w:pPr>
        <w:spacing w:after="0" w:line="68" w:lineRule="exact"/>
        <w:rPr>
          <w:rFonts w:ascii="Times New Roman" w:cs="Times New Roman" w:eastAsia="Times New Roman" w:hAnsi="Times New Roman"/>
          <w:sz w:val="18"/>
          <w:szCs w:val="18"/>
          <w:color w:val="auto"/>
        </w:rPr>
      </w:pPr>
    </w:p>
    <w:p>
      <w:pPr>
        <w:ind w:left="2100" w:hanging="291"/>
        <w:spacing w:after="0"/>
        <w:tabs>
          <w:tab w:leader="none" w:pos="21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and terms of any Contracts (contents and Parties) to which the Company is or was a party or is or was bound;</w:t>
      </w:r>
    </w:p>
    <w:p>
      <w:pPr>
        <w:spacing w:after="0" w:line="117" w:lineRule="exact"/>
        <w:rPr>
          <w:rFonts w:ascii="Times New Roman" w:cs="Times New Roman" w:eastAsia="Times New Roman" w:hAnsi="Times New Roman"/>
          <w:sz w:val="18"/>
          <w:szCs w:val="18"/>
          <w:color w:val="auto"/>
        </w:rPr>
      </w:pPr>
    </w:p>
    <w:p>
      <w:pPr>
        <w:ind w:left="1420" w:right="500" w:firstLine="389"/>
        <w:spacing w:after="0" w:line="282" w:lineRule="auto"/>
        <w:tabs>
          <w:tab w:leader="none" w:pos="210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quantity and specifications of products and services being sold to, purchased, leased, licensed or received by the Company;</w:t>
      </w:r>
    </w:p>
    <w:p>
      <w:pPr>
        <w:spacing w:after="0" w:line="53" w:lineRule="exact"/>
        <w:rPr>
          <w:rFonts w:ascii="Times New Roman" w:cs="Times New Roman" w:eastAsia="Times New Roman" w:hAnsi="Times New Roman"/>
          <w:sz w:val="18"/>
          <w:szCs w:val="18"/>
          <w:color w:val="auto"/>
        </w:rPr>
      </w:pPr>
    </w:p>
    <w:p>
      <w:pPr>
        <w:ind w:left="1420" w:right="400" w:firstLine="389"/>
        <w:spacing w:after="0" w:line="282" w:lineRule="auto"/>
        <w:tabs>
          <w:tab w:leader="none" w:pos="211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received by the Company from third Parties (such as vendors) under an obligation of confidentiality, restricted disclosure or restricted use;</w:t>
      </w:r>
    </w:p>
    <w:p>
      <w:pPr>
        <w:spacing w:after="0" w:line="53" w:lineRule="exact"/>
        <w:rPr>
          <w:rFonts w:ascii="Times New Roman" w:cs="Times New Roman" w:eastAsia="Times New Roman" w:hAnsi="Times New Roman"/>
          <w:sz w:val="18"/>
          <w:szCs w:val="18"/>
          <w:color w:val="auto"/>
        </w:rPr>
      </w:pPr>
    </w:p>
    <w:p>
      <w:pPr>
        <w:ind w:left="1420" w:right="260" w:firstLine="389"/>
        <w:spacing w:after="0" w:line="282" w:lineRule="auto"/>
        <w:tabs>
          <w:tab w:leader="none" w:pos="209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product related to work or projects performed or about to be performed for the Company or for its customers or clients, including working and/or project files;</w:t>
      </w:r>
    </w:p>
    <w:p>
      <w:pPr>
        <w:spacing w:after="0" w:line="53" w:lineRule="exact"/>
        <w:rPr>
          <w:rFonts w:ascii="Times New Roman" w:cs="Times New Roman" w:eastAsia="Times New Roman" w:hAnsi="Times New Roman"/>
          <w:sz w:val="18"/>
          <w:szCs w:val="18"/>
          <w:color w:val="auto"/>
        </w:rPr>
      </w:pPr>
    </w:p>
    <w:p>
      <w:pPr>
        <w:ind w:left="1420" w:right="40" w:firstLine="389"/>
        <w:spacing w:after="0" w:line="266" w:lineRule="auto"/>
        <w:tabs>
          <w:tab w:leader="none" w:pos="208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the Company’s products, future products, services, facilities and methods, systems, trade secrets and other Intellectual Property Assets including information relating to the design, research, development, engineering, architecture, implementation and/or modification of or to any of the Company’s products;</w:t>
      </w:r>
    </w:p>
    <w:p>
      <w:pPr>
        <w:spacing w:after="0" w:line="108"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ectPr>
          <w:pgSz w:w="11900" w:h="16838" w:orient="portrait"/>
          <w:cols w:equalWidth="0" w:num="1">
            <w:col w:w="11340"/>
          </w:cols>
          <w:pgMar w:left="320" w:top="270" w:right="239" w:bottom="1440" w:gutter="0" w:footer="0" w:header="0"/>
        </w:sectPr>
      </w:pPr>
    </w:p>
    <w:bookmarkStart w:id="162" w:name="page163"/>
    <w:bookmarkEnd w:id="162"/>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1420" w:right="160" w:firstLine="389"/>
        <w:spacing w:after="0" w:line="266" w:lineRule="auto"/>
        <w:tabs>
          <w:tab w:leader="none" w:pos="211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Company’s internal personnel and financial information (including the revenue, costs or profits associated with any of the Company’s products), supplier names, payroll information, purchasing and internal cost information, internal service and operational manuals and other information of the Company; and the manner and methods of conducting the Company’s business;</w:t>
      </w:r>
    </w:p>
    <w:p>
      <w:pPr>
        <w:spacing w:after="0" w:line="68" w:lineRule="exact"/>
        <w:rPr>
          <w:rFonts w:ascii="Times New Roman" w:cs="Times New Roman" w:eastAsia="Times New Roman" w:hAnsi="Times New Roman"/>
          <w:sz w:val="18"/>
          <w:szCs w:val="18"/>
          <w:color w:val="auto"/>
        </w:rPr>
      </w:pPr>
    </w:p>
    <w:p>
      <w:pPr>
        <w:jc w:val="both"/>
        <w:ind w:left="1420" w:firstLine="389"/>
        <w:spacing w:after="0" w:line="266" w:lineRule="auto"/>
        <w:tabs>
          <w:tab w:leader="none" w:pos="211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developmental plans, concepts, strategies, methods, procedures and technology price and cost data, price and fee amounts, pricing and billing policies, quoting procedures, marketing techniques and methods of obtaining business, forecasts and forecast assumptions and volumes and future plans and potential strategies of the Company; and</w:t>
      </w:r>
    </w:p>
    <w:p>
      <w:pPr>
        <w:spacing w:after="0" w:line="68" w:lineRule="exact"/>
        <w:rPr>
          <w:rFonts w:ascii="Times New Roman" w:cs="Times New Roman" w:eastAsia="Times New Roman" w:hAnsi="Times New Roman"/>
          <w:sz w:val="18"/>
          <w:szCs w:val="18"/>
          <w:color w:val="auto"/>
        </w:rPr>
      </w:pPr>
    </w:p>
    <w:p>
      <w:pPr>
        <w:ind w:left="2040" w:hanging="231"/>
        <w:spacing w:after="0"/>
        <w:tabs>
          <w:tab w:leader="none" w:pos="20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software and computer programs and technology used by the Company.</w:t>
      </w:r>
    </w:p>
    <w:p>
      <w:pPr>
        <w:spacing w:after="0" w:line="117" w:lineRule="exact"/>
        <w:rPr>
          <w:rFonts w:ascii="Times New Roman" w:cs="Times New Roman" w:eastAsia="Times New Roman" w:hAnsi="Times New Roman"/>
          <w:sz w:val="18"/>
          <w:szCs w:val="18"/>
          <w:color w:val="auto"/>
        </w:rPr>
      </w:pPr>
    </w:p>
    <w:p>
      <w:pPr>
        <w:ind w:left="840" w:right="80" w:firstLine="421"/>
        <w:spacing w:after="0" w:line="253" w:lineRule="auto"/>
        <w:tabs>
          <w:tab w:leader="none" w:pos="150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and Non-Use of Confidential Information</w:t>
      </w:r>
      <w:r>
        <w:rPr>
          <w:rFonts w:ascii="Times New Roman" w:cs="Times New Roman" w:eastAsia="Times New Roman" w:hAnsi="Times New Roman"/>
          <w:sz w:val="18"/>
          <w:szCs w:val="18"/>
          <w:color w:val="auto"/>
        </w:rPr>
        <w:t xml:space="preserve">. In furtherance of this Agreement, to ensure adequate protection against the wrongful use or disclosure of Confidential Information, and to protect the value associated with the Confidential Information and Purchaser’s investment in the Shares, Sellers agree that they shall hold all Confidential Information in strict confidence, and that, unless they obtain the prior written consent of Purchaser or as required by Law, Sellers shall not directly or indirectly use, disclose, distribute, disseminate or authorize any third party to use, disclose, distribute or disseminate any Confidential Information for any purpose. Sellers further agree that they shall deliver to Purchaser all Confidential Information (and any copies thereof, in whatever format), in their possession or under their control on the Closing. Sellers acknowledge and agree that any violation of the confidentiality obligations set forth in this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would be extremely detrimental and prejudicial to Purchaser, and would result in irreparable injury and loss to Purchaser. The obligations set forth in this</w:t>
      </w:r>
    </w:p>
    <w:p>
      <w:pPr>
        <w:spacing w:after="0" w:line="1" w:lineRule="exact"/>
        <w:rPr>
          <w:rFonts w:ascii="Times New Roman" w:cs="Times New Roman" w:eastAsia="Times New Roman" w:hAnsi="Times New Roman"/>
          <w:sz w:val="18"/>
          <w:szCs w:val="18"/>
          <w:color w:val="auto"/>
        </w:rPr>
      </w:pPr>
    </w:p>
    <w:p>
      <w:pPr>
        <w:ind w:left="84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and Purchaser’s rights and remedies with respect thereto, shall remain in full force and effect for as long as the Confidential Information remains confidential (except that the obligations shall continue if the Confidential Information loses its confidential nature through any act by or omission of the Company and/or any of Sellers, including breaches of this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Section 7.02. Non-Competition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40" w:right="240" w:firstLine="421"/>
        <w:spacing w:after="0" w:line="258" w:lineRule="auto"/>
        <w:tabs>
          <w:tab w:leader="none" w:pos="150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four (4) years following the Closing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each Seller shall not, directly or indirectly, engage in, own, manage, operate, join, control, lend money or other assistance to, or participate in or be connected with, as an officer, director, employee, partner, shareholder, consultant, manager, agent or otherwise, any individual, corporation, partnership, firm, other company, business organization, activity, entity or Person that provides and/or markets any of the same or similar services as those the Company provides and/or markets in connection with the Business as of the date of the Closing or those which the Company provided, and/or</w:t>
      </w:r>
    </w:p>
    <w:p>
      <w:pPr>
        <w:spacing w:after="0" w:line="116"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ectPr>
          <w:pgSz w:w="11900" w:h="16838" w:orient="portrait"/>
          <w:cols w:equalWidth="0" w:num="1">
            <w:col w:w="11340"/>
          </w:cols>
          <w:pgMar w:left="320" w:top="270" w:right="239" w:bottom="1440" w:gutter="0" w:footer="0" w:header="0"/>
        </w:sectPr>
      </w:pPr>
    </w:p>
    <w:bookmarkStart w:id="163" w:name="page164"/>
    <w:bookmarkEnd w:id="163"/>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right="240"/>
        <w:spacing w:after="0" w:line="266" w:lineRule="auto"/>
        <w:rPr>
          <w:sz w:val="20"/>
          <w:szCs w:val="20"/>
          <w:color w:val="auto"/>
        </w:rPr>
      </w:pPr>
      <w:r>
        <w:rPr>
          <w:rFonts w:ascii="Times New Roman" w:cs="Times New Roman" w:eastAsia="Times New Roman" w:hAnsi="Times New Roman"/>
          <w:sz w:val="18"/>
          <w:szCs w:val="18"/>
          <w:color w:val="auto"/>
        </w:rPr>
        <w:t xml:space="preserve">marketed in connection with the Business at any time during the twelve (12) month period immediately preceding the date of the Closing. The geographic scope for the restriction set forth in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shall be the United States, which geographic scope Sellers represent is coextensive with the geographic scope of the Company’s Business.</w:t>
      </w:r>
    </w:p>
    <w:p>
      <w:pPr>
        <w:spacing w:after="0" w:line="68" w:lineRule="exact"/>
        <w:rPr>
          <w:sz w:val="20"/>
          <w:szCs w:val="20"/>
          <w:color w:val="auto"/>
        </w:rPr>
      </w:pPr>
    </w:p>
    <w:p>
      <w:pPr>
        <w:ind w:left="840" w:right="40" w:firstLine="421"/>
        <w:spacing w:after="0" w:line="254" w:lineRule="auto"/>
        <w:tabs>
          <w:tab w:leader="none" w:pos="15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Seller hereby acknowledges and agrees that the restrictive period of time, geographic scope and scope of restricted activity specified herein are reasonable and necessary in view of the transactions contemplated by this Agreement and the nature of the business in which the Company was engaged or is engaged as of Closing and in which Purchaser is, or shall be, engaged. Each of Sellers further acknowledge and agree that the restrictions set forth in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are reasonable and necessary to protect Purchaser’s investment under this Agreement and to safeguard the value and goodwill associated with the Shares. Each of Sellers acknowledge and agree that Purchaser would not have entered into this Agreement but for each of Sellers’ agreements and obligations pursuant to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If the scope of any stated restriction is too broad to permit enforcement of such restriction(s) to its full extent, then the Parties agree that such restriction shall be enforced and/or modified to the maximum extent permitted by law. The Parties agree that in the event of a breach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the Restricted Period shall be extended with respect to the breaching party by the period of the breach.</w:t>
      </w:r>
    </w:p>
    <w:p>
      <w:pPr>
        <w:spacing w:after="0" w:line="18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Section 7.03. Non-Solicitation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Restricted Period, Sellers shall not, directly or indirectly:</w:t>
      </w:r>
    </w:p>
    <w:p>
      <w:pPr>
        <w:spacing w:after="0" w:line="121" w:lineRule="exact"/>
        <w:rPr>
          <w:sz w:val="20"/>
          <w:szCs w:val="20"/>
          <w:color w:val="auto"/>
        </w:rPr>
      </w:pPr>
    </w:p>
    <w:p>
      <w:pPr>
        <w:ind w:left="840" w:right="100" w:firstLine="421"/>
        <w:spacing w:after="0" w:line="255" w:lineRule="auto"/>
        <w:tabs>
          <w:tab w:leader="none" w:pos="150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upon, solicit, accept any business of, contact or have any communication with any Person who is a customer or prospective customer of the Company or Purchaser as of the Closing, or who was a customer or prospective customer of the Company or Purchaser at any time within the twelve (12) month period immediately preceding the Closing for the purpose of: (i) diverting or attempting to divert or influence any business of such customer or prospective customer to any competitor of the Company or Purchaser; (ii) marketing, selling, distributing, leasing or providing any products or services in competition with the Business, the Company or Purchaser; or (iii) otherwise interfering in any fashion with the operations being conducted by the Company or Purchaser as of the Closing or with any operations conducted by Purchaser during the Restricted Period;</w:t>
      </w:r>
    </w:p>
    <w:p>
      <w:pPr>
        <w:spacing w:after="0" w:line="81" w:lineRule="exact"/>
        <w:rPr>
          <w:rFonts w:ascii="Times New Roman" w:cs="Times New Roman" w:eastAsia="Times New Roman" w:hAnsi="Times New Roman"/>
          <w:sz w:val="18"/>
          <w:szCs w:val="18"/>
          <w:color w:val="auto"/>
        </w:rPr>
      </w:pPr>
    </w:p>
    <w:p>
      <w:pPr>
        <w:ind w:left="840" w:right="140" w:firstLine="421"/>
        <w:spacing w:after="0" w:line="258" w:lineRule="auto"/>
        <w:tabs>
          <w:tab w:leader="none" w:pos="15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induce or attempt to cause or induce any customer, supplier, licensee, licensor, franchisee, employee, consultant or other Person who is a business relation of the Company or Purchaser as of the Closing or who was a customer, supplier, licensee, licensor, franchisee, employee, consultant or business relation of the Company or Purchaser within the twelve (12) month period immediately preceding the Closing to cease doing business with Purchaser, to deal with any competitor of Purchaser or the Company or in any way interfere with the relationship between any such customer, supplier, licensee, licensor, franchisee, employee, consultant or business relation and Purchaser;</w:t>
      </w:r>
    </w:p>
    <w:p>
      <w:pPr>
        <w:spacing w:after="0" w:line="116"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ectPr>
          <w:pgSz w:w="11900" w:h="16838" w:orient="portrait"/>
          <w:cols w:equalWidth="0" w:num="1">
            <w:col w:w="11340"/>
          </w:cols>
          <w:pgMar w:left="320" w:top="270" w:right="2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right="120" w:firstLine="421"/>
        <w:spacing w:after="0" w:line="266" w:lineRule="auto"/>
        <w:tabs>
          <w:tab w:leader="none" w:pos="15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for employment or attempt to solicit otherwise, endeavor to entice away from Purchaser, hire or retain any Person who is an employee, independent contractor or other Personnel of Purchaser as of the Closing or during the Restricted Period, or interfere in any way with the relationship between Purchaser and any of its employees, independent contractors or other Personnel; or</w:t>
      </w:r>
    </w:p>
    <w:p>
      <w:pPr>
        <w:spacing w:after="0" w:line="68" w:lineRule="exact"/>
        <w:rPr>
          <w:rFonts w:ascii="Times New Roman" w:cs="Times New Roman" w:eastAsia="Times New Roman" w:hAnsi="Times New Roman"/>
          <w:sz w:val="18"/>
          <w:szCs w:val="18"/>
          <w:color w:val="auto"/>
        </w:rPr>
      </w:pPr>
    </w:p>
    <w:p>
      <w:pPr>
        <w:ind w:left="920" w:right="20" w:firstLine="421"/>
        <w:spacing w:after="0" w:line="266" w:lineRule="auto"/>
        <w:tabs>
          <w:tab w:leader="none" w:pos="15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for employment or attempt to solicit otherwise, endeavor to entice away, hire or retain any Person who is an employee, independent contractor or other Personnel of the Company as of the Closing, or who was an employee, independent contractor or other Personnel of the Company at any time within the twelve (12) month period immediately preceding the Closing.</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Sellers hereby acknowledge and agree that the restrictive period of time and scope of restricted activity specified herein are reasonable and necessary in view of the transactions contemplated by this Agreement and the nature of the business in which the Company was engaged or is engaged as of Closing and in which Purchaser is, or shall be, engaged. Sellers further acknowledge and agree that the restrictions set forth in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are reasonable and necessary to protect Purchaser’s investment under this Agreement and to safeguard the value and goodwill associated with the Shares. Sellers acknowledge and agree that Purchaser would not have entered into this Agreement but for each of Sellers’ agreements and obligations pursuant to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If the scope of any stated restriction is too broad to permit enforcement of such restriction(s) to its full extent, then the Parties agree that such restriction shall be enforced and/or modified to the maximum extent permitted by law. The Parties agree that, in the event of a breach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the Restricted Period shall be extended with respect to the breaching party by the period of the breach.</w:t>
      </w:r>
    </w:p>
    <w:p>
      <w:pPr>
        <w:spacing w:after="0" w:line="181" w:lineRule="exact"/>
        <w:rPr>
          <w:sz w:val="20"/>
          <w:szCs w:val="20"/>
          <w:color w:val="auto"/>
        </w:rPr>
      </w:pPr>
    </w:p>
    <w:p>
      <w:pPr>
        <w:ind w:right="40" w:firstLine="91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7.04. 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execution of this Agreement, each of Sellers shall not, directly or indirectly, make any negative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disparaging statement, or release any information, or encourage others to make any statement or release any information that has the effect of embarrassing or criticizing Purchaser or any of its Affiliates, the Business, the services and products offered or provided in the Business or the Shares, including any of Purchaser’s, or its Affiliates’, actual or prospective customers, competitors, employees or former employees, including any verbal, written, or electronic statements made to the press or other media or on social media in the United States of America or in any other country.</w:t>
      </w:r>
    </w:p>
    <w:p>
      <w:pPr>
        <w:spacing w:after="0" w:line="180" w:lineRule="exact"/>
        <w:rPr>
          <w:sz w:val="20"/>
          <w:szCs w:val="20"/>
          <w:color w:val="auto"/>
        </w:rPr>
      </w:pPr>
    </w:p>
    <w:p>
      <w:pPr>
        <w:ind w:right="14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7.05. Remedies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breach or alleged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7.04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any of Sellers, Purchaser shall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following remedies, which shall be deemed cumulative:</w:t>
      </w:r>
    </w:p>
    <w:p>
      <w:pPr>
        <w:spacing w:after="0" w:line="51" w:lineRule="exact"/>
        <w:rPr>
          <w:sz w:val="20"/>
          <w:szCs w:val="20"/>
          <w:color w:val="auto"/>
        </w:rPr>
      </w:pPr>
    </w:p>
    <w:p>
      <w:pPr>
        <w:ind w:left="920" w:firstLine="421"/>
        <w:spacing w:after="0" w:line="256" w:lineRule="auto"/>
        <w:tabs>
          <w:tab w:leader="none" w:pos="158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xml:space="preserve">. Each of Sellers hereby acknowledges that any breach or alleged breach of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7.04</w:t>
      </w:r>
      <w:r>
        <w:rPr>
          <w:rFonts w:ascii="Times New Roman" w:cs="Times New Roman" w:eastAsia="Times New Roman" w:hAnsi="Times New Roman"/>
          <w:sz w:val="18"/>
          <w:szCs w:val="18"/>
          <w:color w:val="auto"/>
        </w:rPr>
        <w:t xml:space="preserve"> shall cause irreparable injury to the goodwill and proprietary rights of Purchaser and its Affiliates and subsidiaries, for which Purchaser shall not have an adequate remedy at law. Accordingly, Sellers agree that Purchaser shall be able to seek and obtain immediate injunctive relief in the form of a temporary restraining order, preliminary injunction, and/or permanent injunction against any of Sellers to restrain or enjoin any actual or threatened violation of any provision of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7.04</w:t>
      </w:r>
      <w:r>
        <w:rPr>
          <w:rFonts w:ascii="Times New Roman" w:cs="Times New Roman" w:eastAsia="Times New Roman" w:hAnsi="Times New Roman"/>
          <w:sz w:val="18"/>
          <w:szCs w:val="18"/>
          <w:color w:val="auto"/>
        </w:rPr>
        <w:t xml:space="preserve"> without any requirement of posting a bond or other surety or proving damages.</w:t>
      </w:r>
    </w:p>
    <w:p>
      <w:pPr>
        <w:spacing w:after="0" w:line="120"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ectPr>
          <w:pgSz w:w="11900" w:h="16838" w:orient="portrait"/>
          <w:cols w:equalWidth="0" w:num="1">
            <w:col w:w="11420"/>
          </w:cols>
          <w:pgMar w:left="240" w:top="270" w:right="2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right="780" w:firstLine="421"/>
        <w:spacing w:after="0" w:line="266" w:lineRule="auto"/>
        <w:tabs>
          <w:tab w:leader="none" w:pos="159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Expenses and Attorneys’ Fees</w:t>
      </w:r>
      <w:r>
        <w:rPr>
          <w:rFonts w:ascii="Times New Roman" w:cs="Times New Roman" w:eastAsia="Times New Roman" w:hAnsi="Times New Roman"/>
          <w:sz w:val="18"/>
          <w:szCs w:val="18"/>
          <w:color w:val="auto"/>
        </w:rPr>
        <w:t xml:space="preserve">. Purchaser shall be entitled to recover from Sellers, as applicable all costs, expenses and reasonable attorneys’ fees incurred by Purchaser in obtaining enforcement of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7.04</w:t>
      </w:r>
      <w:r>
        <w:rPr>
          <w:rFonts w:ascii="Times New Roman" w:cs="Times New Roman" w:eastAsia="Times New Roman" w:hAnsi="Times New Roman"/>
          <w:sz w:val="18"/>
          <w:szCs w:val="18"/>
          <w:color w:val="auto"/>
        </w:rPr>
        <w:t xml:space="preserve"> of this Agreement or in successfully defending any action brought by Sellers to challenge or construe the terms of any of such Sections.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OTHER AGREEMENTS</w:t>
      </w:r>
    </w:p>
    <w:p>
      <w:pPr>
        <w:spacing w:after="0" w:line="203" w:lineRule="exact"/>
        <w:rPr>
          <w:sz w:val="20"/>
          <w:szCs w:val="20"/>
          <w:color w:val="auto"/>
        </w:rPr>
      </w:pPr>
    </w:p>
    <w:p>
      <w:pPr>
        <w:ind w:right="40" w:firstLine="913"/>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8.01.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hereinafter provided, Sellers shall timely pay, or cause the Company and LLC to pay, (a) all Taxes arising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ownership or use of the Shares or Interests on or before the Closing Date, including all personal property Taxes due and payable (or assessed for periods) on or before the Closing Date and (b) all Taxes, including gross and net income Taxes, and transfer, recording, sales and use Taxes arising out of the sale or transfer of the Shares or Interests pursuant to this Agreement or any of the Related Agreements, if any. Notwithstanding the above, Purchaser agrees that any income tax assessed by the state of California on account of the transactions contemplated by this Agreement, shall remain a liability of the Company and be paid by the Company post-Closing, and shall not be considered in the calculation of the Final Working Capital, provided,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obligation shall not exceed [*], and in the event the obligation does exceed [*], any such excess amount shall be paid by the Sellers through a reduction of the principal amount then remaining on the Note. All special assessments on the Real Property, whether or not currently due and payable, shall be paid in full by Sellers on or prior to the Closing Date. Any Tax proration based upon an estimate shall be redetermined promptly after the time the bills are issued, and Purchaser and Sellers shall pay to the other any amounts due as a result of such redetermination. Sellers’ portion of the property Taxes shall be the property Taxes multiplied by a fraction, the numerator of which shall be the number of days in the applicable Taxing period on and prior to the Closing Date and the denominator of which shall be the total number of days in the applicable Taxing period. All taxes payable by Sellers after the Closing Date pursuant to any provision of this Agreement shall be treated as a Purchase Price Adjustment pursuant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8.02. Cooperation on Tax Matters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20" w:right="80" w:firstLine="421"/>
        <w:spacing w:after="0" w:line="256" w:lineRule="auto"/>
        <w:tabs>
          <w:tab w:leader="none" w:pos="158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shall cooperate, and shall cause their respective representatives to cooperate, in preparing and filing all Tax Returns (including amended Tax Returns and claims for refund), in handling audits, examinations, investigations and administrative, court or other Proceedings relating to Taxes, in resolving all disputes, audits and refund claims with respect to such Tax Returns and Taxes, and any earlier Tax Returns and Taxes of the Company and LLC, and in all other appropriate Tax matters, in each case including making employees available to assist the requesting party, timely providing information reasonably requested, maintaining and making available to each other all records necessary in connection therewith, and the execution and delivery of appropriate and customary forms and</w:t>
      </w:r>
    </w:p>
    <w:p>
      <w:pPr>
        <w:spacing w:after="0" w:line="120"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ectPr>
          <w:pgSz w:w="11900" w:h="16838" w:orient="portrait"/>
          <w:cols w:equalWidth="0" w:num="1">
            <w:col w:w="11420"/>
          </w:cols>
          <w:pgMar w:left="240" w:top="270" w:right="239" w:bottom="1440" w:gutter="0" w:footer="0" w:header="0"/>
        </w:sectPr>
      </w:pPr>
    </w:p>
    <w:bookmarkStart w:id="166" w:name="page167"/>
    <w:bookmarkEnd w:id="166"/>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spacing w:after="0" w:line="255" w:lineRule="auto"/>
        <w:rPr>
          <w:sz w:val="20"/>
          <w:szCs w:val="20"/>
          <w:color w:val="auto"/>
        </w:rPr>
      </w:pPr>
      <w:r>
        <w:rPr>
          <w:rFonts w:ascii="Times New Roman" w:cs="Times New Roman" w:eastAsia="Times New Roman" w:hAnsi="Times New Roman"/>
          <w:sz w:val="18"/>
          <w:szCs w:val="18"/>
          <w:color w:val="auto"/>
        </w:rPr>
        <w:t>authorizations, including federal Form 2848, Power of Attorney and Declaration of Representative (or a successor form or forms), and comparable forms for foreign, state and local Tax purposes, as appropriate, when the requesting party reasonably requires such forms in connection with any Tax dispute or claim for refund. Any information obtained by any party or its Affiliates from another party or its Affiliates in connection with any Tax matters to which this Agreement relates shall be kept confidential, except: (i) as may be otherwise necessary in connection with the filing of Tax Returns or claims for refund or in conducting an audit or other Proceeding relating to Taxes or as may be otherwise reasonably required by applicable Law, to enforce rights under this Agreement or to pursue any claim for refund or contest any proposed Tax assessment; or (ii) for any external disclosure in audited financial statements or regulatory filings which a party reasonably believes is required by applicable Law or stock exchange or similar applicable rules.</w:t>
      </w:r>
    </w:p>
    <w:p>
      <w:pPr>
        <w:spacing w:after="0" w:line="77" w:lineRule="exact"/>
        <w:rPr>
          <w:sz w:val="20"/>
          <w:szCs w:val="20"/>
          <w:color w:val="auto"/>
        </w:rPr>
      </w:pPr>
    </w:p>
    <w:p>
      <w:pPr>
        <w:ind w:left="840" w:right="160" w:firstLine="421"/>
        <w:spacing w:after="0" w:line="256" w:lineRule="auto"/>
        <w:tabs>
          <w:tab w:leader="none" w:pos="15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and in addition to all other obligations imposed by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(i) each of Sellers and Purchaser agree to give the other party reasonable written notice prior to transferring, destroying or discarding any Files and Records with respect to Tax matters and, if the other party so requests, shall allow the other party to take possession of such Files and Records; and (ii) each of Sellers shall retain (or cause the Company’s Affiliates or LLC to retain) all such Files and Records of the Company, LLC and the Company’s Affiliates until the expiration of any applicable statute of limitations (including any extension thereof) with respect to Tax Returns filed on behalf of the Company, LLC or its Affiliates.</w:t>
      </w:r>
    </w:p>
    <w:p>
      <w:pPr>
        <w:spacing w:after="0" w:line="1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Section 8.03. Preparation of Tax Returns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40" w:right="40" w:firstLine="421"/>
        <w:spacing w:after="0" w:line="255" w:lineRule="auto"/>
        <w:tabs>
          <w:tab w:leader="none" w:pos="150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Representative shall prepare and timely file, or shall cause to be prepared and timely filed, all Tax Returns in respect of the Company and LLC that are required to be filed (taking into account any extension) before the Closing Date and have not been filed, and the Sellers shall pay, or cause to be paid, all Taxes of Company due before the Closing Date. Such Tax Returns shall be prepared by treating items on such Tax Returns in a manner consistent with the past practices of such Company or LLC with respect to such items, except as required by applicable Law. At least ten (10) days prior to filing any such Tax Return, including the Income Tax Returns filed by the Sellers’ Representative, the Sellers’ Representative shall submit a copy of such Tax Return to Purchaser for Purchaser’s review. Sellers’ Representative shall consider in good faith any comment that the Purchaser submits to Sellers’ Representative no less than five (5) Business Days prior to the due date of the applicable Tax Return.</w:t>
      </w:r>
    </w:p>
    <w:p>
      <w:pPr>
        <w:spacing w:after="0" w:line="77" w:lineRule="exact"/>
        <w:rPr>
          <w:rFonts w:ascii="Times New Roman" w:cs="Times New Roman" w:eastAsia="Times New Roman" w:hAnsi="Times New Roman"/>
          <w:sz w:val="18"/>
          <w:szCs w:val="18"/>
          <w:color w:val="auto"/>
        </w:rPr>
      </w:pPr>
    </w:p>
    <w:p>
      <w:pPr>
        <w:ind w:left="840" w:right="40" w:firstLine="421"/>
        <w:spacing w:after="0" w:line="261" w:lineRule="auto"/>
        <w:tabs>
          <w:tab w:leader="none" w:pos="15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prepare or cause to be prepared in accordance with the past practice of such Company or LLC (except as otherwise required by applicable Law), and timely file or cause to be timely filed, all Tax Returns with respect to the Company and LLC for any Tax period ending prior to the Closing Date but that are required to be filed after the Closing Date. Purchaser shall deliver such Tax Returns at least ten (10) days prior to the due date (taking into account any extension) for the filing of such</w:t>
      </w:r>
    </w:p>
    <w:p>
      <w:pPr>
        <w:spacing w:after="0" w:line="112"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ectPr>
          <w:pgSz w:w="11900" w:h="16838" w:orient="portrait"/>
          <w:cols w:equalWidth="0" w:num="1">
            <w:col w:w="11340"/>
          </w:cols>
          <w:pgMar w:left="320" w:top="270" w:right="239" w:bottom="1440" w:gutter="0" w:footer="0" w:header="0"/>
        </w:sectPr>
      </w:pPr>
    </w:p>
    <w:bookmarkStart w:id="167" w:name="page168"/>
    <w:bookmarkEnd w:id="167"/>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840" w:right="160"/>
        <w:spacing w:after="0" w:line="273" w:lineRule="auto"/>
        <w:rPr>
          <w:sz w:val="20"/>
          <w:szCs w:val="20"/>
          <w:color w:val="auto"/>
        </w:rPr>
      </w:pPr>
      <w:r>
        <w:rPr>
          <w:rFonts w:ascii="Times New Roman" w:cs="Times New Roman" w:eastAsia="Times New Roman" w:hAnsi="Times New Roman"/>
          <w:sz w:val="17"/>
          <w:szCs w:val="17"/>
          <w:color w:val="auto"/>
        </w:rPr>
        <w:t xml:space="preserve">Tax Returns to the Sellers’ Representative for his review. Purchaser shall consider in good faith any comment that the Sellers’ Representative submits to Purchaser no less than five (5) Business Days prior to the due date of such Tax Returns. Notwithstanding the foregoing, the Sellers’ Representative shall prepare and file or cause to be filed all Income Tax Returns for the Company and LLC for any Tax period ending on the Closing Date. Sellers shall pay, or cause to be paid, Taxes due with respect to Tax Returns described in this </w:t>
      </w:r>
      <w:r>
        <w:rPr>
          <w:rFonts w:ascii="Times New Roman" w:cs="Times New Roman" w:eastAsia="Times New Roman" w:hAnsi="Times New Roman"/>
          <w:sz w:val="17"/>
          <w:szCs w:val="17"/>
          <w:u w:val="single" w:color="auto"/>
          <w:color w:val="auto"/>
        </w:rPr>
        <w:t>Section 8.03(b)</w:t>
      </w:r>
      <w:r>
        <w:rPr>
          <w:rFonts w:ascii="Times New Roman" w:cs="Times New Roman" w:eastAsia="Times New Roman" w:hAnsi="Times New Roman"/>
          <w:sz w:val="17"/>
          <w:szCs w:val="17"/>
          <w:color w:val="auto"/>
        </w:rPr>
        <w:t xml:space="preserve"> except to the extent such Taxes are taken into account in the determination of the Final Net Working Capital. In the event a payment described in the preceding sentence is to be remitted by the Company or LLC to a Taxing Authority, Sellers shall pay, or cause to be paid such payment to the Company at least two (2) Business Days before payment of such Taxes (including estimated Taxes, if applicable) are due to the Taxing Authority.</w:t>
      </w:r>
    </w:p>
    <w:p>
      <w:pPr>
        <w:spacing w:after="0" w:line="64" w:lineRule="exact"/>
        <w:rPr>
          <w:sz w:val="20"/>
          <w:szCs w:val="20"/>
          <w:color w:val="auto"/>
        </w:rPr>
      </w:pPr>
    </w:p>
    <w:p>
      <w:pPr>
        <w:jc w:val="both"/>
        <w:ind w:left="840" w:right="80" w:firstLine="421"/>
        <w:spacing w:after="0" w:line="258" w:lineRule="auto"/>
        <w:tabs>
          <w:tab w:leader="none" w:pos="150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prepare and timely file, or cause to be prepared and timely filed, any Tax Return required to be filed by the Company or LLC for a Straddle Period (a “</w:t>
      </w:r>
      <w:r>
        <w:rPr>
          <w:rFonts w:ascii="Times New Roman" w:cs="Times New Roman" w:eastAsia="Times New Roman" w:hAnsi="Times New Roman"/>
          <w:sz w:val="18"/>
          <w:szCs w:val="18"/>
          <w:u w:val="single" w:color="auto"/>
          <w:color w:val="auto"/>
        </w:rPr>
        <w:t>Straddle Period Tax Return</w:t>
      </w:r>
      <w:r>
        <w:rPr>
          <w:rFonts w:ascii="Times New Roman" w:cs="Times New Roman" w:eastAsia="Times New Roman" w:hAnsi="Times New Roman"/>
          <w:sz w:val="18"/>
          <w:szCs w:val="18"/>
          <w:color w:val="auto"/>
        </w:rPr>
        <w:t>”). Purchaser shall deliver such Straddle Period Tax Returns at least ten (10) days prior to the due date for the filing of such Straddle Period Tax Return to the Sellers’ Representative for his review a draft of such Straddle Tax Return. Purchaser shall reflect any reasonable comment that the Sellers’ Representative submits to Purchaser no less than five (5) Business Days prior to the due date of such Straddle Period Tax Return.</w:t>
      </w:r>
    </w:p>
    <w:p>
      <w:pPr>
        <w:spacing w:after="0" w:line="75" w:lineRule="exact"/>
        <w:rPr>
          <w:rFonts w:ascii="Times New Roman" w:cs="Times New Roman" w:eastAsia="Times New Roman" w:hAnsi="Times New Roman"/>
          <w:sz w:val="18"/>
          <w:szCs w:val="18"/>
          <w:color w:val="auto"/>
        </w:rPr>
      </w:pPr>
    </w:p>
    <w:p>
      <w:pPr>
        <w:ind w:left="840" w:firstLine="421"/>
        <w:spacing w:after="0" w:line="254" w:lineRule="auto"/>
        <w:tabs>
          <w:tab w:leader="none" w:pos="151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Taxes of the Company or LLC relating to a Straddle Period, the Sellers shall pay to Purchaser the amount of such Taxes allocable to the portion of the Straddle Period that is deemed to end as of the Closing on the Closing Date, except to the extent such Taxes are taken into account in the determination of the Final Net Working Capital. In the case of any Taxes that are imposed on a periodic basis, the portion of such Tax that relates to the portion of such Straddle Period ending as of the Closing on the Closing Date shall (i) in the case of any Taxes other than Taxes based upon or related to income or receipts, be deemed to be the amount of such Tax for the entire Straddle Period </w:t>
      </w:r>
      <w:r>
        <w:rPr>
          <w:rFonts w:ascii="Times New Roman" w:cs="Times New Roman" w:eastAsia="Times New Roman" w:hAnsi="Times New Roman"/>
          <w:sz w:val="18"/>
          <w:szCs w:val="18"/>
          <w:i w:val="1"/>
          <w:iCs w:val="1"/>
          <w:color w:val="auto"/>
        </w:rPr>
        <w:t xml:space="preserve">multiplied </w:t>
      </w:r>
      <w:r>
        <w:rPr>
          <w:rFonts w:ascii="Times New Roman" w:cs="Times New Roman" w:eastAsia="Times New Roman" w:hAnsi="Times New Roman"/>
          <w:sz w:val="18"/>
          <w:szCs w:val="18"/>
          <w:color w:val="auto"/>
        </w:rPr>
        <w:t>by a fraction (A) the numerator of which is the number of days in the Straddle Period ending as of the Closing on the Closing Date and</w:t>
      </w:r>
    </w:p>
    <w:p>
      <w:pPr>
        <w:jc w:val="both"/>
        <w:ind w:left="840" w:right="80" w:firstLine="1"/>
        <w:spacing w:after="0" w:line="254" w:lineRule="auto"/>
        <w:tabs>
          <w:tab w:leader="none" w:pos="11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is the number of days in the entire Straddle Period, and (ii) in the case of any Tax based upon or related to income or receipts, be determined as though the taxable year of the Company or LLC terminated as of the Closing on the Closing Date. The Sellers shall make such payment at least two (2) Business Days before payment of Taxes (including estimated Taxes, if applicable) is due to the Taxing Authority.</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Section 8.04. Tax Contests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40" w:right="160" w:firstLine="421"/>
        <w:spacing w:after="0" w:line="266" w:lineRule="auto"/>
        <w:tabs>
          <w:tab w:leader="none" w:pos="150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and the Company, on the one hand, and the Sellers, on the other hand, shall promptly notify each other upon receipt by such party of written notice of any inquiries, claims, assessments, audits or similar events with respect to Taxes of either Company relating to a Pre-Closing Tax Period (any such inquiry, claim, assessment, audit or similar event, a “</w:t>
      </w:r>
      <w:r>
        <w:rPr>
          <w:rFonts w:ascii="Times New Roman" w:cs="Times New Roman" w:eastAsia="Times New Roman" w:hAnsi="Times New Roman"/>
          <w:sz w:val="18"/>
          <w:szCs w:val="18"/>
          <w:u w:val="single" w:color="auto"/>
          <w:color w:val="auto"/>
        </w:rPr>
        <w:t>Tax Matter</w:t>
      </w:r>
      <w:r>
        <w:rPr>
          <w:rFonts w:ascii="Times New Roman" w:cs="Times New Roman" w:eastAsia="Times New Roman" w:hAnsi="Times New Roman"/>
          <w:sz w:val="18"/>
          <w:szCs w:val="18"/>
          <w:color w:val="auto"/>
        </w:rPr>
        <w:t>”). Any failure to so notify the other</w:t>
      </w:r>
    </w:p>
    <w:p>
      <w:pPr>
        <w:spacing w:after="0" w:line="108" w:lineRule="exact"/>
        <w:rPr>
          <w:rFonts w:ascii="Times New Roman" w:cs="Times New Roman" w:eastAsia="Times New Roman" w:hAnsi="Times New Roman"/>
          <w:sz w:val="18"/>
          <w:szCs w:val="18"/>
          <w:color w:val="auto"/>
        </w:rPr>
      </w:pPr>
    </w:p>
    <w:p>
      <w:pPr>
        <w:ind w:left="5540" w:hanging="101"/>
        <w:spacing w:after="0"/>
        <w:tabs>
          <w:tab w:leader="none" w:pos="5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ectPr>
          <w:pgSz w:w="11900" w:h="16838" w:orient="portrait"/>
          <w:cols w:equalWidth="0" w:num="1">
            <w:col w:w="11340"/>
          </w:cols>
          <w:pgMar w:left="320" w:top="270" w:right="2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right="340"/>
        <w:spacing w:after="0" w:line="282" w:lineRule="auto"/>
        <w:rPr>
          <w:sz w:val="20"/>
          <w:szCs w:val="20"/>
          <w:color w:val="auto"/>
        </w:rPr>
      </w:pPr>
      <w:r>
        <w:rPr>
          <w:rFonts w:ascii="Times New Roman" w:cs="Times New Roman" w:eastAsia="Times New Roman" w:hAnsi="Times New Roman"/>
          <w:sz w:val="18"/>
          <w:szCs w:val="18"/>
          <w:color w:val="auto"/>
        </w:rPr>
        <w:t>party of any Tax Matter shall not relieve such other party of any liability with respect to such Tax Matters except to the extent such party was actually prejudiced as a result thereof.</w:t>
      </w:r>
    </w:p>
    <w:p>
      <w:pPr>
        <w:spacing w:after="0" w:line="54" w:lineRule="exact"/>
        <w:rPr>
          <w:sz w:val="20"/>
          <w:szCs w:val="20"/>
          <w:color w:val="auto"/>
        </w:rPr>
      </w:pPr>
    </w:p>
    <w:p>
      <w:pPr>
        <w:ind w:left="920" w:right="20" w:firstLine="421"/>
        <w:spacing w:after="0" w:line="256" w:lineRule="auto"/>
        <w:tabs>
          <w:tab w:leader="none" w:pos="15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have sole control of the conduct of all Tax Matters, including any settlement or compromise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Sellers shall be liable for and shall indemnify Purchaser for any Indemnity Loss related to such Tax Matters for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Purchaser shall (i) keep the Sellers’ Representative reasonably informed of the progress of any Tax Matter, (ii) consider in good faith any comment or position that the Sellers’ Representative submits to Purchaser, and (iii) shall not affect any such settlement or compromise with respect to which the Sellers, as the case may be, are liable without obtaining the Sellers’ Representative’s prior written consent thereto, which shall not be unreasonably withheld or delayed.</w:t>
      </w:r>
    </w:p>
    <w:p>
      <w:pPr>
        <w:spacing w:after="0" w:line="79" w:lineRule="exact"/>
        <w:rPr>
          <w:rFonts w:ascii="Times New Roman" w:cs="Times New Roman" w:eastAsia="Times New Roman" w:hAnsi="Times New Roman"/>
          <w:sz w:val="18"/>
          <w:szCs w:val="18"/>
          <w:color w:val="auto"/>
        </w:rPr>
      </w:pPr>
    </w:p>
    <w:p>
      <w:pPr>
        <w:jc w:val="both"/>
        <w:ind w:left="920" w:right="160" w:firstLine="421"/>
        <w:spacing w:after="0" w:line="289" w:lineRule="auto"/>
        <w:tabs>
          <w:tab w:leader="none" w:pos="158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Purchaser nor the Company shall amend the Tax Returns of the Company or LLC, or file additional Tax Returns on the behalf of the Company or LLC, in respect of Taxes paid prior to the Closing or in respect of any Pre-Closing Tax Period to the extent such amendment would result in Liability of any Seller without the prior written consent of such Seller, which consent shall not be unreasonably withheld.</w:t>
      </w:r>
    </w:p>
    <w:p>
      <w:pPr>
        <w:spacing w:after="0" w:line="50" w:lineRule="exact"/>
        <w:rPr>
          <w:rFonts w:ascii="Times New Roman" w:cs="Times New Roman" w:eastAsia="Times New Roman" w:hAnsi="Times New Roman"/>
          <w:sz w:val="17"/>
          <w:szCs w:val="17"/>
          <w:color w:val="auto"/>
        </w:rPr>
      </w:pPr>
    </w:p>
    <w:p>
      <w:pPr>
        <w:ind w:left="920" w:right="60" w:firstLine="421"/>
        <w:spacing w:after="0" w:line="261" w:lineRule="auto"/>
        <w:tabs>
          <w:tab w:leader="none" w:pos="15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Purchaser shall have the sole right to control any audit or examination by any Taxing Authority, initiate any claim for refund or amend any Tax Return, and contest, resolve and defend against any assessment for additional Taxes, notice of Tax deficiency or other adjustment of Taxes of, or relating to, the income, assets or operations of the Company or LLC and for all Tax periods.</w:t>
      </w: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meanings indicated below:</w:t>
      </w:r>
    </w:p>
    <w:p>
      <w:pPr>
        <w:spacing w:after="0" w:line="117"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 shall mean: (a) all trade accounts receivable and other rights to payment from customers of the Company and the full benefit of all security for such accounts or debts, including all trade accounts receivable representing amounts receivable in respect of goods shipped or products sold or services rendered to customers; (b) all other accounts or notes receivable and the full benefit of all security for such accounts or notes; and (c) any claims, remedies and other rights related to any of the foregoing.</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any Person that directly or indirectly controls, is controlled by or is under common control with the Company, Purchaser or Sellers, as the case may be. As used in this definition, “control” (including, its correlative meanings “controlled by” and “under common control with”) means possession, directly or indirectly, of power to direct or cause the direction of management or policies (whether through ownership of ten percent (10%) or more of outstanding voting securities or partnership or other ownership interests, by Contract or otherwise).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ectPr>
          <w:pgSz w:w="11900" w:h="16838" w:orient="portrait"/>
          <w:cols w:equalWidth="0" w:num="1">
            <w:col w:w="11420"/>
          </w:cols>
          <w:pgMar w:left="240" w:top="270" w:right="2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Best Efforts</w:t>
      </w:r>
      <w:r>
        <w:rPr>
          <w:rFonts w:ascii="Times New Roman" w:cs="Times New Roman" w:eastAsia="Times New Roman" w:hAnsi="Times New Roman"/>
          <w:sz w:val="18"/>
          <w:szCs w:val="18"/>
          <w:color w:val="auto"/>
        </w:rPr>
        <w:t>” shall mean the efforts that a prudent person desirous of achieving a result would use in similar circumstances to achieve that result as expeditiously as possible.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Broker Representations</w:t>
      </w:r>
      <w:r>
        <w:rPr>
          <w:rFonts w:ascii="Times New Roman" w:cs="Times New Roman" w:eastAsia="Times New Roman" w:hAnsi="Times New Roman"/>
          <w:sz w:val="18"/>
          <w:szCs w:val="18"/>
          <w:color w:val="auto"/>
        </w:rPr>
        <w:t xml:space="preserve">” shall mean the representations and warranties of Sellers contained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Saturday, Sunday and any day on which commercial banks in New York are authorized by Law to be closed.</w:t>
      </w:r>
    </w:p>
    <w:p>
      <w:pPr>
        <w:spacing w:after="0" w:line="162" w:lineRule="exact"/>
        <w:rPr>
          <w:sz w:val="20"/>
          <w:szCs w:val="20"/>
          <w:color w:val="auto"/>
        </w:rPr>
      </w:pPr>
    </w:p>
    <w:p>
      <w:pPr>
        <w:ind w:right="200" w:firstLine="456"/>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Equivalents</w:t>
      </w:r>
      <w:r>
        <w:rPr>
          <w:rFonts w:ascii="Times New Roman" w:cs="Times New Roman" w:eastAsia="Times New Roman" w:hAnsi="Times New Roman"/>
          <w:sz w:val="17"/>
          <w:szCs w:val="17"/>
          <w:color w:val="auto"/>
        </w:rPr>
        <w:t>” shall mean: (a) marketable direct obligations issued by, or unconditionally guaranteed by, the United States government or issued by any agency thereof and backed by the full faith and credit of the United States, in each case maturing within one (1) year from the date of acquisition;</w:t>
      </w:r>
    </w:p>
    <w:p>
      <w:pPr>
        <w:spacing w:after="0" w:line="1" w:lineRule="exact"/>
        <w:rPr>
          <w:sz w:val="20"/>
          <w:szCs w:val="20"/>
          <w:color w:val="auto"/>
        </w:rPr>
      </w:pPr>
    </w:p>
    <w:p>
      <w:pPr>
        <w:ind w:right="20" w:firstLine="8"/>
        <w:spacing w:after="0" w:line="250" w:lineRule="auto"/>
        <w:tabs>
          <w:tab w:leader="none" w:pos="2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Eurodollar time deposits or overnight bank deposits or overnight back deposits having maturities of six (6) months or less from the date of acquisition issued by any commercial bank organized under the laws of the United States or any state thereof having combined capital and surplus of not less than &amp; 500,000,000; (c) commercial paper of an issuer rated at least A-1 by Standard &amp; Poor’s Ratings Services (“</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or P-1 by Moody’s Investors Service, Inc. (“</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or carrying an equivalent rating by a nationally recognized rating agency, if both of the two named rating agencies cease publishing ratings of commercial paper issuers generally, and maturing within six (6) months from the date of acquisition; (d) repurchase obligations of any commercial bank satisfying the requirements of clause (b) of this definition, having a term of not more than thirty (30) days, with respect to securities issued or fully guaranteed or insured by the United States government; (e) securities with maturities of one (1)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(6) months or less from the date of acquisition backed by standby letters of credit issued by any commercial bank satisfying the requirements of clause (b) of this definition;</w:t>
      </w:r>
    </w:p>
    <w:p>
      <w:pPr>
        <w:spacing w:after="0" w:line="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mutual or similar funds that invest exclusively in assets satisfying the requirements of clauses (a) through (f) of this definition; or</w:t>
      </w:r>
    </w:p>
    <w:p>
      <w:pPr>
        <w:spacing w:after="0" w:line="9" w:lineRule="exact"/>
        <w:rPr>
          <w:rFonts w:ascii="Times New Roman" w:cs="Times New Roman" w:eastAsia="Times New Roman" w:hAnsi="Times New Roman"/>
          <w:sz w:val="18"/>
          <w:szCs w:val="18"/>
          <w:color w:val="auto"/>
        </w:rPr>
      </w:pPr>
    </w:p>
    <w:p>
      <w:pPr>
        <w:ind w:right="300" w:firstLine="8"/>
        <w:spacing w:after="0" w:line="261" w:lineRule="auto"/>
        <w:tabs>
          <w:tab w:leader="none" w:pos="2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 comply with the criteria set forth in SEC Rule 2a-7 under the Investment Company Act of 1940, as amended, (ii) are rated AAA by S&amp;P and AAA by Moody’s or (iii) have portfolio assets of at least $5,000,000,000.</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shall mean the Comprehensive Environmental Response Compensation and Liability Act of 1980, as amended.</w:t>
      </w:r>
    </w:p>
    <w:p>
      <w:pPr>
        <w:spacing w:after="0" w:line="225"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Balance Sheet</w:t>
      </w:r>
      <w:r>
        <w:rPr>
          <w:rFonts w:ascii="Times New Roman" w:cs="Times New Roman" w:eastAsia="Times New Roman" w:hAnsi="Times New Roman"/>
          <w:sz w:val="18"/>
          <w:szCs w:val="18"/>
          <w:color w:val="auto"/>
        </w:rPr>
        <w:t>” shall mean the balance sheet of the Company reflecting the financial position of the Company as of the Closing Date immediately before the Closing, prepared in conformity with the preparation of the Interim Balance Sheet, the Estimated Closing Date Balance Sheet and GAAP, consistently applied in accordance with past practices.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shall mean Title X of the Consolidated Omnibus Budget Reconciliation Act of 1985, as amended.</w:t>
      </w:r>
    </w:p>
    <w:p>
      <w:pPr>
        <w:spacing w:after="0" w:line="1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- 49 -</w:t>
      </w:r>
    </w:p>
    <w:p>
      <w:pPr>
        <w:sectPr>
          <w:pgSz w:w="11900" w:h="16838" w:orient="portrait"/>
          <w:cols w:equalWidth="0" w:num="1">
            <w:col w:w="11420"/>
          </w:cols>
          <w:pgMar w:left="240" w:top="270" w:right="2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Company’s Benefit Obligations</w:t>
      </w:r>
      <w:r>
        <w:rPr>
          <w:rFonts w:ascii="Times New Roman" w:cs="Times New Roman" w:eastAsia="Times New Roman" w:hAnsi="Times New Roman"/>
          <w:sz w:val="18"/>
          <w:szCs w:val="18"/>
          <w:color w:val="auto"/>
        </w:rPr>
        <w:t>” shall mean all obligations, arrangements, or customary practices (other than those contained in or provided under the Employee Plans), whether or not legally enforceable, to provide benefits (other than salary or wages) to present or former directors, employees, Personnel or agents of the Company. The Company’s Benefit Obligations also include consulting agreements under which the compensation paid does not depend upon the amount of service rendered, sabbatical policies, severance payment policies, and fringe benefits within the meaning of Section 132 of the Code.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Contracted Backlog</w:t>
      </w:r>
      <w:r>
        <w:rPr>
          <w:rFonts w:ascii="Times New Roman" w:cs="Times New Roman" w:eastAsia="Times New Roman" w:hAnsi="Times New Roman"/>
          <w:sz w:val="18"/>
          <w:szCs w:val="18"/>
          <w:color w:val="auto"/>
        </w:rPr>
        <w:t>” shall mean all contracts executed for projects or opportunities with start dates scheduled to begin after the Closing Date.</w:t>
      </w:r>
    </w:p>
    <w:p>
      <w:pPr>
        <w:spacing w:after="0" w:line="225"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shall mean any contract, agreement, indenture, note, bond, loan, instrument, lease, conditional sale contract, mortgage, license, franchise, insurance policy, commitment or other arrangement or agreement, whether written or oral.</w:t>
      </w:r>
    </w:p>
    <w:p>
      <w:pPr>
        <w:spacing w:after="0" w:line="162"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Earnout Period</w:t>
      </w:r>
      <w:r>
        <w:rPr>
          <w:rFonts w:ascii="Times New Roman" w:cs="Times New Roman" w:eastAsia="Times New Roman" w:hAnsi="Times New Roman"/>
          <w:sz w:val="18"/>
          <w:szCs w:val="18"/>
          <w:color w:val="auto"/>
        </w:rPr>
        <w:t xml:space="preserve">” shall mean any period of time related to Purchase Price payments due to Sellers by Purchaser or GLDD as set forth in </w:t>
      </w:r>
      <w:r>
        <w:rPr>
          <w:rFonts w:ascii="Times New Roman" w:cs="Times New Roman" w:eastAsia="Times New Roman" w:hAnsi="Times New Roman"/>
          <w:sz w:val="18"/>
          <w:szCs w:val="18"/>
          <w:u w:val="single" w:color="auto"/>
          <w:color w:val="auto"/>
        </w:rPr>
        <w:t>Sections 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 xml:space="preserve"> of this Agreement, or pursuant to the terms of the Restricted Unit Grant Agreement.</w:t>
      </w:r>
    </w:p>
    <w:p>
      <w:pPr>
        <w:spacing w:after="0" w:line="1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Plan</w:t>
      </w:r>
      <w:r>
        <w:rPr>
          <w:rFonts w:ascii="Times New Roman" w:cs="Times New Roman" w:eastAsia="Times New Roman" w:hAnsi="Times New Roman"/>
          <w:sz w:val="18"/>
          <w:szCs w:val="18"/>
          <w:color w:val="auto"/>
        </w:rPr>
        <w:t>” shall mean (i) each voluntary employees’ beneficiary association under Section 501(c)(9) of the Code, (ii) each employee benefit plan, as defined in Section 3(3) of ERISA, and (iii) each retirement, stock, stock option, welfare benefit, savings, deferred compensation, incentive compensation, paid time off, severance pay, salary continuation, disability, fringe benefit, and/or other employee benefit arrangement, policy, or practice, in each case, either maintained by the Company or an ERISA Affiliate for the benefit of any employee of either; to which the Company or an ERISA Affiliate contributes or is obligated to contribute; or under which the Company or an ERISA Affiliate has or may have any Liability; and each (iv) Multiemployer Plan to which the Company or an ERISA Affiliate has or has had an obligation to contribute.</w:t>
      </w:r>
    </w:p>
    <w:p>
      <w:pPr>
        <w:spacing w:after="0" w:line="188"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shall mean all liens (statutory or other), leases, mortgages, pledges, security interests, conditional sales agreements, charges, claims, options, easements, rights of way (other than easements of record) and other encumbrances of any kind or nature whatsoever, including those encumbrances set forth on any schedule hereto.</w:t>
      </w:r>
    </w:p>
    <w:p>
      <w:pPr>
        <w:spacing w:after="0" w:line="176"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Requirements</w:t>
      </w:r>
      <w:r>
        <w:rPr>
          <w:rFonts w:ascii="Times New Roman" w:cs="Times New Roman" w:eastAsia="Times New Roman" w:hAnsi="Times New Roman"/>
          <w:sz w:val="18"/>
          <w:szCs w:val="18"/>
          <w:color w:val="auto"/>
        </w:rPr>
        <w:t>” shall mean all past, present and future Laws, rules, regulations, ordinances, policies, guidance documents, approvals, plans, authorizations, licenses or permits issued by any government agency, department, commission, board, bureau or instrumentality of the United States, state or political subdivision thereof, and any other Governmental Entity and all judicial, administrative, and regulatory decrees, judgments, and orders relating to human health, pollution, or protection of the environment (including ambient air, surface water, ground water, land surface or subsurface strata), including: (a) Laws relating to emissions, discharges, releases, or threatened releases of Hazardous Materials; (b) Laws relating to the identification, generation, manufacture, processing, distribution, use, treatment, storage, disposal, recovery, transport or other handling of Hazardous Materials; (c) CERCLA;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ectPr>
          <w:pgSz w:w="11900" w:h="16838" w:orient="portrait"/>
          <w:cols w:equalWidth="0" w:num="1">
            <w:col w:w="11420"/>
          </w:cols>
          <w:pgMar w:left="240" w:top="270" w:right="2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Toxic Substances Control Act; the Hazardous Materials Transportation Act; RCRA; the Clean Water Act; the Safe Drinking Water Act; the Clean Air Act; the Atomic Energy Act of 1954, all as amended; and the Occupational Safety and Health Act; and (d) any Law similar to those set forth above.</w:t>
      </w:r>
    </w:p>
    <w:p>
      <w:pPr>
        <w:spacing w:after="0" w:line="162"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 and Machinery</w:t>
      </w:r>
      <w:r>
        <w:rPr>
          <w:rFonts w:ascii="Times New Roman" w:cs="Times New Roman" w:eastAsia="Times New Roman" w:hAnsi="Times New Roman"/>
          <w:sz w:val="18"/>
          <w:szCs w:val="18"/>
          <w:color w:val="auto"/>
        </w:rPr>
        <w:t>” shall mean: equipment, machinery, rolling stock and vehicles owned or leased by the Company in connection with the Business.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shall mean any Person controlled by, controlling or under common control with the Company (within the meaning of Section 414 of the Code or Section 4001(a)(14) or 4001(b) of ERISA).</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Date Balance Sheet</w:t>
      </w:r>
      <w:r>
        <w:rPr>
          <w:rFonts w:ascii="Times New Roman" w:cs="Times New Roman" w:eastAsia="Times New Roman" w:hAnsi="Times New Roman"/>
          <w:sz w:val="18"/>
          <w:szCs w:val="18"/>
          <w:color w:val="auto"/>
        </w:rPr>
        <w:t>” shall mean the estimated balance sheet of the Company reflecting the financial position of the Company as of the close of business on the day immediately prior to the Closing, prepared in conformity with the GAAP.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Files and Records</w:t>
      </w:r>
      <w:r>
        <w:rPr>
          <w:rFonts w:ascii="Times New Roman" w:cs="Times New Roman" w:eastAsia="Times New Roman" w:hAnsi="Times New Roman"/>
          <w:sz w:val="18"/>
          <w:szCs w:val="18"/>
          <w:color w:val="auto"/>
        </w:rPr>
        <w:t>” shall mean all files, records and other information of the Company relating to the Business or the Shares, whether in hard copy or magnetic or other format including customer lists and records, referral sources, equipment maintenance records, plant plans, equipment warranty information, research and development reports and records, specifications and drawings, sales and advertising material, Software, correspondence, manuals, studies, sales literature and promotional material, production reports and records, operating guides, copies of financial and accounting records and copies of records relating to the employees and Personnel of the Company to be employed by Purchaser following the Closing.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mean the prevailing generally accepted accounting principles in the United States, in effect from time to time, consistently applied.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GLDD Consideration Securities</w:t>
      </w:r>
      <w:r>
        <w:rPr>
          <w:rFonts w:ascii="Times New Roman" w:cs="Times New Roman" w:eastAsia="Times New Roman" w:hAnsi="Times New Roman"/>
          <w:sz w:val="18"/>
          <w:szCs w:val="18"/>
          <w:color w:val="auto"/>
        </w:rPr>
        <w:t>” shall have the meaning set out in Section 3.07.</w:t>
      </w:r>
    </w:p>
    <w:p>
      <w:pPr>
        <w:spacing w:after="0" w:line="22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shall mean, with respect to any particular entity: (a) if a corporation, the articles or certificate of incorporation and the bylaws of such entity; (b) if a general partnership, the partnership agreement and any statement of partnership; (c) if a limited partnership, the limited partnership agreement and the certificate of limited partnership; (d) if a limited liability company, the articles of organization and the operating agreement; (e) if another type of Person, any other charter or similar document adopted or filed in connection with the creation, formation or organization of the Person; (f) all equity holders’ agreements, voting agreements, voting trust agreements, joint venture agreements, registration rights agreements or other agreements or documents relating to the organization, management or operation of any Person or relating to the rights, duties and obligations of the equity holders of any Person; and (g) any amendment or supplement to any of the foregoing.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ectPr>
          <w:pgSz w:w="11900" w:h="16838" w:orient="portrait"/>
          <w:cols w:equalWidth="0" w:num="1">
            <w:col w:w="11420"/>
          </w:cols>
          <w:pgMar w:left="240" w:top="270" w:right="2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shall mean any court, government agency, department, commission, board, bureau or instrumentality of the United States, any local, county, state, federal or political subdivision thereof, or any foreign governmental entity of any kind.</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mean: (a) any substance that is or becomes defined as a “hazardous substance,” “hazardous waste,” “hazardous material,” “pollutant,” or “contaminant” under any Environmental Requirements, RCRA, and any analogous and applicable Law; (b) petroleum (including crude oil and any fraction thereof); and (c) any natural or synthetic gas (whether in liquid or gaseous state).</w:t>
      </w:r>
    </w:p>
    <w:p>
      <w:pPr>
        <w:spacing w:after="0" w:line="17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Assets</w:t>
      </w:r>
      <w:r>
        <w:rPr>
          <w:rFonts w:ascii="Times New Roman" w:cs="Times New Roman" w:eastAsia="Times New Roman" w:hAnsi="Times New Roman"/>
          <w:sz w:val="18"/>
          <w:szCs w:val="18"/>
          <w:color w:val="auto"/>
        </w:rPr>
        <w:t>” means all intellectual property owned, in whole or in part, or licensed by the Company (as licensor or licensee) in which the Company has a proprietary interest, whether arising or protected under the laws of the United States or any other jurisdiction or treaty, including, without limitation: (a) the Company’s name, all assumed fictional business names, trade names, registered and unregistered trademarks and service marks, trade dress and similar rights and applications for registration of any of the foregoing (collectively, “</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(b) all patents (including certificates of invention, industrial rights and other patent equivalents), provisional, non-provisional, divisional, continuation, continuation in-part and reissue applications and patents issuing therefrom, any revivals, renewals, extensions, inventions and discoveries that may be patentable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(c) all registered and unregistered copyrights in both published works and unpublished works and applications for registration, all moral rights and all rights to register and obtain renewals and extensions of registrations (collectively,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(d) all know-how, trade secrets, concepts, processes, customer lists, technical information and other confidential or proprietary information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 (e) all user guides, manuals, instructions, forms, data, software architecture designs, layouts, programmer notes or logs, source code annotations, designs, plans, drawings, process technology, plans, blue prints, documentation or materials that relate to any aspect of the Intellectual Property Assets, whether in tangible, electronic or other intangible form (collectively,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(f) all rights in internet web sites and internet domain names used by the Company as of the date of this Agreement and through the Closing Date (collectively, “</w:t>
      </w:r>
      <w:r>
        <w:rPr>
          <w:rFonts w:ascii="Times New Roman" w:cs="Times New Roman" w:eastAsia="Times New Roman" w:hAnsi="Times New Roman"/>
          <w:sz w:val="18"/>
          <w:szCs w:val="18"/>
          <w:u w:val="single" w:color="auto"/>
          <w:color w:val="auto"/>
        </w:rPr>
        <w:t>Domain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Names</w:t>
      </w:r>
      <w:r>
        <w:rPr>
          <w:rFonts w:ascii="Times New Roman" w:cs="Times New Roman" w:eastAsia="Times New Roman" w:hAnsi="Times New Roman"/>
          <w:sz w:val="18"/>
          <w:szCs w:val="18"/>
          <w:color w:val="auto"/>
        </w:rPr>
        <w:t>”); (g) all versions of all software (including software programs, objects, modules, routines, algorithms and code, in source code, object code and executable form), machine readable databases and compilations, data structures and all data and collections of data and all derivative works of any such software (collectively, “</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(h) all websites and FTP sites, including all associated scripts, information, text, graphics and other content relating to any and all of the Company’s websites or FTP and all derivative works thereof (collectively, the “</w:t>
      </w:r>
      <w:r>
        <w:rPr>
          <w:rFonts w:ascii="Times New Roman" w:cs="Times New Roman" w:eastAsia="Times New Roman" w:hAnsi="Times New Roman"/>
          <w:sz w:val="18"/>
          <w:szCs w:val="18"/>
          <w:u w:val="single" w:color="auto"/>
          <w:color w:val="auto"/>
        </w:rPr>
        <w:t>Websites</w:t>
      </w:r>
      <w:r>
        <w:rPr>
          <w:rFonts w:ascii="Times New Roman" w:cs="Times New Roman" w:eastAsia="Times New Roman" w:hAnsi="Times New Roman"/>
          <w:sz w:val="18"/>
          <w:szCs w:val="18"/>
          <w:color w:val="auto"/>
        </w:rPr>
        <w:t>”); and (i) all rights in mask works and similar rights protecting circuits and chip topographies and layouts.</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Interests</w:t>
      </w:r>
      <w:r>
        <w:rPr>
          <w:rFonts w:ascii="Times New Roman" w:cs="Times New Roman" w:eastAsia="Times New Roman" w:hAnsi="Times New Roman"/>
          <w:sz w:val="18"/>
          <w:szCs w:val="18"/>
          <w:color w:val="auto"/>
        </w:rPr>
        <w:t>” shall mean membership interest in LLC.</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Inventories</w:t>
      </w:r>
      <w:r>
        <w:rPr>
          <w:rFonts w:ascii="Times New Roman" w:cs="Times New Roman" w:eastAsia="Times New Roman" w:hAnsi="Times New Roman"/>
          <w:sz w:val="18"/>
          <w:szCs w:val="18"/>
          <w:color w:val="auto"/>
        </w:rPr>
        <w:t>” shall mean all inventories of the Company, wherever located, including all finished goods, work in process, raw materials, spare parts, replacement parts and all other materials, supplies and other items of personal property to be used or consumed by the Company in the operation of the Business.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ectPr>
          <w:pgSz w:w="11900" w:h="16838" w:orient="portrait"/>
          <w:cols w:equalWidth="0" w:num="1">
            <w:col w:w="11420"/>
          </w:cols>
          <w:pgMar w:left="240" w:top="270" w:right="2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shall mean the United States Internal Revenue Service and, to the extent relevant, the United States Department of the Treasury.</w:t>
      </w:r>
    </w:p>
    <w:p>
      <w:pPr>
        <w:spacing w:after="0" w:line="225"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phrases “</w:t>
      </w:r>
      <w:r>
        <w:rPr>
          <w:rFonts w:ascii="Times New Roman" w:cs="Times New Roman" w:eastAsia="Times New Roman" w:hAnsi="Times New Roman"/>
          <w:sz w:val="18"/>
          <w:szCs w:val="18"/>
          <w:u w:val="single" w:color="auto"/>
          <w:color w:val="auto"/>
        </w:rPr>
        <w:t>to the Knowledge of</w:t>
      </w:r>
      <w:r>
        <w:rPr>
          <w:rFonts w:ascii="Times New Roman" w:cs="Times New Roman" w:eastAsia="Times New Roman" w:hAnsi="Times New Roman"/>
          <w:sz w:val="18"/>
          <w:szCs w:val="18"/>
          <w:color w:val="auto"/>
        </w:rPr>
        <w:t>” any Person, or “</w:t>
      </w:r>
      <w:r>
        <w:rPr>
          <w:rFonts w:ascii="Times New Roman" w:cs="Times New Roman" w:eastAsia="Times New Roman" w:hAnsi="Times New Roman"/>
          <w:sz w:val="18"/>
          <w:szCs w:val="18"/>
          <w:u w:val="single" w:color="auto"/>
          <w:color w:val="auto"/>
        </w:rPr>
        <w:t>Known to</w:t>
      </w:r>
      <w:r>
        <w:rPr>
          <w:rFonts w:ascii="Times New Roman" w:cs="Times New Roman" w:eastAsia="Times New Roman" w:hAnsi="Times New Roman"/>
          <w:sz w:val="18"/>
          <w:szCs w:val="18"/>
          <w:color w:val="auto"/>
        </w:rPr>
        <w:t>” any Person, or words of similar import, shall mean the information that would be possessed by a Person who has made investigation of the subject matter of the applicable representations and warranties which is reasonable in light of the role of the Person in the applicable organization and, where appropriate, has conferred with appropriate Personnel or examined appropriate documents. The phrases “has Knowledge of” or “to the Knowledge of” or “Known to”, when used in reference to the Company, shall include the Knowledge of Louay Owaidat and Bruce Diettert.</w:t>
      </w:r>
    </w:p>
    <w:p>
      <w:pPr>
        <w:spacing w:after="0" w:line="184"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shall mean any local, county, state, federal, foreign or other law, statute, regulation, ordinance, rule, order, decree, judgment, consent decree, settlement agreement or governmental requirement enacted, promulgated, entered into, agreed or imposed by any Governmental Entity.</w:t>
      </w:r>
    </w:p>
    <w:p>
      <w:pPr>
        <w:spacing w:after="0" w:line="162"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with respect to any Person, shall mean any liability or obligation of such Person of any kind, character or description, whether known or unknown, absolute or contingent, accrued or unaccrued, disputed or undisputed, liquidated or unliquidated, secured or unsecured, joint or several, due to become due, vested or unvested, executory, determined, determinable or otherwise, and whether or not the same is required to be accrued on the financial statements of such Person.</w:t>
      </w:r>
    </w:p>
    <w:p>
      <w:pPr>
        <w:spacing w:after="0" w:line="180"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shall mean all governmental licenses, permits, franchises, certificates, approvals and authorizations that relate directly or indirectly to, or are necessary for, the conduct of the Business or the operation of the Shares, including, without limitation, those set forth on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of the Disclosure Schedules, and all pending applications therefor or renewals thereof.</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shall mean Magnus Equipment Group, LLC.</w:t>
      </w:r>
    </w:p>
    <w:p>
      <w:pPr>
        <w:spacing w:after="0" w:line="22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when used with respect to the Company and/or Sellers, shall mean any event, change, occurrence, condition or circumstance which has had or could reasonably be expected to have a material adverse impact on any of the Shares, the prospects, liabilities, capitalization, business operations or condition (financial or otherwise) or results of operations of the Company or the Business conducted by the Company immediately prior to the Closing, or the ability of any party hereto to consummate any of the transactions contemplated by this Agreement or any of the Related Agreements whether as a result of any legislative or regulatory change, revocation of any Licenses and Permits or right to do business, fire, explosion, accident, casualty, labor difficulty, flood, drought, riot, storm, act of terrorism, act of enemy, condemnation or act of God or public force, or otherwise. The Parties hereto acknowledge and agree that Sellers shall bear the burden of proving the non-existence of a Material Adverse Effect.</w:t>
      </w:r>
    </w:p>
    <w:p>
      <w:pPr>
        <w:spacing w:after="0" w:line="189"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shall mean any Employee Plan that is a “multiemployer plan” within the meaning of Section 4001(a)(3) or Section 3(37) of ERISA or a “multiple employer plan” within the meaning of Section 4063 or 4064 of ERISA.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ectPr>
          <w:pgSz w:w="11900" w:h="16838" w:orient="portrait"/>
          <w:cols w:equalWidth="0" w:num="1">
            <w:col w:w="11420"/>
          </w:cols>
          <w:pgMar w:left="240" w:top="270" w:right="2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shall mean any action taken by a Person if: (a) such action is consistent in nature, scope and magnitude with the past practices of such Person and is taken in the ordinary course of the normal day-to-day operations of such Person; (b) such action does not require authorization by the Board of Directors or shareholders of such Person (or by any Person or group of Persons exercising similar authority) and does not require any other separate or special authorization of any nature; and (c) such action is similar in nature, scope and magnitude to actions customarily taken, without any separate or special authorization, in the ordinary course of the normal day-to-day operations of other Persons that are in the same line of business as such Person.</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w:t>
      </w:r>
      <w:r>
        <w:rPr>
          <w:rFonts w:ascii="Times New Roman" w:cs="Times New Roman" w:eastAsia="Times New Roman" w:hAnsi="Times New Roman"/>
          <w:sz w:val="18"/>
          <w:szCs w:val="18"/>
          <w:color w:val="auto"/>
        </w:rPr>
        <w:t>” shall mean any of the following: (a) the provisions of all applicable zoning Laws, statutory liens of landlords, carriers, warehousemen, mechanics, materialmen and other similar Persons and other liens imposed by applicable Laws incurred in the Ordinary Course of Business;</w:t>
      </w:r>
    </w:p>
    <w:p>
      <w:pPr>
        <w:ind w:right="20" w:firstLine="8"/>
        <w:spacing w:after="0" w:line="261" w:lineRule="auto"/>
        <w:tabs>
          <w:tab w:leader="none" w:pos="2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current Taxes and other governmental assessments, charges or claims not yet due and payable and for which adequate reserves are set forth on the face of the Interim Balance Sheet.</w:t>
      </w:r>
    </w:p>
    <w:p>
      <w:pPr>
        <w:spacing w:after="0" w:line="180"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partnership, joint venture, association, limited liability company, joint-stock company, trust, or unincorporated organization, or any governmental agency, officer, department, commission, board, bureau, or instrumentality thereof.</w:t>
      </w:r>
    </w:p>
    <w:p>
      <w:pPr>
        <w:spacing w:after="0" w:line="162"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shall mean either any director, officer, employee, consultant, agent or other personnel of the Company or personnel of Purchaser, as applicable.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mean any action, arbitration, audit, hearing, investigation, litigation or suit.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 Adjustment</w:t>
      </w:r>
      <w:r>
        <w:rPr>
          <w:rFonts w:ascii="Times New Roman" w:cs="Times New Roman" w:eastAsia="Times New Roman" w:hAnsi="Times New Roman"/>
          <w:sz w:val="18"/>
          <w:szCs w:val="18"/>
          <w:color w:val="auto"/>
        </w:rPr>
        <w:t>” shall mean any increase or decrease in the Purchase Price made pursuant to the provisions of this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RCRA</w:t>
      </w:r>
      <w:r>
        <w:rPr>
          <w:rFonts w:ascii="Times New Roman" w:cs="Times New Roman" w:eastAsia="Times New Roman" w:hAnsi="Times New Roman"/>
          <w:sz w:val="18"/>
          <w:szCs w:val="18"/>
          <w:color w:val="auto"/>
        </w:rPr>
        <w:t>” shall mean the Resource Conservation and Recovery Act, as amended.</w:t>
      </w:r>
    </w:p>
    <w:p>
      <w:pPr>
        <w:spacing w:after="0" w:line="225" w:lineRule="exact"/>
        <w:rPr>
          <w:sz w:val="20"/>
          <w:szCs w:val="20"/>
          <w:color w:val="auto"/>
        </w:rPr>
      </w:pPr>
    </w:p>
    <w:p>
      <w:pPr>
        <w:ind w:right="50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Agreements</w:t>
      </w:r>
      <w:r>
        <w:rPr>
          <w:rFonts w:ascii="Times New Roman" w:cs="Times New Roman" w:eastAsia="Times New Roman" w:hAnsi="Times New Roman"/>
          <w:sz w:val="18"/>
          <w:szCs w:val="18"/>
          <w:color w:val="auto"/>
        </w:rPr>
        <w:t>” shall mean collectively, the Note, the Restricted Stock Unit Agreement, the Office Lease and the Yard Lease and the other agreements, documents, instruments and certificates executed at the Closing by the Parties to this Agreement pursuant to and in connection with the transactions contemplated by this Agreement.</w:t>
      </w:r>
    </w:p>
    <w:p>
      <w:pPr>
        <w:spacing w:after="0" w:line="176"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shall mean: With respect to a particular individual: (a) each other member of such individual’s Family; (b) any Person that is directly or indirectly controlled by any one or more members of such individual’s Family; (c) any Person in which members of such individual’s Family hold (individually or in the aggregate) a Material Interest; and (d)any Person with respect to which one or more members of such individual’s Family serves as a director, officer, partner, executor or trustee (or in a similar capacity).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ectPr>
          <w:pgSz w:w="11900" w:h="16838" w:orient="portrait"/>
          <w:cols w:equalWidth="0" w:num="1">
            <w:col w:w="11420"/>
          </w:cols>
          <w:pgMar w:left="240" w:top="270" w:right="2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 respect to a specified Person other than an individual:</w:t>
      </w:r>
    </w:p>
    <w:p>
      <w:pPr>
        <w:spacing w:after="0" w:line="117" w:lineRule="exact"/>
        <w:rPr>
          <w:sz w:val="20"/>
          <w:szCs w:val="20"/>
          <w:color w:val="auto"/>
        </w:rPr>
      </w:pPr>
    </w:p>
    <w:p>
      <w:pPr>
        <w:ind w:left="920" w:right="280" w:firstLine="421"/>
        <w:spacing w:after="0" w:line="282" w:lineRule="auto"/>
        <w:tabs>
          <w:tab w:leader="none" w:pos="15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directly or indirectly controls, is directly or indirectly controlled by or is directly or indirectly under common control with such specified Person;</w:t>
      </w:r>
    </w:p>
    <w:p>
      <w:pPr>
        <w:spacing w:after="0" w:line="53"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holds a Material Interest in such specified Person;</w:t>
      </w:r>
    </w:p>
    <w:p>
      <w:pPr>
        <w:spacing w:after="0" w:line="117"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that serves as a director, officer, partner, executor or trustee of such specified Person (or in a similar capacity);</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in which such specified Person holds a Material Interest; and</w:t>
      </w:r>
    </w:p>
    <w:p>
      <w:pPr>
        <w:spacing w:after="0" w:line="117"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with respect to which such specified Person serves as a general partner or a trustee (or in a similar capacity).</w:t>
      </w:r>
    </w:p>
    <w:p>
      <w:pPr>
        <w:spacing w:after="0" w:line="225"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For purposes of this definition: (a)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xml:space="preserve"> by,”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and shall be construed as such term is used in the rules promulgated under the Securities Act; (b) the “</w:t>
      </w:r>
      <w:r>
        <w:rPr>
          <w:rFonts w:ascii="Times New Roman" w:cs="Times New Roman" w:eastAsia="Times New Roman" w:hAnsi="Times New Roman"/>
          <w:sz w:val="18"/>
          <w:szCs w:val="18"/>
          <w:u w:val="single" w:color="auto"/>
          <w:color w:val="auto"/>
        </w:rPr>
        <w:t>Family</w:t>
      </w:r>
      <w:r>
        <w:rPr>
          <w:rFonts w:ascii="Times New Roman" w:cs="Times New Roman" w:eastAsia="Times New Roman" w:hAnsi="Times New Roman"/>
          <w:sz w:val="18"/>
          <w:szCs w:val="18"/>
          <w:color w:val="auto"/>
        </w:rPr>
        <w:t>” of an individual includes: (i) the individual; (ii) the individual’s spouse; (iii) any other natural person who is related to the individual or the individual’s spouse within the second degree; and (iv) any other natural person who resides with such individual; and (c) “</w:t>
      </w:r>
      <w:r>
        <w:rPr>
          <w:rFonts w:ascii="Times New Roman" w:cs="Times New Roman" w:eastAsia="Times New Roman" w:hAnsi="Times New Roman"/>
          <w:sz w:val="18"/>
          <w:szCs w:val="18"/>
          <w:u w:val="single" w:color="auto"/>
          <w:color w:val="auto"/>
        </w:rPr>
        <w:t>Material Interest</w:t>
      </w:r>
      <w:r>
        <w:rPr>
          <w:rFonts w:ascii="Times New Roman" w:cs="Times New Roman" w:eastAsia="Times New Roman" w:hAnsi="Times New Roman"/>
          <w:sz w:val="18"/>
          <w:szCs w:val="18"/>
          <w:color w:val="auto"/>
        </w:rPr>
        <w:t>” means direct or indirect beneficial ownership (as defined in Rule 13d-3 under the Exchange Act) of voting securities or other voting interests representing at least ten percent (10%) of the outstanding voting power of a Person or equity securities or other equity interests representing at least ten percent (10%) of the outstanding equity securities or equity interests in a Person.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 Award Agreement</w:t>
      </w:r>
      <w:r>
        <w:rPr>
          <w:rFonts w:ascii="Times New Roman" w:cs="Times New Roman" w:eastAsia="Times New Roman" w:hAnsi="Times New Roman"/>
          <w:sz w:val="18"/>
          <w:szCs w:val="18"/>
          <w:color w:val="auto"/>
        </w:rPr>
        <w:t>” shall have the meaning specified in Section 2.02(h).</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 Counsel</w:t>
      </w:r>
      <w:r>
        <w:rPr>
          <w:rFonts w:ascii="Times New Roman" w:cs="Times New Roman" w:eastAsia="Times New Roman" w:hAnsi="Times New Roman"/>
          <w:sz w:val="18"/>
          <w:szCs w:val="18"/>
          <w:color w:val="auto"/>
        </w:rPr>
        <w:t>” shall mean Wilke, Fleury, Hoffelt, Gould &amp; Birney, LLP, counsel to the Company and Sellers.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Sellers’ Representative</w:t>
      </w:r>
      <w:r>
        <w:rPr>
          <w:rFonts w:ascii="Times New Roman" w:cs="Times New Roman" w:eastAsia="Times New Roman" w:hAnsi="Times New Roman"/>
          <w:sz w:val="18"/>
          <w:szCs w:val="18"/>
          <w:color w:val="auto"/>
        </w:rPr>
        <w:t>” shall mean Louay Owaidat or Bruce Diettert.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 Tax period that begins on or before the Closing Date and ends thereafter.</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Working Capital</w:t>
      </w:r>
      <w:r>
        <w:rPr>
          <w:rFonts w:ascii="Times New Roman" w:cs="Times New Roman" w:eastAsia="Times New Roman" w:hAnsi="Times New Roman"/>
          <w:sz w:val="18"/>
          <w:szCs w:val="18"/>
          <w:color w:val="auto"/>
        </w:rPr>
        <w:t>” shall mean the historical twelve (12) month average net working capital as of the most recently available month end balance sheet prior to the Closing Date, which has been definitively calculated by the Parties to equal $15,470,000.00.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ectPr>
          <w:pgSz w:w="11900" w:h="16838" w:orient="portrait"/>
          <w:cols w:equalWidth="0" w:num="1">
            <w:col w:w="11420"/>
          </w:cols>
          <w:pgMar w:left="240" w:top="270" w:right="2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all federal, state, local and foreign taxes (including excise taxes, value added taxes, occupancy taxes, employment taxes, unemployment taxes, ad valorem taxes, custom duties, transfer taxes, and fees), levies, imposts, impositions, assessments and other governmental charges of any nature imposed upon a Person, including but not limited to all taxes and governmental charges imposed upon any of the personal properties, real properties, tangible or intangible assets, income, receipts, payrolls, transactions, stock transfers, capital stock, net worth or franchises of a Person (including all sales, use, withholding or other taxes which a Person is required to collect or pay over to any government), and all related additions to tax, penalties or interest thereon.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Representations</w:t>
      </w:r>
      <w:r>
        <w:rPr>
          <w:rFonts w:ascii="Times New Roman" w:cs="Times New Roman" w:eastAsia="Times New Roman" w:hAnsi="Times New Roman"/>
          <w:sz w:val="18"/>
          <w:szCs w:val="18"/>
          <w:color w:val="auto"/>
        </w:rPr>
        <w:t xml:space="preserve">” shall mean the representations and warranties of Sellers and the Company contained in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shall mean and include all returns, statements, declarations, estimates, forms, reports, information returns and any other documents (including all consolidated, affiliated, combined or unitary versions of the same), including all related and supporting information, filed or required to be filed with any Governmental Entity in connection with the determination, assessment, reporting, payment, collection or administration of any Taxes.</w:t>
      </w:r>
    </w:p>
    <w:p>
      <w:pPr>
        <w:spacing w:after="0" w:line="176"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Representations</w:t>
      </w:r>
      <w:r>
        <w:rPr>
          <w:rFonts w:ascii="Times New Roman" w:cs="Times New Roman" w:eastAsia="Times New Roman" w:hAnsi="Times New Roman"/>
          <w:sz w:val="18"/>
          <w:szCs w:val="18"/>
          <w:color w:val="auto"/>
        </w:rPr>
        <w:t xml:space="preserve">” shall mean the representations and warranties contained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4.16(c)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shall mean the Worker Adjustment and Retraining Notification Act, as amended.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terms defined above, the following terms shall have the respective meanings given to them in the sections set forth below:</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Defined term</w:t>
            </w:r>
          </w:p>
        </w:tc>
        <w:tc>
          <w:tcPr>
            <w:tcW w:w="2660" w:type="dxa"/>
            <w:vAlign w:val="bottom"/>
          </w:tcPr>
          <w:p>
            <w:pPr>
              <w:spacing w:after="0"/>
              <w:rPr>
                <w:sz w:val="15"/>
                <w:szCs w:val="15"/>
                <w:color w:val="auto"/>
              </w:rPr>
            </w:pP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5"/>
              </w:rPr>
              <w:t>1.05(b)</w:t>
            </w:r>
          </w:p>
        </w:tc>
        <w:tc>
          <w:tcPr>
            <w:tcW w:w="0" w:type="dxa"/>
            <w:vAlign w:val="bottom"/>
          </w:tcPr>
          <w:p>
            <w:pPr>
              <w:spacing w:after="0" w:line="20" w:lineRule="exact"/>
              <w:rPr>
                <w:sz w:val="1"/>
                <w:szCs w:val="1"/>
                <w:color w:val="auto"/>
              </w:rPr>
            </w:pPr>
          </w:p>
        </w:tc>
      </w:tr>
      <w:tr>
        <w:trPr>
          <w:trHeight w:val="191"/>
        </w:trPr>
        <w:tc>
          <w:tcPr>
            <w:tcW w:w="34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2019 EBITDA Target</w:t>
            </w:r>
          </w:p>
        </w:tc>
        <w:tc>
          <w:tcPr>
            <w:tcW w:w="1220" w:type="dxa"/>
            <w:vAlign w:val="bottom"/>
            <w:vMerge w:val="continue"/>
          </w:tcPr>
          <w:p>
            <w:pPr>
              <w:spacing w:after="0"/>
              <w:rPr>
                <w:sz w:val="16"/>
                <w:szCs w:val="16"/>
                <w:color w:val="auto"/>
              </w:rPr>
            </w:pPr>
          </w:p>
        </w:tc>
        <w:tc>
          <w:tcPr>
            <w:tcW w:w="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77"/>
              </w:rPr>
              <w:t>Section</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2019 EBITDA of Purchaser</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w w:val="99"/>
              </w:rPr>
              <w:t>Section 1.05(b)</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Balance Sheet Date</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Section 4.07</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Claimant</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Section 6.03</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Section 2.01</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Balance Sheet</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w w:val="99"/>
              </w:rPr>
              <w:t>Section 1.03(a)</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Section 2.01</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 Working</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w w:val="99"/>
              </w:rPr>
              <w:t>Section 1.03(a)</w:t>
            </w: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Statement</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Cash Payment</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w w:val="99"/>
              </w:rPr>
              <w:t>Section 1.02(a)</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Competing Business</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Section 4.28</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 Information</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w w:val="99"/>
              </w:rPr>
              <w:t>Section 7.01(b)</w:t>
            </w:r>
          </w:p>
        </w:tc>
        <w:tc>
          <w:tcPr>
            <w:tcW w:w="0" w:type="dxa"/>
            <w:vAlign w:val="bottom"/>
          </w:tcPr>
          <w:p>
            <w:pPr>
              <w:spacing w:after="0"/>
              <w:rPr>
                <w:sz w:val="1"/>
                <w:szCs w:val="1"/>
                <w:color w:val="auto"/>
              </w:rPr>
            </w:pPr>
          </w:p>
        </w:tc>
      </w:tr>
      <w:tr>
        <w:trPr>
          <w:trHeight w:val="23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and Exchange Agreement</w:t>
            </w: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- 56 -</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77" w:name="page178"/>
    <w:bookmarkEnd w:id="177"/>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6"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Defined term</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91"/>
        </w:trPr>
        <w:tc>
          <w:tcPr>
            <w:tcW w:w="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Copyrights</w:t>
            </w:r>
          </w:p>
        </w:tc>
        <w:tc>
          <w:tcPr>
            <w:tcW w:w="2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77"/>
              </w:rPr>
              <w:t>Section</w:t>
            </w:r>
          </w:p>
        </w:tc>
        <w:tc>
          <w:tcPr>
            <w:tcW w:w="1000" w:type="dxa"/>
            <w:vAlign w:val="bottom"/>
          </w:tcPr>
          <w:p>
            <w:pPr>
              <w:jc w:val="right"/>
              <w:ind w:right="390"/>
              <w:spacing w:after="0" w:line="191" w:lineRule="exact"/>
              <w:rPr>
                <w:sz w:val="20"/>
                <w:szCs w:val="20"/>
                <w:color w:val="auto"/>
              </w:rPr>
            </w:pPr>
            <w:r>
              <w:rPr>
                <w:rFonts w:ascii="Times New Roman" w:cs="Times New Roman" w:eastAsia="Times New Roman" w:hAnsi="Times New Roman"/>
                <w:sz w:val="18"/>
                <w:szCs w:val="18"/>
                <w:color w:val="auto"/>
              </w:rPr>
              <w:t>11.01</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Disabling Code</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4.17(g)</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Disagreement Notice</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6.05</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 Schedules</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8"/>
              </w:rPr>
              <w:t>Article IV Preamble</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Notice</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1.03(c)</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Documentation</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11.01</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Domain Names</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11.01</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Earnout Payment</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1.05(a)</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 of Purchaser</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1.05</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Notice</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6.04</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2.02(k)</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Escrow Agent</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1.03</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Escrow Agreement</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1.03</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Working Capital</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1.03(c)</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4.06(a)</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Seller</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12.01(c)</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GLDD Stock</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1.05(c)</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Contract</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4.31(a)</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Indemnification Basket</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6.08</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Indemnification Cap</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6.08</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Indemnification Notice</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6.03</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6.03</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Indemnity Loss</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6.01</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Auditor</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1.03(c)</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Balance Sheet</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4.06(a)</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Balance Sheet Date</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4.06(a)</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Invention/Intellectual Property Agreements</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3.02(n)</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4.11</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Litigation Notice</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6.03</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Magnus Real Estate</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2.02(k)</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Marks</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11.01</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4.21</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2.02(o)</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2015 EBITDA</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1.04(b)</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2.02(j)</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1.04(a)</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Lease</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2.02(k)</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Parties</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11.01</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Plan</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4.17(b)</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Policy or Policies</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4.21(a)</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Preliminary Allocation</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1.05</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Presidio/Helens Receivables</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Section 4.33</w:t>
            </w: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w:t>
            </w:r>
          </w:p>
        </w:tc>
        <w:tc>
          <w:tcPr>
            <w:tcW w:w="25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Preamble</w:t>
            </w:r>
          </w:p>
        </w:tc>
      </w:tr>
      <w:tr>
        <w:trPr>
          <w:trHeight w:val="365"/>
        </w:trPr>
        <w:tc>
          <w:tcPr>
            <w:tcW w:w="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- 57 -</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40"/>
          </w:cols>
          <w:pgMar w:left="320" w:top="270" w:right="2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Defined term</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91"/>
        </w:trPr>
        <w:tc>
          <w:tcPr>
            <w:tcW w:w="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5"/>
              </w:rPr>
              <w:t>Purchaser’s</w:t>
            </w:r>
          </w:p>
        </w:tc>
        <w:tc>
          <w:tcPr>
            <w:tcW w:w="33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Final Working Capital Determination</w:t>
            </w:r>
          </w:p>
        </w:tc>
        <w:tc>
          <w:tcPr>
            <w:tcW w:w="580" w:type="dxa"/>
            <w:vAlign w:val="bottom"/>
          </w:tcPr>
          <w:p>
            <w:pPr>
              <w:spacing w:after="0"/>
              <w:rPr>
                <w:sz w:val="16"/>
                <w:szCs w:val="16"/>
                <w:color w:val="auto"/>
              </w:rPr>
            </w:pPr>
          </w:p>
        </w:tc>
        <w:tc>
          <w:tcPr>
            <w:tcW w:w="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77"/>
              </w:rPr>
              <w:t>Section</w:t>
            </w: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1.03(a)</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 Indemnified Parties</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6.01</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 Group</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6.01</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1.02</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Property</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4.10</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Property Leases</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4.11</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 Agreements</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3.02(l)</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Period</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7.02(a)</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506 Representative</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3.07(a)</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Sellers</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Set-Off Rights</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6.06(a)</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Agreement</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Section 2.02(m)</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11.01</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Subsequent Monthly Financial Statements</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6.03(j)</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Treatment Election</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1.06(a)</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1.05</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Secrets</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11.01</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Websites</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11.01</w:t>
            </w: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Yard Lease</w:t>
            </w:r>
          </w:p>
        </w:tc>
        <w:tc>
          <w:tcPr>
            <w:tcW w:w="1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2.02(l)</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3" w:lineRule="exact"/>
        <w:rPr>
          <w:sz w:val="20"/>
          <w:szCs w:val="20"/>
          <w:color w:val="auto"/>
        </w:rPr>
      </w:pPr>
    </w:p>
    <w:p>
      <w:pPr>
        <w:ind w:right="60" w:firstLine="91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10.01. Public Announcements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public announcement, press release or similar publicity with respect to the transactions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 or contemplated by this Agreement or any of the Related Agreements will be issued, if at all, at such time and in such manner as determined by Purchaser, unless public disclosure is necessary to comply with applicable Laws. The Company and Sellers will consult with Purchaser concerning the means by which the Company’s employees, customers, suppliers and others having dealings with the Company will be informed of the transactions provided for in or contemplated by this Agreement or any of the Related Agreements, and Purchaser will have the right to be present for any such communication.</w:t>
      </w:r>
    </w:p>
    <w:p>
      <w:pPr>
        <w:spacing w:after="0" w:line="180" w:lineRule="exact"/>
        <w:rPr>
          <w:sz w:val="20"/>
          <w:szCs w:val="20"/>
          <w:color w:val="auto"/>
        </w:rPr>
      </w:pPr>
    </w:p>
    <w:p>
      <w:pPr>
        <w:ind w:right="240" w:firstLine="91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10.02. Costs and Expenses</w:t>
      </w:r>
      <w:r>
        <w:rPr>
          <w:rFonts w:ascii="Times New Roman" w:cs="Times New Roman" w:eastAsia="Times New Roman" w:hAnsi="Times New Roman"/>
          <w:sz w:val="18"/>
          <w:szCs w:val="18"/>
          <w:color w:val="auto"/>
        </w:rPr>
        <w:t>. Whether or not the transactions contemplated by this Agreement and the Related Agreements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except as otherwise expressly provided herein, each of the Parties shall bear all expenses and costs incurred by it in connection with this Agreement and the Related Agreements and the transactions contemplated by any of them, including, without limitation, the fees and disbursements of any legal counsel, independent accountants or any other Person or representative whose services have been used by such party.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ectPr>
          <w:pgSz w:w="11900" w:h="16838" w:orient="portrait"/>
          <w:cols w:equalWidth="0" w:num="1">
            <w:col w:w="11420"/>
          </w:cols>
          <w:pgMar w:left="240" w:top="270" w:right="2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right="500" w:firstLine="913"/>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Section 10.03. 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and after the date of this Agreement, the Parties shall cooperate reasonably with each other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steps required to be taken as part of their respective obligations under this Agreement or any of the Related Agreements, and shall:</w:t>
      </w:r>
    </w:p>
    <w:p>
      <w:pPr>
        <w:spacing w:after="0" w:line="1" w:lineRule="exact"/>
        <w:rPr>
          <w:sz w:val="20"/>
          <w:szCs w:val="20"/>
          <w:color w:val="auto"/>
        </w:rPr>
      </w:pPr>
    </w:p>
    <w:p>
      <w:pPr>
        <w:ind w:right="40" w:firstLine="8"/>
        <w:spacing w:after="0" w:line="255" w:lineRule="auto"/>
        <w:tabs>
          <w:tab w:leader="none" w:pos="2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upon request to each other such further information; (b) execute and deliver to each other such other documents; and (c) do such other acts and things, all as the other party may reasonably request for the purpose of carrying out the intent of transactions contemplated by this Agreement and the Related Agreements.</w:t>
      </w:r>
    </w:p>
    <w:p>
      <w:pPr>
        <w:spacing w:after="0" w:line="182"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10.04. Addresses for Notices,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requests, demands and other communications that are required or may be given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terms of this Agreement shall be in writing, and delivery shall be deemed sufficient in all respects and to have been duly given as follows: (a) on the actual date of service if delivered personally; (b) at the time of receipt of confirmation by the transmitting party if by facsimile transmission; (c) at the time of receipt if given by electronic mail to the e-mail addresses set forth in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party sending notice by electronic delivery shall bear the burden of authentication and of proving transmittal, receipt and time of receipt; (d) on the third day after mailing if mailed by first-class mail return receipt requested, postage prepaid and properly addressed as set forth in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or (e) on the day after delivery to a nationally recognized overnight courier service during its business hours or the Express Mail service maintained by the United States Postal Service during its business hours for overnight delivery against receipt, and properly addressed as set forth in this Section:</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18"/>
        </w:trPr>
        <w:tc>
          <w:tcPr>
            <w:tcW w:w="3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If to Purchaser:</w:t>
            </w:r>
          </w:p>
        </w:tc>
        <w:tc>
          <w:tcPr>
            <w:tcW w:w="63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w w:val="99"/>
              </w:rPr>
              <w:t>Great Lakes Environmental and Infrastructure Solutions, LLC</w:t>
            </w:r>
          </w:p>
        </w:tc>
      </w:tr>
      <w:tr>
        <w:trPr>
          <w:trHeight w:val="216"/>
        </w:trPr>
        <w:tc>
          <w:tcPr>
            <w:tcW w:w="3040" w:type="dxa"/>
            <w:vAlign w:val="bottom"/>
          </w:tcPr>
          <w:p>
            <w:pPr>
              <w:spacing w:after="0"/>
              <w:rPr>
                <w:sz w:val="18"/>
                <w:szCs w:val="18"/>
                <w:color w:val="auto"/>
              </w:rPr>
            </w:pPr>
          </w:p>
        </w:tc>
        <w:tc>
          <w:tcPr>
            <w:tcW w:w="63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c/o Great Lakes Dredge and Dock Corporation</w:t>
            </w:r>
          </w:p>
        </w:tc>
      </w:tr>
      <w:tr>
        <w:trPr>
          <w:trHeight w:val="216"/>
        </w:trPr>
        <w:tc>
          <w:tcPr>
            <w:tcW w:w="3040" w:type="dxa"/>
            <w:vAlign w:val="bottom"/>
          </w:tcPr>
          <w:p>
            <w:pPr>
              <w:spacing w:after="0"/>
              <w:rPr>
                <w:sz w:val="18"/>
                <w:szCs w:val="18"/>
                <w:color w:val="auto"/>
              </w:rPr>
            </w:pPr>
          </w:p>
        </w:tc>
        <w:tc>
          <w:tcPr>
            <w:tcW w:w="63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2122 York Road</w:t>
            </w:r>
          </w:p>
        </w:tc>
      </w:tr>
      <w:tr>
        <w:trPr>
          <w:trHeight w:val="230"/>
        </w:trPr>
        <w:tc>
          <w:tcPr>
            <w:tcW w:w="3040" w:type="dxa"/>
            <w:vAlign w:val="bottom"/>
          </w:tcPr>
          <w:p>
            <w:pPr>
              <w:spacing w:after="0"/>
              <w:rPr>
                <w:sz w:val="19"/>
                <w:szCs w:val="19"/>
                <w:color w:val="auto"/>
              </w:rPr>
            </w:pPr>
          </w:p>
        </w:tc>
        <w:tc>
          <w:tcPr>
            <w:tcW w:w="63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Oak Brook, IL 60532</w:t>
            </w:r>
          </w:p>
        </w:tc>
      </w:tr>
      <w:tr>
        <w:trPr>
          <w:trHeight w:val="216"/>
        </w:trPr>
        <w:tc>
          <w:tcPr>
            <w:tcW w:w="304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Attention:</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Rima Franklin</w:t>
            </w:r>
          </w:p>
        </w:tc>
      </w:tr>
      <w:tr>
        <w:trPr>
          <w:trHeight w:val="216"/>
        </w:trPr>
        <w:tc>
          <w:tcPr>
            <w:tcW w:w="3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Bisal</w:t>
            </w:r>
          </w:p>
        </w:tc>
      </w:tr>
      <w:tr>
        <w:trPr>
          <w:trHeight w:val="216"/>
        </w:trPr>
        <w:tc>
          <w:tcPr>
            <w:tcW w:w="304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Facsimile:</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(630) 574-3007</w:t>
            </w:r>
          </w:p>
        </w:tc>
        <w:tc>
          <w:tcPr>
            <w:tcW w:w="2060" w:type="dxa"/>
            <w:vAlign w:val="bottom"/>
          </w:tcPr>
          <w:p>
            <w:pPr>
              <w:spacing w:after="0"/>
              <w:rPr>
                <w:sz w:val="18"/>
                <w:szCs w:val="18"/>
                <w:color w:val="auto"/>
              </w:rPr>
            </w:pPr>
          </w:p>
        </w:tc>
      </w:tr>
      <w:tr>
        <w:trPr>
          <w:trHeight w:val="194"/>
        </w:trPr>
        <w:tc>
          <w:tcPr>
            <w:tcW w:w="3040" w:type="dxa"/>
            <w:vAlign w:val="bottom"/>
          </w:tcPr>
          <w:p>
            <w:pPr>
              <w:spacing w:after="0"/>
              <w:rPr>
                <w:sz w:val="16"/>
                <w:szCs w:val="16"/>
                <w:color w:val="auto"/>
              </w:rPr>
            </w:pPr>
          </w:p>
        </w:tc>
        <w:tc>
          <w:tcPr>
            <w:tcW w:w="2860" w:type="dxa"/>
            <w:vAlign w:val="bottom"/>
          </w:tcPr>
          <w:p>
            <w:pPr>
              <w:ind w:left="1900"/>
              <w:spacing w:after="0" w:line="188" w:lineRule="exact"/>
              <w:rPr>
                <w:sz w:val="20"/>
                <w:szCs w:val="20"/>
                <w:color w:val="auto"/>
              </w:rPr>
            </w:pPr>
            <w:r>
              <w:rPr>
                <w:rFonts w:ascii="Times New Roman" w:cs="Times New Roman" w:eastAsia="Times New Roman" w:hAnsi="Times New Roman"/>
                <w:sz w:val="18"/>
                <w:szCs w:val="18"/>
                <w:color w:val="auto"/>
              </w:rPr>
              <w:t>E-mail:</w:t>
            </w:r>
          </w:p>
        </w:tc>
        <w:tc>
          <w:tcPr>
            <w:tcW w:w="1460" w:type="dxa"/>
            <w:vAlign w:val="bottom"/>
            <w:tcBorders>
              <w:bottom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w w:val="97"/>
              </w:rPr>
              <w:t>rfranklin@gldd.com</w:t>
            </w:r>
          </w:p>
        </w:tc>
        <w:tc>
          <w:tcPr>
            <w:tcW w:w="2060" w:type="dxa"/>
            <w:vAlign w:val="bottom"/>
          </w:tcPr>
          <w:p>
            <w:pPr>
              <w:spacing w:after="0"/>
              <w:rPr>
                <w:sz w:val="16"/>
                <w:szCs w:val="16"/>
                <w:color w:val="auto"/>
              </w:rPr>
            </w:pPr>
          </w:p>
        </w:tc>
      </w:tr>
      <w:tr>
        <w:trPr>
          <w:trHeight w:val="237"/>
        </w:trPr>
        <w:tc>
          <w:tcPr>
            <w:tcW w:w="3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rbisal@gldd.com</w:t>
            </w:r>
          </w:p>
        </w:tc>
      </w:tr>
      <w:tr>
        <w:trPr>
          <w:trHeight w:val="481"/>
        </w:trPr>
        <w:tc>
          <w:tcPr>
            <w:tcW w:w="3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With a copy to:</w:t>
            </w:r>
          </w:p>
        </w:tc>
        <w:tc>
          <w:tcPr>
            <w:tcW w:w="63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Ice Miller LLP</w:t>
            </w:r>
          </w:p>
        </w:tc>
      </w:tr>
      <w:tr>
        <w:trPr>
          <w:trHeight w:val="216"/>
        </w:trPr>
        <w:tc>
          <w:tcPr>
            <w:tcW w:w="3040" w:type="dxa"/>
            <w:vAlign w:val="bottom"/>
          </w:tcPr>
          <w:p>
            <w:pPr>
              <w:spacing w:after="0"/>
              <w:rPr>
                <w:sz w:val="18"/>
                <w:szCs w:val="18"/>
                <w:color w:val="auto"/>
              </w:rPr>
            </w:pPr>
          </w:p>
        </w:tc>
        <w:tc>
          <w:tcPr>
            <w:tcW w:w="63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2300 Cabot Drive, Suite 455</w:t>
            </w:r>
          </w:p>
        </w:tc>
      </w:tr>
      <w:tr>
        <w:trPr>
          <w:trHeight w:val="230"/>
        </w:trPr>
        <w:tc>
          <w:tcPr>
            <w:tcW w:w="3040" w:type="dxa"/>
            <w:vAlign w:val="bottom"/>
          </w:tcPr>
          <w:p>
            <w:pPr>
              <w:spacing w:after="0"/>
              <w:rPr>
                <w:sz w:val="19"/>
                <w:szCs w:val="19"/>
                <w:color w:val="auto"/>
              </w:rPr>
            </w:pPr>
          </w:p>
        </w:tc>
        <w:tc>
          <w:tcPr>
            <w:tcW w:w="63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Lisle, IL 60532</w:t>
            </w:r>
          </w:p>
        </w:tc>
      </w:tr>
      <w:tr>
        <w:trPr>
          <w:trHeight w:val="216"/>
        </w:trPr>
        <w:tc>
          <w:tcPr>
            <w:tcW w:w="304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Attention:</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 Leffelman</w:t>
            </w:r>
          </w:p>
        </w:tc>
      </w:tr>
      <w:tr>
        <w:trPr>
          <w:trHeight w:val="216"/>
        </w:trPr>
        <w:tc>
          <w:tcPr>
            <w:tcW w:w="3040" w:type="dxa"/>
            <w:vAlign w:val="bottom"/>
          </w:tcPr>
          <w:p>
            <w:pPr>
              <w:spacing w:after="0"/>
              <w:rPr>
                <w:sz w:val="18"/>
                <w:szCs w:val="18"/>
                <w:color w:val="auto"/>
              </w:rPr>
            </w:pPr>
          </w:p>
        </w:tc>
        <w:tc>
          <w:tcPr>
            <w:tcW w:w="28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Facsimile:</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(630) 955-4266</w:t>
            </w:r>
          </w:p>
        </w:tc>
        <w:tc>
          <w:tcPr>
            <w:tcW w:w="206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28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E-mail:</w:t>
            </w: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dean.leffelman@icemiller.com</w:t>
            </w:r>
          </w:p>
        </w:tc>
      </w:tr>
      <w:tr>
        <w:trPr>
          <w:trHeight w:val="427"/>
        </w:trPr>
        <w:tc>
          <w:tcPr>
            <w:tcW w:w="3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If to Sellers:</w:t>
            </w:r>
          </w:p>
        </w:tc>
        <w:tc>
          <w:tcPr>
            <w:tcW w:w="63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Louay Owaidat</w:t>
            </w:r>
          </w:p>
        </w:tc>
      </w:tr>
      <w:tr>
        <w:trPr>
          <w:trHeight w:val="216"/>
        </w:trPr>
        <w:tc>
          <w:tcPr>
            <w:tcW w:w="3040" w:type="dxa"/>
            <w:vAlign w:val="bottom"/>
          </w:tcPr>
          <w:p>
            <w:pPr>
              <w:spacing w:after="0"/>
              <w:rPr>
                <w:sz w:val="18"/>
                <w:szCs w:val="18"/>
                <w:color w:val="auto"/>
              </w:rPr>
            </w:pPr>
          </w:p>
        </w:tc>
        <w:tc>
          <w:tcPr>
            <w:tcW w:w="63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5777 Ridge Park Drive</w:t>
            </w:r>
          </w:p>
        </w:tc>
      </w:tr>
      <w:tr>
        <w:trPr>
          <w:trHeight w:val="234"/>
        </w:trPr>
        <w:tc>
          <w:tcPr>
            <w:tcW w:w="3040" w:type="dxa"/>
            <w:vAlign w:val="bottom"/>
          </w:tcPr>
          <w:p>
            <w:pPr>
              <w:spacing w:after="0"/>
              <w:rPr>
                <w:sz w:val="20"/>
                <w:szCs w:val="20"/>
                <w:color w:val="auto"/>
              </w:rPr>
            </w:pPr>
          </w:p>
        </w:tc>
        <w:tc>
          <w:tcPr>
            <w:tcW w:w="63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Loomis, CA 95650</w:t>
            </w:r>
          </w:p>
        </w:tc>
      </w:tr>
    </w:tbl>
    <w:p>
      <w:pPr>
        <w:ind w:left="5860"/>
        <w:spacing w:after="0"/>
        <w:rPr>
          <w:sz w:val="20"/>
          <w:szCs w:val="20"/>
          <w:color w:val="auto"/>
        </w:rPr>
      </w:pPr>
      <w:r>
        <w:rPr>
          <w:rFonts w:ascii="Times New Roman" w:cs="Times New Roman" w:eastAsia="Times New Roman" w:hAnsi="Times New Roman"/>
          <w:sz w:val="18"/>
          <w:szCs w:val="18"/>
          <w:color w:val="auto"/>
        </w:rPr>
        <w:t>Facsimile: (916) 783-0215</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E-mail: lowaidat@magnuspacific.com</w:t>
      </w:r>
    </w:p>
    <w:p>
      <w:pPr>
        <w:spacing w:after="0" w:line="15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- 59 -</w:t>
      </w:r>
    </w:p>
    <w:p>
      <w:pPr>
        <w:sectPr>
          <w:pgSz w:w="11900" w:h="16838" w:orient="portrait"/>
          <w:cols w:equalWidth="0" w:num="1">
            <w:col w:w="11420"/>
          </w:cols>
          <w:pgMar w:left="240" w:top="270" w:right="2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80"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ectPr>
          <w:pgSz w:w="11900" w:h="16838" w:orient="portrait"/>
          <w:cols w:equalWidth="0" w:num="1">
            <w:col w:w="11420"/>
          </w:cols>
          <w:pgMar w:left="240" w:top="270" w:right="239" w:bottom="1440" w:gutter="0" w:footer="0" w:header="0"/>
        </w:sectPr>
      </w:pP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With a copy 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Wilke, Fleury, Hoffelt, Gould &amp; Birney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Capitol Mall,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Sacramento, CA 95814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Robert R. Mirkin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(916) 442-6664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rmirkin@wilkefleury.com</w:t>
      </w:r>
    </w:p>
    <w:p>
      <w:pPr>
        <w:spacing w:after="0" w:line="200" w:lineRule="exact"/>
        <w:rPr>
          <w:sz w:val="20"/>
          <w:szCs w:val="20"/>
          <w:color w:val="auto"/>
        </w:rPr>
      </w:pPr>
    </w:p>
    <w:p>
      <w:pPr>
        <w:sectPr>
          <w:pgSz w:w="11900" w:h="16838" w:orient="portrait"/>
          <w:cols w:equalWidth="0" w:num="2">
            <w:col w:w="5220" w:space="720"/>
            <w:col w:w="5480"/>
          </w:cols>
          <w:pgMar w:left="240" w:top="270" w:right="239" w:bottom="1440" w:gutter="0" w:footer="0" w:header="0"/>
          <w:type w:val="continuous"/>
        </w:sectPr>
      </w:pPr>
    </w:p>
    <w:p>
      <w:pPr>
        <w:spacing w:after="0" w:line="20"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Any party may change its address or other contact information for notice by giving notice to each other party in accordance with the terms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In no event will delivery to a copied Person alone constitute delivery to the party represented by such copied Person.</w:t>
      </w:r>
    </w:p>
    <w:p>
      <w:pPr>
        <w:spacing w:after="0" w:line="158" w:lineRule="exact"/>
        <w:rPr>
          <w:sz w:val="20"/>
          <w:szCs w:val="20"/>
          <w:color w:val="auto"/>
        </w:rPr>
      </w:pPr>
    </w:p>
    <w:p>
      <w:pPr>
        <w:ind w:right="16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10.05. 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article, section and paragraph headings in this Agreement are for reference purposes only and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or interpretation of this Agreement.</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10.06. Construction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20" w:right="100" w:firstLine="421"/>
        <w:spacing w:after="0" w:line="261" w:lineRule="auto"/>
        <w:tabs>
          <w:tab w:leader="none" w:pos="158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the negotiation and drafting of this Agreement and the Related Agreements, and, in the event of an ambiguity or a question of intent or a need for interpretation arises, this Agreement and the Related Agreements shall be construed as if drafted jointly by the Parties and no presumption or burden of proof shall arise favoring or disfavoring any party by virtue of the authorship of any of the provisions of this Agreement or any of the Related Agreements.</w:t>
      </w:r>
    </w:p>
    <w:p>
      <w:pPr>
        <w:spacing w:after="0" w:line="71" w:lineRule="exact"/>
        <w:rPr>
          <w:rFonts w:ascii="Times New Roman" w:cs="Times New Roman" w:eastAsia="Times New Roman" w:hAnsi="Times New Roman"/>
          <w:sz w:val="18"/>
          <w:szCs w:val="18"/>
          <w:color w:val="auto"/>
        </w:rPr>
      </w:pPr>
    </w:p>
    <w:p>
      <w:pPr>
        <w:ind w:left="920" w:right="20" w:firstLine="421"/>
        <w:spacing w:after="0" w:line="266" w:lineRule="auto"/>
        <w:tabs>
          <w:tab w:leader="none" w:pos="159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in this Agreement or any of the Related Agreements (such as by “sole”, “absolute discretion”, “complete discretion”, or words of similar import), if any provision of this Agreement or any of the Related Agreements requires or provides for the consent, waiver or approval of a party, such consent, waiver or approval shall not be unreasonably withheld, conditioned or delayed.</w:t>
      </w:r>
    </w:p>
    <w:p>
      <w:pPr>
        <w:spacing w:after="0" w:line="68" w:lineRule="exact"/>
        <w:rPr>
          <w:rFonts w:ascii="Times New Roman" w:cs="Times New Roman" w:eastAsia="Times New Roman" w:hAnsi="Times New Roman"/>
          <w:sz w:val="18"/>
          <w:szCs w:val="18"/>
          <w:color w:val="auto"/>
        </w:rPr>
      </w:pPr>
    </w:p>
    <w:p>
      <w:pPr>
        <w:ind w:left="920" w:right="140" w:firstLine="421"/>
        <w:spacing w:after="0" w:line="255" w:lineRule="auto"/>
        <w:tabs>
          <w:tab w:leader="none" w:pos="158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schedules or exhibits to this Agreement or any of the Related Agreements shall be deemed adequate to disclose an exception to a representation or warranty made herein unless the schedule or exhibit identifies the exception with particularity and describes the relevant facts in reasonable detail. No investigation or review carried out by or on behalf of any party or knowledge acquired at any time, whether before or after the execution and delivery of this Agreement on the Closing Date, shall impair the rights of that party to rely upon those representations and warranties or to seek to enforce any remedies with respect to any breach or violation thereof without limiting the generality of the foregoing, any Knowledge of Purchaser of any mater relating to the Business or the Shares, whether or not disclosed in the Disclosure Schedules, shall not relieve Sellers of any liability or obligation with respect to such matter.</w:t>
      </w:r>
    </w:p>
    <w:p>
      <w:pPr>
        <w:spacing w:after="0" w:line="121"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w:t>
      </w:r>
    </w:p>
    <w:p>
      <w:pPr>
        <w:sectPr>
          <w:pgSz w:w="11900" w:h="16838" w:orient="portrait"/>
          <w:cols w:equalWidth="0" w:num="1">
            <w:col w:w="11420"/>
          </w:cols>
          <w:pgMar w:left="240" w:top="270" w:right="239" w:bottom="1440" w:gutter="0" w:footer="0" w:header="0"/>
          <w:type w:val="continuous"/>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right="260" w:firstLine="421"/>
        <w:spacing w:after="0" w:line="282" w:lineRule="auto"/>
        <w:tabs>
          <w:tab w:leader="none" w:pos="15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each breach of a covenant or agreement in this Agreement or any of the Related Agreements shall have independent significance.</w:t>
      </w:r>
    </w:p>
    <w:p>
      <w:pPr>
        <w:spacing w:after="0" w:line="53" w:lineRule="exact"/>
        <w:rPr>
          <w:rFonts w:ascii="Times New Roman" w:cs="Times New Roman" w:eastAsia="Times New Roman" w:hAnsi="Times New Roman"/>
          <w:sz w:val="18"/>
          <w:szCs w:val="18"/>
          <w:color w:val="auto"/>
        </w:rPr>
      </w:pPr>
    </w:p>
    <w:p>
      <w:pPr>
        <w:jc w:val="both"/>
        <w:ind w:left="920" w:right="80" w:firstLine="421"/>
        <w:spacing w:after="0" w:line="266" w:lineRule="auto"/>
        <w:tabs>
          <w:tab w:leader="none" w:pos="158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of any gender used in this Agreement or any of the Related Agreements shall be held and construed to include any other gender; words in the singular shall be held to include the plural and words in the plural shall be held to include the singular, unless and only to the extent the context indicates otherwise.</w:t>
      </w:r>
    </w:p>
    <w:p>
      <w:pPr>
        <w:spacing w:after="0" w:line="68" w:lineRule="exact"/>
        <w:rPr>
          <w:rFonts w:ascii="Times New Roman" w:cs="Times New Roman" w:eastAsia="Times New Roman" w:hAnsi="Times New Roman"/>
          <w:sz w:val="18"/>
          <w:szCs w:val="18"/>
          <w:color w:val="auto"/>
        </w:rPr>
      </w:pPr>
    </w:p>
    <w:p>
      <w:pPr>
        <w:ind w:left="920" w:right="280" w:firstLine="421"/>
        <w:spacing w:after="0" w:line="261" w:lineRule="auto"/>
        <w:tabs>
          <w:tab w:leader="none" w:pos="156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Law means such Law as amended, modified, codified, replaced or reenacted, in whole or in part, and in effect from time to time, including rules and regulations promulgated thereunder, and reference to any section or other provision of any Law means that provision of such Law from time to time in effect and constituting the substantive amendment, modification, codification, replacement or reenactment of such section or other provision.</w:t>
      </w:r>
    </w:p>
    <w:p>
      <w:pPr>
        <w:spacing w:after="0" w:line="71" w:lineRule="exact"/>
        <w:rPr>
          <w:rFonts w:ascii="Times New Roman" w:cs="Times New Roman" w:eastAsia="Times New Roman" w:hAnsi="Times New Roman"/>
          <w:sz w:val="18"/>
          <w:szCs w:val="18"/>
          <w:color w:val="auto"/>
        </w:rPr>
      </w:pPr>
    </w:p>
    <w:p>
      <w:pPr>
        <w:ind w:left="920" w:right="280" w:firstLine="421"/>
        <w:spacing w:after="0" w:line="282" w:lineRule="auto"/>
        <w:tabs>
          <w:tab w:leader="none" w:pos="15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 “hereof,” “hereto,” “herein,” and words of similar import shall be deemed references to this Agreement as a whole and not to any particular article, section or other provision hereof.</w:t>
      </w:r>
    </w:p>
    <w:p>
      <w:pPr>
        <w:spacing w:after="0" w:line="53"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(and with correlative meaning “include”) means including without limiting the generality of any description preceding such</w:t>
      </w:r>
    </w:p>
    <w:p>
      <w:pPr>
        <w:spacing w:after="0" w:line="27"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w:t>
      </w:r>
    </w:p>
    <w:p>
      <w:pPr>
        <w:spacing w:after="0" w:line="98"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used in the inclusive sense of “and/or.”</w:t>
      </w:r>
    </w:p>
    <w:p>
      <w:pPr>
        <w:spacing w:after="0" w:line="117" w:lineRule="exact"/>
        <w:rPr>
          <w:rFonts w:ascii="Times New Roman" w:cs="Times New Roman" w:eastAsia="Times New Roman" w:hAnsi="Times New Roman"/>
          <w:sz w:val="18"/>
          <w:szCs w:val="18"/>
          <w:color w:val="auto"/>
        </w:rPr>
      </w:pPr>
    </w:p>
    <w:p>
      <w:pPr>
        <w:ind w:left="920" w:right="160" w:firstLine="421"/>
        <w:spacing w:after="0" w:line="282" w:lineRule="auto"/>
        <w:tabs>
          <w:tab w:leader="none" w:pos="15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documents, instruments or agreements shall be deemed to refer as well to all addenda, appendices, exhibits, schedules or amendments thereto.</w:t>
      </w:r>
    </w:p>
    <w:p>
      <w:pPr>
        <w:spacing w:after="0" w:line="53" w:lineRule="exact"/>
        <w:rPr>
          <w:rFonts w:ascii="Times New Roman" w:cs="Times New Roman" w:eastAsia="Times New Roman" w:hAnsi="Times New Roman"/>
          <w:sz w:val="18"/>
          <w:szCs w:val="18"/>
          <w:color w:val="auto"/>
        </w:rPr>
      </w:pPr>
    </w:p>
    <w:p>
      <w:pPr>
        <w:ind w:left="920" w:right="400" w:firstLine="421"/>
        <w:spacing w:after="0" w:line="266" w:lineRule="auto"/>
        <w:tabs>
          <w:tab w:leader="none" w:pos="159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the Sellers are trusts, namely separate trusts for Louay Owaidat and Bruce Diettert. By signing this Agreement, both Louay Owaidat and Bruce Diettert agree that all provisions of this Agreement apply to them personally and in their capacity as trustees for their respective trusts, and that any references to “Sellers” shall apply to them individually and to their trusts.</w:t>
      </w:r>
    </w:p>
    <w:p>
      <w:pPr>
        <w:spacing w:after="0" w:line="172" w:lineRule="exact"/>
        <w:rPr>
          <w:sz w:val="20"/>
          <w:szCs w:val="20"/>
          <w:color w:val="auto"/>
        </w:rPr>
      </w:pPr>
    </w:p>
    <w:p>
      <w:pPr>
        <w:ind w:right="14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10.07. 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invalidity or unenforceability of any provision of this Agreement or any of the Related Agreements shall in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way affect the validity or enforceability of any other provision of this Agreement or any of the Related Agreements.</w:t>
      </w:r>
    </w:p>
    <w:p>
      <w:pPr>
        <w:spacing w:after="0" w:line="155"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10.08. Entire Agreement and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Related Agreements, including the Exhibits and Schedules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referred to and incorporated by reference herein and therein that form a part of this Agreement and the Related Agreements, contain the entire understanding of the Parties with respect to the subject matter of this Agreement and the Related Agreements. There are no representations, promises, warranties, covenants or undertakings other than those expressly set forth in or provided for in this Agreement or the Related Agreements. This Agreement and the Related Agreements supersede all prior agreements and understandings among the Parties hereto with respect to the transactions contemplated by this Agreement and the Related Agreements. This Agreement may not be amended, supplemented, or otherwise modified except by a written agreement executed by each of the Parties hereto.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ectPr>
          <w:pgSz w:w="11900" w:h="16838" w:orient="portrait"/>
          <w:cols w:equalWidth="0" w:num="1">
            <w:col w:w="11420"/>
          </w:cols>
          <w:pgMar w:left="240" w:top="270" w:right="2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10.09. No Waiver; Cumulative Remedies.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specifically set forth herein, the rights and remedies of the Parties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are cumulative and not alternative. No failure or delay on the part of any party in exercising any right, power or remedy under this Agreement or any of the Related Agreements will operate as a waiver of such right, power or remedy, and no single or partial exercise of any such right, power or remedy will preclude any other or further exercise of such right, power or remedy or the exercise of any other right, power or remedy. To the maximum extent permitted by applicable law, (a) no claim or right arising out of this Agreement or any of the Related Agreements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that party or of the right of the party giving such notice or demand to take further action without notice or demand as provided in this Agreement or any of the Related Agreements.</w:t>
      </w:r>
    </w:p>
    <w:p>
      <w:pPr>
        <w:spacing w:after="0" w:line="182" w:lineRule="exact"/>
        <w:rPr>
          <w:sz w:val="20"/>
          <w:szCs w:val="20"/>
          <w:color w:val="auto"/>
        </w:rPr>
      </w:pPr>
    </w:p>
    <w:p>
      <w:pPr>
        <w:ind w:right="10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10.10. Parties in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is intended to confer any rights or remedies under or by reason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any Person other than Purchaser and each of Sellers, and their respective successors and permitted assigns.</w:t>
      </w:r>
    </w:p>
    <w:p>
      <w:pPr>
        <w:spacing w:after="0" w:line="155"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10.11. Successors and Assigns;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binding upon and inure to the benefit of each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their respective successors and permitted assigns. Sellers shall not have the right to assign or delegate their rights or duties hereunder or under any of the Related Agreements, in whole or in part, without the prior written consent of Purchaser. Purchaser may, without any prior notice to or consent of any of Sellers, assign or delegate, in whole or in part, its rights and duties under this Agreement and the Related Agreements to any Affiliates or to any Person who shall acquire all or substantially all of the assets or then outstanding voting securities of Purchaser whether by purchase, merger, consolidation or otherwise. Except as expressly set forth herein, nothing in this Agreement shall confer any claim, right, interest or remedy on any Person (other than the Parties hereto) or inure to the benefit of any Person (other than the Parties hereto).</w:t>
      </w:r>
    </w:p>
    <w:p>
      <w:pPr>
        <w:spacing w:after="0" w:line="1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10.12. Governing Law; Dispute Resolution; Jurisdiction and Venue.</w:t>
      </w:r>
    </w:p>
    <w:p>
      <w:pPr>
        <w:spacing w:after="0" w:line="117" w:lineRule="exact"/>
        <w:rPr>
          <w:sz w:val="20"/>
          <w:szCs w:val="20"/>
          <w:color w:val="auto"/>
        </w:rPr>
      </w:pPr>
    </w:p>
    <w:p>
      <w:pPr>
        <w:ind w:left="920" w:right="60" w:firstLine="421"/>
        <w:spacing w:after="0" w:line="262" w:lineRule="auto"/>
        <w:tabs>
          <w:tab w:leader="none" w:pos="158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Applicable Law</w:t>
      </w:r>
      <w:r>
        <w:rPr>
          <w:rFonts w:ascii="Times New Roman" w:cs="Times New Roman" w:eastAsia="Times New Roman" w:hAnsi="Times New Roman"/>
          <w:sz w:val="18"/>
          <w:szCs w:val="18"/>
          <w:color w:val="auto"/>
        </w:rPr>
        <w:t>. The Laws of the State of Illinois shall govern the creation, interpretation, construction and enforcement of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under this Agreement and the Related Agreements and all transactions and agreements contemplated by any of them, as well as any and all claims arising out of or relating in any way to this Agreement or any of the Related Agreements, notwithstanding the choice of law rules of any other state or jurisdiction.</w:t>
      </w:r>
    </w:p>
    <w:p>
      <w:pPr>
        <w:spacing w:after="0" w:line="68" w:lineRule="exact"/>
        <w:rPr>
          <w:rFonts w:ascii="Times New Roman" w:cs="Times New Roman" w:eastAsia="Times New Roman" w:hAnsi="Times New Roman"/>
          <w:sz w:val="18"/>
          <w:szCs w:val="18"/>
          <w:color w:val="auto"/>
        </w:rPr>
      </w:pPr>
    </w:p>
    <w:p>
      <w:pPr>
        <w:ind w:left="920" w:right="740" w:firstLine="421"/>
        <w:spacing w:after="0" w:line="286" w:lineRule="auto"/>
        <w:tabs>
          <w:tab w:leader="none" w:pos="159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Court Proceedings</w:t>
      </w:r>
      <w:r>
        <w:rPr>
          <w:rFonts w:ascii="Times New Roman" w:cs="Times New Roman" w:eastAsia="Times New Roman" w:hAnsi="Times New Roman"/>
          <w:sz w:val="18"/>
          <w:szCs w:val="18"/>
          <w:color w:val="auto"/>
        </w:rPr>
        <w:t>. Any action or proceeding permitted by the terms of this Agreement to be filed in a court, which action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is brought to enforce, challenge or construe the terms or making of this Agreement or any of the Related</w:t>
      </w:r>
    </w:p>
    <w:p>
      <w:pPr>
        <w:spacing w:after="0" w:line="91"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w:t>
      </w:r>
    </w:p>
    <w:p>
      <w:pPr>
        <w:sectPr>
          <w:pgSz w:w="11900" w:h="16838" w:orient="portrait"/>
          <w:cols w:equalWidth="0" w:num="1">
            <w:col w:w="11420"/>
          </w:cols>
          <w:pgMar w:left="240" w:top="270" w:right="2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18"/>
          <w:szCs w:val="18"/>
          <w:color w:val="auto"/>
        </w:rPr>
        <w:t xml:space="preserve">Agreements, and any claims arising out of or related to this Agreement or any of the Related Agreements, shall be exclusively brought and litigated exclusively in a state or federal court having subject matter jurisdiction and located in Chicago, Illinois. For the purpose of any action or proceeding instituted with respect to any claim arising out of or related to this Agreement or any of the Related Agreements, each party hereby irrevocably submits to the exclusive jurisdiction of the state or federal courts having subject matter jurisdiction and located in Chicago, Illinois. Each party hereby irrevocably waives any objection or defense which it may now or hereafter have of improper venue, forum non conveniens, or lack of personal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Purchaser, in its sole discretion, may elect to bring any action or claim relating to or arising out of a breach by any of Seller of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7.04</w:t>
      </w:r>
      <w:r>
        <w:rPr>
          <w:rFonts w:ascii="Times New Roman" w:cs="Times New Roman" w:eastAsia="Times New Roman" w:hAnsi="Times New Roman"/>
          <w:sz w:val="18"/>
          <w:szCs w:val="18"/>
          <w:color w:val="auto"/>
        </w:rPr>
        <w:t xml:space="preserve"> of this Agreement in the county or state where the breach by any of Seller occurred or where breaching Seller can be found. Each party further irrevocably consents to the service of process out of such courts by the mailing of a copy thereof, by registered mail, postage prepaid, to the party and agrees that such service, to the fullest extent permitted by applicable laws, (i) shall be deemed in every respect effective service of process upon it in any suit, action or proceeding arising out of or related to this Agreement or any of the Related Agreements and (ii) shall be taken and held to be valid personal service upon and personal delivery to it. Nothing herein contained shall affect the right of each party to serve process in any other manner permitted by applicable laws.</w:t>
      </w:r>
    </w:p>
    <w:p>
      <w:pPr>
        <w:spacing w:after="0" w:line="187" w:lineRule="exact"/>
        <w:rPr>
          <w:sz w:val="20"/>
          <w:szCs w:val="20"/>
          <w:color w:val="auto"/>
        </w:rPr>
      </w:pPr>
    </w:p>
    <w:p>
      <w:pPr>
        <w:ind w:right="140" w:firstLine="913"/>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10.13. 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action or proceeding which is permitted under this Agreement to be filed in a court, each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expressly and irrevocably waives any right to a trial by jury in such action or proceeding, including but not limited to those actions or proceedings to enforce or defend any rights under this Agreement or any of the Related Agreements or under any amendment, consent, waiver, instrument, document or agreement delivered or which may in the future be delivered in connection with any of them or arising from any relationship existing in connection with this Agreement or any of the Related Agreements. Each party agrees that in any such action or proceeding, the matters shall be tried to a court and not to a jury.</w:t>
      </w:r>
    </w:p>
    <w:p>
      <w:pPr>
        <w:spacing w:after="0" w:line="180" w:lineRule="exact"/>
        <w:rPr>
          <w:sz w:val="20"/>
          <w:szCs w:val="20"/>
          <w:color w:val="auto"/>
        </w:rPr>
      </w:pPr>
    </w:p>
    <w:p>
      <w:pPr>
        <w:ind w:right="10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10.14.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two (2) or more counterparts, each of which shall be deemed an original,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which shall together constitute one and the same agreement. Facsimile transmission of a counterpart hereto shall constitute an original hereof.</w:t>
      </w:r>
    </w:p>
    <w:p>
      <w:pPr>
        <w:spacing w:after="0" w:line="155" w:lineRule="exact"/>
        <w:rPr>
          <w:sz w:val="20"/>
          <w:szCs w:val="20"/>
          <w:color w:val="auto"/>
        </w:rPr>
      </w:pPr>
    </w:p>
    <w:p>
      <w:pPr>
        <w:ind w:right="120" w:firstLine="913"/>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10.15. Survival of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specifically set forth elsewhere in this Agreement, all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warranties made in this Agreement or in any of the Related Agreements (or any other certificate or instrument delivered in connection with any of them) shall indefinitely survive the execution and delivery of this Agreement and the Related Agreements and the Closing.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ectPr>
          <w:pgSz w:w="11900" w:h="16838" w:orient="portrait"/>
          <w:cols w:equalWidth="0" w:num="1">
            <w:col w:w="11420"/>
          </w:cols>
          <w:pgMar w:left="240" w:top="270" w:right="2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u w:val="single" w:color="auto"/>
          <w:color w:val="auto"/>
        </w:rPr>
        <w:t>Section 10.16. Seller Representative.</w:t>
      </w:r>
    </w:p>
    <w:p>
      <w:pPr>
        <w:spacing w:after="0" w:line="121" w:lineRule="exact"/>
        <w:rPr>
          <w:sz w:val="20"/>
          <w:szCs w:val="20"/>
          <w:color w:val="auto"/>
        </w:rPr>
      </w:pPr>
    </w:p>
    <w:p>
      <w:pPr>
        <w:ind w:left="920" w:right="80" w:firstLine="421"/>
        <w:spacing w:after="0" w:line="274" w:lineRule="auto"/>
        <w:tabs>
          <w:tab w:leader="none" w:pos="158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Seller hereby appoints Louay Owaidat or Bruce Diettert as his, her or its representative to receive and provide notices under this Agreement, whether from the Purchaser or otherwise, and including any notice relating to indemnification or payments or disputes arising hereunder. The Seller Representative shall have the authority, both prior to and after the Closing Date, to, subject to the terms of this Agreement, make all decisions regarding any and all matters related to this Agreement, including, but not limited to, resolution of claims for Indemnity Losses, receipt of any funds due Sellers and, subject to the terms of this Agreement, decisions related to the Lower Presidio/St. Helens Projects, claims and/or litigation or arbitration including, but not limited to, pursuing, settling or compromising all such clams, litigation or arbitration.</w:t>
      </w:r>
    </w:p>
    <w:p>
      <w:pPr>
        <w:spacing w:after="0" w:line="65" w:lineRule="exact"/>
        <w:rPr>
          <w:rFonts w:ascii="Times New Roman" w:cs="Times New Roman" w:eastAsia="Times New Roman" w:hAnsi="Times New Roman"/>
          <w:sz w:val="17"/>
          <w:szCs w:val="17"/>
          <w:color w:val="auto"/>
        </w:rPr>
      </w:pPr>
    </w:p>
    <w:p>
      <w:pPr>
        <w:ind w:left="920" w:right="140" w:firstLine="421"/>
        <w:spacing w:after="0" w:line="266" w:lineRule="auto"/>
        <w:tabs>
          <w:tab w:leader="none" w:pos="15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Representative may be changed by a majority vote of the Sellers from time to time. In determining the outcome of the vote, Sellers shall have the number of votes corresponding to their percentage ownership of the Company immediately prior to the closing of this transaction. The change shall be effective upon written notice to Purchaser signed by at least a majority of the Sellers.</w:t>
      </w:r>
    </w:p>
    <w:p>
      <w:pPr>
        <w:spacing w:after="0" w:line="68" w:lineRule="exact"/>
        <w:rPr>
          <w:rFonts w:ascii="Times New Roman" w:cs="Times New Roman" w:eastAsia="Times New Roman" w:hAnsi="Times New Roman"/>
          <w:sz w:val="18"/>
          <w:szCs w:val="18"/>
          <w:color w:val="auto"/>
        </w:rPr>
      </w:pPr>
    </w:p>
    <w:p>
      <w:pPr>
        <w:ind w:left="920" w:right="60" w:firstLine="421"/>
        <w:spacing w:after="0" w:line="255" w:lineRule="auto"/>
        <w:tabs>
          <w:tab w:leader="none" w:pos="15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Representative has the unrestricted right, power, authority and capacity to act for and bind each Seller as their attorney-in-fact with power of attorney with respect to all matters relating to this Agreement, the Note and any Related Agreement, and any decision, act, consent or instruction of the Seller Representative, including but not limited to an amendment, extension or waiver of this Agreement, the Note or any Related Agreement, shall constitute a decision of the Sellers and shall be final, binding and conclusive upon the Sellers. Said appointment shall be considered as coupled with an interest and irrevocable until all performance and obligations under this Agreement, the Note, and the Related Agreements have been fulfilled. The Purchaser may rely upon any such decision, act, consent or instruction of the Seller Representative as being the decision, act, consent or instruction of the Sellers. Purchaser shall be obligated to communicate and negotiate with the Seller Representative with respect to all matters reserved to the Seller Representative pursuant to this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920" w:right="40" w:firstLine="421"/>
        <w:spacing w:after="0" w:line="256" w:lineRule="auto"/>
        <w:tabs>
          <w:tab w:leader="none" w:pos="15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Representative shall not have any liability for any action taken or suffered by him or omitted hereunder as Seller Representative while acting in good faith in the absence of gross negligence. The Seller Representative may, in all questions arising hereunder, rely on the advice of counsel and the Seller Representative shall not be liable to the Sellers for anything done, omitted or suffered in good faith in the absence of gross negligence by the Seller Representative based on such advice. The Seller Representative undertakes to perform such duties and only such duties as are specifically set forth in this Agreement and no implied covenants or obligations shall be read into this Agreement against the Seller Representative.</w:t>
      </w:r>
    </w:p>
    <w:p>
      <w:pPr>
        <w:spacing w:after="0" w:line="184" w:lineRule="exact"/>
        <w:rPr>
          <w:sz w:val="20"/>
          <w:szCs w:val="20"/>
          <w:color w:val="auto"/>
        </w:rPr>
      </w:pPr>
    </w:p>
    <w:p>
      <w:pPr>
        <w:ind w:right="220" w:firstLine="913"/>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10.17. Table of Contents and Captions.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Table of Contents and captions of the Articles and Sections of this Agreement are solely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convenient reference and shall not be deemed to affect the meaning or interpretation of any provision of this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ectPr>
          <w:pgSz w:w="11900" w:h="16838" w:orient="portrait"/>
          <w:cols w:equalWidth="0" w:num="1">
            <w:col w:w="11420"/>
          </w:cols>
          <w:pgMar w:left="240" w:top="270" w:right="2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10.18. Schedules, Exhibits and Certificates; Knowledge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Schedules and Exhibits referred to herein form an integral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this Agreement and shall be deemed to be part of this Agreement to the same extent as if set forth in the text of this Agreement. All statements contained in certificates and other instruments attached hereto or delivered or furnished on behalf of any party hereto shall be deemed representations and warranties of that party pursuant to this Agreement. No knowledge on the part of Purchaser or any of member of the Purchaser Group of any matter that might constitute or form the basis of a breach of any representation or warranty of Sellers shall be deemed to modify, qualify or otherwise alter in any respect any such representation or warranty, and Purchaser shall be entitled to pursue all remedies available to it under this Agreement and applicable Law in connection with any such matter.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Pages Follow]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ectPr>
          <w:pgSz w:w="11900" w:h="16838" w:orient="portrait"/>
          <w:cols w:equalWidth="0" w:num="1">
            <w:col w:w="11420"/>
          </w:cols>
          <w:pgMar w:left="240" w:top="270" w:right="239" w:bottom="1440" w:gutter="0" w:footer="0" w:header="0"/>
        </w:sectPr>
      </w:pPr>
    </w:p>
    <w:bookmarkStart w:id="186" w:name="page187"/>
    <w:bookmarkEnd w:id="186"/>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date first written above.</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GREAT LAKES ENVIRONMENTAL AND</w:t>
      </w:r>
    </w:p>
    <w:p>
      <w:pPr>
        <w:spacing w:after="0" w:line="3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INFRASTRUCTURE SOLUTIONS, LLC</w:t>
      </w:r>
      <w:r>
        <w:rPr>
          <w:rFonts w:ascii="Times New Roman" w:cs="Times New Roman" w:eastAsia="Times New Roman" w:hAnsi="Times New Roman"/>
          <w:sz w:val="18"/>
          <w:szCs w:val="18"/>
          <w:color w:val="auto"/>
        </w:rPr>
        <w:t>, a Delaware</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limited liability company</w:t>
      </w:r>
    </w:p>
    <w:p>
      <w:pPr>
        <w:spacing w:after="0" w:line="207" w:lineRule="exact"/>
        <w:rPr>
          <w:sz w:val="20"/>
          <w:szCs w:val="20"/>
          <w:color w:val="auto"/>
        </w:rPr>
      </w:pPr>
    </w:p>
    <w:p>
      <w:pPr>
        <w:ind w:left="6780"/>
        <w:spacing w:after="0"/>
        <w:tabs>
          <w:tab w:leader="none" w:pos="7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4773930</wp:posOffset>
            </wp:positionH>
            <wp:positionV relativeFrom="paragraph">
              <wp:posOffset>17145</wp:posOffset>
            </wp:positionV>
            <wp:extent cx="24269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ind w:left="6780"/>
        <w:spacing w:after="0"/>
        <w:tabs>
          <w:tab w:leader="none" w:pos="7580" w:val="left"/>
        </w:tabs>
        <w:rPr>
          <w:sz w:val="20"/>
          <w:szCs w:val="20"/>
          <w:color w:val="auto"/>
        </w:rPr>
      </w:pPr>
      <w:r>
        <w:rPr>
          <w:rFonts w:ascii="Times New Roman" w:cs="Times New Roman" w:eastAsia="Times New Roman" w:hAnsi="Times New Roman"/>
          <w:sz w:val="18"/>
          <w:szCs w:val="18"/>
          <w:color w:val="auto"/>
        </w:rPr>
        <w:t>Printed:</w:t>
        <w:tab/>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4773930</wp:posOffset>
            </wp:positionH>
            <wp:positionV relativeFrom="paragraph">
              <wp:posOffset>17145</wp:posOffset>
            </wp:positionV>
            <wp:extent cx="24269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ind w:left="6780"/>
        <w:spacing w:after="0"/>
        <w:tabs>
          <w:tab w:leader="none" w:pos="75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4773930</wp:posOffset>
            </wp:positionH>
            <wp:positionV relativeFrom="paragraph">
              <wp:posOffset>17145</wp:posOffset>
            </wp:positionV>
            <wp:extent cx="24269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S-1</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187" w:name="page188"/>
    <w:bookmarkEnd w:id="187"/>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Louay Owaidat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17145</wp:posOffset>
            </wp:positionV>
            <wp:extent cx="28987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LOUAY OWAIDAT, as Co-Trustee of the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Louay and Maya Owaidat Trust</w:t>
      </w:r>
    </w:p>
    <w:p>
      <w:pPr>
        <w:spacing w:after="0" w:line="1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S-2</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188" w:name="page189"/>
    <w:bookmarkEnd w:id="188"/>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Thomas J. Gayer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17145</wp:posOffset>
            </wp:positionV>
            <wp:extent cx="289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THOMAS J. GAYER</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S-3</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189" w:name="page190"/>
    <w:bookmarkEnd w:id="189"/>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Neal M. Siller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17145</wp:posOffset>
            </wp:positionV>
            <wp:extent cx="28987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NEAL M. SILLER</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S-4</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190" w:name="page191"/>
    <w:bookmarkEnd w:id="190"/>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Jeremy J. McKnight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17145</wp:posOffset>
            </wp:positionV>
            <wp:extent cx="28987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JEREMY J. MCKNIGHT</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S-5</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191" w:name="page192"/>
    <w:bookmarkEnd w:id="191"/>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James R.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17145</wp:posOffset>
            </wp:positionV>
            <wp:extent cx="28987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JAMES R. BEEBE</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S-6</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192" w:name="page193"/>
    <w:bookmarkEnd w:id="192"/>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L. Councilman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17145</wp:posOffset>
            </wp:positionV>
            <wp:extent cx="289877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JOHN L. COUNCILMAN</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S-7</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193" w:name="page194"/>
    <w:bookmarkEnd w:id="193"/>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Matthew D.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17145</wp:posOffset>
            </wp:positionV>
            <wp:extent cx="28987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MATTHEW D. MARKS</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S-8</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194" w:name="page195"/>
    <w:bookmarkEnd w:id="194"/>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Sean L.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17145</wp:posOffset>
            </wp:positionV>
            <wp:extent cx="28987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SEAN L. RHODES</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S-9</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195" w:name="page196"/>
    <w:bookmarkEnd w:id="195"/>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Bruce Diettert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17145</wp:posOffset>
            </wp:positionV>
            <wp:extent cx="28987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BRUCE DIETTERT, as Co-Trustee of the</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Diettert Family Revocable Trust</w:t>
      </w:r>
    </w:p>
    <w:p>
      <w:pPr>
        <w:spacing w:after="0" w:line="1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S-10</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196" w:name="page197"/>
    <w:bookmarkEnd w:id="196"/>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Gregg E. Nickel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17145</wp:posOffset>
            </wp:positionV>
            <wp:extent cx="28987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GREGG E. NICKEL</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S-11</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197" w:name="page198"/>
    <w:bookmarkEnd w:id="197"/>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James A. Dodd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17145</wp:posOffset>
            </wp:positionV>
            <wp:extent cx="28987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JAMES A. DODD</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S-12</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198" w:name="page199"/>
    <w:bookmarkEnd w:id="198"/>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Jeff H. Sallas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17145</wp:posOffset>
            </wp:positionV>
            <wp:extent cx="2898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JEFF H. SALLAS</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S-13</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199" w:name="page200"/>
    <w:bookmarkEnd w:id="199"/>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Jasen Yardley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17145</wp:posOffset>
            </wp:positionV>
            <wp:extent cx="28987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JASEN YARDLEY</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S-14</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200" w:name="page201"/>
    <w:bookmarkEnd w:id="200"/>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Solely for purposes of Section 1.04 and Section 6.02(c) hereof:</w:t>
      </w:r>
    </w:p>
    <w:p>
      <w:pPr>
        <w:spacing w:after="0" w:line="2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 xml:space="preserve">GREAT LAKES DREDGE &amp; DOCK CORPORATION, </w:t>
      </w:r>
      <w:r>
        <w:rPr>
          <w:rFonts w:ascii="Times New Roman" w:cs="Times New Roman" w:eastAsia="Times New Roman" w:hAnsi="Times New Roman"/>
          <w:sz w:val="18"/>
          <w:szCs w:val="18"/>
          <w:color w:val="auto"/>
        </w:rPr>
        <w:t>a</w:t>
      </w:r>
    </w:p>
    <w:p>
      <w:pPr>
        <w:spacing w:after="0" w:line="3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207" w:lineRule="exact"/>
        <w:rPr>
          <w:sz w:val="20"/>
          <w:szCs w:val="20"/>
          <w:color w:val="auto"/>
        </w:rPr>
      </w:pPr>
    </w:p>
    <w:tbl>
      <w:tblPr>
        <w:tblLayout w:type="fixed"/>
        <w:tblInd w:w="67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Jonathan W. Berger</w:t>
            </w:r>
          </w:p>
        </w:tc>
      </w:tr>
      <w:tr>
        <w:trPr>
          <w:trHeight w:val="33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Printed:</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Jonathan W. Berger</w:t>
            </w:r>
          </w:p>
        </w:tc>
      </w:tr>
      <w:tr>
        <w:trPr>
          <w:trHeight w:val="33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CEO</w:t>
            </w:r>
          </w:p>
        </w:tc>
      </w:tr>
    </w:tbl>
    <w:p>
      <w:pPr>
        <w:spacing w:after="0" w:line="1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S-15</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Share Purchase Agreement</w:t>
      </w:r>
    </w:p>
    <w:p>
      <w:pPr>
        <w:sectPr>
          <w:pgSz w:w="11900" w:h="16838" w:orient="portrait"/>
          <w:cols w:equalWidth="0" w:num="1">
            <w:col w:w="11340"/>
          </w:cols>
          <w:pgMar w:left="320" w:top="270" w:right="2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140" w:type="dxa"/>
            <w:vAlign w:val="bottom"/>
            <w:gridSpan w:val="2"/>
          </w:tcPr>
          <w:p>
            <w:pPr>
              <w:ind w:left="2960"/>
              <w:spacing w:after="0"/>
              <w:rPr>
                <w:sz w:val="20"/>
                <w:szCs w:val="20"/>
                <w:color w:val="auto"/>
              </w:rPr>
            </w:pPr>
            <w:r>
              <w:rPr>
                <w:rFonts w:ascii="Times New Roman" w:cs="Times New Roman" w:eastAsia="Times New Roman" w:hAnsi="Times New Roman"/>
                <w:sz w:val="18"/>
                <w:szCs w:val="18"/>
                <w:b w:val="1"/>
                <w:bCs w:val="1"/>
                <w:color w:val="auto"/>
                <w:w w:val="99"/>
              </w:rPr>
              <w:t>LIST OF SCHEDULES AND EXHIBITS</w:t>
            </w:r>
          </w:p>
        </w:tc>
      </w:tr>
      <w:tr>
        <w:trPr>
          <w:trHeight w:val="48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Schedule A</w:t>
            </w:r>
          </w:p>
        </w:tc>
        <w:tc>
          <w:tcPr>
            <w:tcW w:w="2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Working Capital Calculations</w:t>
            </w:r>
          </w:p>
        </w:tc>
        <w:tc>
          <w:tcPr>
            <w:tcW w:w="3180" w:type="dxa"/>
            <w:vAlign w:val="bottom"/>
            <w:tcBorders>
              <w:top w:val="single" w:sz="8" w:color="auto"/>
            </w:tcBorders>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Schedule B</w:t>
            </w:r>
          </w:p>
        </w:tc>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EBITDA Calculations</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Schedule C</w:t>
            </w:r>
          </w:p>
        </w:tc>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Allocation of Purchase Price</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Schedule D</w:t>
            </w:r>
          </w:p>
        </w:tc>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Employees</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Sellers/Shares</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Note</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Stock Unit Award Agreements</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Office Lease</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Yard Lease</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Spousal Consent</w:t>
            </w:r>
          </w:p>
        </w:tc>
      </w:tr>
    </w:tbl>
    <w:p>
      <w:pPr>
        <w:sectPr>
          <w:pgSz w:w="11900" w:h="16838" w:orient="portrait"/>
          <w:cols w:equalWidth="0" w:num="1">
            <w:col w:w="11420"/>
          </w:cols>
          <w:pgMar w:left="240" w:top="270" w:right="2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LIST OF DISCLOSURE SCHEDULES</w:t>
            </w:r>
          </w:p>
        </w:tc>
      </w:tr>
      <w:tr>
        <w:trPr>
          <w:trHeight w:val="48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Allocation of Purchase Price</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3.05</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Broker’s and Finder’s Fees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4.01</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Organization and Power</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4.03(a)</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Capital Structure of the Company and Related Matters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4.03(b)</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Capital Structure of the Company and Related Matters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4.04(e)</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 Conflict or Violation</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4.05</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Consents and Approvals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4.06(a)</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Financial Statements, Books and Records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4.06(c)</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Contracted Backlog</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4.06(d)</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Work in Process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4.07</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Absence of Certain Changes or Events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4.08(a)</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Tax Matters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4.08(b)</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Tax Matters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4.09</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Absence of Undisclosed Liabilities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Leased Real Property</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Equipment and Machinery</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4.15(a)</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Products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4.16(a)</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4.16(b)</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4.16(c)</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4.17(a)</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Employee Benefit Plans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4.18(a)</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Personnel; Labor Relations</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4.19(b)</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Environmental Compliance</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4.19(c)</w:t>
            </w:r>
          </w:p>
        </w:tc>
        <w:tc>
          <w:tcPr>
            <w:tcW w:w="6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Projects and Locations of Transported Hazardous Materials</w:t>
            </w:r>
          </w:p>
        </w:tc>
      </w:tr>
    </w:tbl>
    <w:p>
      <w:pPr>
        <w:sectPr>
          <w:pgSz w:w="11900" w:h="16838" w:orient="portrait"/>
          <w:cols w:equalWidth="0" w:num="1">
            <w:col w:w="11420"/>
          </w:cols>
          <w:pgMar w:left="240" w:top="270" w:right="2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4.20</w:t>
            </w:r>
          </w:p>
        </w:tc>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Licenses and Permits</w:t>
            </w:r>
          </w:p>
        </w:tc>
      </w:tr>
      <w:tr>
        <w:trPr>
          <w:trHeight w:val="432"/>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4.21</w:t>
            </w:r>
          </w:p>
        </w:tc>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Insurance; Bonds</w:t>
            </w:r>
          </w:p>
        </w:tc>
      </w:tr>
      <w:tr>
        <w:trPr>
          <w:trHeight w:val="432"/>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4.22</w:t>
            </w:r>
          </w:p>
        </w:tc>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Contracts and Commitments</w:t>
            </w:r>
          </w:p>
        </w:tc>
      </w:tr>
      <w:tr>
        <w:trPr>
          <w:trHeight w:val="432"/>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4.23</w:t>
            </w:r>
          </w:p>
        </w:tc>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Customers and Suppliers</w:t>
            </w:r>
          </w:p>
        </w:tc>
      </w:tr>
      <w:tr>
        <w:trPr>
          <w:trHeight w:val="432"/>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4.24</w:t>
            </w:r>
          </w:p>
        </w:tc>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Compliance with Law</w:t>
            </w:r>
          </w:p>
        </w:tc>
      </w:tr>
      <w:tr>
        <w:trPr>
          <w:trHeight w:val="432"/>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4.25</w:t>
            </w:r>
          </w:p>
        </w:tc>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Litigation</w:t>
            </w:r>
          </w:p>
        </w:tc>
      </w:tr>
      <w:tr>
        <w:trPr>
          <w:trHeight w:val="432"/>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4.28</w:t>
            </w:r>
          </w:p>
        </w:tc>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Relationships with Related Persons</w:t>
            </w:r>
          </w:p>
        </w:tc>
      </w:tr>
      <w:tr>
        <w:trPr>
          <w:trHeight w:val="432"/>
        </w:trPr>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5"/>
              </w:rPr>
              <w:t>4.29</w:t>
            </w:r>
          </w:p>
        </w:tc>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Broker’s and Finder’s Fees</w:t>
            </w:r>
          </w:p>
        </w:tc>
      </w:tr>
    </w:tbl>
    <w:p>
      <w:pPr>
        <w:sectPr>
          <w:pgSz w:w="11900" w:h="16838" w:orient="portrait"/>
          <w:cols w:equalWidth="0" w:num="1">
            <w:col w:w="11420"/>
          </w:cols>
          <w:pgMar w:left="240" w:top="270" w:right="2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color w:val="auto"/>
        </w:rPr>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tc>
      </w:tr>
      <w:tr>
        <w:trPr>
          <w:trHeight w:val="392"/>
        </w:trPr>
        <w:tc>
          <w:tcPr>
            <w:tcW w:w="3900" w:type="dxa"/>
            <w:vAlign w:val="bottom"/>
          </w:tcPr>
          <w:p>
            <w:pPr>
              <w:spacing w:after="0"/>
              <w:rPr>
                <w:sz w:val="24"/>
                <w:szCs w:val="24"/>
                <w:color w:val="auto"/>
              </w:rPr>
            </w:pPr>
          </w:p>
        </w:tc>
        <w:tc>
          <w:tcPr>
            <w:tcW w:w="7520" w:type="dxa"/>
            <w:vAlign w:val="bottom"/>
            <w:gridSpan w:val="3"/>
          </w:tcPr>
          <w:p>
            <w:pPr>
              <w:jc w:val="right"/>
              <w:ind w:right="4730"/>
              <w:spacing w:after="0"/>
              <w:rPr>
                <w:sz w:val="20"/>
                <w:szCs w:val="20"/>
                <w:color w:val="auto"/>
              </w:rPr>
            </w:pPr>
            <w:r>
              <w:rPr>
                <w:rFonts w:ascii="Times New Roman" w:cs="Times New Roman" w:eastAsia="Times New Roman" w:hAnsi="Times New Roman"/>
                <w:sz w:val="18"/>
                <w:szCs w:val="18"/>
                <w:b w:val="1"/>
                <w:bCs w:val="1"/>
                <w:color w:val="auto"/>
              </w:rPr>
              <w:t>PROMISSORY NOTE</w:t>
            </w:r>
          </w:p>
        </w:tc>
      </w:tr>
      <w:tr>
        <w:trPr>
          <w:trHeight w:val="457"/>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Amount to be determined</w:t>
            </w:r>
          </w:p>
        </w:tc>
        <w:tc>
          <w:tcPr>
            <w:tcW w:w="92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4, 2014</w:t>
            </w: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accordance with Paragraph 2 below</w:t>
            </w:r>
          </w:p>
        </w:tc>
        <w:tc>
          <w:tcPr>
            <w:tcW w:w="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Chicago, Illinois</w:t>
            </w:r>
          </w:p>
        </w:tc>
      </w:tr>
    </w:tbl>
    <w:p>
      <w:pPr>
        <w:spacing w:after="0" w:line="207"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GREAT LAKES DREDGE &amp; DOCK COMPANY, </w:t>
      </w:r>
      <w:r>
        <w:rPr>
          <w:rFonts w:ascii="Times New Roman" w:cs="Times New Roman" w:eastAsia="Times New Roman" w:hAnsi="Times New Roman"/>
          <w:sz w:val="18"/>
          <w:szCs w:val="18"/>
          <w:color w:val="auto"/>
        </w:rPr>
        <w:t>a Delaware corporation (hereafter the “Company”), promises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THOSE SHAREHOLDERS LISTED ON EXHIBIT A HERETO</w:t>
      </w:r>
      <w:r>
        <w:rPr>
          <w:rFonts w:ascii="Times New Roman" w:cs="Times New Roman" w:eastAsia="Times New Roman" w:hAnsi="Times New Roman"/>
          <w:sz w:val="18"/>
          <w:szCs w:val="18"/>
          <w:color w:val="auto"/>
        </w:rPr>
        <w:t xml:space="preserve"> (individually, a “Holder”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 principal amount to be determined pursuant to the terms set forth in Paragraph 2 below, together with interest, as provided herein, all without relief from valuation or appraisement laws. Interest shall accrue beginning on January 1, 2015, on the unpaid principal amount at a rate equal to five percent (5%) per annum simple interest. This Promissory Note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is subject to the following terms and conditions.</w:t>
      </w:r>
    </w:p>
    <w:p>
      <w:pPr>
        <w:spacing w:after="0" w:line="180" w:lineRule="exact"/>
        <w:rPr>
          <w:sz w:val="20"/>
          <w:szCs w:val="20"/>
          <w:color w:val="auto"/>
        </w:rPr>
      </w:pPr>
    </w:p>
    <w:p>
      <w:pPr>
        <w:ind w:right="20" w:firstLine="464"/>
        <w:spacing w:after="0" w:line="262" w:lineRule="auto"/>
        <w:tabs>
          <w:tab w:leader="none" w:pos="6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Maturity</w:t>
      </w:r>
      <w:r>
        <w:rPr>
          <w:rFonts w:ascii="Times New Roman" w:cs="Times New Roman" w:eastAsia="Times New Roman" w:hAnsi="Times New Roman"/>
          <w:sz w:val="18"/>
          <w:szCs w:val="18"/>
          <w:color w:val="auto"/>
        </w:rPr>
        <w:t>. Subject to acceleration or earlier payment as provided elsewhere in this Note, the outstanding principal amount of this Note and all unpaid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accrued hereon shall be due and payable in two equal installments, the first payment to be paid on January 1, 2017 and the second and final payment to be paid on January 1, 2018. Each installment payment shall include all unpaid and accrued interest through the end of the year immediately preceding each payment date.</w:t>
      </w:r>
    </w:p>
    <w:p>
      <w:pPr>
        <w:spacing w:after="0" w:line="176" w:lineRule="exact"/>
        <w:rPr>
          <w:rFonts w:ascii="Times New Roman" w:cs="Times New Roman" w:eastAsia="Times New Roman" w:hAnsi="Times New Roman"/>
          <w:sz w:val="18"/>
          <w:szCs w:val="18"/>
          <w:color w:val="auto"/>
        </w:rPr>
      </w:pPr>
    </w:p>
    <w:p>
      <w:pPr>
        <w:ind w:right="300" w:firstLine="464"/>
        <w:spacing w:after="0" w:line="286" w:lineRule="auto"/>
        <w:tabs>
          <w:tab w:leader="none" w:pos="6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Initial Principal</w:t>
      </w:r>
      <w:r>
        <w:rPr>
          <w:rFonts w:ascii="Times New Roman" w:cs="Times New Roman" w:eastAsia="Times New Roman" w:hAnsi="Times New Roman"/>
          <w:sz w:val="18"/>
          <w:szCs w:val="18"/>
          <w:color w:val="auto"/>
        </w:rPr>
        <w:t>. The initial principal amount of this Note shall be a sum equal to the 2014 EBITDA of Magnus Pacific Corporation (“</w:t>
      </w:r>
      <w:r>
        <w:rPr>
          <w:rFonts w:ascii="Times New Roman" w:cs="Times New Roman" w:eastAsia="Times New Roman" w:hAnsi="Times New Roman"/>
          <w:sz w:val="18"/>
          <w:szCs w:val="18"/>
          <w:u w:val="single" w:color="auto"/>
          <w:color w:val="auto"/>
        </w:rPr>
        <w:t>Magnus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reduced by TWELVE MILLION AND NO/100 dollars ($12,000,000) and multiplied by two.</w:t>
      </w:r>
    </w:p>
    <w:p>
      <w:pPr>
        <w:spacing w:after="0" w:line="154" w:lineRule="exact"/>
        <w:rPr>
          <w:rFonts w:ascii="Times New Roman" w:cs="Times New Roman" w:eastAsia="Times New Roman" w:hAnsi="Times New Roman"/>
          <w:sz w:val="18"/>
          <w:szCs w:val="18"/>
          <w:color w:val="auto"/>
        </w:rPr>
      </w:pPr>
    </w:p>
    <w:p>
      <w:pPr>
        <w:ind w:right="80" w:firstLine="464"/>
        <w:spacing w:after="0" w:line="262" w:lineRule="auto"/>
        <w:tabs>
          <w:tab w:leader="none" w:pos="6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w:t>
      </w:r>
      <w:r>
        <w:rPr>
          <w:rFonts w:ascii="Times New Roman" w:cs="Times New Roman" w:eastAsia="Times New Roman" w:hAnsi="Times New Roman"/>
          <w:sz w:val="18"/>
          <w:szCs w:val="18"/>
          <w:color w:val="auto"/>
        </w:rPr>
        <w:t>. In the event Magnus’ actual 2015 EBITDA reaches a minimum of $14,720,000.00 (the “</w:t>
      </w:r>
      <w:r>
        <w:rPr>
          <w:rFonts w:ascii="Times New Roman" w:cs="Times New Roman" w:eastAsia="Times New Roman" w:hAnsi="Times New Roman"/>
          <w:sz w:val="18"/>
          <w:szCs w:val="18"/>
          <w:u w:val="single" w:color="auto"/>
          <w:color w:val="auto"/>
        </w:rPr>
        <w:t>Minimum 2015 EBITDA</w:t>
      </w:r>
      <w:r>
        <w:rPr>
          <w:rFonts w:ascii="Times New Roman" w:cs="Times New Roman" w:eastAsia="Times New Roman" w:hAnsi="Times New Roman"/>
          <w:sz w:val="18"/>
          <w:szCs w:val="18"/>
          <w:color w:val="auto"/>
        </w:rPr>
        <w:t>”), [*] (the “</w:t>
      </w:r>
      <w:r>
        <w:rPr>
          <w:rFonts w:ascii="Times New Roman" w:cs="Times New Roman" w:eastAsia="Times New Roman" w:hAnsi="Times New Roman"/>
          <w:sz w:val="18"/>
          <w:szCs w:val="18"/>
          <w:u w:val="single" w:color="auto"/>
          <w:color w:val="auto"/>
        </w:rPr>
        <w:t>Magnus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2015 Forecasted EBITDA</w:t>
      </w:r>
      <w:r>
        <w:rPr>
          <w:rFonts w:ascii="Times New Roman" w:cs="Times New Roman" w:eastAsia="Times New Roman" w:hAnsi="Times New Roman"/>
          <w:sz w:val="18"/>
          <w:szCs w:val="18"/>
          <w:color w:val="auto"/>
        </w:rPr>
        <w:t>”), the principal value of the Note will not be subject to adjustment. In the event Magnus’ actual 2015 EBITDA is below the Minimum 2015 EBITDA, the principal amount of this Note shall be reduced by the sum the following amounts: (i) $750,000.00 and (ii) an amount equal to number of dollars by which the actual 2015 EBITDA was below the Minimum 2015 EBITDA, calculated on a dollar for dollar basis.</w:t>
      </w:r>
    </w:p>
    <w:p>
      <w:pPr>
        <w:spacing w:after="0" w:line="176" w:lineRule="exact"/>
        <w:rPr>
          <w:rFonts w:ascii="Times New Roman" w:cs="Times New Roman" w:eastAsia="Times New Roman" w:hAnsi="Times New Roman"/>
          <w:sz w:val="18"/>
          <w:szCs w:val="18"/>
          <w:color w:val="auto"/>
        </w:rPr>
      </w:pPr>
    </w:p>
    <w:p>
      <w:pPr>
        <w:ind w:right="140" w:firstLine="464"/>
        <w:spacing w:after="0" w:line="262" w:lineRule="auto"/>
        <w:tabs>
          <w:tab w:leader="none" w:pos="6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Purchase Agreement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is being executed in connection with that certain Share Purchase Agreement, dated as of the date hereof,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Great Lakes Environmental and Infrastructure Solutions, LLC (“</w:t>
      </w:r>
      <w:r>
        <w:rPr>
          <w:rFonts w:ascii="Times New Roman" w:cs="Times New Roman" w:eastAsia="Times New Roman" w:hAnsi="Times New Roman"/>
          <w:sz w:val="18"/>
          <w:szCs w:val="18"/>
          <w:u w:val="single" w:color="auto"/>
          <w:color w:val="auto"/>
        </w:rPr>
        <w:t>GLEAIS</w:t>
      </w:r>
      <w:r>
        <w:rPr>
          <w:rFonts w:ascii="Times New Roman" w:cs="Times New Roman" w:eastAsia="Times New Roman" w:hAnsi="Times New Roman"/>
          <w:sz w:val="18"/>
          <w:szCs w:val="18"/>
          <w:color w:val="auto"/>
        </w:rPr>
        <w:t>”), the Company, for purposes of Section 1.04 and 6.02(c) thereof, Magnus, and the Holders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For purposes of this Note, all capitalized terms not herein defined shall have the meanings ascribed to them in the Purchase Agreement.</w:t>
      </w:r>
    </w:p>
    <w:p>
      <w:pPr>
        <w:sectPr>
          <w:pgSz w:w="11900" w:h="16838" w:orient="portrait"/>
          <w:cols w:equalWidth="0" w:num="1">
            <w:col w:w="11420"/>
          </w:cols>
          <w:pgMar w:left="240" w:top="121" w:right="2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ind w:left="640" w:hanging="176"/>
        <w:spacing w:after="0"/>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EBITDA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this Note, the term EBITDA shall be defined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w:t>
      </w:r>
    </w:p>
    <w:p>
      <w:pPr>
        <w:spacing w:after="0" w:line="225" w:lineRule="exact"/>
        <w:rPr>
          <w:rFonts w:ascii="Times New Roman" w:cs="Times New Roman" w:eastAsia="Times New Roman" w:hAnsi="Times New Roman"/>
          <w:sz w:val="18"/>
          <w:szCs w:val="18"/>
          <w:color w:val="auto"/>
        </w:rPr>
      </w:pPr>
    </w:p>
    <w:p>
      <w:pPr>
        <w:ind w:right="220" w:firstLine="464"/>
        <w:spacing w:after="0" w:line="259" w:lineRule="auto"/>
        <w:tabs>
          <w:tab w:leader="none" w:pos="6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Payments; Prepayment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payments shall be made in an amount in accordance with each Holder’s proportionate share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attached hereto. All payments shall be made in lawful money of the United States of America at such place as the Holder hereof may from time to time designate in writing to the Company. Payment shall be credited first to the accrued interest then due and payable and the remainder applied to principal. Prepayment of this Note may be made at any time without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prepayment, the Company shall prepay the entire outstanding principal amount of this Note, together with all accrued and unpaid interest thereon.</w:t>
      </w:r>
    </w:p>
    <w:p>
      <w:pPr>
        <w:spacing w:after="0" w:line="179" w:lineRule="exact"/>
        <w:rPr>
          <w:rFonts w:ascii="Times New Roman" w:cs="Times New Roman" w:eastAsia="Times New Roman" w:hAnsi="Times New Roman"/>
          <w:sz w:val="18"/>
          <w:szCs w:val="18"/>
          <w:color w:val="auto"/>
        </w:rPr>
      </w:pPr>
    </w:p>
    <w:p>
      <w:pPr>
        <w:ind w:right="140" w:firstLine="464"/>
        <w:spacing w:after="0" w:line="262" w:lineRule="auto"/>
        <w:tabs>
          <w:tab w:leader="none" w:pos="6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color w:val="auto"/>
        </w:rPr>
        <w:t>. The Company shall be in default under this Note upon the occurrence of (any of the following being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(a) failure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principal or interest payment required under this Note within thirty (30) business days of the due date of such payment and the failure to cure such non-payment within five (5) calendar days thereafter; (b) the sale or transfer by Company of the shares of Magnus, or the sale or transfer by Magnus of its assets, other than to an entity 100% owned, directly or indirectly, by Company.</w:t>
      </w:r>
    </w:p>
    <w:p>
      <w:pPr>
        <w:spacing w:after="0" w:line="176" w:lineRule="exact"/>
        <w:rPr>
          <w:rFonts w:ascii="Times New Roman" w:cs="Times New Roman" w:eastAsia="Times New Roman" w:hAnsi="Times New Roman"/>
          <w:sz w:val="18"/>
          <w:szCs w:val="18"/>
          <w:color w:val="auto"/>
        </w:rPr>
      </w:pPr>
    </w:p>
    <w:p>
      <w:pPr>
        <w:ind w:right="40" w:firstLine="464"/>
        <w:spacing w:after="0" w:line="257" w:lineRule="auto"/>
        <w:tabs>
          <w:tab w:leader="none" w:pos="6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Remedies upon Event of Default</w:t>
      </w:r>
      <w:r>
        <w:rPr>
          <w:rFonts w:ascii="Times New Roman" w:cs="Times New Roman" w:eastAsia="Times New Roman" w:hAnsi="Times New Roman"/>
          <w:sz w:val="18"/>
          <w:szCs w:val="18"/>
          <w:color w:val="auto"/>
        </w:rPr>
        <w:t>. Upon the occurrence of an Event of Default specified in this Note, then (a) the Holder may declare the Note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due and payable without presentment, demand, protest or notice of any kind, all of which the Company expressly waives; and (b) the Holder shall have all rights and remedies, at law and in equity, conferred by statute or otherwise, and no remedy herein conferred upon the Holder is intended to be exclusive of any other remedy. Each remedy shall be cumulative and shall be in addition to every other remedy hereunder or now or hereafter existing at law, in equity, by statute or otherwise. Failure by a Holder to exercise this option shall not constitute a waiver of the right to exercise it in the event of any subsequent default.</w:t>
      </w:r>
    </w:p>
    <w:p>
      <w:pPr>
        <w:spacing w:after="0" w:line="182" w:lineRule="exact"/>
        <w:rPr>
          <w:rFonts w:ascii="Times New Roman" w:cs="Times New Roman" w:eastAsia="Times New Roman" w:hAnsi="Times New Roman"/>
          <w:sz w:val="18"/>
          <w:szCs w:val="18"/>
          <w:color w:val="auto"/>
        </w:rPr>
      </w:pPr>
    </w:p>
    <w:p>
      <w:pPr>
        <w:ind w:right="120" w:firstLine="464"/>
        <w:spacing w:after="0" w:line="262" w:lineRule="auto"/>
        <w:tabs>
          <w:tab w:leader="none" w:pos="6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Set-Off Rights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the set-off rights set forth in Paragraph 2 above, pursuant to Section 6.06 of the Purchase Agreement, so long as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money due and payable to the Holders under the terms of this Note, the Company, shall notify the Holders that the Company is reducing the amount of principal or accrued interest owed to the Holders under this Note, for any amounts to which GLEAIS may become entitled by the reason of the provisions contained in Article VI of the Purchase Agreement.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right="420" w:firstLine="464"/>
        <w:spacing w:after="0" w:line="286" w:lineRule="auto"/>
        <w:tabs>
          <w:tab w:leader="none" w:pos="72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of Seller Representative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acknowledges that Holders have delegated certain rights and powers to Louay Owaidat and Bruce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Diettert (each a “Seller Representative”) as set forth in the Purchase Agreement, the relevant portion of which reads as follows:</w:t>
      </w:r>
    </w:p>
    <w:p>
      <w:pPr>
        <w:spacing w:after="0" w:line="50" w:lineRule="exact"/>
        <w:rPr>
          <w:rFonts w:ascii="Times New Roman" w:cs="Times New Roman" w:eastAsia="Times New Roman" w:hAnsi="Times New Roman"/>
          <w:sz w:val="18"/>
          <w:szCs w:val="18"/>
          <w:color w:val="auto"/>
        </w:rPr>
      </w:pPr>
    </w:p>
    <w:p>
      <w:pPr>
        <w:ind w:right="20" w:firstLine="921"/>
        <w:spacing w:after="0" w:line="256" w:lineRule="auto"/>
        <w:tabs>
          <w:tab w:leader="none" w:pos="115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hereby appoints Louay Owaidat or Bruce Diettert as his, her or its representative to receive and provide notices under this Agreement, whether from the Purchaser or otherwise, and including any notice relating to indemnification or payments or disputes arising hereunder. The Seller Representative shall have the authority, both prior to and after the Closing Date, to, subject to the terms of this Agreement, make all decisions regarding any and all matters related to this Agreement, including, but not limited to, resolution of claims for Indemnity Losses, receipt of any funds due Sellers and, subject to the terms of this Agreement, decisions related to the Lower Presidio/St. Helens Projects, claims and/or litigation or arbitration including, but not limited to, pursuing, settling or compromising all such clams, litigation or arbitration.</w:t>
      </w:r>
    </w:p>
    <w:p>
      <w:pPr>
        <w:spacing w:after="0" w:line="79" w:lineRule="exact"/>
        <w:rPr>
          <w:rFonts w:ascii="Times New Roman" w:cs="Times New Roman" w:eastAsia="Times New Roman" w:hAnsi="Times New Roman"/>
          <w:sz w:val="18"/>
          <w:szCs w:val="18"/>
          <w:color w:val="auto"/>
        </w:rPr>
      </w:pPr>
    </w:p>
    <w:p>
      <w:pPr>
        <w:ind w:right="20" w:firstLine="921"/>
        <w:spacing w:after="0" w:line="266" w:lineRule="auto"/>
        <w:tabs>
          <w:tab w:leader="none" w:pos="116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Representative may be changed by a majority vote of the Sellers from time to time. In determining the outcome of the vote, Sellers shall have the number of votes corresponding to their percentage ownership of the Company immediately prior to the closing of this transaction. The change shall be effective upon written notice to Purchaser signed by at least a majority of the Sellers.</w:t>
      </w:r>
    </w:p>
    <w:p>
      <w:pPr>
        <w:spacing w:after="0" w:line="68" w:lineRule="exact"/>
        <w:rPr>
          <w:rFonts w:ascii="Times New Roman" w:cs="Times New Roman" w:eastAsia="Times New Roman" w:hAnsi="Times New Roman"/>
          <w:sz w:val="18"/>
          <w:szCs w:val="18"/>
          <w:color w:val="auto"/>
        </w:rPr>
      </w:pPr>
    </w:p>
    <w:p>
      <w:pPr>
        <w:ind w:right="160" w:firstLine="921"/>
        <w:spacing w:after="0" w:line="256" w:lineRule="auto"/>
        <w:tabs>
          <w:tab w:leader="none" w:pos="115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Representative has the unrestricted right, power, authority and capacity to act for and bind each Seller with respect to all matters relating to this Agreement, the Note and any Related Agreement, and any decision, act, consent or instruction of the Seller Representative, including but not limited to an amendment, extension or waiver of this Agreement, the Note or any Related Agreement, shall constitute a decision of the Sellers and shall be final, binding and conclusive upon the Sellers. The Purchaser may rely upon any such decision, act, consent or instruction of the Seller Representative as being the decision, act, consent or instruction of the Sellers. Purchaser shall be obligated to communicate and negotiate with the Seller Representative with respect to all matters reserved to the Seller Representative pursuant to this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120" w:firstLine="921"/>
        <w:spacing w:after="0" w:line="258" w:lineRule="auto"/>
        <w:tabs>
          <w:tab w:leader="none" w:pos="116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Representative shall not have any liability for any action taken or suffered by him or omitted hereunder as Seller Representative while acting in good faith in the absence of gross negligence. The Seller Representative may, in all questions arising hereunder, rely on the advice of counsel and the Seller Representative shall not be liable to the Sellers for anything done, omitted or suffered in good faith in the absence of gross negligence by the Seller Representative based on such advice. The Seller Representative undertakes to perform such duties and only such duties as are specifically set forth in this Agreement and no implied covenants or obligations shall be read into this Agreement against the Seller Representative.</w:t>
      </w:r>
    </w:p>
    <w:p>
      <w:pPr>
        <w:spacing w:after="0" w:line="184" w:lineRule="exact"/>
        <w:rPr>
          <w:sz w:val="20"/>
          <w:szCs w:val="20"/>
          <w:color w:val="auto"/>
        </w:rPr>
      </w:pPr>
    </w:p>
    <w:p>
      <w:pPr>
        <w:jc w:val="center"/>
        <w:ind w:right="100"/>
        <w:spacing w:after="0" w:line="454" w:lineRule="auto"/>
        <w:rPr>
          <w:sz w:val="20"/>
          <w:szCs w:val="20"/>
          <w:color w:val="auto"/>
        </w:rPr>
      </w:pPr>
      <w:r>
        <w:rPr>
          <w:rFonts w:ascii="Times New Roman" w:cs="Times New Roman" w:eastAsia="Times New Roman" w:hAnsi="Times New Roman"/>
          <w:sz w:val="18"/>
          <w:szCs w:val="18"/>
          <w:color w:val="auto"/>
        </w:rPr>
        <w:t>Company consents to such delegation and recognizes the authority of Seller Representative to act on behalf of Holders with respect to this Note. 3</w:t>
      </w:r>
    </w:p>
    <w:p>
      <w:pPr>
        <w:sectPr>
          <w:pgSz w:w="11900" w:h="16838" w:orient="portrait"/>
          <w:cols w:equalWidth="0" w:num="1">
            <w:col w:w="11420"/>
          </w:cols>
          <w:pgMar w:left="240" w:top="270" w:right="2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right="500" w:firstLine="464"/>
        <w:spacing w:after="0" w:line="286" w:lineRule="auto"/>
        <w:tabs>
          <w:tab w:leader="none" w:pos="7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Presentment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waives presentment, demand, notice, protest and all other demands and notices of any kind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delivery, acceptance, performance, default or enforcement of this Note.</w:t>
      </w:r>
    </w:p>
    <w:p>
      <w:pPr>
        <w:spacing w:after="0" w:line="154" w:lineRule="exact"/>
        <w:rPr>
          <w:rFonts w:ascii="Times New Roman" w:cs="Times New Roman" w:eastAsia="Times New Roman" w:hAnsi="Times New Roman"/>
          <w:sz w:val="18"/>
          <w:szCs w:val="18"/>
          <w:color w:val="auto"/>
        </w:rPr>
      </w:pPr>
    </w:p>
    <w:p>
      <w:pPr>
        <w:ind w:right="160" w:firstLine="464"/>
        <w:spacing w:after="0" w:line="262" w:lineRule="auto"/>
        <w:tabs>
          <w:tab w:leader="none" w:pos="72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of this Note shall inure to the benefit of and be binding upon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of the parties. Notwithstanding the foregoing, (a) the Holder may not assign, pledge, or otherwise transfer this Note without the prior written consent of the Company, except for transfers to affiliates and (b) the Company may not assign or transfer its obligations or liabilities hereunder, by operation of law or otherwise, without the prior written consent of the Holder.</w:t>
      </w:r>
    </w:p>
    <w:p>
      <w:pPr>
        <w:spacing w:after="0" w:line="176" w:lineRule="exact"/>
        <w:rPr>
          <w:rFonts w:ascii="Times New Roman" w:cs="Times New Roman" w:eastAsia="Times New Roman" w:hAnsi="Times New Roman"/>
          <w:sz w:val="18"/>
          <w:szCs w:val="18"/>
          <w:color w:val="auto"/>
        </w:rPr>
      </w:pPr>
    </w:p>
    <w:p>
      <w:pPr>
        <w:ind w:right="440" w:firstLine="464"/>
        <w:spacing w:after="0" w:line="286" w:lineRule="auto"/>
        <w:tabs>
          <w:tab w:leader="none" w:pos="72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and all acts and transactions pursuant hereto and the rights and obligations of the parties hereto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interpreted in accordance with the laws of the State of Illinois, without giving effect to principles of conflicts of law.</w:t>
      </w:r>
    </w:p>
    <w:p>
      <w:pPr>
        <w:spacing w:after="0" w:line="154" w:lineRule="exact"/>
        <w:rPr>
          <w:rFonts w:ascii="Times New Roman" w:cs="Times New Roman" w:eastAsia="Times New Roman" w:hAnsi="Times New Roman"/>
          <w:sz w:val="18"/>
          <w:szCs w:val="18"/>
          <w:color w:val="auto"/>
        </w:rPr>
      </w:pPr>
    </w:p>
    <w:p>
      <w:pPr>
        <w:ind w:right="40" w:firstLine="464"/>
        <w:spacing w:after="0" w:line="259" w:lineRule="auto"/>
        <w:tabs>
          <w:tab w:leader="none" w:pos="72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required or permitted by this Note shall be in writing and shall be deemed sufficient upon delivery, (a) when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personally or by a nationally-recognized delivery service (such as Federal Express or UPS), (b) if sent by electronic mail, upon confirmation of delivery when directed to the electronic mail address provided by the Company or the Holder for such purpose, or (c) forty-eight (48) hours after being deposited in the U.S. mail, as certified or registered mail, with postage prepaid, addressed to the party to be notified at such party’s address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or as provided by written notice to the other party for such purpose from time to time.</w:t>
      </w:r>
    </w:p>
    <w:p>
      <w:pPr>
        <w:spacing w:after="0" w:line="179" w:lineRule="exact"/>
        <w:rPr>
          <w:rFonts w:ascii="Times New Roman" w:cs="Times New Roman" w:eastAsia="Times New Roman" w:hAnsi="Times New Roman"/>
          <w:sz w:val="18"/>
          <w:szCs w:val="18"/>
          <w:color w:val="auto"/>
        </w:rPr>
      </w:pPr>
    </w:p>
    <w:p>
      <w:pPr>
        <w:ind w:right="60" w:firstLine="464"/>
        <w:spacing w:after="0" w:line="268" w:lineRule="auto"/>
        <w:tabs>
          <w:tab w:leader="none" w:pos="72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this Note may be amended, modified or waived only with the written consent of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Any amendment or waiver effected in accordance with this paragraph 10 shall be binding upon the Company, the Holder and each permitted assignee or transferee of the Note.</w:t>
      </w:r>
    </w:p>
    <w:p>
      <w:pPr>
        <w:spacing w:after="0" w:line="170" w:lineRule="exact"/>
        <w:rPr>
          <w:rFonts w:ascii="Times New Roman" w:cs="Times New Roman" w:eastAsia="Times New Roman" w:hAnsi="Times New Roman"/>
          <w:sz w:val="18"/>
          <w:szCs w:val="18"/>
          <w:color w:val="auto"/>
        </w:rPr>
      </w:pPr>
    </w:p>
    <w:p>
      <w:pPr>
        <w:ind w:right="120" w:firstLine="464"/>
        <w:spacing w:after="0" w:line="262" w:lineRule="auto"/>
        <w:tabs>
          <w:tab w:leader="none" w:pos="72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Costs and Attorneys’ Fees</w:t>
      </w:r>
      <w:r>
        <w:rPr>
          <w:rFonts w:ascii="Times New Roman" w:cs="Times New Roman" w:eastAsia="Times New Roman" w:hAnsi="Times New Roman"/>
          <w:sz w:val="18"/>
          <w:szCs w:val="18"/>
          <w:color w:val="auto"/>
        </w:rPr>
        <w:t>. In the event of a breach or default by the Company under this Note, the Company agrees that it shall pay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and expenses associated with any such breach or default, including, without limitation, any reasonable attorney fees and costs and other costs or expenses of collection. In the event any party to this Note should initiate a dispute regarding this Note, the prevailing party in any such dispute shall be entitled to recover from the other parties their reasonable attorneys’ fees and costs incurred in resolving such dispute.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right="600" w:firstLine="464"/>
        <w:spacing w:after="0" w:line="286" w:lineRule="auto"/>
        <w:tabs>
          <w:tab w:leader="none" w:pos="72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Invalidity</w:t>
      </w:r>
      <w:r>
        <w:rPr>
          <w:rFonts w:ascii="Times New Roman" w:cs="Times New Roman" w:eastAsia="Times New Roman" w:hAnsi="Times New Roman"/>
          <w:sz w:val="18"/>
          <w:szCs w:val="18"/>
          <w:color w:val="auto"/>
        </w:rPr>
        <w:t>. If any provision or any word, term, clause, or part of any provision of this Note shall be invalid for any reason, the same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ineffective, but the remainder of this Note and of the provision shall not be affected and shall remain in full force and effect.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executed this Note as of the day and year set forth above in Chicago, Illinois.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Jonathan W. Berger</w:t>
            </w:r>
          </w:p>
        </w:tc>
      </w:tr>
      <w:tr>
        <w:trPr>
          <w:trHeight w:val="228"/>
        </w:trPr>
        <w:tc>
          <w:tcPr>
            <w:tcW w:w="3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Jonathan W. Berger, Chief Executive Officer</w:t>
            </w: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0" w:right="2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77"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60" w:type="dxa"/>
            <w:vAlign w:val="bottom"/>
            <w:gridSpan w:val="4"/>
          </w:tcPr>
          <w:p>
            <w:pPr>
              <w:jc w:val="right"/>
              <w:ind w:right="3330"/>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920" w:type="dxa"/>
            <w:vAlign w:val="bottom"/>
            <w:gridSpan w:val="5"/>
          </w:tcPr>
          <w:p>
            <w:pPr>
              <w:jc w:val="right"/>
              <w:ind w:right="329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392"/>
        </w:trPr>
        <w:tc>
          <w:tcPr>
            <w:tcW w:w="2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Shareholder</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color w:val="auto"/>
              </w:rPr>
              <w:t>Percentage Ownership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Louay and Maya Owaidat Trust</w:t>
            </w:r>
          </w:p>
        </w:tc>
        <w:tc>
          <w:tcPr>
            <w:tcW w:w="5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rPr>
              <w:t>39.06250</w:t>
            </w:r>
          </w:p>
        </w:tc>
        <w:tc>
          <w:tcPr>
            <w:tcW w:w="2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Thomas Gayer</w:t>
            </w:r>
          </w:p>
        </w:tc>
        <w:tc>
          <w:tcPr>
            <w:tcW w:w="4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17.08984%</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Neal Siller</w:t>
            </w:r>
          </w:p>
        </w:tc>
        <w:tc>
          <w:tcPr>
            <w:tcW w:w="4920" w:type="dxa"/>
            <w:vAlign w:val="bottom"/>
            <w:gridSpan w:val="5"/>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13.90625%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Jeremy McKnight</w:t>
            </w:r>
          </w:p>
        </w:tc>
        <w:tc>
          <w:tcPr>
            <w:tcW w:w="4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5.03906%</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James Beebe</w:t>
            </w:r>
          </w:p>
        </w:tc>
        <w:tc>
          <w:tcPr>
            <w:tcW w:w="4920" w:type="dxa"/>
            <w:vAlign w:val="bottom"/>
            <w:gridSpan w:val="5"/>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3.90625%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Councilman</w:t>
            </w:r>
          </w:p>
        </w:tc>
        <w:tc>
          <w:tcPr>
            <w:tcW w:w="4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3.90625%</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Matthew Marks</w:t>
            </w:r>
          </w:p>
        </w:tc>
        <w:tc>
          <w:tcPr>
            <w:tcW w:w="4920" w:type="dxa"/>
            <w:vAlign w:val="bottom"/>
            <w:gridSpan w:val="5"/>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3.90625%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Sean Rhodes</w:t>
            </w:r>
          </w:p>
        </w:tc>
        <w:tc>
          <w:tcPr>
            <w:tcW w:w="4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3.90625%</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Diettert Family Revocable Trust</w:t>
            </w:r>
          </w:p>
        </w:tc>
        <w:tc>
          <w:tcPr>
            <w:tcW w:w="4920" w:type="dxa"/>
            <w:vAlign w:val="bottom"/>
            <w:gridSpan w:val="5"/>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3.41797%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Gregg Nickel</w:t>
            </w:r>
          </w:p>
        </w:tc>
        <w:tc>
          <w:tcPr>
            <w:tcW w:w="4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2.92969%</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James Dodd</w:t>
            </w:r>
          </w:p>
        </w:tc>
        <w:tc>
          <w:tcPr>
            <w:tcW w:w="4920" w:type="dxa"/>
            <w:vAlign w:val="bottom"/>
            <w:gridSpan w:val="5"/>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0.97656%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 Sallas</w:t>
            </w:r>
          </w:p>
        </w:tc>
        <w:tc>
          <w:tcPr>
            <w:tcW w:w="4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0.97656%</w:t>
            </w: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Jason Yardley</w:t>
            </w:r>
          </w:p>
        </w:tc>
        <w:tc>
          <w:tcPr>
            <w:tcW w:w="4920" w:type="dxa"/>
            <w:vAlign w:val="bottom"/>
            <w:gridSpan w:val="5"/>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0.97656%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XXXXXXXXXXX</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270" w:right="319" w:bottom="1440" w:gutter="0" w:footer="0" w:header="0"/>
        </w:sectPr>
      </w:pPr>
    </w:p>
    <w:bookmarkStart w:id="211" w:name="page212"/>
    <w:bookmarkEnd w:id="211"/>
    <w:p>
      <w:pPr>
        <w:jc w:val="center"/>
        <w:ind w:right="80"/>
        <w:spacing w:after="0"/>
        <w:rPr>
          <w:sz w:val="20"/>
          <w:szCs w:val="20"/>
          <w:color w:val="auto"/>
        </w:rPr>
      </w:pPr>
      <w:r>
        <w:rPr>
          <w:rFonts w:ascii="Times New Roman" w:cs="Times New Roman" w:eastAsia="Times New Roman" w:hAnsi="Times New Roman"/>
          <w:sz w:val="17"/>
          <w:szCs w:val="17"/>
          <w:color w:val="auto"/>
        </w:rPr>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225"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7"/>
          <w:szCs w:val="17"/>
          <w:b w:val="1"/>
          <w:bCs w:val="1"/>
          <w:i w:val="1"/>
          <w:i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2179955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dated November 4, 2014</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GREAT LAKES DREDGE &amp; DOCK COMPANY, LLC,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Guarantor</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LENDERS FROM TIME TO TIME PARTY HERETO</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417195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12" w:name="page213"/>
    <w:bookmarkEnd w:id="212"/>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1820" w:type="dxa"/>
            <w:vAlign w:val="bottom"/>
            <w:tcBorders>
              <w:top w:val="single" w:sz="8" w:color="auto"/>
            </w:tcBorders>
            <w:vMerge w:val="restart"/>
          </w:tcPr>
          <w:p>
            <w:pPr>
              <w:spacing w:after="0"/>
              <w:rPr>
                <w:sz w:val="24"/>
                <w:szCs w:val="24"/>
                <w:color w:val="auto"/>
              </w:rPr>
            </w:pPr>
          </w:p>
        </w:tc>
        <w:tc>
          <w:tcPr>
            <w:tcW w:w="442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1"/>
        </w:trPr>
        <w:tc>
          <w:tcPr>
            <w:tcW w:w="4800" w:type="dxa"/>
            <w:vAlign w:val="bottom"/>
            <w:vMerge w:val="continue"/>
          </w:tcPr>
          <w:p>
            <w:pPr>
              <w:spacing w:after="0"/>
              <w:rPr>
                <w:sz w:val="16"/>
                <w:szCs w:val="16"/>
                <w:color w:val="auto"/>
              </w:rPr>
            </w:pPr>
          </w:p>
        </w:tc>
        <w:tc>
          <w:tcPr>
            <w:tcW w:w="1820" w:type="dxa"/>
            <w:vAlign w:val="bottom"/>
            <w:tcBorders>
              <w:top w:val="single" w:sz="8" w:color="auto"/>
            </w:tcBorders>
            <w:vMerge w:val="continue"/>
          </w:tcPr>
          <w:p>
            <w:pPr>
              <w:spacing w:after="0"/>
              <w:rPr>
                <w:sz w:val="16"/>
                <w:szCs w:val="16"/>
                <w:color w:val="auto"/>
              </w:rPr>
            </w:pPr>
          </w:p>
        </w:tc>
        <w:tc>
          <w:tcPr>
            <w:tcW w:w="442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1.01. Certain Defined Terms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1.02. Computation of Time Periods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1.03. Accounting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THE LOAN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2.01. The Loan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2.02. Drawdown Procedures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2.03. Advance of Loan Proceeds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2.04. The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2.05. Repayment of Principal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2.06. Payments Generally; Administrative Agent’s Clawback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2.07. Sharing of Payments by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2.08. Holdback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III INTEREST AND PAYMENT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3.01. Interest Rates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3.02. Computations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3.03. Liens; Setoff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3.04. Prepayment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IV SECURITY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4.01. Grant of Security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4.02. Collateral Documents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4.03. Additional Documents,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4.04. Release of Collateral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4.05. Exercise of Powers of Attorney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4.06. Substitution of Collateral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 CONDITIONS OF BORROWING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5.01. Conditions Precedent to the Funding of the Loan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OF THE LOAN PARTIES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6.01.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 COVENANTS OF BORROWER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7.01. Affirmative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7.02. Negative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EVENTS OF DEFAULT;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8.01. Events of Default; Acceleration,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8.02. Miscellaneous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8.03. Application of Moneys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8.04. Additional Rights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240" w:top="270" w:right="319" w:bottom="1440" w:gutter="0" w:footer="0" w:header="0"/>
        </w:sectPr>
      </w:pPr>
    </w:p>
    <w:bookmarkStart w:id="213" w:name="page214"/>
    <w:bookmarkEnd w:id="213"/>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 Amendments, etc.</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 Notices, etc.</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 GOVERNING LAW</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 Service of Process and Consent to Jurisdiction; Waiver of Venue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 No Remedy Exclusive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 Payment of Costs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9.07. Further Assurances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9.08. Counterparts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9.09. Headings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9.10. Severability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9.11. Survival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9.12. WAIVER OF TRIAL BY JURY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9.13. Assignment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9.14. USA Patriot Act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9.15. Payments Set Aside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9.16. No Advisory or Fiduciary Responsibility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9.17. Electronic Execution of Assignments and Certain Other Documents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9.18. Treatment of Certain Information; Confidentiality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9.19. Accounting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9.20. Term of Agreement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9.21. Inconsistencies with Other Documents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ARTICLE X TAXES AND YIELD PROTECTION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 Taxes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 Increased Costs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10.03. Mitigation Obligations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10.04. Replacement of Lenders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0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ARTICLE XI ADMINISTRATIVE AGENT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 Appointment and Authority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 Rights as a Lender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 Exculpatory Provisions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11.04. Reliance by the Administrative Agent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11.05. Delegation of Duties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11.06. Resignation of Administrative Agent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11.07. Non-Reliance on Administrative Agent and Other Lenders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11.08. Administrative Agent May File Proofs of Claim; Credit Bidding</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11.09. Collateral and Guaranty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40"/>
          </w:cols>
          <w:pgMar w:left="240" w:top="270" w:right="31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1</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Allocated Percentage Values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2</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3</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Commitments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4</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5</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Vessels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6</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Existing Liens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Schedule 7</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Trade Names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Promissory Note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First Preferred Fleet Mortgage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Guaranty</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Loan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Administrative Questionnaire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Forms of U.S. Tax Compliance Certificate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Notice of Loan Prepayment</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60"/>
          </w:cols>
          <w:pgMar w:left="320" w:top="270" w:right="319" w:bottom="1440" w:gutter="0" w:footer="0" w:header="0"/>
        </w:sectPr>
      </w:pPr>
    </w:p>
    <w:bookmarkStart w:id="215" w:name="page216"/>
    <w:bookmarkEnd w:id="21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LOAN AND SECURITY AGREEMENT</w:t>
      </w:r>
    </w:p>
    <w:p>
      <w:pPr>
        <w:spacing w:after="0" w:line="229" w:lineRule="exact"/>
        <w:rPr>
          <w:sz w:val="20"/>
          <w:szCs w:val="20"/>
          <w:color w:val="auto"/>
        </w:rPr>
      </w:pPr>
    </w:p>
    <w:p>
      <w:pPr>
        <w:ind w:right="520" w:firstLine="456"/>
        <w:spacing w:after="0" w:line="289" w:lineRule="auto"/>
        <w:rPr>
          <w:sz w:val="20"/>
          <w:szCs w:val="20"/>
          <w:color w:val="auto"/>
        </w:rPr>
      </w:pPr>
      <w:r>
        <w:rPr>
          <w:rFonts w:ascii="Times New Roman" w:cs="Times New Roman" w:eastAsia="Times New Roman" w:hAnsi="Times New Roman"/>
          <w:sz w:val="17"/>
          <w:szCs w:val="17"/>
          <w:color w:val="auto"/>
        </w:rPr>
        <w:t>THIS LOAN AND SECURITY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November 4, 2014, is made by and among GREAT LAKES DREDGE &amp; DOCK CORPORATION, a Delaware corporation (the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GREAT LAKES DREDGE &amp; DOCK COMPANY, LLC, a Delaware limited liability company (the “</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the Lenders from time to time party hereto and BANK OF AMERICA, N.A., as Administrative Agent.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WHEREAS, the Borrower has made application to the Lenders for a term loan in the aggregate principal amount of $50,000,000, the proceeds of which will be used for the working capital and general corporate purposes of the Borrower and its Subsidiaries, including, without limitation, to finance in part the construction of an articulated tug and dredge;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Guarantor is the sole owner of the Vessels and Equipment (each as hereinafter defined); and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Lenders are willing to make such loan to the Borrower, subject to, and upon to the terms and conditions set forth in, this Agreement.</w:t>
      </w:r>
    </w:p>
    <w:p>
      <w:pPr>
        <w:spacing w:after="0" w:line="225" w:lineRule="exact"/>
        <w:rPr>
          <w:sz w:val="20"/>
          <w:szCs w:val="20"/>
          <w:color w:val="auto"/>
        </w:rPr>
      </w:pPr>
    </w:p>
    <w:p>
      <w:pPr>
        <w:ind w:right="40" w:firstLine="456"/>
        <w:spacing w:after="0" w:line="313" w:lineRule="auto"/>
        <w:rPr>
          <w:sz w:val="20"/>
          <w:szCs w:val="20"/>
          <w:color w:val="auto"/>
        </w:rPr>
      </w:pPr>
      <w:r>
        <w:rPr>
          <w:rFonts w:ascii="Times New Roman" w:cs="Times New Roman" w:eastAsia="Times New Roman" w:hAnsi="Times New Roman"/>
          <w:sz w:val="17"/>
          <w:szCs w:val="17"/>
          <w:color w:val="auto"/>
        </w:rPr>
        <w:t>NOW, THEREFORE, in consideration of the premises and mutual covenants and agreements herein contained, and for other good and valuable consideration, the receipt and sufficiency whereof are hereby acknowledged, and intending to be legally bound hereby, the parties do hereby agree as follows: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As used in this Agreement, the following terms have the following meanings (such to be equally applicable to the singular and plural forms of the terms defined):</w:t>
      </w:r>
    </w:p>
    <w:p>
      <w:pPr>
        <w:spacing w:after="0" w:line="54"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(or any of its designated branch offices or affiliates) in its capacity as administrative agent under any of the Loan Documents, or any successor administrative agent.</w:t>
      </w:r>
    </w:p>
    <w:p>
      <w:pPr>
        <w:spacing w:after="0" w:line="162"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or such other address or account as the Administrative Agent may from time to time notify the Borrower and the Lenders.</w:t>
      </w:r>
    </w:p>
    <w:p>
      <w:pPr>
        <w:spacing w:after="0" w:line="162"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xml:space="preserve">” means an Administrative Questionnaire in substantially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or any other form approved by the Administrative Agent.</w:t>
      </w:r>
    </w:p>
    <w:p>
      <w:pPr>
        <w:spacing w:after="0" w:line="162"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w:t>
      </w:r>
    </w:p>
    <w:p>
      <w:pPr>
        <w:sectPr>
          <w:pgSz w:w="11900" w:h="16838" w:orient="portrait"/>
          <w:cols w:equalWidth="0" w:num="1">
            <w:col w:w="11420"/>
          </w:cols>
          <w:pgMar w:left="240" w:top="270" w:right="239" w:bottom="1440" w:gutter="0" w:footer="0" w:header="0"/>
        </w:sectPr>
      </w:pPr>
    </w:p>
    <w:bookmarkStart w:id="216" w:name="page217"/>
    <w:bookmarkEnd w:id="21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common Control with the Person specified.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6" w:lineRule="exact"/>
        <w:rPr>
          <w:sz w:val="20"/>
          <w:szCs w:val="20"/>
          <w:color w:val="auto"/>
        </w:rPr>
      </w:pPr>
    </w:p>
    <w:p>
      <w:pPr>
        <w:ind w:right="1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introductory paragraph hereto, as the same may be amended, restated, supplemented or otherwise modified in writing from time to time.</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Allocated Percentage Value</w:t>
      </w:r>
      <w:r>
        <w:rPr>
          <w:rFonts w:ascii="Times New Roman" w:cs="Times New Roman" w:eastAsia="Times New Roman" w:hAnsi="Times New Roman"/>
          <w:sz w:val="18"/>
          <w:szCs w:val="18"/>
          <w:color w:val="auto"/>
        </w:rPr>
        <w:t xml:space="preserve">” means the percentage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applicable to each Vessel and the Equipment.</w:t>
      </w:r>
    </w:p>
    <w:p>
      <w:pPr>
        <w:spacing w:after="0" w:line="225"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collectively, all applicable international, foreign, federal, state and local statutes, treaties, conventions,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and decrees of courts or any Governmental Authority.</w:t>
      </w:r>
    </w:p>
    <w:p>
      <w:pPr>
        <w:spacing w:after="0" w:line="180"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the percentage (carried out to the ninth decimal place) of the Facility represented by (i) on or prior to the Closing Date, such Lender’s Commitment at such time and (ii) thereafter, the outstanding principal amount of such Lender’s Loans at such time. The Applicable Percentage of each Lender in respect of the Facility is set forth opposite the name of such Lender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or in the Assignment and Assumption pursuant to which such Lender becomes a party hereto, as applicable.</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Appraiser</w:t>
      </w:r>
      <w:r>
        <w:rPr>
          <w:rFonts w:ascii="Times New Roman" w:cs="Times New Roman" w:eastAsia="Times New Roman" w:hAnsi="Times New Roman"/>
          <w:sz w:val="18"/>
          <w:szCs w:val="18"/>
          <w:color w:val="auto"/>
        </w:rPr>
        <w:t>” means North American Marine Consultants, LLC, or such other appraiser reasonably satisfactory to the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right="8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or any other form (including an electronic documentation form generated by use of an electronic platform) approved by the Administrative Agent.</w:t>
      </w:r>
    </w:p>
    <w:p>
      <w:pPr>
        <w:spacing w:after="0" w:line="176"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Auditors</w:t>
      </w:r>
      <w:r>
        <w:rPr>
          <w:rFonts w:ascii="Times New Roman" w:cs="Times New Roman" w:eastAsia="Times New Roman" w:hAnsi="Times New Roman"/>
          <w:sz w:val="18"/>
          <w:szCs w:val="18"/>
          <w:color w:val="auto"/>
        </w:rPr>
        <w:t>” means Deloitte &amp; Touche LLP or such other independent certified public accounting firm of recognized national standing reasonably acceptable to the Administrative Agent.</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BAML</w:t>
      </w:r>
      <w:r>
        <w:rPr>
          <w:rFonts w:ascii="Times New Roman" w:cs="Times New Roman" w:eastAsia="Times New Roman" w:hAnsi="Times New Roman"/>
          <w:sz w:val="18"/>
          <w:szCs w:val="18"/>
          <w:color w:val="auto"/>
        </w:rPr>
        <w:t>” means Banc of America Leasing &amp; Capital, LLC and its successors.</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217" w:name="page218"/>
    <w:bookmarkEnd w:id="21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the Bankruptcy Act of 1978, as amended or otherwise modified from time to time.</w:t>
      </w:r>
    </w:p>
    <w:p>
      <w:pPr>
        <w:spacing w:after="0" w:line="225"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Bonding Agreement</w:t>
      </w:r>
      <w:r>
        <w:rPr>
          <w:rFonts w:ascii="Times New Roman" w:cs="Times New Roman" w:eastAsia="Times New Roman" w:hAnsi="Times New Roman"/>
          <w:sz w:val="18"/>
          <w:szCs w:val="18"/>
          <w:color w:val="auto"/>
        </w:rPr>
        <w:t>” means, collectively, the Zurich Agreement and any supplement thereto or replacement thereof, and any similar contractual arrangement entered into by the Borrower or any of its Subsidiaries with providers of bid, performance or payment bonds.</w:t>
      </w:r>
    </w:p>
    <w:p>
      <w:pPr>
        <w:spacing w:after="0" w:line="162" w:lineRule="exact"/>
        <w:rPr>
          <w:sz w:val="20"/>
          <w:szCs w:val="20"/>
          <w:color w:val="auto"/>
        </w:rPr>
      </w:pPr>
    </w:p>
    <w:p>
      <w:pPr>
        <w:ind w:right="32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Bonding Obligations</w:t>
      </w:r>
      <w:r>
        <w:rPr>
          <w:rFonts w:ascii="Times New Roman" w:cs="Times New Roman" w:eastAsia="Times New Roman" w:hAnsi="Times New Roman"/>
          <w:sz w:val="18"/>
          <w:szCs w:val="18"/>
          <w:color w:val="auto"/>
        </w:rPr>
        <w:t>” means (a) obligations incurred by the Borrower and its Subsidiaries (including guaranties thereof) with respect to bid, payment, performance, surety, appeal or similar bonds and completion guaranties in the ordinary course of business and (b) obligations incurred by the Borrower and its Subsidiaries (including guaranties thereof) under any Bonding Agreement.</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borrowing consisting of simultaneous Loans.</w:t>
      </w:r>
    </w:p>
    <w:p>
      <w:pPr>
        <w:spacing w:after="0" w:line="225" w:lineRule="exact"/>
        <w:rPr>
          <w:sz w:val="20"/>
          <w:szCs w:val="20"/>
          <w:color w:val="auto"/>
        </w:rPr>
      </w:pPr>
    </w:p>
    <w:p>
      <w:pPr>
        <w:ind w:right="6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Applicable Law of, or are in fact closed in, Chicago, Illinois or the state where the Administrative Agent’s Office is located.</w:t>
      </w:r>
    </w:p>
    <w:p>
      <w:pPr>
        <w:spacing w:after="0" w:line="162"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the occurrence, after the Closing Date, of any of the following: (a) the adoption or taking effect of any law, rule, regulation, treaty or convention, (b) any change in any law, rule, regulation, treaty or convention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of the making of the Loans.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collectively, the Vessels, the Equipment and all other collateral now or hereafter granted to the Administrative Agent, for the benefit of the Secured Parties, as collateral for the Borrower’s Obligations.</w:t>
      </w:r>
    </w:p>
    <w:p>
      <w:pPr>
        <w:spacing w:after="0" w:line="162"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each Lender, its obligation to make Loans to 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in an aggregate principal amount at any one time outstanding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not to exceed the amount set forth opposite such Lender’s name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under the caption “Commitment” or opposite such caption in the Assignment and Assumption pursuant to which such Lender becomes a party hereto, as applicable, as such amount may be adjusted from time to time in accordance with this Agreement. The Commitment of all of the Lenders on the Closing Date shall be $50,000,000.</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right="2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which with the giving of notice or lapse of time, or both, would constitute an Event of Default.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 of America.</w:t>
      </w:r>
    </w:p>
    <w:p>
      <w:pPr>
        <w:spacing w:after="0" w:line="225" w:lineRule="exact"/>
        <w:rPr>
          <w:sz w:val="20"/>
          <w:szCs w:val="20"/>
          <w:color w:val="auto"/>
        </w:rPr>
      </w:pPr>
    </w:p>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9.13(b)(iii)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means any employee benefit plan within the meaning of Section 3(2) of ERISA that is maintained for employees of any Loan Party or any ERISA Affiliate including any Pension Plan that has at any time within the preceding six (6) years been maintained, funded or administered for the employees of any Loan Party or any current or former ERISA Affiliate.</w:t>
      </w:r>
    </w:p>
    <w:p>
      <w:pPr>
        <w:spacing w:after="0" w:line="176"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ind w:right="100" w:firstLine="913"/>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exposure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sectPr>
      </w:pPr>
    </w:p>
    <w:bookmarkStart w:id="219" w:name="page220"/>
    <w:bookmarkEnd w:id="219"/>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62" w:lineRule="exact"/>
        <w:rPr>
          <w:sz w:val="20"/>
          <w:szCs w:val="20"/>
          <w:color w:val="auto"/>
        </w:rPr>
      </w:pPr>
    </w:p>
    <w:p>
      <w:pPr>
        <w:ind w:right="260" w:firstLine="91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xml:space="preserve">” means the items, units and groups of personal property, licensed materials and fixtures described in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hereto, together with all replacements, parts, additions, improvements, accessories and substitutions therefor in accordance with the terms of this Agreement; and “</w:t>
      </w:r>
      <w:r>
        <w:rPr>
          <w:rFonts w:ascii="Times New Roman" w:cs="Times New Roman" w:eastAsia="Times New Roman" w:hAnsi="Times New Roman"/>
          <w:sz w:val="18"/>
          <w:szCs w:val="18"/>
          <w:u w:val="single" w:color="auto"/>
          <w:color w:val="auto"/>
        </w:rPr>
        <w:t>item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means a commercial unit of such property which in commercial usage is treated as a single whole, division of which materially impairs its character or value on the market or in use, and includes each functionally integrated and separately marketable group or unit of Equipment and may be a single article (such as a machine) or a set of articles (such as a suite of furniture or a line of machinery).</w:t>
      </w:r>
    </w:p>
    <w:p>
      <w:pPr>
        <w:spacing w:after="0" w:line="184" w:lineRule="exact"/>
        <w:rPr>
          <w:sz w:val="20"/>
          <w:szCs w:val="20"/>
          <w:color w:val="auto"/>
        </w:rPr>
      </w:pPr>
    </w:p>
    <w:p>
      <w:pPr>
        <w:ind w:right="26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 Utilization Agreement</w:t>
      </w:r>
      <w:r>
        <w:rPr>
          <w:rFonts w:ascii="Times New Roman" w:cs="Times New Roman" w:eastAsia="Times New Roman" w:hAnsi="Times New Roman"/>
          <w:sz w:val="18"/>
          <w:szCs w:val="18"/>
          <w:color w:val="auto"/>
        </w:rPr>
        <w:t>” means the Equipment Utilization Agreement, dated as of the date hereof, among the Borrower, certain Subsidiaries of the Borrower as indemnitors, Wells Fargo Bank, National Association, as Administrative Agent under the Existing Credit Agreement and Zurich, as surety thereunder, as may be amended, restated, supplemented or otherwise modified in writing from time to time in accordance with the terms thereof.</w:t>
      </w:r>
    </w:p>
    <w:p>
      <w:pPr>
        <w:spacing w:after="0" w:line="180"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who together with any Loan Party or any of its Subsidiaries is treated as a single employer within the meaning of Section 414(b), (c), (m) or (o) of the Code or Section 4001(b) of ERISA.</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13"/>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Taxes</w:t>
      </w:r>
      <w:r>
        <w:rPr>
          <w:rFonts w:ascii="Times New Roman" w:cs="Times New Roman" w:eastAsia="Times New Roman" w:hAnsi="Times New Roman"/>
          <w:sz w:val="17"/>
          <w:szCs w:val="17"/>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ind w:right="160" w:firstLine="8"/>
        <w:spacing w:after="0" w:line="255" w:lineRule="auto"/>
        <w:tabs>
          <w:tab w:leader="none" w:pos="21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240" w:top="270" w:right="319" w:bottom="1440" w:gutter="0" w:footer="0" w:header="0"/>
        </w:sectPr>
      </w:pPr>
    </w:p>
    <w:bookmarkStart w:id="220" w:name="page221"/>
    <w:bookmarkEnd w:id="220"/>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payable to or for the account of such Lender with respect to an applicable interest in a Loan or Commitment pursuant to a law in effect on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which (i) such Lender acquires such interest in the Loan or Commitment (other than pursuant to an assignment request by the Borrower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10.01(a)(ii)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such Taxes were payable either to such Lender’s assignor immediately before such Lender became a party hereto or to such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10.01(e)</w:t>
      </w:r>
      <w:r>
        <w:rPr>
          <w:rFonts w:ascii="Times New Roman" w:cs="Times New Roman" w:eastAsia="Times New Roman" w:hAnsi="Times New Roman"/>
          <w:sz w:val="18"/>
          <w:szCs w:val="18"/>
          <w:color w:val="auto"/>
        </w:rPr>
        <w:t xml:space="preserve"> and (d) any U.S.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Taxes imposed pursuant to FATCA.</w:t>
      </w:r>
    </w:p>
    <w:p>
      <w:pPr>
        <w:spacing w:after="0" w:line="207"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Credit Agreement dated as of June 4, 2012, as amended, restated, supplemented, modified, refinanced or replaced from time to time, by and among Great Lakes Dredge &amp; Dock Corporation, as Borrower, the other Credit Parties party thereto, the financial institutions from time to time party thereto as lenders and Wells Fargo Bank, National Association, as Administrative Agent, Swingline Lender and an Issuing Lender.</w:t>
      </w:r>
    </w:p>
    <w:p>
      <w:pPr>
        <w:spacing w:after="0" w:line="180" w:lineRule="exact"/>
        <w:rPr>
          <w:sz w:val="20"/>
          <w:szCs w:val="20"/>
          <w:color w:val="auto"/>
        </w:rPr>
      </w:pPr>
    </w:p>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at any time, (a) on or prior to the Closing Date, the aggregate amount of the Commitments at such time and (b) thereafter, the aggregate principal amount of the Loans of all Lenders outstanding at such time.</w:t>
      </w:r>
    </w:p>
    <w:p>
      <w:pPr>
        <w:spacing w:after="0" w:line="162" w:lineRule="exact"/>
        <w:rPr>
          <w:sz w:val="20"/>
          <w:szCs w:val="20"/>
          <w:color w:val="auto"/>
        </w:rPr>
      </w:pPr>
    </w:p>
    <w:p>
      <w:pPr>
        <w:ind w:right="50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76" w:lineRule="exact"/>
        <w:rPr>
          <w:sz w:val="20"/>
          <w:szCs w:val="20"/>
          <w:color w:val="auto"/>
        </w:rPr>
      </w:pPr>
    </w:p>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88" w:lineRule="exact"/>
        <w:rPr>
          <w:sz w:val="20"/>
          <w:szCs w:val="20"/>
          <w:color w:val="auto"/>
        </w:rPr>
      </w:pPr>
    </w:p>
    <w:p>
      <w:pPr>
        <w:jc w:val="both"/>
        <w:ind w:right="16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76"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Fleet Mortgage</w:t>
      </w:r>
      <w:r>
        <w:rPr>
          <w:rFonts w:ascii="Times New Roman" w:cs="Times New Roman" w:eastAsia="Times New Roman" w:hAnsi="Times New Roman"/>
          <w:sz w:val="18"/>
          <w:szCs w:val="18"/>
          <w:color w:val="auto"/>
        </w:rPr>
        <w:t xml:space="preserve">” means the First Preferred Fleet Mortgage,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to be executed and delivered by the Guarantor in favor of the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40"/>
          </w:cols>
          <w:pgMar w:left="240" w:top="270" w:right="319" w:bottom="1440" w:gutter="0" w:footer="0" w:header="0"/>
        </w:sectPr>
      </w:pPr>
    </w:p>
    <w:bookmarkStart w:id="221" w:name="page222"/>
    <w:bookmarkEnd w:id="221"/>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Administrative Agent, for the benefit of the Secured Parties, and recorded with NVDC, as the same may be amended, restated, supplemented or otherwise modified in writing from time to time.</w:t>
      </w:r>
    </w:p>
    <w:p>
      <w:pPr>
        <w:spacing w:after="0" w:line="162" w:lineRule="exact"/>
        <w:rPr>
          <w:sz w:val="20"/>
          <w:szCs w:val="20"/>
          <w:color w:val="auto"/>
        </w:rPr>
      </w:pPr>
    </w:p>
    <w:p>
      <w:pPr>
        <w:ind w:right="3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right="26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Generally Accepted Accounting Principles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0"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the Financial Conduct Authority, the Prudential Regulation Authority and any supra-national bodies such as the European Union or the European Central Bank).</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right="14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 that certain Guaranty, dated the date hereof, and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pursuant to which the Guarantor shall unconditionally and irrevocably guarantee all Obligations of the Borrower to the Secured Parties, as the same may be amended, restated, supplemented or otherwise modified in writing from time to time.</w:t>
      </w:r>
    </w:p>
    <w:p>
      <w:pPr>
        <w:spacing w:after="0" w:line="176"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Holdback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Holdback Appraisal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the Borrower under any Loan Document and (b) to the extent not otherwise described in clause (a), Other Taxes.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40"/>
          </w:cols>
          <w:pgMar w:left="240" w:top="270" w:right="31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Appraisal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13"/>
        <w:spacing w:after="0" w:line="3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Insurances</w:t>
      </w:r>
      <w:r>
        <w:rPr>
          <w:rFonts w:ascii="Times New Roman" w:cs="Times New Roman" w:eastAsia="Times New Roman" w:hAnsi="Times New Roman"/>
          <w:sz w:val="17"/>
          <w:szCs w:val="17"/>
          <w:color w:val="auto"/>
        </w:rPr>
        <w:t>” means all policies and contracts of insurance (whether issued in the commercial market or by the United States) and all entries of the Vessels in a protection and indemnity or war risks association or club, which are from time to time taken out or entered into in respect of the Vessels.</w:t>
      </w:r>
    </w:p>
    <w:p>
      <w:pPr>
        <w:spacing w:after="0" w:line="1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ISM Code</w:t>
      </w:r>
      <w:r>
        <w:rPr>
          <w:rFonts w:ascii="Times New Roman" w:cs="Times New Roman" w:eastAsia="Times New Roman" w:hAnsi="Times New Roman"/>
          <w:sz w:val="18"/>
          <w:szCs w:val="18"/>
          <w:color w:val="auto"/>
        </w:rPr>
        <w:t>” means, in relation to its application to the Borrower, any Vessel and its operation, the International Safety Management Code (including the guidelines on its implementation) adopted by the International Maritime Organization (“</w:t>
      </w:r>
      <w:r>
        <w:rPr>
          <w:rFonts w:ascii="Times New Roman" w:cs="Times New Roman" w:eastAsia="Times New Roman" w:hAnsi="Times New Roman"/>
          <w:sz w:val="18"/>
          <w:szCs w:val="18"/>
          <w:u w:val="single" w:color="auto"/>
          <w:color w:val="auto"/>
        </w:rPr>
        <w:t>IMO</w:t>
      </w:r>
      <w:r>
        <w:rPr>
          <w:rFonts w:ascii="Times New Roman" w:cs="Times New Roman" w:eastAsia="Times New Roman" w:hAnsi="Times New Roman"/>
          <w:sz w:val="18"/>
          <w:szCs w:val="18"/>
          <w:color w:val="auto"/>
        </w:rPr>
        <w:t>”) as Resolution A.741(18) and Resolution A.913(22) (superseding Resolution A.788(19)), as the same may be amended, supplemented or replaced from time to time (and the terms “safety management system”, “Safety Management Certificate” and “Document of Compliance” have the meanings specified in the ISM Code).</w:t>
      </w:r>
    </w:p>
    <w:p>
      <w:pPr>
        <w:spacing w:after="0" w:line="180" w:lineRule="exact"/>
        <w:rPr>
          <w:sz w:val="20"/>
          <w:szCs w:val="20"/>
          <w:color w:val="auto"/>
        </w:rPr>
      </w:pPr>
    </w:p>
    <w:p>
      <w:pPr>
        <w:jc w:val="both"/>
        <w:ind w:right="16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ISPS Code</w:t>
      </w:r>
      <w:r>
        <w:rPr>
          <w:rFonts w:ascii="Times New Roman" w:cs="Times New Roman" w:eastAsia="Times New Roman" w:hAnsi="Times New Roman"/>
          <w:sz w:val="18"/>
          <w:szCs w:val="18"/>
          <w:color w:val="auto"/>
        </w:rPr>
        <w:t>” means, in relation to its application to the Borrower, any Vessel and its operation, the International Ship and Port Facility Security Code constituted pursuant to resolution A.924(22) of the IMO adopted by a Diplomatic Conference of the IMO on Maritime Security on 13 December 2002 and now set out in Chapter XI-2 of the Safety of Life at Sea Convention (SOLAS) 1974 (as amended).</w:t>
      </w:r>
    </w:p>
    <w:p>
      <w:pPr>
        <w:spacing w:after="0" w:line="176" w:lineRule="exact"/>
        <w:rPr>
          <w:sz w:val="20"/>
          <w:szCs w:val="20"/>
          <w:color w:val="auto"/>
        </w:rPr>
      </w:pPr>
    </w:p>
    <w:p>
      <w:pPr>
        <w:ind w:right="5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each of the Persons identified as a “Lender” on the signature pages hereto, each other Person that becomes a “Lender” in accordance with this Agreement and, their successors and assigns.</w:t>
      </w:r>
    </w:p>
    <w:p>
      <w:pPr>
        <w:spacing w:after="0" w:line="162" w:lineRule="exact"/>
        <w:rPr>
          <w:sz w:val="20"/>
          <w:szCs w:val="20"/>
          <w:color w:val="auto"/>
        </w:rPr>
      </w:pPr>
    </w:p>
    <w:p>
      <w:pPr>
        <w:ind w:right="10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the Administrative Agent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76"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with respect to any asset, any mortgage, leasehold mortgage, lien, pledge, charge, security interest, hypothecation or encumbrance of any kind in respect of such asset. For the purposes of this Agreement, a Person shall be deemed to own subject to a Lien any asset which it has acquired or holds subject to the interest of a vendor or lessor under any conditional sale agreement, capital lease or other title retention agreement relating to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 operating lease in and of itself be deemed a Lien regardless of GAAP treatment.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223" w:name="page224"/>
    <w:bookmarkEnd w:id="223"/>
    <w:p>
      <w:pPr>
        <w:jc w:val="center"/>
        <w:ind w:right="-5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00" w:right="22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advance made by a Lender to the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 collectively, this Agreement, the Notes, the Fleet Mortgage, the Guaranty, and all other documents now or hereafter executed and delivered, to evidence, secure, or guarantee, or in connection with, this Agreement.</w:t>
      </w:r>
    </w:p>
    <w:p>
      <w:pPr>
        <w:spacing w:after="0" w:line="162" w:lineRule="exact"/>
        <w:rPr>
          <w:sz w:val="20"/>
          <w:szCs w:val="20"/>
          <w:color w:val="auto"/>
        </w:rPr>
      </w:pPr>
    </w:p>
    <w:p>
      <w:pPr>
        <w:jc w:val="both"/>
        <w:ind w:right="2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Notice</w:t>
      </w:r>
      <w:r>
        <w:rPr>
          <w:rFonts w:ascii="Times New Roman" w:cs="Times New Roman" w:eastAsia="Times New Roman" w:hAnsi="Times New Roman"/>
          <w:sz w:val="18"/>
          <w:szCs w:val="18"/>
          <w:color w:val="auto"/>
        </w:rPr>
        <w:t xml:space="preserve">” means a notice of the Borrowing, which shall be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 and the Guarantor.</w:t>
      </w:r>
    </w:p>
    <w:p>
      <w:pPr>
        <w:spacing w:after="0" w:line="225"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effect on the properties, business, operations, assets, liabilities or condition (financial or otherwise) of the Borrower and its Subsidiaries, taken as a whole, (b) a material impairment of the rights and remedies of the Administrative Agent or any Lender under any Loan Document or (c) a material impairment of the legality, validity, binding effect or enforceability against any Loan Party of any Loan Document to which it is a party.</w:t>
      </w:r>
    </w:p>
    <w:p>
      <w:pPr>
        <w:spacing w:after="0" w:line="180" w:lineRule="exact"/>
        <w:rPr>
          <w:sz w:val="20"/>
          <w:szCs w:val="20"/>
          <w:color w:val="auto"/>
        </w:rPr>
      </w:pPr>
    </w:p>
    <w:p>
      <w:pPr>
        <w:ind w:right="52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November 4, 2019,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date is not a Business Day, the Maturity Date shall be the next preceding Business Day.</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Orderly Liquidation Value Percentage</w:t>
      </w:r>
      <w:r>
        <w:rPr>
          <w:rFonts w:ascii="Times New Roman" w:cs="Times New Roman" w:eastAsia="Times New Roman" w:hAnsi="Times New Roman"/>
          <w:sz w:val="18"/>
          <w:szCs w:val="18"/>
          <w:color w:val="auto"/>
        </w:rPr>
        <w:t>” shall mean 125%.</w:t>
      </w:r>
    </w:p>
    <w:p>
      <w:pPr>
        <w:spacing w:after="0" w:line="225" w:lineRule="exact"/>
        <w:rPr>
          <w:sz w:val="20"/>
          <w:szCs w:val="20"/>
          <w:color w:val="auto"/>
        </w:rPr>
      </w:pPr>
    </w:p>
    <w:p>
      <w:pPr>
        <w:ind w:right="5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any Loan Party or any ERISA Affiliate is making, or is accruing an obligation to make, or has accrued an obligation to make contributions within the preceding six (6) years.</w:t>
      </w:r>
    </w:p>
    <w:p>
      <w:pPr>
        <w:spacing w:after="0" w:line="162" w:lineRule="exact"/>
        <w:rPr>
          <w:sz w:val="20"/>
          <w:szCs w:val="20"/>
          <w:color w:val="auto"/>
        </w:rPr>
      </w:pPr>
    </w:p>
    <w:p>
      <w:pPr>
        <w:ind w:right="4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(b) has been approved by the Required Lenders.</w:t>
      </w:r>
    </w:p>
    <w:p>
      <w:pPr>
        <w:spacing w:after="0" w:line="162"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the Borrower in favor of a Lender evidencing Loans made by such Lender,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the same may be amended, restated, supplemented or otherwise modified in writing from time to time.</w:t>
      </w:r>
    </w:p>
    <w:p>
      <w:pPr>
        <w:spacing w:after="0" w:line="162"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Loan Prepayment</w:t>
      </w:r>
      <w:r>
        <w:rPr>
          <w:rFonts w:ascii="Times New Roman" w:cs="Times New Roman" w:eastAsia="Times New Roman" w:hAnsi="Times New Roman"/>
          <w:sz w:val="18"/>
          <w:szCs w:val="18"/>
          <w:color w:val="auto"/>
        </w:rPr>
        <w:t xml:space="preserve">” means a notice of prepayment with respect to a Loan, which shall be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270" w:right="299" w:bottom="1440" w:gutter="0" w:footer="0" w:header="0"/>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NVDC</w:t>
      </w:r>
      <w:r>
        <w:rPr>
          <w:rFonts w:ascii="Times New Roman" w:cs="Times New Roman" w:eastAsia="Times New Roman" w:hAnsi="Times New Roman"/>
          <w:sz w:val="18"/>
          <w:szCs w:val="18"/>
          <w:color w:val="auto"/>
        </w:rPr>
        <w:t>” means the National Vessel Documentation Center, U.S. Coast Guard, located in Falling Waters, West Virginia.</w:t>
      </w:r>
    </w:p>
    <w:p>
      <w:pPr>
        <w:spacing w:after="0" w:line="225"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w:t>
      </w:r>
      <w:r>
        <w:rPr>
          <w:rFonts w:ascii="Times New Roman" w:cs="Times New Roman" w:eastAsia="Times New Roman" w:hAnsi="Times New Roman"/>
          <w:sz w:val="18"/>
          <w:szCs w:val="18"/>
          <w:color w:val="auto"/>
        </w:rPr>
        <w:t>” means (a) all advances to, and debts, liabilities, obligations, covenants and duties of, any Loan Party arising under any Loan Document or otherwise with respect to any Loan and (b) all costs and expenses incurred in connection with the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any Loan Party or any Affiliate thereof pursuant to any proceeding under any Debtor Relief Laws naming such Person as the debtor in such proceeding, regardless of whether such interest and fees are allowed claims in such proceeding. For purposes hereof, the Borrower’s Obligations under the Loan Documents include, without limitation, the timely payment of all (i) principal, interest, Prepayment Fees, late charges, certain other fees and expenses (including, without limitation, reasonable attorneys’ fees and expenses), disbursements, indemnities and any other amounts payable by the Borrower to the Lenders or the Administrative Agent, including, but not limited to, those under or pursuant to the Loan Documents; and (ii) any amount which the Lenders and the Administrative Agent, in their sole discretion, may elect to pay or advance on the behalf of any Loan Party pursuant to and in accordance with the terms of the Loan Documents.</w:t>
      </w:r>
    </w:p>
    <w:p>
      <w:pPr>
        <w:spacing w:after="0" w:line="19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Orderly Liquidation Value</w:t>
      </w:r>
      <w:r>
        <w:rPr>
          <w:rFonts w:ascii="Times New Roman" w:cs="Times New Roman" w:eastAsia="Times New Roman" w:hAnsi="Times New Roman"/>
          <w:sz w:val="18"/>
          <w:szCs w:val="18"/>
          <w:color w:val="auto"/>
        </w:rPr>
        <w:t>” means the orderly liquidation value of the Collateral, as determined by an Approved Appraiser.</w:t>
      </w:r>
    </w:p>
    <w:p>
      <w:pPr>
        <w:spacing w:after="0" w:line="225" w:lineRule="exact"/>
        <w:rPr>
          <w:sz w:val="20"/>
          <w:szCs w:val="20"/>
          <w:color w:val="auto"/>
        </w:rPr>
      </w:pPr>
    </w:p>
    <w:p>
      <w:pPr>
        <w:ind w:right="42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with respect to Loans, the aggregate outstanding principal amount thereof after giving effect to any borrowings and prepayments or repayments of Loans, as the case may be, occurring on such date.</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5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9.13(d)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 agency.</w:t>
      </w:r>
    </w:p>
    <w:p>
      <w:pPr>
        <w:spacing w:after="0" w:line="225" w:lineRule="exact"/>
        <w:rPr>
          <w:sz w:val="20"/>
          <w:szCs w:val="20"/>
          <w:color w:val="auto"/>
        </w:rPr>
      </w:pPr>
    </w:p>
    <w:p>
      <w:pPr>
        <w:ind w:right="18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Benefit Plan, other than a Multiemployer Plan, which is subject to the provisions of Title IV of ERISA or Section 412 of the Code and which (a) is maintained, funded or administered for the employees of any Loan Party or any ERISA Affiliate or (b) has at any time within the preceding six (6) years been maintained, funded or administered for the employees of any Loan Party or any current or former ERISA Affiliates.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60" w:hanging="239"/>
        <w:spacing w:after="0"/>
        <w:tabs>
          <w:tab w:leader="none" w:pos="11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the Loan Documents;</w:t>
      </w:r>
    </w:p>
    <w:p>
      <w:pPr>
        <w:spacing w:after="0" w:line="225" w:lineRule="exact"/>
        <w:rPr>
          <w:rFonts w:ascii="Times New Roman" w:cs="Times New Roman" w:eastAsia="Times New Roman" w:hAnsi="Times New Roman"/>
          <w:sz w:val="18"/>
          <w:szCs w:val="18"/>
          <w:color w:val="auto"/>
        </w:rPr>
      </w:pPr>
    </w:p>
    <w:p>
      <w:pPr>
        <w:ind w:right="760" w:firstLine="921"/>
        <w:spacing w:after="0" w:line="282" w:lineRule="auto"/>
        <w:tabs>
          <w:tab w:leader="none" w:pos="116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on the Closing Date and described on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xml:space="preserve"> and any modifications, replacements, renewals, refinancings or extensions thereof;</w:t>
      </w:r>
    </w:p>
    <w:p>
      <w:pPr>
        <w:spacing w:after="0" w:line="161" w:lineRule="exact"/>
        <w:rPr>
          <w:rFonts w:ascii="Times New Roman" w:cs="Times New Roman" w:eastAsia="Times New Roman" w:hAnsi="Times New Roman"/>
          <w:sz w:val="18"/>
          <w:szCs w:val="18"/>
          <w:color w:val="auto"/>
        </w:rPr>
      </w:pPr>
    </w:p>
    <w:p>
      <w:pPr>
        <w:ind w:right="320" w:firstLine="921"/>
        <w:spacing w:after="0" w:line="276" w:lineRule="auto"/>
        <w:tabs>
          <w:tab w:leader="none" w:pos="1158"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for taxes, assessments and other governmental charges or levies (excluding any Lien imposed pursuant to any of the provisions of ERISA or Environmental Laws) (i) not yet due or as to which the period of grace (not to exceed thirty (30) days), if any, related thereto has not expired or</w:t>
      </w:r>
    </w:p>
    <w:p>
      <w:pPr>
        <w:ind w:right="20" w:firstLine="8"/>
        <w:spacing w:after="0" w:line="261" w:lineRule="auto"/>
        <w:tabs>
          <w:tab w:leader="none" w:pos="26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being contested in good faith and by appropriate proceedings being diligently pursued if adequate reserves are maintained to the extent required by GAAP;</w:t>
      </w:r>
    </w:p>
    <w:p>
      <w:pPr>
        <w:spacing w:after="0" w:line="179" w:lineRule="exact"/>
        <w:rPr>
          <w:rFonts w:ascii="Times New Roman" w:cs="Times New Roman" w:eastAsia="Times New Roman" w:hAnsi="Times New Roman"/>
          <w:sz w:val="18"/>
          <w:szCs w:val="18"/>
          <w:color w:val="auto"/>
        </w:rPr>
      </w:pPr>
    </w:p>
    <w:p>
      <w:pPr>
        <w:ind w:right="260" w:firstLine="921"/>
        <w:spacing w:after="0" w:line="258" w:lineRule="auto"/>
        <w:tabs>
          <w:tab w:leader="none" w:pos="116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landlords, carriers, warehousemen, mechanics, materialmen, repairmen, construction contractors or other like Liens (including, without limitation, Liens for crew’s wages, and salvage (including contract salvage) and for repairs, supplies, bunkers, services, wharfage, harbor dues and canal tolls) arising in the ordinary course of business which secure amounts not overdue for a period of more than sixty (60) days or if more than sixty (60) days overdue, are unfiled and no other action has been taken to enforce such Lien or which are being contested in good faith and by appropriate proceedings being diligently pursued, if adequate reserves with respect thereto are maintained on the books of the Borrower or its Subsidiaries;</w:t>
      </w:r>
    </w:p>
    <w:p>
      <w:pPr>
        <w:spacing w:after="0" w:line="183" w:lineRule="exact"/>
        <w:rPr>
          <w:rFonts w:ascii="Times New Roman" w:cs="Times New Roman" w:eastAsia="Times New Roman" w:hAnsi="Times New Roman"/>
          <w:sz w:val="18"/>
          <w:szCs w:val="18"/>
          <w:color w:val="auto"/>
        </w:rPr>
      </w:pPr>
    </w:p>
    <w:p>
      <w:pPr>
        <w:ind w:firstLine="921"/>
        <w:spacing w:after="0" w:line="256" w:lineRule="auto"/>
        <w:tabs>
          <w:tab w:leader="none" w:pos="115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or pledges made in the ordinary course of business (including, without limitation, surety bonds and appeal bonds) in connection with, or to secure payment of, obligations under workers’ compensation, unemployment insurance and other types of social security or similar legislation, or to secure the performance of bids, trade contracts, government contracts, leases (other than Indebtedness), statutory obligations, surety bonds (other than bonds related to judgments or litigation), performance bonds and other obligations of a like nature or arising as a result of progress payments under government contracts (including (i) those to secure health, safety and environmental obligations and (ii) those required or requested by any Governmental Authority) incurred in the ordinary course of business;</w:t>
      </w:r>
    </w:p>
    <w:p>
      <w:pPr>
        <w:spacing w:after="0" w:line="187" w:lineRule="exact"/>
        <w:rPr>
          <w:rFonts w:ascii="Times New Roman" w:cs="Times New Roman" w:eastAsia="Times New Roman" w:hAnsi="Times New Roman"/>
          <w:sz w:val="18"/>
          <w:szCs w:val="18"/>
          <w:color w:val="auto"/>
        </w:rPr>
      </w:pPr>
    </w:p>
    <w:p>
      <w:pPr>
        <w:ind w:right="160" w:firstLine="921"/>
        <w:spacing w:after="0" w:line="266" w:lineRule="auto"/>
        <w:tabs>
          <w:tab w:leader="none" w:pos="113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(including zoning restrictions), encroachments, protrusions and other similar encumbrances and minor title defects affecting real property which, in the aggregate, do not materially interfere with the ordinary conduct of the business of the Borrower and its Subsidiaries;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0" w:right="259" w:bottom="1440" w:gutter="0" w:footer="0" w:header="0"/>
        </w:sectPr>
      </w:pPr>
    </w:p>
    <w:bookmarkStart w:id="226" w:name="page227"/>
    <w:bookmarkEnd w:id="22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80" w:right="24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720" w:firstLine="921"/>
        <w:spacing w:after="0" w:line="282" w:lineRule="auto"/>
        <w:tabs>
          <w:tab w:leader="none" w:pos="116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the filing of precautionary UCC financing statements relating to leases entered into by the Borrower or any of its Subsidiaries in the ordinary course of business;</w:t>
      </w:r>
    </w:p>
    <w:p>
      <w:pPr>
        <w:spacing w:after="0" w:line="161" w:lineRule="exact"/>
        <w:rPr>
          <w:rFonts w:ascii="Times New Roman" w:cs="Times New Roman" w:eastAsia="Times New Roman" w:hAnsi="Times New Roman"/>
          <w:sz w:val="18"/>
          <w:szCs w:val="18"/>
          <w:color w:val="auto"/>
        </w:rPr>
      </w:pPr>
    </w:p>
    <w:p>
      <w:pPr>
        <w:ind w:right="260" w:firstLine="921"/>
        <w:spacing w:after="0" w:line="282" w:lineRule="auto"/>
        <w:tabs>
          <w:tab w:leader="none" w:pos="116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judgments for the payment of money not constituting an Event of Default under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securing appeal or other surety bonds relating to such judgments;</w:t>
      </w:r>
    </w:p>
    <w:p>
      <w:pPr>
        <w:spacing w:after="0" w:line="161" w:lineRule="exact"/>
        <w:rPr>
          <w:rFonts w:ascii="Times New Roman" w:cs="Times New Roman" w:eastAsia="Times New Roman" w:hAnsi="Times New Roman"/>
          <w:sz w:val="18"/>
          <w:szCs w:val="18"/>
          <w:color w:val="auto"/>
        </w:rPr>
      </w:pPr>
    </w:p>
    <w:p>
      <w:pPr>
        <w:ind w:right="80" w:firstLine="921"/>
        <w:spacing w:after="0" w:line="266" w:lineRule="auto"/>
        <w:tabs>
          <w:tab w:leader="none" w:pos="112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of a collecting bank arising in the ordinary course of business under Section 4-210 of the Uniform Commercial Code in effect in the relevant jurisdiction and (ii) Liens of any depositary bank in connection with statutory, common law and contractual rights of set-off and recoupment with respect to any deposit account of any Borrower or any Subsidiary thereof;</w:t>
      </w:r>
    </w:p>
    <w:p>
      <w:pPr>
        <w:spacing w:after="0" w:line="176" w:lineRule="exact"/>
        <w:rPr>
          <w:rFonts w:ascii="Times New Roman" w:cs="Times New Roman" w:eastAsia="Times New Roman" w:hAnsi="Times New Roman"/>
          <w:sz w:val="18"/>
          <w:szCs w:val="18"/>
          <w:color w:val="auto"/>
        </w:rPr>
      </w:pPr>
    </w:p>
    <w:p>
      <w:pPr>
        <w:ind w:firstLine="921"/>
        <w:spacing w:after="0" w:line="266" w:lineRule="auto"/>
        <w:tabs>
          <w:tab w:leader="none" w:pos="112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contractual or statutory Liens of landlords to the extent relating to the property and assets relating to any lease agreements with such landlord, and (ii) contractual Liens of suppliers (including sellers of goods) or customers granted in the ordinary course of business to the extent limited to the property or assets relating to such contract;</w:t>
      </w:r>
    </w:p>
    <w:p>
      <w:pPr>
        <w:spacing w:after="0" w:line="176" w:lineRule="exact"/>
        <w:rPr>
          <w:rFonts w:ascii="Times New Roman" w:cs="Times New Roman" w:eastAsia="Times New Roman" w:hAnsi="Times New Roman"/>
          <w:sz w:val="18"/>
          <w:szCs w:val="18"/>
          <w:color w:val="auto"/>
        </w:rPr>
      </w:pPr>
    </w:p>
    <w:p>
      <w:pPr>
        <w:ind w:right="20" w:firstLine="921"/>
        <w:spacing w:after="0" w:line="256" w:lineRule="auto"/>
        <w:tabs>
          <w:tab w:leader="none" w:pos="116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(including bareboat charters) of property other than Collateral, or property that would constitute Collateral, by the Borrower or any of its Subsidiaries as lessor or sublessor, provided that such leases and subleases do not interfere in any material respect with the businesses of the Borrower and its Subsidiaries, and are not otherwise prohibited under the other terms of this Agreement, and leases or subleases (including bareboat charters) of property constituting, or that would constitute, Collateral, provided that such leases and subleases do not interfere in any material respect with the businesses of the Borrower and its Subsidiaries, are not otherwise prohibited under the other terms of this Agreement and are made in the ordinary course of business;</w:t>
      </w:r>
    </w:p>
    <w:p>
      <w:pPr>
        <w:spacing w:after="0" w:line="187" w:lineRule="exact"/>
        <w:rPr>
          <w:rFonts w:ascii="Times New Roman" w:cs="Times New Roman" w:eastAsia="Times New Roman" w:hAnsi="Times New Roman"/>
          <w:sz w:val="18"/>
          <w:szCs w:val="18"/>
          <w:color w:val="auto"/>
        </w:rPr>
      </w:pPr>
    </w:p>
    <w:p>
      <w:pPr>
        <w:ind w:right="220" w:firstLine="921"/>
        <w:spacing w:after="0" w:line="266" w:lineRule="auto"/>
        <w:tabs>
          <w:tab w:leader="none" w:pos="112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to sureties under any Bonding Agreement or to secure any Bonding Obligations, or Liens that could, pursuant to the terms of any Bonding Agreement, attach as security for any Bonding Obligation upon the satisfaction of conditions or events described in the relevant Bonding Agreement;</w:t>
      </w:r>
    </w:p>
    <w:p>
      <w:pPr>
        <w:spacing w:after="0" w:line="176" w:lineRule="exact"/>
        <w:rPr>
          <w:rFonts w:ascii="Times New Roman" w:cs="Times New Roman" w:eastAsia="Times New Roman" w:hAnsi="Times New Roman"/>
          <w:sz w:val="18"/>
          <w:szCs w:val="18"/>
          <w:color w:val="auto"/>
        </w:rPr>
      </w:pPr>
    </w:p>
    <w:p>
      <w:pPr>
        <w:ind w:right="60" w:firstLine="921"/>
        <w:spacing w:after="0" w:line="282" w:lineRule="auto"/>
        <w:tabs>
          <w:tab w:leader="none" w:pos="12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operation of law or by contract in each case encumbering insurance policies and proceeds thereof to secure the financing of premiums payable under such policies; and</w:t>
      </w:r>
    </w:p>
    <w:p>
      <w:pPr>
        <w:spacing w:after="0" w:line="161" w:lineRule="exact"/>
        <w:rPr>
          <w:rFonts w:ascii="Times New Roman" w:cs="Times New Roman" w:eastAsia="Times New Roman" w:hAnsi="Times New Roman"/>
          <w:sz w:val="18"/>
          <w:szCs w:val="18"/>
          <w:color w:val="auto"/>
        </w:rPr>
      </w:pPr>
    </w:p>
    <w:p>
      <w:pPr>
        <w:ind w:right="340" w:firstLine="921"/>
        <w:spacing w:after="0" w:line="282" w:lineRule="auto"/>
        <w:tabs>
          <w:tab w:leader="none" w:pos="116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a purchase agreement or sale agreement securing the obligations under such purchase agreement or sale agreement and encumbering solely the assets that are to be sold in any asset disposition permitted or not otherwise prohibited by this Agreement.</w:t>
      </w:r>
    </w:p>
    <w:p>
      <w:pPr>
        <w:spacing w:after="0" w:line="162" w:lineRule="exact"/>
        <w:rPr>
          <w:sz w:val="20"/>
          <w:szCs w:val="20"/>
          <w:color w:val="auto"/>
        </w:rPr>
      </w:pPr>
    </w:p>
    <w:p>
      <w:pPr>
        <w:ind w:right="6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natural person, partnership, corporation (including a business trust), limited liability company, joint stock company, trust, unincorporated association, joint venture or other entity, or a government or any political subdivision or agency thereof, or any other entity, whether acting in an individual, fiduciary or other capacity.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70" w:right="279" w:bottom="1440" w:gutter="0" w:footer="0" w:header="0"/>
        </w:sectPr>
      </w:pPr>
    </w:p>
    <w:bookmarkStart w:id="227" w:name="page228"/>
    <w:bookmarkEnd w:id="22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Fee</w:t>
      </w:r>
      <w:r>
        <w:rPr>
          <w:rFonts w:ascii="Times New Roman" w:cs="Times New Roman" w:eastAsia="Times New Roman" w:hAnsi="Times New Roman"/>
          <w:sz w:val="18"/>
          <w:szCs w:val="18"/>
          <w:color w:val="auto"/>
        </w:rPr>
        <w:t xml:space="preserve">” shall be an amount equal to the aggregate principal amount of the Loans being prepaid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two percent (2.0 %) (for prepayments occurring prior to the first anniversary of the date hereof); one and one-half percent (1.5 %) (for prepayments occurring on and after the first anniversary of the date hereof but prior to the second anniversary of the date hereof); one percent (1.0 %) (for prepayments occurring on and after the second anniversary of the date hereof but prior to the third anniversary of the date hereof); three-quarters percent (0.75 %) (for prepayments occurring on and after the third anniversary of the date hereof but prior to the fourth anniversary of the date hereof); one-quarter percent (0.25 %) (for prepayments occurring on and after the fourth anniversary of the date hereof but prior to six months prior to the fifth anniversary of the date hereof); and zero percent (0.0%) thereafter.</w:t>
      </w:r>
    </w:p>
    <w:p>
      <w:pPr>
        <w:spacing w:after="0" w:line="188" w:lineRule="exact"/>
        <w:rPr>
          <w:sz w:val="20"/>
          <w:szCs w:val="20"/>
          <w:color w:val="auto"/>
        </w:rPr>
      </w:pPr>
    </w:p>
    <w:p>
      <w:pPr>
        <w:ind w:right="44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Protection and Indemnity Risks</w:t>
      </w:r>
      <w:r>
        <w:rPr>
          <w:rFonts w:ascii="Times New Roman" w:cs="Times New Roman" w:eastAsia="Times New Roman" w:hAnsi="Times New Roman"/>
          <w:sz w:val="18"/>
          <w:szCs w:val="18"/>
          <w:color w:val="auto"/>
        </w:rPr>
        <w:t>” means the usual risks covered by a protection and indemnity association or club including the portion not recoverable in case of collision under the ordinary running-down clause.</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or any Lender.</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ind w:right="18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at least two (2) Lenders having Total Credit Exposures representing more than 50% of the Total Credit Exposures of all Lenders.</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the chief executive officer, president, chief operating officer, executive vice president, senior vice president, chief financial officer, treasurer, assistant treasurer or controller of a Loan Party, and solely for purposes of the delivery of incumbency certificates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each in form and substance reasonably satisfactory to the Administrative Agent.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0" w:right="239" w:bottom="1440" w:gutter="0" w:footer="0" w:header="0"/>
        </w:sectPr>
      </w:pPr>
    </w:p>
    <w:bookmarkStart w:id="228" w:name="page229"/>
    <w:bookmarkEnd w:id="228"/>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80" w:right="24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right="14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means, collectively, the Administrative Agent, the Lenders, the Indemnitees and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means all Obligations.</w:t>
      </w:r>
    </w:p>
    <w:p>
      <w:pPr>
        <w:spacing w:after="0" w:line="225" w:lineRule="exact"/>
        <w:rPr>
          <w:sz w:val="20"/>
          <w:szCs w:val="20"/>
          <w:color w:val="auto"/>
        </w:rPr>
      </w:pPr>
    </w:p>
    <w:p>
      <w:pPr>
        <w:jc w:val="both"/>
        <w:ind w:right="140" w:firstLine="91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corporation of which more than 50% of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is directly or indirectly owned or controlled by such Person, by such Person and one or more of its Subsidiaries or by one or more of such Person’s Subsidiaries.</w:t>
      </w:r>
    </w:p>
    <w:p>
      <w:pPr>
        <w:spacing w:after="0" w:line="180"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right="32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date upon which all Obligations (other than contingent obligations) arising under this Agreement or any other Loan Document shall have been paid in full in cash or other immediately available funds.</w:t>
      </w:r>
    </w:p>
    <w:p>
      <w:pPr>
        <w:spacing w:after="0" w:line="162"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 means the occurrence of any of the following which, individually or in the aggregate, has resulted or would, individually or in the aggregate, reasonably be expected to result in liability of the Borrower in an aggregate amount in excess of the Threshold Amount: (a) a “Reportable Event” described in Section 4043 of ERISA for which the thirty (30) day notice requirement has not been waived by the PBGC, or (b) the withdrawal of any Loan Party or any ERISA Affiliate from a Pension Plan during a plan year in which it was a “substantial employer” as defined in Section 4001(a)(2) of ERISA or a cessation of operations that is treated as such a withdrawal under Section 4062(e) of ERISA, or (c) the termination of a Pension Plan, the filing of a notice of intent to terminate a Pension Plan or the treatment of a Pension Plan amendment as a termination, under Section 4041 of ERISA, if the plan assets are not sufficient to pay all plan liabilities, or (d) the institution of proceedings to terminate, or the appointment of a trustee with respect to, any Pension Plan by the PBGC, or (e) any other event or condition which would constitute grounds under Section 4042(a) of ERISA for the termination of, or the appointment of a trustee to administer, any Pension Plan, or (f) the imposition of a Lien pursuant to Section 430(k) of the Code or Section 303 of ERISA, or (g) the determination that any Pension Plan or Multiemployer Plan is considered an at-risk plan or plan in endangered or critical status with the meaning of Sections 430, 431 or 432 of the Code or Sections 303, 304 or 305 of ERISA or (h) the partial or complete withdrawal of any Loan Party or any ERISA Affiliate from a Multiemployer Plan if withdrawal liability is asserted by such plan, or (i) any event or condition which results in the reorganization or insolvency of a Multiemployer Plan under Sections 4241 or 4245 of ERISA, or (j) any event or condition which results in the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270" w:right="279" w:bottom="1440" w:gutter="0" w:footer="0" w:header="0"/>
        </w:sectPr>
      </w:pPr>
    </w:p>
    <w:bookmarkStart w:id="229" w:name="page230"/>
    <w:bookmarkEnd w:id="229"/>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Loan Party or any ERISA Affiliate.</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$10,000,000.</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Outstanding Amount of all Loans of such Lender at such time.</w:t>
      </w:r>
    </w:p>
    <w:p>
      <w:pPr>
        <w:spacing w:after="0" w:line="225"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Loss</w:t>
      </w:r>
      <w:r>
        <w:rPr>
          <w:rFonts w:ascii="Times New Roman" w:cs="Times New Roman" w:eastAsia="Times New Roman" w:hAnsi="Times New Roman"/>
          <w:sz w:val="18"/>
          <w:szCs w:val="18"/>
          <w:color w:val="auto"/>
        </w:rPr>
        <w:t>” means (A) with respect to any Vessel, any of the following and any such Total Loss shall be deemed to have occurred as of the date set forth in parenthesis after the definition of such Total Loss:</w:t>
      </w:r>
    </w:p>
    <w:p>
      <w:pPr>
        <w:spacing w:after="0" w:line="54" w:lineRule="exact"/>
        <w:rPr>
          <w:sz w:val="20"/>
          <w:szCs w:val="20"/>
          <w:color w:val="auto"/>
        </w:rPr>
      </w:pPr>
    </w:p>
    <w:p>
      <w:pPr>
        <w:ind w:left="920" w:right="100" w:firstLine="421"/>
        <w:spacing w:after="0" w:line="313" w:lineRule="auto"/>
        <w:tabs>
          <w:tab w:leader="none" w:pos="1555"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actual total loss or destruction, damage beyond repair, or being rendered permanently unfit for normal use (the date on which such loss, destruction, damage or rendition occurs or, if the date of loss or destruction is not known, the date on which such Vessel was last heard of);</w:t>
      </w:r>
    </w:p>
    <w:p>
      <w:pPr>
        <w:spacing w:after="0" w:line="30" w:lineRule="exact"/>
        <w:rPr>
          <w:rFonts w:ascii="Times New Roman" w:cs="Times New Roman" w:eastAsia="Times New Roman" w:hAnsi="Times New Roman"/>
          <w:sz w:val="17"/>
          <w:szCs w:val="17"/>
          <w:color w:val="auto"/>
        </w:rPr>
      </w:pPr>
    </w:p>
    <w:p>
      <w:pPr>
        <w:ind w:left="920" w:firstLine="421"/>
        <w:spacing w:after="0" w:line="256" w:lineRule="auto"/>
        <w:tabs>
          <w:tab w:leader="none" w:pos="1605"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constructive or, with the consent of the Borrower (so long as no Event of Default shall have occurred and be continuing) and the Required Lenders, compromised, arranged or agreed total loss (the earliest of (A) the date on which such loss is agreed or compromised or arranged by the insurers, (B) the date on which a competent court of law or arbitration tribunal issues a judgment or award against which there is no appeal to the effect that a Total Loss has occurred, (C) the date on which the insurers make payment of the full amount of the proceeds of such total loss on the basis of a total loss, and (D) ninety (90) days from the date of the event giving rise to such loss, but in each case not to extend beyond the Maturity Date);</w:t>
      </w:r>
    </w:p>
    <w:p>
      <w:pPr>
        <w:spacing w:after="0" w:line="79" w:lineRule="exact"/>
        <w:rPr>
          <w:rFonts w:ascii="Times New Roman" w:cs="Times New Roman" w:eastAsia="Times New Roman" w:hAnsi="Times New Roman"/>
          <w:sz w:val="18"/>
          <w:szCs w:val="18"/>
          <w:color w:val="auto"/>
        </w:rPr>
      </w:pPr>
    </w:p>
    <w:p>
      <w:pPr>
        <w:ind w:left="1660" w:hanging="319"/>
        <w:spacing w:after="0"/>
        <w:tabs>
          <w:tab w:leader="none" w:pos="166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requisition for title or other compulsory acquisition of any Vessel (other than by requisition for hire) which shall continue for ninety</w:t>
      </w:r>
    </w:p>
    <w:p>
      <w:pPr>
        <w:spacing w:after="0" w:line="27" w:lineRule="exact"/>
        <w:rPr>
          <w:rFonts w:ascii="Times New Roman" w:cs="Times New Roman" w:eastAsia="Times New Roman" w:hAnsi="Times New Roman"/>
          <w:sz w:val="18"/>
          <w:szCs w:val="18"/>
          <w:color w:val="auto"/>
        </w:rPr>
      </w:pPr>
    </w:p>
    <w:p>
      <w:pPr>
        <w:ind w:left="1260" w:hanging="339"/>
        <w:spacing w:after="0"/>
        <w:tabs>
          <w:tab w:leader="none" w:pos="12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(the date on which such requisition for title or other compulsory acquisition takes effect); and</w:t>
      </w:r>
    </w:p>
    <w:p>
      <w:pPr>
        <w:spacing w:after="0" w:line="98" w:lineRule="exact"/>
        <w:rPr>
          <w:rFonts w:ascii="Times New Roman" w:cs="Times New Roman" w:eastAsia="Times New Roman" w:hAnsi="Times New Roman"/>
          <w:sz w:val="18"/>
          <w:szCs w:val="18"/>
          <w:color w:val="auto"/>
        </w:rPr>
      </w:pPr>
    </w:p>
    <w:p>
      <w:pPr>
        <w:ind w:left="920" w:firstLine="421"/>
        <w:spacing w:after="0" w:line="276" w:lineRule="auto"/>
        <w:tabs>
          <w:tab w:leader="none" w:pos="1645"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capture, seizure, arrest, detention or confiscation of any Vessel by any Governmental Authority or by Persons acting or purporting to act on behalf of any Government Authority, unless the Vessel is released from such capture, seizure, arrest, detention or confiscation within thirty</w:t>
      </w:r>
    </w:p>
    <w:p>
      <w:pPr>
        <w:ind w:left="920" w:right="100" w:firstLine="1"/>
        <w:spacing w:after="0" w:line="255" w:lineRule="auto"/>
        <w:tabs>
          <w:tab w:leader="none" w:pos="126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occurrence thereof (the earlier of (A) the date on which the insurers make payment of the full amount of the proceeds of such total loss on the basis of a total loss, and (B) ninety (90) days from the date of the event giving rise to such loss, but in each case not to extend beyond the Maturity Date).</w:t>
      </w:r>
    </w:p>
    <w:p>
      <w:pPr>
        <w:spacing w:after="0" w:line="186" w:lineRule="exact"/>
        <w:rPr>
          <w:sz w:val="20"/>
          <w:szCs w:val="20"/>
          <w:color w:val="auto"/>
        </w:rPr>
      </w:pPr>
    </w:p>
    <w:p>
      <w:pPr>
        <w:ind w:left="1200" w:hanging="279"/>
        <w:spacing w:after="0"/>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Equipment, a Total Loss shall be deemed to have occurred upon:</w:t>
      </w:r>
    </w:p>
    <w:p>
      <w:pPr>
        <w:spacing w:after="0" w:line="117"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constructive total loss of such Equipment;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70" w:right="259" w:bottom="1440" w:gutter="0" w:footer="0" w:header="0"/>
        </w:sectPr>
      </w:pPr>
    </w:p>
    <w:bookmarkStart w:id="230" w:name="page231"/>
    <w:bookmarkEnd w:id="23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920" w:right="80" w:firstLine="421"/>
        <w:spacing w:after="0" w:line="282" w:lineRule="auto"/>
        <w:tabs>
          <w:tab w:leader="none" w:pos="160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disappearance, theft or destruction of such Equipment, or damage to such Equipment that is uneconomical to repair or renders it unfit for normal use; or</w:t>
      </w:r>
    </w:p>
    <w:p>
      <w:pPr>
        <w:spacing w:after="0" w:line="53" w:lineRule="exact"/>
        <w:rPr>
          <w:rFonts w:ascii="Times New Roman" w:cs="Times New Roman" w:eastAsia="Times New Roman" w:hAnsi="Times New Roman"/>
          <w:sz w:val="18"/>
          <w:szCs w:val="18"/>
          <w:color w:val="auto"/>
        </w:rPr>
      </w:pPr>
    </w:p>
    <w:p>
      <w:pPr>
        <w:ind w:left="920" w:right="1040" w:firstLine="421"/>
        <w:spacing w:after="0" w:line="282" w:lineRule="auto"/>
        <w:tabs>
          <w:tab w:leader="none" w:pos="1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condemnation, confiscation, requisition, seizure, forfeiture or other taking of title to or use of such Equipment by any Governmental Authority.</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in the State of New York, as amended or modified from time to time.</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right="60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Vessels</w:t>
      </w:r>
      <w:r>
        <w:rPr>
          <w:rFonts w:ascii="Times New Roman" w:cs="Times New Roman" w:eastAsia="Times New Roman" w:hAnsi="Times New Roman"/>
          <w:sz w:val="18"/>
          <w:szCs w:val="18"/>
          <w:color w:val="auto"/>
        </w:rPr>
        <w:t xml:space="preserve">” means individually and collectively the vessels described in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hereto, together with all replacements, parts, additions, accessories and substitutions therefor in accordance with the terms of this Agreement.</w:t>
      </w:r>
    </w:p>
    <w:p>
      <w:pPr>
        <w:spacing w:after="0" w:line="162" w:lineRule="exact"/>
        <w:rPr>
          <w:sz w:val="20"/>
          <w:szCs w:val="20"/>
          <w:color w:val="auto"/>
        </w:rPr>
      </w:pPr>
    </w:p>
    <w:p>
      <w:pPr>
        <w:ind w:right="820" w:firstLine="91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 Risks</w:t>
      </w:r>
      <w:r>
        <w:rPr>
          <w:rFonts w:ascii="Times New Roman" w:cs="Times New Roman" w:eastAsia="Times New Roman" w:hAnsi="Times New Roman"/>
          <w:sz w:val="18"/>
          <w:szCs w:val="18"/>
          <w:color w:val="auto"/>
        </w:rPr>
        <w:t>” the risk of mines and all risks excluded by the free of capture and seizure clause from the standard form of United States, Norwegian or English marine policy.</w:t>
      </w:r>
    </w:p>
    <w:p>
      <w:pPr>
        <w:spacing w:after="0" w:line="162" w:lineRule="exact"/>
        <w:rPr>
          <w:sz w:val="20"/>
          <w:szCs w:val="20"/>
          <w:color w:val="auto"/>
        </w:rPr>
      </w:pPr>
    </w:p>
    <w:p>
      <w:pPr>
        <w:jc w:val="both"/>
        <w:ind w:right="6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Zurich</w:t>
      </w:r>
      <w:r>
        <w:rPr>
          <w:rFonts w:ascii="Times New Roman" w:cs="Times New Roman" w:eastAsia="Times New Roman" w:hAnsi="Times New Roman"/>
          <w:sz w:val="18"/>
          <w:szCs w:val="18"/>
          <w:color w:val="auto"/>
        </w:rPr>
        <w:t>” means, collectively, Zurich American Insurance Company and its subsidiaries and Affiliates, including, without limitation, Fidelity and Deposit Company of Maryland, Colonia American Casualty and Surety Company, and American Guarantee and Liability Insurance Company, together with their successors and assigns.</w:t>
      </w:r>
    </w:p>
    <w:p>
      <w:pPr>
        <w:spacing w:after="0" w:line="176" w:lineRule="exact"/>
        <w:rPr>
          <w:sz w:val="20"/>
          <w:szCs w:val="20"/>
          <w:color w:val="auto"/>
        </w:rPr>
      </w:pPr>
    </w:p>
    <w:p>
      <w:pPr>
        <w:ind w:right="120" w:firstLine="91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Zurich Agreement</w:t>
      </w:r>
      <w:r>
        <w:rPr>
          <w:rFonts w:ascii="Times New Roman" w:cs="Times New Roman" w:eastAsia="Times New Roman" w:hAnsi="Times New Roman"/>
          <w:sz w:val="18"/>
          <w:szCs w:val="18"/>
          <w:color w:val="auto"/>
        </w:rPr>
        <w:t>” means, collectively, (i) that certain Agreement of Indemnity, dated as of September 7, 2011, executed by the Borrower and the Subsidiaries of the Borrower party there as “Contractors” and Indemnitors”, in favor of Zurich and (ii) the Equipment Utilization Agreement, each as amended, restated, supplemented or otherwise modified in writing from time to time.</w:t>
      </w:r>
    </w:p>
    <w:p>
      <w:pPr>
        <w:spacing w:after="0" w:line="176" w:lineRule="exact"/>
        <w:rPr>
          <w:sz w:val="20"/>
          <w:szCs w:val="20"/>
          <w:color w:val="auto"/>
        </w:rPr>
      </w:pPr>
    </w:p>
    <w:p>
      <w:pPr>
        <w:ind w:right="6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Computation of Time Periods</w:t>
      </w:r>
      <w:r>
        <w:rPr>
          <w:rFonts w:ascii="Times New Roman" w:cs="Times New Roman" w:eastAsia="Times New Roman" w:hAnsi="Times New Roman"/>
          <w:sz w:val="18"/>
          <w:szCs w:val="18"/>
          <w:color w:val="auto"/>
        </w:rPr>
        <w:t>. For purposes of this Agreement, in computing periods of time from a specified date to a later specified date, the word “from” means “from and including” and each of the words “to” and “until” means “to but excluding”. Unless otherwise specified, all references herein to times of day shall be references to Eastern time (daylight or standard, as applicable).</w:t>
      </w:r>
    </w:p>
    <w:p>
      <w:pPr>
        <w:spacing w:after="0" w:line="176"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All accounting terms not specifically defined or specified herein shall have the meanings generally attributed to such terms under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as in effect from time to time with respect to the financial statements referenced in Section 7.01(a) hereof, and consistently applied.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THE LOAN</w:t>
      </w:r>
    </w:p>
    <w:p>
      <w:pPr>
        <w:spacing w:after="0" w:line="225"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Loan.</w:t>
      </w:r>
      <w:r>
        <w:rPr>
          <w:rFonts w:ascii="Times New Roman" w:cs="Times New Roman" w:eastAsia="Times New Roman" w:hAnsi="Times New Roman"/>
          <w:sz w:val="18"/>
          <w:szCs w:val="18"/>
          <w:color w:val="auto"/>
        </w:rPr>
        <w:t xml:space="preserve"> Subject to the terms and conditions of this Agreement and to the satisfaction of the conditions precedent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hereof, each Lender hereby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0" w:right="259" w:bottom="1440" w:gutter="0" w:footer="0" w:header="0"/>
        </w:sectPr>
      </w:pPr>
    </w:p>
    <w:bookmarkStart w:id="231" w:name="page232"/>
    <w:bookmarkEnd w:id="23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severally agrees to a single term loan to the Borrower, in Dollars, on the Closing Date in an amount not to exceed such Lender’s Applicable Percentage of the Facility. The Borrowing shall consist of Loans made simultaneously by the Lenders in accordance with their respective Applicable Percentage of the Facility. Borrowings repaid or prepaid may not be reborrowed. The Borrowings shall be made for the purposes set forth in the Recitals, and for no other purpose. Time is of the essence. The Commitments shall automatically terminate at 5:00 PM Eastern Standard Time on the Closing Date.</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Drawdown Procedures</w:t>
      </w:r>
      <w:r>
        <w:rPr>
          <w:rFonts w:ascii="Times New Roman" w:cs="Times New Roman" w:eastAsia="Times New Roman" w:hAnsi="Times New Roman"/>
          <w:sz w:val="18"/>
          <w:szCs w:val="18"/>
          <w:color w:val="auto"/>
        </w:rPr>
        <w:t xml:space="preserve">. The Borrowing shall be made upon the Borrower’s irrevocable notice to the Administrative Agent, which may be given by: (A) telephone or (B) a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immediately by delivery to the Administrative Agent of a Loan Notice. Each such Loan Notice must be received by the Administrative Agent not later than 11:00 a.m one (1) Business Day prior to the proposed Closing Date.</w:t>
      </w:r>
    </w:p>
    <w:p>
      <w:pPr>
        <w:spacing w:after="0" w:line="1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Advance of Loan Proceeds</w:t>
      </w:r>
      <w:r>
        <w:rPr>
          <w:rFonts w:ascii="Times New Roman" w:cs="Times New Roman" w:eastAsia="Times New Roman" w:hAnsi="Times New Roman"/>
          <w:sz w:val="18"/>
          <w:szCs w:val="18"/>
          <w:color w:val="auto"/>
        </w:rPr>
        <w:t xml:space="preserve">. Following receipt of a Loan Notice, the Administrative Agent shall promptly notify each Lender of the amount of its Applicable Percentage of the Loans. Each Lender shall make the amount of its Loan available to the Administrative Agent in immediately available funds at the Administrative Agent’s Office not later than 1:00 p.m. on the Closing Date. Upon satisfaction of the applicable conditions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subject to Section 2.08 hereof,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spacing w:after="0" w:line="18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The Notes.</w:t>
      </w:r>
      <w:r>
        <w:rPr>
          <w:rFonts w:ascii="Times New Roman" w:cs="Times New Roman" w:eastAsia="Times New Roman" w:hAnsi="Times New Roman"/>
          <w:sz w:val="18"/>
          <w:szCs w:val="18"/>
          <w:color w:val="auto"/>
        </w:rPr>
        <w:t xml:space="preserve"> The Loans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Loans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amount and maturity of its Loans and payments with respect thereto.</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0" w:right="259" w:bottom="1440" w:gutter="0" w:footer="0" w:header="0"/>
        </w:sectPr>
      </w:pPr>
    </w:p>
    <w:bookmarkStart w:id="232" w:name="page233"/>
    <w:bookmarkEnd w:id="232"/>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Repayment of Principal.</w:t>
      </w:r>
      <w:r>
        <w:rPr>
          <w:rFonts w:ascii="Times New Roman" w:cs="Times New Roman" w:eastAsia="Times New Roman" w:hAnsi="Times New Roman"/>
          <w:sz w:val="18"/>
          <w:szCs w:val="18"/>
          <w:color w:val="auto"/>
        </w:rPr>
        <w:t xml:space="preserve"> The Borrower shall repay to the Lenders the aggregate principal amount of all Loans outstanding on the following dates, and in the respective amounts expressed as a percentage of the aggregate principal amount of all Loans on the date hereof set forth opposite such dates (which amounts shall be reduced as a result of the application of prepayments in accordance with the order of priority set forth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unless accelerated sooner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00" w:type="dxa"/>
            <w:vAlign w:val="bottom"/>
            <w:gridSpan w:val="3"/>
          </w:tcPr>
          <w:p>
            <w:pPr>
              <w:jc w:val="center"/>
              <w:ind w:left="3190"/>
              <w:spacing w:after="0"/>
              <w:rPr>
                <w:sz w:val="20"/>
                <w:szCs w:val="20"/>
                <w:color w:val="auto"/>
              </w:rPr>
            </w:pPr>
            <w:r>
              <w:rPr>
                <w:rFonts w:ascii="Times New Roman" w:cs="Times New Roman" w:eastAsia="Times New Roman" w:hAnsi="Times New Roman"/>
                <w:sz w:val="14"/>
                <w:szCs w:val="14"/>
                <w:b w:val="1"/>
                <w:bCs w:val="1"/>
                <w:color w:val="auto"/>
              </w:rPr>
              <w:t>Percentage of Aggregate</w:t>
            </w:r>
          </w:p>
        </w:tc>
        <w:tc>
          <w:tcPr>
            <w:tcW w:w="0" w:type="dxa"/>
            <w:vAlign w:val="bottom"/>
          </w:tcPr>
          <w:p>
            <w:pPr>
              <w:spacing w:after="0"/>
              <w:rPr>
                <w:sz w:val="1"/>
                <w:szCs w:val="1"/>
                <w:color w:val="auto"/>
              </w:rPr>
            </w:pPr>
          </w:p>
        </w:tc>
      </w:tr>
      <w:tr>
        <w:trPr>
          <w:trHeight w:val="149"/>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5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all</w:t>
            </w:r>
          </w:p>
        </w:tc>
        <w:tc>
          <w:tcPr>
            <w:tcW w:w="0" w:type="dxa"/>
            <w:vAlign w:val="bottom"/>
          </w:tcPr>
          <w:p>
            <w:pPr>
              <w:spacing w:after="0"/>
              <w:rPr>
                <w:sz w:val="1"/>
                <w:szCs w:val="1"/>
                <w:color w:val="auto"/>
              </w:rPr>
            </w:pPr>
          </w:p>
        </w:tc>
      </w:tr>
      <w:tr>
        <w:trPr>
          <w:trHeight w:val="160"/>
        </w:trPr>
        <w:tc>
          <w:tcPr>
            <w:tcW w:w="2560" w:type="dxa"/>
            <w:vAlign w:val="bottom"/>
            <w:gridSpan w:val="2"/>
            <w:vMerge w:val="continue"/>
          </w:tcPr>
          <w:p>
            <w:pPr>
              <w:spacing w:after="0"/>
              <w:rPr>
                <w:sz w:val="13"/>
                <w:szCs w:val="13"/>
                <w:color w:val="auto"/>
              </w:rPr>
            </w:pPr>
          </w:p>
        </w:tc>
        <w:tc>
          <w:tcPr>
            <w:tcW w:w="3500" w:type="dxa"/>
            <w:vAlign w:val="bottom"/>
          </w:tcPr>
          <w:p>
            <w:pPr>
              <w:spacing w:after="0"/>
              <w:rPr>
                <w:sz w:val="13"/>
                <w:szCs w:val="13"/>
                <w:color w:val="auto"/>
              </w:rPr>
            </w:pPr>
          </w:p>
        </w:tc>
        <w:tc>
          <w:tcPr>
            <w:tcW w:w="17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December 4, 2014</w:t>
            </w:r>
          </w:p>
        </w:tc>
        <w:tc>
          <w:tcPr>
            <w:tcW w:w="3500" w:type="dxa"/>
            <w:vAlign w:val="bottom"/>
            <w:shd w:val="clear" w:color="auto" w:fill="CCEEFF"/>
          </w:tcPr>
          <w:p>
            <w:pPr>
              <w:spacing w:after="0"/>
              <w:rPr>
                <w:sz w:val="17"/>
                <w:szCs w:val="17"/>
                <w:color w:val="auto"/>
              </w:rPr>
            </w:pPr>
          </w:p>
        </w:tc>
        <w:tc>
          <w:tcPr>
            <w:tcW w:w="1500" w:type="dxa"/>
            <w:vAlign w:val="bottom"/>
            <w:shd w:val="clear" w:color="auto" w:fill="CCEEFF"/>
          </w:tcPr>
          <w:p>
            <w:pPr>
              <w:ind w:left="720"/>
              <w:spacing w:after="0" w:line="203" w:lineRule="exact"/>
              <w:rPr>
                <w:sz w:val="20"/>
                <w:szCs w:val="20"/>
                <w:color w:val="auto"/>
              </w:rPr>
            </w:pPr>
            <w:r>
              <w:rPr>
                <w:rFonts w:ascii="Times New Roman" w:cs="Times New Roman" w:eastAsia="Times New Roman" w:hAnsi="Times New Roman"/>
                <w:sz w:val="18"/>
                <w:szCs w:val="18"/>
                <w:color w:val="auto"/>
                <w:w w:val="83"/>
              </w:rPr>
              <w:t>0.8333333%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4, 2015</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4, 2015</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4, 2015</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4, 2015</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4, 2015</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4, 2015</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4, 2015</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4, 2015</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4, 2015</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4, 2015</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4, 2015</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4, 2015</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4, 2016</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4, 2016</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4, 2016</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4, 2016</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4, 2016</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4, 2016</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4, 2016</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4, 2016</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4, 2016</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4, 2016</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4, 2016</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0.8333333%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4, 2016</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4, 2017</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4, 2017</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4, 2017</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4, 2017</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4, 2017</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4, 2017</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4, 2017</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4, 2017</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4, 2017</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4, 2017</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4, 2017</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4, 2017</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4, 2018</w:t>
            </w:r>
          </w:p>
        </w:tc>
        <w:tc>
          <w:tcPr>
            <w:tcW w:w="5200" w:type="dxa"/>
            <w:vAlign w:val="bottom"/>
            <w:gridSpan w:val="3"/>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4, 2018</w:t>
            </w:r>
          </w:p>
        </w:tc>
        <w:tc>
          <w:tcPr>
            <w:tcW w:w="5200" w:type="dxa"/>
            <w:vAlign w:val="bottom"/>
            <w:gridSpan w:val="3"/>
            <w:shd w:val="clear" w:color="auto" w:fill="CCEEFF"/>
          </w:tcPr>
          <w:p>
            <w:pPr>
              <w:ind w:left="422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50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18</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0" w:right="319" w:bottom="1440" w:gutter="0" w:footer="0" w:header="0"/>
        </w:sectPr>
      </w:pPr>
    </w:p>
    <w:bookmarkStart w:id="233" w:name="page234"/>
    <w:bookmarkEnd w:id="23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7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060" w:type="dxa"/>
            <w:vAlign w:val="bottom"/>
            <w:gridSpan w:val="3"/>
          </w:tcPr>
          <w:p>
            <w:pPr>
              <w:jc w:val="center"/>
              <w:ind w:left="2051"/>
              <w:spacing w:after="0"/>
              <w:rPr>
                <w:sz w:val="20"/>
                <w:szCs w:val="20"/>
                <w:color w:val="auto"/>
              </w:rPr>
            </w:pPr>
            <w:r>
              <w:rPr>
                <w:rFonts w:ascii="Times New Roman" w:cs="Times New Roman" w:eastAsia="Times New Roman" w:hAnsi="Times New Roman"/>
                <w:sz w:val="14"/>
                <w:szCs w:val="14"/>
                <w:b w:val="1"/>
                <w:bCs w:val="1"/>
                <w:color w:val="auto"/>
              </w:rPr>
              <w:t>Percentage of Aggregate</w:t>
            </w: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36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all</w:t>
            </w:r>
          </w:p>
        </w:tc>
        <w:tc>
          <w:tcPr>
            <w:tcW w:w="0" w:type="dxa"/>
            <w:vAlign w:val="bottom"/>
          </w:tcPr>
          <w:p>
            <w:pPr>
              <w:spacing w:after="0"/>
              <w:rPr>
                <w:sz w:val="1"/>
                <w:szCs w:val="1"/>
                <w:color w:val="auto"/>
              </w:rPr>
            </w:pPr>
          </w:p>
        </w:tc>
      </w:tr>
      <w:tr>
        <w:trPr>
          <w:trHeight w:val="160"/>
        </w:trPr>
        <w:tc>
          <w:tcPr>
            <w:tcW w:w="3700" w:type="dxa"/>
            <w:vAlign w:val="bottom"/>
            <w:gridSpan w:val="2"/>
            <w:vMerge w:val="continue"/>
          </w:tcPr>
          <w:p>
            <w:pPr>
              <w:spacing w:after="0"/>
              <w:rPr>
                <w:sz w:val="13"/>
                <w:szCs w:val="13"/>
                <w:color w:val="auto"/>
              </w:rPr>
            </w:pPr>
          </w:p>
        </w:tc>
        <w:tc>
          <w:tcPr>
            <w:tcW w:w="2360" w:type="dxa"/>
            <w:vAlign w:val="bottom"/>
          </w:tcPr>
          <w:p>
            <w:pPr>
              <w:spacing w:after="0"/>
              <w:rPr>
                <w:sz w:val="13"/>
                <w:szCs w:val="13"/>
                <w:color w:val="auto"/>
              </w:rPr>
            </w:pPr>
          </w:p>
        </w:tc>
        <w:tc>
          <w:tcPr>
            <w:tcW w:w="17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March 4, 2018</w:t>
            </w:r>
          </w:p>
        </w:tc>
        <w:tc>
          <w:tcPr>
            <w:tcW w:w="23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1.6666667%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4, 2018</w:t>
            </w:r>
          </w:p>
        </w:tc>
        <w:tc>
          <w:tcPr>
            <w:tcW w:w="4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2018</w:t>
            </w:r>
          </w:p>
        </w:tc>
        <w:tc>
          <w:tcPr>
            <w:tcW w:w="4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4, 2018</w:t>
            </w:r>
          </w:p>
        </w:tc>
        <w:tc>
          <w:tcPr>
            <w:tcW w:w="4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4, 2018</w:t>
            </w:r>
          </w:p>
        </w:tc>
        <w:tc>
          <w:tcPr>
            <w:tcW w:w="4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4, 2018</w:t>
            </w:r>
          </w:p>
        </w:tc>
        <w:tc>
          <w:tcPr>
            <w:tcW w:w="4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4, 2018</w:t>
            </w:r>
          </w:p>
        </w:tc>
        <w:tc>
          <w:tcPr>
            <w:tcW w:w="4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4, 2018</w:t>
            </w:r>
          </w:p>
        </w:tc>
        <w:tc>
          <w:tcPr>
            <w:tcW w:w="4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4, 2018</w:t>
            </w:r>
          </w:p>
        </w:tc>
        <w:tc>
          <w:tcPr>
            <w:tcW w:w="4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1.6666667%</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4, 2018</w:t>
            </w:r>
          </w:p>
        </w:tc>
        <w:tc>
          <w:tcPr>
            <w:tcW w:w="4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4, 2019</w:t>
            </w:r>
          </w:p>
        </w:tc>
        <w:tc>
          <w:tcPr>
            <w:tcW w:w="4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4, 2019</w:t>
            </w:r>
          </w:p>
        </w:tc>
        <w:tc>
          <w:tcPr>
            <w:tcW w:w="4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4, 2019</w:t>
            </w:r>
          </w:p>
        </w:tc>
        <w:tc>
          <w:tcPr>
            <w:tcW w:w="4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4, 2019</w:t>
            </w:r>
          </w:p>
        </w:tc>
        <w:tc>
          <w:tcPr>
            <w:tcW w:w="4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2019</w:t>
            </w:r>
          </w:p>
        </w:tc>
        <w:tc>
          <w:tcPr>
            <w:tcW w:w="4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4, 2019</w:t>
            </w:r>
          </w:p>
        </w:tc>
        <w:tc>
          <w:tcPr>
            <w:tcW w:w="4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4, 2019</w:t>
            </w:r>
          </w:p>
        </w:tc>
        <w:tc>
          <w:tcPr>
            <w:tcW w:w="4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4, 2019</w:t>
            </w:r>
          </w:p>
        </w:tc>
        <w:tc>
          <w:tcPr>
            <w:tcW w:w="4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4, 2019</w:t>
            </w:r>
          </w:p>
        </w:tc>
        <w:tc>
          <w:tcPr>
            <w:tcW w:w="4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4, 2019</w:t>
            </w:r>
          </w:p>
        </w:tc>
        <w:tc>
          <w:tcPr>
            <w:tcW w:w="4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2.0833333%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4, 2019</w:t>
            </w:r>
          </w:p>
        </w:tc>
        <w:tc>
          <w:tcPr>
            <w:tcW w:w="4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17.0833333%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final principal repayment installment of the Loans shall be repaid on the Maturity Date and in any event shall be in an amount equal to the aggregate principal amount of all Loans outstanding on such date and (ii) if any principal repayment installment to be made by the Borrower shall come due on a day other than a Business Day, such principal repayment installment shall be due on the next following Business Day, and such extension of time shall be reflected in computing interest or fees, as the case may be.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Payments Generally; Administrative Agent’s Clawback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64"/>
        <w:spacing w:after="0" w:line="255" w:lineRule="auto"/>
        <w:tabs>
          <w:tab w:leader="none" w:pos="70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Except as otherwise specifically provided for in this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0" w:right="259"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2" w:lineRule="exact"/>
        <w:rPr>
          <w:sz w:val="20"/>
          <w:szCs w:val="20"/>
          <w:color w:val="auto"/>
        </w:rPr>
      </w:pPr>
    </w:p>
    <w:p>
      <w:pPr>
        <w:ind w:firstLine="464"/>
        <w:spacing w:after="0" w:line="252" w:lineRule="auto"/>
        <w:tabs>
          <w:tab w:leader="none" w:pos="71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a Lender prior to the proposed date of the Borrowing that such Lender will not make available to the Administrative Agent such Lender’s share of the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the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actually received by it but excluding the date of payment to the Administrative Agent, at the greater of the Federal Funds Rate and a rate determined by the Administrative Agent in accordance with banking industry rules on interbank compensation. A notice of the Administrative Agent to any Lender or the Borrower with respect to any amount owing under this subsection (b) shall be conclusive, absent manifest error.</w:t>
      </w:r>
    </w:p>
    <w:p>
      <w:pPr>
        <w:spacing w:after="0" w:line="189" w:lineRule="exact"/>
        <w:rPr>
          <w:rFonts w:ascii="Times New Roman" w:cs="Times New Roman" w:eastAsia="Times New Roman" w:hAnsi="Times New Roman"/>
          <w:sz w:val="18"/>
          <w:szCs w:val="18"/>
          <w:color w:val="auto"/>
        </w:rPr>
      </w:pPr>
    </w:p>
    <w:p>
      <w:pPr>
        <w:ind w:right="20" w:firstLine="464"/>
        <w:spacing w:after="0" w:line="261" w:lineRule="auto"/>
        <w:tabs>
          <w:tab w:leader="none" w:pos="70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makes available to the Administrative Agent funds for any Loan to be made by such Lender as provided in the foregoing provisions of this Article II, and such funds are not made available to the Borrower by the Administrative Agent because the conditions set forth in Article V are not satisfied or waived in accordance with the terms hereof, the Administrative Agent shall return such funds (in like funds as received from such Lender) to such Lender, without interest.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0" w:right="259" w:bottom="1440" w:gutter="0" w:footer="0" w:header="0"/>
        </w:sectPr>
      </w:pPr>
    </w:p>
    <w:bookmarkStart w:id="235" w:name="page236"/>
    <w:bookmarkEnd w:id="235"/>
    <w:p>
      <w:pPr>
        <w:jc w:val="center"/>
        <w:ind w:right="-71"/>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both"/>
        <w:ind w:left="-8" w:right="40" w:firstLine="464"/>
        <w:spacing w:after="0" w:line="261" w:lineRule="auto"/>
        <w:tabs>
          <w:tab w:leader="none" w:pos="703"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Lenders hereunder to make Loans and to make payments pursuant to Section 9.06(c) are several and not joint. The failure of any Lender to make any Loan, to fund any such participation or to make any payment under Section 9.06(c)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9.06(c).</w:t>
      </w:r>
    </w:p>
    <w:p>
      <w:pPr>
        <w:spacing w:after="0" w:line="180" w:lineRule="exact"/>
        <w:rPr>
          <w:rFonts w:ascii="Times New Roman" w:cs="Times New Roman" w:eastAsia="Times New Roman" w:hAnsi="Times New Roman"/>
          <w:sz w:val="18"/>
          <w:szCs w:val="18"/>
          <w:color w:val="auto"/>
        </w:rPr>
      </w:pPr>
    </w:p>
    <w:p>
      <w:pPr>
        <w:ind w:left="-8" w:right="620" w:firstLine="464"/>
        <w:spacing w:after="0" w:line="282" w:lineRule="auto"/>
        <w:tabs>
          <w:tab w:leader="none" w:pos="693"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1" w:lineRule="exact"/>
        <w:rPr>
          <w:rFonts w:ascii="Times New Roman" w:cs="Times New Roman" w:eastAsia="Times New Roman" w:hAnsi="Times New Roman"/>
          <w:sz w:val="18"/>
          <w:szCs w:val="18"/>
          <w:color w:val="auto"/>
        </w:rPr>
      </w:pPr>
    </w:p>
    <w:p>
      <w:pPr>
        <w:jc w:val="both"/>
        <w:ind w:left="-8" w:right="500" w:firstLine="464"/>
        <w:spacing w:after="0" w:line="261" w:lineRule="auto"/>
        <w:tabs>
          <w:tab w:leader="none" w:pos="673"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provided herein: (i) the Borrowing shall be made from the Lenders, pro rata according to the amounts of their respective Commitments; (ii) the Borrowing shall be allocated pro rata among the Lenders according to the amounts of their respective Commitments;</w:t>
      </w:r>
    </w:p>
    <w:p>
      <w:pPr>
        <w:ind w:left="-8" w:right="120" w:firstLine="8"/>
        <w:spacing w:after="0" w:line="255" w:lineRule="auto"/>
        <w:tabs>
          <w:tab w:leader="none" w:pos="30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or prepayment of principal of Loans by the Borrower shall be made for account of the Lenders pro rata in accordance with the respective unpaid principal amounts of the Loans held by them; and (iv) each payment of interest on Loans by the Borrower shall be made for account of the Lenders pro rata in accordance with the amounts of interest on such Loans then due and payable to the Lenders.</w:t>
      </w:r>
    </w:p>
    <w:p>
      <w:pPr>
        <w:spacing w:after="0" w:line="11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32"/>
          </w:cols>
          <w:pgMar w:left="248" w:top="270" w:right="319" w:bottom="1440" w:gutter="0" w:footer="0" w:header="0"/>
        </w:sectPr>
      </w:pPr>
    </w:p>
    <w:bookmarkStart w:id="236" w:name="page237"/>
    <w:bookmarkEnd w:id="23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Sharing of Payments by Lenders</w:t>
      </w:r>
      <w:r>
        <w:rPr>
          <w:rFonts w:ascii="Times New Roman" w:cs="Times New Roman" w:eastAsia="Times New Roman" w:hAnsi="Times New Roman"/>
          <w:sz w:val="18"/>
          <w:szCs w:val="18"/>
          <w:color w:val="auto"/>
        </w:rPr>
        <w:t>. If any Lender shall, by exercising any right of setoff or counterclaim or otherwise, obtain payment in respect of (a) Obligations in respect of the Facility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Facility due and payable to all Lenders hereunder and under the other Loan Documents at such time) of payments on account of the Obligations in respect of the Facility due and payable to all Lenders hereunder and under the other Loan Documents at such time obtained by all the Lenders at such time or (b) Obligations in respect of the Facility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Facility owing (but not due and payable) to all Lenders hereunder and under the other Loan Documents at such time) of payments on account of the Obligations in respect of the Facility owing (but not due and payable) to all Lenders hereunder and under the other Loan Documents at such time obtained by all of the Lenders at such time, then, in each case under clauses (a) and</w:t>
      </w:r>
    </w:p>
    <w:p>
      <w:pPr>
        <w:spacing w:after="0" w:line="6" w:lineRule="exact"/>
        <w:rPr>
          <w:sz w:val="20"/>
          <w:szCs w:val="20"/>
          <w:color w:val="auto"/>
        </w:rPr>
      </w:pPr>
    </w:p>
    <w:p>
      <w:pPr>
        <w:jc w:val="both"/>
        <w:ind w:right="460" w:firstLine="8"/>
        <w:spacing w:after="0" w:line="254" w:lineRule="auto"/>
        <w:tabs>
          <w:tab w:leader="none" w:pos="2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Lender receiving such greater proportion shall (A) notify the Administrative Agent of such fact, and (B) purchase (for cash at face value) participations in the Loans, or make such other adjustments as shall be equitable, so that the benefit of all such payments shall be shared by the Lenders ratably in accordance with the aggregate amount of Obligations in respect of the Facility then due and payable to the Lenders or owing (but not due and payable) to the Lenders, as the case may be, provided that:</w:t>
      </w:r>
    </w:p>
    <w:p>
      <w:pPr>
        <w:spacing w:after="0" w:line="91" w:lineRule="exact"/>
        <w:rPr>
          <w:rFonts w:ascii="Times New Roman" w:cs="Times New Roman" w:eastAsia="Times New Roman" w:hAnsi="Times New Roman"/>
          <w:sz w:val="18"/>
          <w:szCs w:val="18"/>
          <w:color w:val="auto"/>
        </w:rPr>
      </w:pPr>
    </w:p>
    <w:p>
      <w:pPr>
        <w:ind w:left="900" w:right="700" w:hanging="446"/>
        <w:spacing w:after="0" w:line="313" w:lineRule="auto"/>
        <w:tabs>
          <w:tab w:leader="none" w:pos="90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43" w:lineRule="exact"/>
        <w:rPr>
          <w:rFonts w:ascii="Times New Roman" w:cs="Times New Roman" w:eastAsia="Times New Roman" w:hAnsi="Times New Roman"/>
          <w:sz w:val="17"/>
          <w:szCs w:val="17"/>
          <w:color w:val="auto"/>
        </w:rPr>
      </w:pPr>
    </w:p>
    <w:p>
      <w:pPr>
        <w:ind w:left="900" w:right="80" w:hanging="446"/>
        <w:spacing w:after="0" w:line="261" w:lineRule="auto"/>
        <w:tabs>
          <w:tab w:leader="none" w:pos="90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shall not be construed to apply to (x) any payment made by or on behalf of the Borrower pursuant to and in accordance with the express terms of this Agreement or (y) any payment obtained by a Lender as consideration for the assignment of or sale of a participation in any of its Loans to any assignee or participant, other than an assignment to the Borrower, the Guarantor or any Affiliate thereof (as to which the provisions of this Section shall apply).</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Holdback</w:t>
      </w:r>
      <w:r>
        <w:rPr>
          <w:rFonts w:ascii="Times New Roman" w:cs="Times New Roman" w:eastAsia="Times New Roman" w:hAnsi="Times New Roman"/>
          <w:sz w:val="18"/>
          <w:szCs w:val="18"/>
          <w:color w:val="auto"/>
        </w:rPr>
        <w:t>. The Administrative Agent shall retain an amount equal to [*] (the “</w:t>
      </w:r>
      <w:r>
        <w:rPr>
          <w:rFonts w:ascii="Times New Roman" w:cs="Times New Roman" w:eastAsia="Times New Roman" w:hAnsi="Times New Roman"/>
          <w:sz w:val="18"/>
          <w:szCs w:val="18"/>
          <w:u w:val="single" w:color="auto"/>
          <w:color w:val="auto"/>
        </w:rPr>
        <w:t>Holdback Amount</w:t>
      </w:r>
      <w:r>
        <w:rPr>
          <w:rFonts w:ascii="Times New Roman" w:cs="Times New Roman" w:eastAsia="Times New Roman" w:hAnsi="Times New Roman"/>
          <w:sz w:val="18"/>
          <w:szCs w:val="18"/>
          <w:color w:val="auto"/>
        </w:rPr>
        <w:t>”) for the item of Equipment named</w:t>
      </w:r>
    </w:p>
    <w:p>
      <w:pPr>
        <w:spacing w:after="0" w:line="27" w:lineRule="exact"/>
        <w:rPr>
          <w:sz w:val="20"/>
          <w:szCs w:val="20"/>
          <w:color w:val="auto"/>
        </w:rPr>
      </w:pPr>
    </w:p>
    <w:p>
      <w:pPr>
        <w:ind w:right="20" w:firstLine="8"/>
        <w:spacing w:after="0" w:line="252" w:lineRule="auto"/>
        <w:tabs>
          <w:tab w:leader="none" w:pos="2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hereof until such time as the Borrower, at the Borrower’s sole expense, causes to be furnished to Administrative Agent and each Lender an appraisal of such item of Equipment by an Approved Appraiser confirming that such item of Equipment is refurbished, reclaimed and in good operating condition and satisfies the conditions set forth in Section 7.01(q) hereof (the “</w:t>
      </w:r>
      <w:r>
        <w:rPr>
          <w:rFonts w:ascii="Times New Roman" w:cs="Times New Roman" w:eastAsia="Times New Roman" w:hAnsi="Times New Roman"/>
          <w:sz w:val="18"/>
          <w:szCs w:val="18"/>
          <w:u w:val="single" w:color="auto"/>
          <w:color w:val="auto"/>
        </w:rPr>
        <w:t>Holdback Appraisal</w:t>
      </w:r>
      <w:r>
        <w:rPr>
          <w:rFonts w:ascii="Times New Roman" w:cs="Times New Roman" w:eastAsia="Times New Roman" w:hAnsi="Times New Roman"/>
          <w:sz w:val="18"/>
          <w:szCs w:val="18"/>
          <w:color w:val="auto"/>
        </w:rPr>
        <w:t>”). Upon receipt of the Holdback Appraisal, the Administrative Agent shall make the Holdback Amount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For the avoidance of doubt, Borrower and Guarantor acknowledge and agree a Holdback Appraisal of such item of Equipment cannot be obtained on or prior to the date 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INTEREST AND PAYMENT PROVISIONS</w:t>
      </w:r>
    </w:p>
    <w:p>
      <w:pPr>
        <w:spacing w:after="0" w:line="22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Interest Rates</w:t>
      </w:r>
      <w:r>
        <w:rPr>
          <w:rFonts w:ascii="Times New Roman" w:cs="Times New Roman" w:eastAsia="Times New Roman" w:hAnsi="Times New Roman"/>
          <w:sz w:val="18"/>
          <w:szCs w:val="18"/>
          <w:color w:val="auto"/>
        </w:rPr>
        <w:t>. The Borrower shall pay interest on the unpaid principal balance of the Loans for the period commencing on the date the Loans are made until the Loans are repaid in full, and on the dates set forth in Section 2.05 hereof, at the following rate of interest: 4.655% per annum (the “</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Notwithstanding the foregoing, in the event that any payment is not made when due (whether at maturity, by acceleration, on demand or otherwise), the Borrower shall pay to the Administrative Agent, for the benefit of the Lenders in accordance with their Applicable Percentages, on demand interest on such late payment from the date such payment was due until such payment is actually received, at a rate per annum equal to 2% plus the Applicable Rate or the highest rate not prohibited by Applicable Law (the “</w:t>
      </w:r>
      <w:r>
        <w:rPr>
          <w:rFonts w:ascii="Times New Roman" w:cs="Times New Roman" w:eastAsia="Times New Roman" w:hAnsi="Times New Roman"/>
          <w:sz w:val="18"/>
          <w:szCs w:val="18"/>
          <w:u w:val="single" w:color="auto"/>
          <w:color w:val="auto"/>
        </w:rPr>
        <w:t>Default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0" w:right="259" w:bottom="1440" w:gutter="0" w:footer="0" w:header="0"/>
        </w:sectPr>
      </w:pPr>
    </w:p>
    <w:bookmarkStart w:id="237" w:name="page238"/>
    <w:bookmarkEnd w:id="23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 Interest hereunder shall be due and payable in accordance with the terms hereof before and after judgment, and before and after the commencement of any proceeding under any Debtor Relief Law.</w:t>
      </w:r>
    </w:p>
    <w:p>
      <w:pPr>
        <w:spacing w:after="0" w:line="16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Computations</w:t>
      </w:r>
      <w:r>
        <w:rPr>
          <w:rFonts w:ascii="Times New Roman" w:cs="Times New Roman" w:eastAsia="Times New Roman" w:hAnsi="Times New Roman"/>
          <w:sz w:val="18"/>
          <w:szCs w:val="18"/>
          <w:color w:val="auto"/>
        </w:rPr>
        <w:t>. All computations of interest shall be made by the Administrative Agent on the basis of a 365-day year (366 in any leap year). Each determination by the Administrative Agent of the interest due from time to time hereunder shall be conclusive and binding for all purposes, absent manifest error.</w:t>
      </w:r>
    </w:p>
    <w:p>
      <w:pPr>
        <w:spacing w:after="0" w:line="17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Liens; Setoff</w:t>
      </w:r>
      <w:r>
        <w:rPr>
          <w:rFonts w:ascii="Times New Roman" w:cs="Times New Roman" w:eastAsia="Times New Roman" w:hAnsi="Times New Roman"/>
          <w:sz w:val="18"/>
          <w:szCs w:val="18"/>
          <w:color w:val="auto"/>
        </w:rPr>
        <w:t>.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may be contingent or unmatured, secured or unsecured, or are owed to a branch, office or Affiliate of such Lender different from the branch, office or Affiliate holding such deposit or obligated on such indebtedness. The rights of each Lender and its Affiliates under this Section are in addition to other rights and remedies (including other rights of setoff) that such Lender or its Affiliates may have. Each Lender agrees to notify the Borrower and the Administrative Agent promptly after any such setoff and application, provided that the failure to give such notice shall not affect the validity of such setoff and application.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21"/>
        <w:spacing w:after="0" w:line="253" w:lineRule="auto"/>
        <w:tabs>
          <w:tab w:leader="none" w:pos="115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Subject to the terms and conditions hereinafter set forth, the Borrower may, upon notice to the Administrative Agent pursuant to delivery to the Administrative Agent of a Notice of Loan Prepayment, prepay the Loans, and in part (subject to a minimum amount of Seven Million Five Hundred Thousand Dollars ($7,500,000));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unless otherwise agreed by the Administrative Agent, such notice must be received by the Administrative Agent not later than 11:00 a.m. on the date of prepayment. Each such notice shall specify the date and amount of such prepayment. The Administrative Agent will promptly notify each Lender of its receipt of each such notice, and of the amount of such Lender’s ratable portion of such prepayment (based on such Lender’s Applicable Percentage in respect of the Facility). If such notice is given by the Borrower, the Borrower shall make such prepayment and the payment amount specified in such notice shall be due and payable on the date specified therein. On such date, the Borrower shall pay to the Administrative Agent, in addition to the principal amount being prepaid (the “</w:t>
      </w:r>
      <w:r>
        <w:rPr>
          <w:rFonts w:ascii="Times New Roman" w:cs="Times New Roman" w:eastAsia="Times New Roman" w:hAnsi="Times New Roman"/>
          <w:sz w:val="18"/>
          <w:szCs w:val="18"/>
          <w:u w:val="single" w:color="auto"/>
          <w:color w:val="auto"/>
        </w:rPr>
        <w:t>Principal Prepayment Amount</w:t>
      </w:r>
      <w:r>
        <w:rPr>
          <w:rFonts w:ascii="Times New Roman" w:cs="Times New Roman" w:eastAsia="Times New Roman" w:hAnsi="Times New Roman"/>
          <w:sz w:val="18"/>
          <w:szCs w:val="18"/>
          <w:color w:val="auto"/>
        </w:rPr>
        <w:t xml:space="preserve">”), all accrued but unpaid interest then due thereon together with all other sums due hereunder and the applicable Prepayment Fee (if any). Each prepayment of the outstanding Loans pursuant to this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shall be applied to the principal repayment installments thereof on a pro-rata basis. Such prepayments shall be paid to the Lenders in accordance with their respective Applicable Percentages of the Facility.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0" w:right="2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1180" w:hanging="259"/>
        <w:spacing w:after="0"/>
        <w:tabs>
          <w:tab w:leader="none" w:pos="11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If, at any time prior to repayment in full of the Loan,</w:t>
      </w:r>
    </w:p>
    <w:p>
      <w:pPr>
        <w:spacing w:after="0" w:line="225" w:lineRule="exact"/>
        <w:rPr>
          <w:rFonts w:ascii="Times New Roman" w:cs="Times New Roman" w:eastAsia="Times New Roman" w:hAnsi="Times New Roman"/>
          <w:sz w:val="18"/>
          <w:szCs w:val="18"/>
          <w:color w:val="auto"/>
        </w:rPr>
      </w:pPr>
    </w:p>
    <w:p>
      <w:pPr>
        <w:ind w:right="20" w:firstLine="1492"/>
        <w:spacing w:after="0" w:line="256" w:lineRule="auto"/>
        <w:tabs>
          <w:tab w:leader="none" w:pos="1698"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the Vessels or any Equipment is sold (other than in conjunction with the Borrower’s election to substitute in a similar item of Collateral in compliance with the provisions of Section 4.06 hereof), the Borrower shall pay to the Administrative Agent, upon the date such Vessel or Equipment (as applicable) is sold, an amount equal to the greater of (x) the net proceeds of sale up to but not to exceed the amount then outstanding under the Loans, or (y) the product obtained by multiplying the outstanding principal balance of the Loans by a fraction, the numerator of which is the Allocated Percentage Value(s) of the Vessel(s) or Equipment sold, and the denominator of which is the Allocated Percentage Value of all Vessels and the Equipment then securing the Borrower’s Obligations immediately prior to such sale, plus all accrued interest then due thereon and the Prepayment Fee;</w:t>
      </w:r>
    </w:p>
    <w:p>
      <w:pPr>
        <w:spacing w:after="0" w:line="187" w:lineRule="exact"/>
        <w:rPr>
          <w:rFonts w:ascii="Times New Roman" w:cs="Times New Roman" w:eastAsia="Times New Roman" w:hAnsi="Times New Roman"/>
          <w:sz w:val="18"/>
          <w:szCs w:val="18"/>
          <w:color w:val="auto"/>
        </w:rPr>
      </w:pPr>
    </w:p>
    <w:p>
      <w:pPr>
        <w:ind w:left="1760" w:hanging="268"/>
        <w:spacing w:after="0"/>
        <w:tabs>
          <w:tab w:leader="none" w:pos="176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the Vessels or any Equipment sustains a Total Loss, the Borrower shall pay to the Administrative Agent, within ninety</w:t>
      </w:r>
    </w:p>
    <w:p>
      <w:pPr>
        <w:spacing w:after="0" w:line="27" w:lineRule="exact"/>
        <w:rPr>
          <w:rFonts w:ascii="Times New Roman" w:cs="Times New Roman" w:eastAsia="Times New Roman" w:hAnsi="Times New Roman"/>
          <w:sz w:val="18"/>
          <w:szCs w:val="18"/>
          <w:color w:val="auto"/>
        </w:rPr>
      </w:pPr>
    </w:p>
    <w:p>
      <w:pPr>
        <w:ind w:firstLine="8"/>
        <w:spacing w:after="0" w:line="253" w:lineRule="auto"/>
        <w:tabs>
          <w:tab w:leader="none" w:pos="34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thereafter (unless the Borrower substitutes in a similar item of Collateral in compliance with the provisions of Section 4.06 hereof prior to the end of such 90 day period) an amount equal to the product obtained by multiplying the outstanding principal balance of the Loans by a fraction, the numerator of which is the Allocated Percentage Value(s) of the Vessel(s) and/or Equipment lost, and the denominator of which is the Allocated Percentage Value of all Vessels and all Equipment then securing the Borrower’s Obligations immediately prior to such Total Loss, plus all accrued interest then due thereon and the Prepayment Fee, if any; or</w:t>
      </w:r>
    </w:p>
    <w:p>
      <w:pPr>
        <w:spacing w:after="0" w:line="187" w:lineRule="exact"/>
        <w:rPr>
          <w:rFonts w:ascii="Times New Roman" w:cs="Times New Roman" w:eastAsia="Times New Roman" w:hAnsi="Times New Roman"/>
          <w:sz w:val="18"/>
          <w:szCs w:val="18"/>
          <w:color w:val="auto"/>
        </w:rPr>
      </w:pPr>
    </w:p>
    <w:p>
      <w:pPr>
        <w:jc w:val="both"/>
        <w:ind w:right="60" w:firstLine="1492"/>
        <w:spacing w:after="0" w:line="266" w:lineRule="auto"/>
        <w:tabs>
          <w:tab w:leader="none" w:pos="1798"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becomes unlawful or impossible for any Lender to continue to maintain its Loan, such Lender shall notify the Borrower, in writing thereof and, within sixty (60) days thereafter, the Borrower shall pay to such Lender the principal amount then outstanding under such Loan, together with all accrued but unpaid interest due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replace such Lender in accordance with Section 10.03(b).</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Each prepayment of Loans pursuant to the foregoing provisions of Section 3.04(b) except Section 3.04(b)(iii) above shall be applied, on a pro-rata basis for all such principal repayment installments, including, without limitation, the final principal repayment installment on the Maturity Date. Such prepayments shall be paid to the Lenders in accordance with their respective Applicable Percentages in respect of the Facility.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SECURITY</w:t>
      </w:r>
    </w:p>
    <w:p>
      <w:pPr>
        <w:spacing w:after="0" w:line="225"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To secure payment of the Secured Obligations, including without limitation the Guarantor’s Obligations under the Guaranty and the other Loan Documents and the performance and observance of and compliance with the covenants, terms and conditions contained in this Agreement and the other Loan Documents, the Guarantor hereby grants and conveys to the Administrative Agent, for the benefit of the Secured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0" w:right="239" w:bottom="1440" w:gutter="0" w:footer="0" w:header="0"/>
        </w:sectPr>
      </w:pPr>
    </w:p>
    <w:bookmarkStart w:id="239" w:name="page240"/>
    <w:bookmarkEnd w:id="239"/>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Parties, a continuing, first priority security interest in and lien on, and/or first preferred mortgage lien over, all rights, title and interests of the Guarantor in and to:</w:t>
      </w:r>
    </w:p>
    <w:p>
      <w:pPr>
        <w:spacing w:after="0" w:line="54" w:lineRule="exact"/>
        <w:rPr>
          <w:sz w:val="20"/>
          <w:szCs w:val="20"/>
          <w:color w:val="auto"/>
        </w:rPr>
      </w:pPr>
    </w:p>
    <w:p>
      <w:pPr>
        <w:ind w:firstLine="1492"/>
        <w:spacing w:after="0" w:line="258" w:lineRule="auto"/>
        <w:tabs>
          <w:tab w:leader="none" w:pos="169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Vessels, together with all of their boilers, engines, machinery, masts, rigging, boats, anchors, chains, cables, tackle, apparel, spare gear, fuel, consumable or other stores, equipment and all other appurtenances thereto appertaining or belonging to the Vessels, whether now owned or hereafter acquired, whether on board or not, and all additions, improvements and replacements hereafter made in or to the Vessels, or any part thereof, except such equipment and stores which, when placed aboard the Vessels, do not become the property of the Borrower and leased equipment not belonging to the Borrower;</w:t>
      </w:r>
    </w:p>
    <w:p>
      <w:pPr>
        <w:spacing w:after="0" w:line="183" w:lineRule="exact"/>
        <w:rPr>
          <w:rFonts w:ascii="Times New Roman" w:cs="Times New Roman" w:eastAsia="Times New Roman" w:hAnsi="Times New Roman"/>
          <w:sz w:val="18"/>
          <w:szCs w:val="18"/>
          <w:color w:val="auto"/>
        </w:rPr>
      </w:pPr>
    </w:p>
    <w:p>
      <w:pPr>
        <w:ind w:left="1760" w:hanging="268"/>
        <w:spacing w:after="0"/>
        <w:tabs>
          <w:tab w:leader="none" w:pos="17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Equipment, together with all parts, attachments, accessories and accessions to, substitutions and replacements for, each item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w:t>
      </w:r>
    </w:p>
    <w:p>
      <w:pPr>
        <w:spacing w:after="0" w:line="206" w:lineRule="exact"/>
        <w:rPr>
          <w:rFonts w:ascii="Times New Roman" w:cs="Times New Roman" w:eastAsia="Times New Roman" w:hAnsi="Times New Roman"/>
          <w:sz w:val="18"/>
          <w:szCs w:val="18"/>
          <w:color w:val="auto"/>
        </w:rPr>
      </w:pPr>
    </w:p>
    <w:p>
      <w:pPr>
        <w:ind w:right="300" w:firstLine="1492"/>
        <w:spacing w:after="0" w:line="282" w:lineRule="auto"/>
        <w:tabs>
          <w:tab w:leader="none" w:pos="179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software and other intellectual property rights, if any, necessary for the operation of the Equipment and all books and records regarding the Equipment, in each case, now existing or hereafter arising; and</w:t>
      </w:r>
    </w:p>
    <w:p>
      <w:pPr>
        <w:spacing w:after="0" w:line="161"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and products of any of the foregoing in clauses (i)-(iii) above, including insurance proceeds.</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In order to secure the prompt payment and performance of the Secured Obligations and perfect the Administrative Agent’s lien on the foregoing Collateral, including without limitation its Obligations hereunder, under the Note and other Loan Documents, the Guarantor shall execute and/or deliver, or cause to be executed and delivered, to the Administrative Agent on the Closing Date the following documents, each in form and substance satisfactory to the Administrative Agent and each Lender (collectively, the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700" w:hanging="208"/>
        <w:spacing w:after="0"/>
        <w:tabs>
          <w:tab w:leader="none" w:pos="17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Fleet Mortgage; and</w:t>
      </w:r>
    </w:p>
    <w:p>
      <w:pPr>
        <w:spacing w:after="0" w:line="225" w:lineRule="exact"/>
        <w:rPr>
          <w:rFonts w:ascii="Times New Roman" w:cs="Times New Roman" w:eastAsia="Times New Roman" w:hAnsi="Times New Roman"/>
          <w:sz w:val="18"/>
          <w:szCs w:val="18"/>
          <w:color w:val="auto"/>
        </w:rPr>
      </w:pPr>
    </w:p>
    <w:p>
      <w:pPr>
        <w:ind w:left="1760" w:hanging="268"/>
        <w:spacing w:after="0"/>
        <w:tabs>
          <w:tab w:leader="none" w:pos="17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UCC-1 financing statements as may be required to perfect certain of the security interests created pursuant hereto.</w:t>
      </w:r>
    </w:p>
    <w:p>
      <w:pPr>
        <w:spacing w:after="0" w:line="225"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Additional Documents, etc.</w:t>
      </w:r>
      <w:r>
        <w:rPr>
          <w:rFonts w:ascii="Times New Roman" w:cs="Times New Roman" w:eastAsia="Times New Roman" w:hAnsi="Times New Roman"/>
          <w:sz w:val="18"/>
          <w:szCs w:val="18"/>
          <w:color w:val="auto"/>
        </w:rPr>
        <w:t xml:space="preserve"> On the Closing Date, the Borrower shall also deliver, or cause the Guarantor to deliver, to the Administrative Agent and each Lender the following additional documents and instruments: a copy of the Certificate of Documentation and, if applicable, Certificate of Inspection for each Vessel. To the extent applicable, promptly after the Closing Date, the Borrower shall deliver, or cause the Guarantor to deliver, to the Administrative Agent and each Lender an updated Confirmation of Class for each Vessel that is classed, issued by the American Bureau of Shipping or other internationally recognized classification society.</w:t>
      </w:r>
    </w:p>
    <w:p>
      <w:pPr>
        <w:spacing w:after="0" w:line="184"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Release of Collateral</w:t>
      </w:r>
      <w:r>
        <w:rPr>
          <w:rFonts w:ascii="Times New Roman" w:cs="Times New Roman" w:eastAsia="Times New Roman" w:hAnsi="Times New Roman"/>
          <w:sz w:val="18"/>
          <w:szCs w:val="18"/>
          <w:color w:val="auto"/>
        </w:rPr>
        <w:t>. Upon payment in full of all sums due under the Notes and satisfaction of all of the other Secured Obligations, the Administrative Agent, 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240" w:top="270" w:right="319" w:bottom="1440" w:gutter="0" w:footer="0" w:header="0"/>
        </w:sectPr>
      </w:pPr>
    </w:p>
    <w:bookmarkStart w:id="240" w:name="page241"/>
    <w:bookmarkEnd w:id="240"/>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80" w:right="24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behalf of the Secured Parties, shall, at the Borrower’s sole cost and expense, discharge the Fleet Mortgage of record and terminate its security interests in all other Collateral. Upon the sale or Total Loss of any Collateral and the receipt, in full, by the Administrative Agent of any mandatory prepayment required pursuant to Section 3.04(b), the Administrative Agent, on behalf of the Lenders, shall at the Borrower’s sole cost and expense, release such Collateral from the lien of the Fleet Mortgage and otherwise terminate its security interest in such Collateral.</w:t>
      </w:r>
    </w:p>
    <w:p>
      <w:pPr>
        <w:spacing w:after="0" w:line="180"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Exercise of Powers of Attorney</w:t>
      </w:r>
      <w:r>
        <w:rPr>
          <w:rFonts w:ascii="Times New Roman" w:cs="Times New Roman" w:eastAsia="Times New Roman" w:hAnsi="Times New Roman"/>
          <w:sz w:val="18"/>
          <w:szCs w:val="18"/>
          <w:color w:val="auto"/>
        </w:rPr>
        <w:t>. The Administrative Agent shall not exercise any rights or powers pursuant to any power of attorney granted to the Administrative Agent pursuant to the Fleet Mortgage or the other Loan Documents until the occurrence, and only then during the continuance, of an Event of Default.</w:t>
      </w:r>
    </w:p>
    <w:p>
      <w:pPr>
        <w:spacing w:after="0" w:line="176" w:lineRule="exact"/>
        <w:rPr>
          <w:sz w:val="20"/>
          <w:szCs w:val="20"/>
          <w:color w:val="auto"/>
        </w:rPr>
      </w:pPr>
    </w:p>
    <w:p>
      <w:pPr>
        <w:ind w:firstLine="456"/>
        <w:spacing w:after="0" w:line="269" w:lineRule="auto"/>
        <w:rPr>
          <w:sz w:val="20"/>
          <w:szCs w:val="20"/>
          <w:color w:val="auto"/>
        </w:rPr>
      </w:pPr>
      <w:r>
        <w:rPr>
          <w:rFonts w:ascii="Times New Roman" w:cs="Times New Roman" w:eastAsia="Times New Roman" w:hAnsi="Times New Roman"/>
          <w:sz w:val="17"/>
          <w:szCs w:val="17"/>
          <w:color w:val="auto"/>
        </w:rPr>
        <w:t xml:space="preserve">SECTION 4.06. </w:t>
      </w:r>
      <w:r>
        <w:rPr>
          <w:rFonts w:ascii="Times New Roman" w:cs="Times New Roman" w:eastAsia="Times New Roman" w:hAnsi="Times New Roman"/>
          <w:sz w:val="17"/>
          <w:szCs w:val="17"/>
          <w:u w:val="single" w:color="auto"/>
          <w:color w:val="auto"/>
        </w:rPr>
        <w:t>Substitution of Collateral</w:t>
      </w:r>
      <w:r>
        <w:rPr>
          <w:rFonts w:ascii="Times New Roman" w:cs="Times New Roman" w:eastAsia="Times New Roman" w:hAnsi="Times New Roman"/>
          <w:sz w:val="17"/>
          <w:szCs w:val="17"/>
          <w:color w:val="auto"/>
        </w:rPr>
        <w:t xml:space="preserve">. Provided that no Default or Event of Default shall then have occurred and be continuing, the Borrower may elect, at its sole cost and expense, to replace (i) certain Equipment with equipment of same or better type and value, or (ii) a Vessel with a vessel, of same or better type and value,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with respect to any replacement vessel or equipment, such replacement vessel or equipment, as applicable, shall (a) be free and clear of all Liens (other than Permitted Encumbrances), (b) have, in the opinion of an Approved Appraiser, at least the value as the substituted Vessel or Equipment, as applicable (in each case assuming that the substituted Vessel or Equipment has been used and maintained in accordance with the terms of the Loan Documents), (c) be reasonably acceptable to the Administrative Agent and Lenders, and (d) in the case of a replacement vessel, such vessel shall</w:t>
      </w:r>
    </w:p>
    <w:p>
      <w:pPr>
        <w:jc w:val="both"/>
        <w:ind w:right="280" w:firstLine="8"/>
        <w:spacing w:after="0" w:line="255" w:lineRule="auto"/>
        <w:tabs>
          <w:tab w:leader="none" w:pos="2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duly documented in the name of the Guarantor under the laws and flag of the United States qualified to engage in the coastwise trade of the United States, and (y) be subject to a first preferred mortgage in favor of the Administrative Agent,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Borrower shall comply with the following terms and conditions:</w:t>
      </w:r>
    </w:p>
    <w:p>
      <w:pPr>
        <w:spacing w:after="0" w:line="78" w:lineRule="exact"/>
        <w:rPr>
          <w:rFonts w:ascii="Times New Roman" w:cs="Times New Roman" w:eastAsia="Times New Roman" w:hAnsi="Times New Roman"/>
          <w:sz w:val="18"/>
          <w:szCs w:val="18"/>
          <w:color w:val="auto"/>
        </w:rPr>
      </w:pPr>
    </w:p>
    <w:p>
      <w:pPr>
        <w:ind w:right="100" w:firstLine="1492"/>
        <w:spacing w:after="0" w:line="266" w:lineRule="auto"/>
        <w:tabs>
          <w:tab w:leader="none" w:pos="169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to the Administrative Agent such surveys, certificates, abstracts and other due diligence items as the Administrative Agent may reasonably request which are similar to those requested in connection with the satisfaction of the initial conditions on the Closing Date;</w:t>
      </w:r>
    </w:p>
    <w:p>
      <w:pPr>
        <w:spacing w:after="0" w:line="176" w:lineRule="exact"/>
        <w:rPr>
          <w:rFonts w:ascii="Times New Roman" w:cs="Times New Roman" w:eastAsia="Times New Roman" w:hAnsi="Times New Roman"/>
          <w:sz w:val="18"/>
          <w:szCs w:val="18"/>
          <w:color w:val="auto"/>
        </w:rPr>
      </w:pPr>
    </w:p>
    <w:p>
      <w:pPr>
        <w:ind w:left="1760" w:hanging="268"/>
        <w:spacing w:after="0"/>
        <w:tabs>
          <w:tab w:leader="none" w:pos="17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substitution shall be completed pursuant to documentation in form and substance reasonably satisfactory to the Administrative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and</w:t>
      </w:r>
    </w:p>
    <w:p>
      <w:pPr>
        <w:spacing w:after="0" w:line="206" w:lineRule="exact"/>
        <w:rPr>
          <w:rFonts w:ascii="Times New Roman" w:cs="Times New Roman" w:eastAsia="Times New Roman" w:hAnsi="Times New Roman"/>
          <w:sz w:val="18"/>
          <w:szCs w:val="18"/>
          <w:color w:val="auto"/>
        </w:rPr>
      </w:pPr>
    </w:p>
    <w:p>
      <w:pPr>
        <w:ind w:right="580" w:firstLine="1492"/>
        <w:spacing w:after="0" w:line="282" w:lineRule="auto"/>
        <w:tabs>
          <w:tab w:leader="none" w:pos="179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expenses incurred by Administrative Agent in connection with any substitution (including, without limitation, all search fees, legal fees and recordation costs) shall be borne by Borrower and paid upon demand.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270" w:right="279" w:bottom="1440" w:gutter="0" w:footer="0" w:header="0"/>
        </w:sectPr>
      </w:pPr>
    </w:p>
    <w:bookmarkStart w:id="241" w:name="page242"/>
    <w:bookmarkEnd w:id="24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 OF BORROWING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Conditions Precedent to the Funding of the Loan</w:t>
      </w:r>
      <w:r>
        <w:rPr>
          <w:rFonts w:ascii="Times New Roman" w:cs="Times New Roman" w:eastAsia="Times New Roman" w:hAnsi="Times New Roman"/>
          <w:sz w:val="18"/>
          <w:szCs w:val="18"/>
          <w:color w:val="auto"/>
        </w:rPr>
        <w:t>. Each Lender’s obligation to proceed forward with this transaction and to fund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is subject to satisfaction of the following conditions precedent:</w:t>
      </w:r>
    </w:p>
    <w:p>
      <w:pPr>
        <w:spacing w:after="0" w:line="99" w:lineRule="exact"/>
        <w:rPr>
          <w:sz w:val="20"/>
          <w:szCs w:val="20"/>
          <w:color w:val="auto"/>
        </w:rPr>
      </w:pPr>
    </w:p>
    <w:p>
      <w:pPr>
        <w:ind w:right="280" w:firstLine="921"/>
        <w:spacing w:after="0" w:line="261" w:lineRule="auto"/>
        <w:tabs>
          <w:tab w:leader="none" w:pos="115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investigation, litigation or proceeding to which the Borrower and/or the Guarantor is a party shall be pending or threatened before any court, governmental agency or arbitrator which could reasonably be expected to have a Material Adverse Effect or that purports to affect the legality, validity or enforceability of this Agreement, any Note, any of the other Loan Documents or the consummation of the transactions contemplated hereby or thereby;</w:t>
      </w:r>
    </w:p>
    <w:p>
      <w:pPr>
        <w:spacing w:after="0" w:line="180" w:lineRule="exact"/>
        <w:rPr>
          <w:rFonts w:ascii="Times New Roman" w:cs="Times New Roman" w:eastAsia="Times New Roman" w:hAnsi="Times New Roman"/>
          <w:sz w:val="18"/>
          <w:szCs w:val="18"/>
          <w:color w:val="auto"/>
        </w:rPr>
      </w:pPr>
    </w:p>
    <w:p>
      <w:pPr>
        <w:ind w:firstLine="921"/>
        <w:spacing w:after="0" w:line="254" w:lineRule="auto"/>
        <w:tabs>
          <w:tab w:leader="none" w:pos="116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Lender shall have received on or before the Closing Date the following, each dated such day (unless otherwise specified), in form and substance satisfactory to the Administrative Agent (unless otherwise specified): (i) certified copies of the Articles of Incorporation and Bylaws of the Borrower and the authorizations of the Borrower’s Board of Directors approving this Agreement, the Notes and the other Loan Documents and the incumbency (including specimen signatures) of the Responsible Officers of the Borrower and evidence of other necessary third party consents and governmental approvals, if any, which are required by this Agreement, the Notes or the other Loan Documents or any other agreement to which the Borrower is a party and evidence of the Borrower’s date of incorporation and good standing, and (ii) certified copies of the Certificate of Formation and Operating Agreement of the Guarantor and the authorizations of the Guarantor’s Board of Managers approving this Agreement, the Guaranty and the other Loan Documents and the incumbency (including specimen signatures) of the Responsible Officers of the Guarantor and evidence of other necessary third party consents and governmental approvals, if any, which are required by this Agreement, the Guaranty or the other Loan Documents or any other agreement to which the Guaranty is a party and evidence of the Guarantor’s date of formation and good standing;</w:t>
      </w:r>
    </w:p>
    <w:p>
      <w:pPr>
        <w:spacing w:after="0" w:line="186" w:lineRule="exact"/>
        <w:rPr>
          <w:rFonts w:ascii="Times New Roman" w:cs="Times New Roman" w:eastAsia="Times New Roman" w:hAnsi="Times New Roman"/>
          <w:sz w:val="18"/>
          <w:szCs w:val="18"/>
          <w:color w:val="auto"/>
        </w:rPr>
      </w:pPr>
    </w:p>
    <w:p>
      <w:pPr>
        <w:ind w:right="60" w:firstLine="921"/>
        <w:spacing w:after="0" w:line="282" w:lineRule="auto"/>
        <w:tabs>
          <w:tab w:leader="none" w:pos="115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executed by a Responsible Officer and delivered, or caused the Guarantor to have executed by a Responsible Officer and delivered, to the Administrative Agent and each Lender, the following documents to which it is a party:</w:t>
      </w:r>
    </w:p>
    <w:p>
      <w:pPr>
        <w:spacing w:after="0" w:line="53" w:lineRule="exact"/>
        <w:rPr>
          <w:rFonts w:ascii="Times New Roman" w:cs="Times New Roman" w:eastAsia="Times New Roman" w:hAnsi="Times New Roman"/>
          <w:sz w:val="18"/>
          <w:szCs w:val="18"/>
          <w:color w:val="auto"/>
        </w:rPr>
      </w:pPr>
    </w:p>
    <w:p>
      <w:pPr>
        <w:ind w:right="340" w:firstLine="1492"/>
        <w:spacing w:after="0" w:line="282" w:lineRule="auto"/>
        <w:tabs>
          <w:tab w:leader="none" w:pos="169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Notice, properly addressed to the Administrative Agent, requesting the Lenders to fund the Loan and specifying how the proceeds of the Loan are to be disbursed;</w:t>
      </w:r>
    </w:p>
    <w:p>
      <w:pPr>
        <w:spacing w:after="0" w:line="161" w:lineRule="exact"/>
        <w:rPr>
          <w:rFonts w:ascii="Times New Roman" w:cs="Times New Roman" w:eastAsia="Times New Roman" w:hAnsi="Times New Roman"/>
          <w:sz w:val="18"/>
          <w:szCs w:val="18"/>
          <w:color w:val="auto"/>
        </w:rPr>
      </w:pPr>
    </w:p>
    <w:p>
      <w:pPr>
        <w:ind w:left="1760" w:hanging="268"/>
        <w:spacing w:after="0"/>
        <w:tabs>
          <w:tab w:leader="none" w:pos="17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w:t>
      </w:r>
    </w:p>
    <w:p>
      <w:pPr>
        <w:spacing w:after="0" w:line="225"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Fleet Mortgage</w:t>
      </w:r>
    </w:p>
    <w:p>
      <w:pPr>
        <w:spacing w:after="0" w:line="225"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Guaranty;</w:t>
      </w:r>
    </w:p>
    <w:p>
      <w:pPr>
        <w:spacing w:after="0" w:line="225" w:lineRule="exact"/>
        <w:rPr>
          <w:rFonts w:ascii="Times New Roman" w:cs="Times New Roman" w:eastAsia="Times New Roman" w:hAnsi="Times New Roman"/>
          <w:sz w:val="18"/>
          <w:szCs w:val="18"/>
          <w:color w:val="auto"/>
        </w:rPr>
      </w:pPr>
    </w:p>
    <w:p>
      <w:pPr>
        <w:ind w:left="1740" w:hanging="248"/>
        <w:spacing w:after="0"/>
        <w:tabs>
          <w:tab w:leader="none" w:pos="17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UCC-1 financing statement to be filed with the Secretary of the State of Delaware;</w:t>
      </w:r>
    </w:p>
    <w:p>
      <w:pPr>
        <w:spacing w:after="0" w:line="225" w:lineRule="exact"/>
        <w:rPr>
          <w:rFonts w:ascii="Times New Roman" w:cs="Times New Roman" w:eastAsia="Times New Roman" w:hAnsi="Times New Roman"/>
          <w:sz w:val="18"/>
          <w:szCs w:val="18"/>
          <w:color w:val="auto"/>
        </w:rPr>
      </w:pPr>
    </w:p>
    <w:p>
      <w:pPr>
        <w:ind w:right="180" w:firstLine="1492"/>
        <w:spacing w:after="0" w:line="282" w:lineRule="auto"/>
        <w:tabs>
          <w:tab w:leader="none" w:pos="178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of mortgages or releases of claims, duly executed by each Person having a preferred ship mortgage or Lien over any of the Vessels, in form acceptable for filing with NVDC, releasing its various mortgages or Liens on the Vessels, as applicable;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0" w:right="259" w:bottom="1440" w:gutter="0" w:footer="0" w:header="0"/>
        </w:sectPr>
      </w:pPr>
    </w:p>
    <w:bookmarkStart w:id="242" w:name="page243"/>
    <w:bookmarkEnd w:id="242"/>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(vii) UCC-3 termination statements executed and delivered by any Person currently holding an interest, if any, in and to any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w:t>
      </w:r>
    </w:p>
    <w:p>
      <w:pPr>
        <w:spacing w:after="0" w:line="207" w:lineRule="exact"/>
        <w:rPr>
          <w:sz w:val="20"/>
          <w:szCs w:val="20"/>
          <w:color w:val="auto"/>
        </w:rPr>
      </w:pPr>
    </w:p>
    <w:p>
      <w:pPr>
        <w:ind w:right="700" w:firstLine="921"/>
        <w:spacing w:after="0" w:line="282" w:lineRule="auto"/>
        <w:tabs>
          <w:tab w:leader="none" w:pos="116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Lender shall have received copies of all consents and approvals necessary in connection with the Borrower’s execution and delivery of this Agreement and each of the other Loan Documents to which it is a party;</w:t>
      </w:r>
    </w:p>
    <w:p>
      <w:pPr>
        <w:spacing w:after="0" w:line="161" w:lineRule="exact"/>
        <w:rPr>
          <w:rFonts w:ascii="Times New Roman" w:cs="Times New Roman" w:eastAsia="Times New Roman" w:hAnsi="Times New Roman"/>
          <w:sz w:val="18"/>
          <w:szCs w:val="18"/>
          <w:color w:val="auto"/>
        </w:rPr>
      </w:pPr>
    </w:p>
    <w:p>
      <w:pPr>
        <w:ind w:right="60" w:firstLine="921"/>
        <w:spacing w:after="0" w:line="266" w:lineRule="auto"/>
        <w:tabs>
          <w:tab w:leader="none" w:pos="115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payment in full of all fees and expenses due the Administrative Agent, including payment of its documentation fee in the amount of $10,000, and reimbursement of the Administrative Agent’s reasonable and documented out-of-pocket legal fees and expenses, appraisal fees and other processing costs;</w:t>
      </w:r>
    </w:p>
    <w:p>
      <w:pPr>
        <w:spacing w:after="0" w:line="176" w:lineRule="exact"/>
        <w:rPr>
          <w:rFonts w:ascii="Times New Roman" w:cs="Times New Roman" w:eastAsia="Times New Roman" w:hAnsi="Times New Roman"/>
          <w:sz w:val="18"/>
          <w:szCs w:val="18"/>
          <w:color w:val="auto"/>
        </w:rPr>
      </w:pPr>
    </w:p>
    <w:p>
      <w:pPr>
        <w:ind w:right="480" w:firstLine="921"/>
        <w:spacing w:after="0" w:line="282" w:lineRule="auto"/>
        <w:tabs>
          <w:tab w:leader="none" w:pos="113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evidence satisfactory to it and its counsel that each Vessel and the Equipment is insured in accordance with the provisions hereof, and all requirements in respect of such Insurances have been fulfilled;</w:t>
      </w:r>
    </w:p>
    <w:p>
      <w:pPr>
        <w:spacing w:after="0" w:line="161" w:lineRule="exact"/>
        <w:rPr>
          <w:rFonts w:ascii="Times New Roman" w:cs="Times New Roman" w:eastAsia="Times New Roman" w:hAnsi="Times New Roman"/>
          <w:sz w:val="18"/>
          <w:szCs w:val="18"/>
          <w:color w:val="auto"/>
        </w:rPr>
      </w:pPr>
    </w:p>
    <w:p>
      <w:pPr>
        <w:ind w:right="100" w:firstLine="921"/>
        <w:spacing w:after="0" w:line="282" w:lineRule="auto"/>
        <w:tabs>
          <w:tab w:leader="none" w:pos="116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other certificates, documents and instruments relating to the transactions contemplated by this Agreement as may have been reasonably requested by the Administrative Agent;</w:t>
      </w:r>
    </w:p>
    <w:p>
      <w:pPr>
        <w:spacing w:after="0" w:line="161" w:lineRule="exact"/>
        <w:rPr>
          <w:rFonts w:ascii="Times New Roman" w:cs="Times New Roman" w:eastAsia="Times New Roman" w:hAnsi="Times New Roman"/>
          <w:sz w:val="18"/>
          <w:szCs w:val="18"/>
          <w:color w:val="auto"/>
        </w:rPr>
      </w:pPr>
    </w:p>
    <w:p>
      <w:pPr>
        <w:ind w:firstLine="921"/>
        <w:spacing w:after="0" w:line="266" w:lineRule="auto"/>
        <w:tabs>
          <w:tab w:leader="none" w:pos="116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regulation or ruling (including, without limitation, any trade sanction laws and regulations applicable to any Lender) shall prevent any Lender from entering into the transactions contemplated hereby or shall affect the ability of the Borrower to perform any of its obligations under the Loan Documents; and</w:t>
      </w:r>
    </w:p>
    <w:p>
      <w:pPr>
        <w:spacing w:after="0" w:line="176"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for purposes of determining compliance with the conditions specified in this Article,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The Loan Notice submitted by the Borrower shall be deemed to be a representation and warranty that the conditions specified in this Article have been satisfied on and as of the date of the Loans.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70" w:right="259" w:bottom="1440" w:gutter="0" w:footer="0" w:header="0"/>
        </w:sectPr>
      </w:pPr>
    </w:p>
    <w:bookmarkStart w:id="243" w:name="page244"/>
    <w:bookmarkEnd w:id="24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LOAN PARTIES</w:t>
      </w:r>
    </w:p>
    <w:p>
      <w:pPr>
        <w:spacing w:after="0" w:line="225"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Loan Parties hereby represent and warrant to the Administrative Agent and each Lender as follows:</w:t>
      </w:r>
    </w:p>
    <w:p>
      <w:pPr>
        <w:spacing w:after="0" w:line="162" w:lineRule="exact"/>
        <w:rPr>
          <w:sz w:val="20"/>
          <w:szCs w:val="20"/>
          <w:color w:val="auto"/>
        </w:rPr>
      </w:pPr>
    </w:p>
    <w:p>
      <w:pPr>
        <w:ind w:firstLine="921"/>
        <w:spacing w:after="0" w:line="255" w:lineRule="auto"/>
        <w:tabs>
          <w:tab w:leader="none" w:pos="115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Powers.</w:t>
      </w:r>
      <w:r>
        <w:rPr>
          <w:rFonts w:ascii="Times New Roman" w:cs="Times New Roman" w:eastAsia="Times New Roman" w:hAnsi="Times New Roman"/>
          <w:sz w:val="18"/>
          <w:szCs w:val="18"/>
          <w:color w:val="auto"/>
        </w:rPr>
        <w:t xml:space="preserve"> The Borrower is a corporation duly organized, validly existing and in good standing under the laws of Delaware and is duly qualified and authorized to transact business as a foreign corporation in good standing wherever necessary to carry on its present business and operations, except in jurisdictions where the failure to be so qualified or in good standing could not reasonably be expected to have a Material Adverse Effect. The Guarantor is a limited liability company duly organized, validly existing and in good standing under the laws of Delaware and is duly qualified and authorized to transact business as a foreign limited liability company in good standing wherever necessary to carry on its present business and operations except in jurisdictions where the failure to be so qualified or in good standing could not reasonably be expected to have a Material Adverse Effect. Each Loan Party has the full power and authority to enter into and to perform its obligations under this Agreement and the other Loan Documents to which it is a party and the Guarantor has the requisite power and authority to own, operate, and mortgage the Vessels.</w:t>
      </w:r>
    </w:p>
    <w:p>
      <w:pPr>
        <w:spacing w:after="0" w:line="185" w:lineRule="exact"/>
        <w:rPr>
          <w:rFonts w:ascii="Times New Roman" w:cs="Times New Roman" w:eastAsia="Times New Roman" w:hAnsi="Times New Roman"/>
          <w:sz w:val="18"/>
          <w:szCs w:val="18"/>
          <w:color w:val="auto"/>
        </w:rPr>
      </w:pPr>
    </w:p>
    <w:p>
      <w:pPr>
        <w:ind w:firstLine="921"/>
        <w:spacing w:after="0" w:line="254" w:lineRule="auto"/>
        <w:tabs>
          <w:tab w:leader="none" w:pos="116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xml:space="preserve"> Each Loan Party has duly authorized by all requisite action the execution, delivery and performance of each of the Loan Documents to which it is a party, and the execution, delivery and performance by it of such Loan Documents will not violate any provision of Applicable Law, its articles of incorporation or bylaws or articles of formation or operating agreement (as applicable), or any indenture, agreement or other instrument to which it is a party, or by which it or any of its property or assets is bound, or be in conflict with, result in a breach of, or constitute (with due notice or lapse of time, or both) a default under any such indenture, agreement or other instrument, or result in the creation or imposition of any Lien upon any of its property or assets except as otherwise permitted, required or contemplated by the Loan Documents. The Loan Documents constitute the legal, valid and binding obligations of each Loan Party, enforceable against it, in accordance with the respective terms thereof, except as may be limited by bankruptcy, insolvency, reorganization, moratorium or similar state and federal debtor relief laws from time to time in effect which effect the enforcement of creditors’ rights in general and the availability of equitable remedies.</w:t>
      </w:r>
    </w:p>
    <w:p>
      <w:pPr>
        <w:spacing w:after="0" w:line="189" w:lineRule="exact"/>
        <w:rPr>
          <w:rFonts w:ascii="Times New Roman" w:cs="Times New Roman" w:eastAsia="Times New Roman" w:hAnsi="Times New Roman"/>
          <w:sz w:val="18"/>
          <w:szCs w:val="18"/>
          <w:color w:val="auto"/>
        </w:rPr>
      </w:pPr>
    </w:p>
    <w:p>
      <w:pPr>
        <w:ind w:firstLine="921"/>
        <w:spacing w:after="0" w:line="261" w:lineRule="auto"/>
        <w:tabs>
          <w:tab w:leader="none" w:pos="115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are no actions, suits or proceedings pending or threatened against or affecting any Loan Party or its property at law, in equity or in admiralty, or before or by any Governmental Authority, domestic or foreign, which either individually or in the aggregate could reasonably be expected to have a Material Adverse Effect. No Loan Party is in default with respect to any order, writ, injunction, decree or demand of any court or Governmental Authority, domestic or foreign, except where the default could not reasonably be expected to have a Material Adverse Effect.</w:t>
      </w:r>
    </w:p>
    <w:p>
      <w:pPr>
        <w:spacing w:after="0" w:line="180" w:lineRule="exact"/>
        <w:rPr>
          <w:rFonts w:ascii="Times New Roman" w:cs="Times New Roman" w:eastAsia="Times New Roman" w:hAnsi="Times New Roman"/>
          <w:sz w:val="18"/>
          <w:szCs w:val="18"/>
          <w:color w:val="auto"/>
        </w:rPr>
      </w:pPr>
    </w:p>
    <w:p>
      <w:pPr>
        <w:ind w:firstLine="921"/>
        <w:spacing w:after="0" w:line="256" w:lineRule="auto"/>
        <w:tabs>
          <w:tab w:leader="none" w:pos="116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xml:space="preserve"> Since December 31, 2013, there has been no event that has occurred or condition arisen, either individually or in the aggregate, that could reasonably be expected to have a Material Adverse Effect on any Loan Party. The audited and unaudited financial statements of Borrower delivered to the Administrative Agent are complete and accurate in all material respects and fairly present in all material respects the consolidated financial position of the Borrower and its Subsidiaries as at such dates, and the consolidated results of the operations and cash flows for the periods then ended (other than customary year-end adjustments for unaudited financial statements). All such financial statements, including the related schedules and notes thereto, have been prepared in accordance with GAAP consistently applied.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270" w:right="25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2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80" w:right="20" w:firstLine="921"/>
        <w:spacing w:after="0" w:line="258" w:lineRule="auto"/>
        <w:tabs>
          <w:tab w:leader="none" w:pos="107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xml:space="preserve"> Each Loan Party has duly filed or caused to be filed all federal, state, local and other tax and information returns required by Applicable Law to be filed, and has paid, or made adequate provision for the payment of, all federal, state, local and other taxes and other similar charges which are due and payable, after giving effect to any extension therefor, except (i) any amount the validity of which is currently being contested in good faith by appropriate proceedings and with respect to which reserves in conformity with GAAP have been provided for on the books of the Borrower or (ii) any such returns, taxes, or charges the nonfiling or nonpayment of which could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80" w:firstLine="921"/>
        <w:spacing w:after="0" w:line="256" w:lineRule="auto"/>
        <w:tabs>
          <w:tab w:leader="none" w:pos="105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 Licenses and Permits.</w:t>
      </w:r>
      <w:r>
        <w:rPr>
          <w:rFonts w:ascii="Times New Roman" w:cs="Times New Roman" w:eastAsia="Times New Roman" w:hAnsi="Times New Roman"/>
          <w:sz w:val="18"/>
          <w:szCs w:val="18"/>
          <w:color w:val="auto"/>
        </w:rPr>
        <w:t xml:space="preserve"> No Loan Party is in violation of any Applicable Law to which it is subject, and each Loan Party has obtained any and all licenses, permits, franchises or other governmental authorizations necessary for the ownership of its properties and the conduct of its business, except where such violation or failure to obtain could not reasonably be expected to have a Material Adverse Effect. The Guarantor has been issued all required permits, licenses, certificates and approvals of all Governmental Authorities under all Applicable Law that is material and necessary for the ownership or operation of the Vessels, and all such permits, licenses, certificates and approvals are in full force and effect, except where the failure could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left="-80" w:right="40" w:firstLine="921"/>
        <w:spacing w:after="0" w:line="255" w:lineRule="auto"/>
        <w:tabs>
          <w:tab w:leader="none" w:pos="108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Consents.</w:t>
      </w:r>
      <w:r>
        <w:rPr>
          <w:rFonts w:ascii="Times New Roman" w:cs="Times New Roman" w:eastAsia="Times New Roman" w:hAnsi="Times New Roman"/>
          <w:sz w:val="18"/>
          <w:szCs w:val="18"/>
          <w:color w:val="auto"/>
        </w:rPr>
        <w:t xml:space="preserve"> Neither the execution and delivery by any Loan Party of this Agreement, the Notes and any of the other Loan Documents to which it is a party, nor the consummation by any Loan Party of any of the transactions contemplated hereby or thereby, requires the consent or approval of, the giving of notice to, the registration with, or the taking of any other action in respect of, any Governmental Authority or agency, domestic or foreign, other than (i) consents, authorizations, filings or other acts or consents for which the failure to obtain or make could not, individually or in the aggregate, reasonably be expected to have a Material Adverse Effect, (ii) with respect to the validity and enforceability of the Fleet Mortgage under the laws of the United States, filing under the UCC, or the United States federal Ship Mortgage Act of 1920, as applicable and (iii) filings and recordings necessary to perfect and maintain the Liens created under the Loan Documents.</w:t>
      </w:r>
    </w:p>
    <w:p>
      <w:pPr>
        <w:spacing w:after="0" w:line="189" w:lineRule="exact"/>
        <w:rPr>
          <w:rFonts w:ascii="Times New Roman" w:cs="Times New Roman" w:eastAsia="Times New Roman" w:hAnsi="Times New Roman"/>
          <w:sz w:val="18"/>
          <w:szCs w:val="18"/>
          <w:color w:val="auto"/>
        </w:rPr>
      </w:pPr>
    </w:p>
    <w:p>
      <w:pPr>
        <w:ind w:left="-80" w:right="20" w:firstLine="921"/>
        <w:spacing w:after="0" w:line="256" w:lineRule="auto"/>
        <w:tabs>
          <w:tab w:leader="none" w:pos="108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Collateral.</w:t>
      </w:r>
      <w:r>
        <w:rPr>
          <w:rFonts w:ascii="Times New Roman" w:cs="Times New Roman" w:eastAsia="Times New Roman" w:hAnsi="Times New Roman"/>
          <w:sz w:val="18"/>
          <w:szCs w:val="18"/>
          <w:color w:val="auto"/>
        </w:rPr>
        <w:t xml:space="preserve"> The Guarantor has good and marketable title to each of the Vessels, free and clear of all Liens (other than Permitted Encumbrances), and upon filing and recording of the Fleet Mortgage with NVDC, the Administrative Agent will have a duly recorded, first preferred ship mortgage lien over the whole of each Vessel. The Guarantor has good and marketable title to the Equipment, free and clear of all Liens (other than Permitted Encumbrances), and upon filing and recording of a UCC-1 financing statement with the Secretary of State of Delaware, the Administrative Agent will have a duly recorded, first priority security interest and lien on the Equipment. On the Closing Date, the Vessels are not subject to demise charters that have a remaining term (including any renewals) in excess of ninety (90) days.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80"/>
          </w:cols>
          <w:pgMar w:left="320" w:top="270" w:right="29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right="2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20" w:firstLine="921"/>
        <w:spacing w:after="0" w:line="282" w:lineRule="auto"/>
        <w:tabs>
          <w:tab w:leader="none" w:pos="110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Place of Business; Tradenames.</w:t>
      </w:r>
      <w:r>
        <w:rPr>
          <w:rFonts w:ascii="Times New Roman" w:cs="Times New Roman" w:eastAsia="Times New Roman" w:hAnsi="Times New Roman"/>
          <w:sz w:val="18"/>
          <w:szCs w:val="18"/>
          <w:color w:val="auto"/>
        </w:rPr>
        <w:t xml:space="preserve"> The address stated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hereof is the principal place of business and chief executive office of each Loan Party; and, except as set forth on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 xml:space="preserve"> hereto, neither Loan Party conducts business under any trade, assumed or fictitious names.</w:t>
      </w:r>
    </w:p>
    <w:p>
      <w:pPr>
        <w:spacing w:after="0" w:line="161" w:lineRule="exact"/>
        <w:rPr>
          <w:rFonts w:ascii="Times New Roman" w:cs="Times New Roman" w:eastAsia="Times New Roman" w:hAnsi="Times New Roman"/>
          <w:sz w:val="18"/>
          <w:szCs w:val="18"/>
          <w:color w:val="auto"/>
        </w:rPr>
      </w:pPr>
    </w:p>
    <w:p>
      <w:pPr>
        <w:ind w:left="-20" w:right="100" w:firstLine="921"/>
        <w:spacing w:after="0" w:line="256" w:lineRule="auto"/>
        <w:tabs>
          <w:tab w:leader="none" w:pos="110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xml:space="preserve"> None of the proceeds from the Loans will be used, directly or indirectly, by the Loan Parties for the purpose of purchasing or carrying, or for the purpose of reducing or retiring any indebtedness that was originally incurred to purchase or carry, any “margin stock” within the meaning of Regulation U (12 C.F.R. Part 221), of the Board of Governors of the Federal Reserve System (the “</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or for any other purpose that might make the transactions contemplated herein a “purpose credit” within the meaning of said Regulation U, or cause this Agreement to violate any other regulation of the Board of Governors of the Federal Reserve System or the Securities Exchange Act of 1934, as amended, or the Small Business Investment Act of 1958, as amended, or any rules or regulations promulgated under any of such statutes.</w:t>
      </w:r>
    </w:p>
    <w:p>
      <w:pPr>
        <w:spacing w:after="0" w:line="187"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p>
    <w:p>
      <w:pPr>
        <w:spacing w:after="0" w:line="225" w:lineRule="exact"/>
        <w:rPr>
          <w:rFonts w:ascii="Times New Roman" w:cs="Times New Roman" w:eastAsia="Times New Roman" w:hAnsi="Times New Roman"/>
          <w:sz w:val="18"/>
          <w:szCs w:val="18"/>
          <w:color w:val="auto"/>
        </w:rPr>
      </w:pPr>
    </w:p>
    <w:p>
      <w:pPr>
        <w:ind w:left="-20" w:firstLine="1492"/>
        <w:spacing w:after="0" w:line="255" w:lineRule="auto"/>
        <w:tabs>
          <w:tab w:leader="none" w:pos="167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and each ERISA Affiliate is in compliance with all applicable provisions of ERISA, the Code and the regulations and published interpretations thereunder with respect to all Employee Benefit Plans except for any required amendments for which the remedial amendment period as defined in Section 401(b) of the Code has not yet expired and except where a failure to so comply could not reasonably be expected to have a Material Adverse Effect. Each Employee Benefit Plan that is intended to be qualified under Section 401(a) of the Code has been determined by the IRS to be so qualified, and each trust related to such plan has been determined to be exempt under Section 501(a) of the Code except for such plans that have not yet received determination letters but for which the remedial amendment period for submitting a determination letter has not yet expired. No liability has been incurred by any Loan Party or any ERISA Affiliate which remains unsatisfied for any taxes or penalties assessed with respect to any Employee Benefit Plan or any Multiemployer Plan except for a liability that could not reasonably be expected to have a Material Adverse Effect.</w:t>
      </w:r>
    </w:p>
    <w:p>
      <w:pPr>
        <w:spacing w:after="0" w:line="185" w:lineRule="exact"/>
        <w:rPr>
          <w:rFonts w:ascii="Times New Roman" w:cs="Times New Roman" w:eastAsia="Times New Roman" w:hAnsi="Times New Roman"/>
          <w:sz w:val="18"/>
          <w:szCs w:val="18"/>
          <w:color w:val="auto"/>
        </w:rPr>
      </w:pPr>
    </w:p>
    <w:p>
      <w:pPr>
        <w:jc w:val="both"/>
        <w:ind w:left="-20" w:right="180" w:firstLine="1492"/>
        <w:spacing w:after="0" w:line="261" w:lineRule="auto"/>
        <w:tabs>
          <w:tab w:leader="none" w:pos="172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no funding waiver from the IRS been received or requested with respect to any Pension Plan, nor has any Loan Party or any ERISA Affiliate failed to make any contributions or to pay any amounts due and owing as required by Sections 412 or 430 of the Code, Section 302 of ERISA or the terms of any Pension Plan prior to the due dates of such contributions under Sections 412 or 430 of the Code or Section 302 of ERISA, nor has there been any event requiring any disclosure under Section 4041(c)(3)(C) or 4063(a) of ERISA with respect to any Pension Plan.</w:t>
      </w:r>
    </w:p>
    <w:p>
      <w:pPr>
        <w:spacing w:after="0" w:line="180" w:lineRule="exact"/>
        <w:rPr>
          <w:rFonts w:ascii="Times New Roman" w:cs="Times New Roman" w:eastAsia="Times New Roman" w:hAnsi="Times New Roman"/>
          <w:sz w:val="18"/>
          <w:szCs w:val="18"/>
          <w:color w:val="auto"/>
        </w:rPr>
      </w:pPr>
    </w:p>
    <w:p>
      <w:pPr>
        <w:ind w:left="-20" w:right="220" w:firstLine="1492"/>
        <w:spacing w:after="0" w:line="258" w:lineRule="auto"/>
        <w:tabs>
          <w:tab w:leader="none" w:pos="177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of any of the following representations to be correct could not reasonably be expected to have a Material Adverse Effect, no Loan Party nor any ERISA Affiliate has: (i) engaged in a nonexempt prohibited transaction described in Section 406 of the ERISA or Section 4975 of the Code, (ii) incurred any liability to the PBGC which remains outstanding other than the payment of premiums and there are no premium payments which are due and unpaid, (iii) failed to make a required contribution or payment to a Multiemployer Plan, or (iv) failed to make a required installment or other required payment under Sections 412 or 430 of the Code.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60" w:top="270" w:right="239" w:bottom="1440" w:gutter="0" w:footer="0" w:header="0"/>
        </w:sectPr>
      </w:pPr>
    </w:p>
    <w:bookmarkStart w:id="246" w:name="page247"/>
    <w:bookmarkEnd w:id="24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(iv) No Termination Event has occurred or is reasonably expected to occur.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COVENANTS OF BORROWER</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Until all Obligations (other than contingent obligations) hereunder have been paid in full or otherwise satisfied in full, the Borrower hereby agrees that:</w:t>
      </w:r>
    </w:p>
    <w:p>
      <w:pPr>
        <w:spacing w:after="0" w:line="54" w:lineRule="exact"/>
        <w:rPr>
          <w:sz w:val="20"/>
          <w:szCs w:val="20"/>
          <w:color w:val="auto"/>
        </w:rPr>
      </w:pPr>
    </w:p>
    <w:p>
      <w:pPr>
        <w:ind w:left="1160" w:hanging="239"/>
        <w:spacing w:after="0"/>
        <w:tabs>
          <w:tab w:leader="none" w:pos="116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The Borrower shall furnish, or cause to be furnished, to the Administrative Agent: (i) within one hundred twenty</w:t>
      </w:r>
    </w:p>
    <w:p>
      <w:pPr>
        <w:spacing w:after="0" w:line="27" w:lineRule="exact"/>
        <w:rPr>
          <w:rFonts w:ascii="Times New Roman" w:cs="Times New Roman" w:eastAsia="Times New Roman" w:hAnsi="Times New Roman"/>
          <w:sz w:val="18"/>
          <w:szCs w:val="18"/>
          <w:color w:val="auto"/>
        </w:rPr>
      </w:pPr>
    </w:p>
    <w:p>
      <w:pPr>
        <w:jc w:val="both"/>
        <w:ind w:right="120" w:firstLine="8"/>
        <w:spacing w:after="0" w:line="265" w:lineRule="auto"/>
        <w:tabs>
          <w:tab w:leader="none" w:pos="435"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close of each fiscal year, the consolidated audited year-end financial statements of Borrower and its Subsidiaries prepared by Borrower’s outside Auditors as of the end of such fiscal year, including a balance sheet and related statements of operations, equity and cash flows; (ii) within forty-five</w:t>
      </w:r>
    </w:p>
    <w:p>
      <w:pPr>
        <w:ind w:right="40" w:firstLine="8"/>
        <w:spacing w:after="0" w:line="250" w:lineRule="auto"/>
        <w:tabs>
          <w:tab w:leader="none" w:pos="34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first three fiscal quarters of each fiscal year, the internally-prepared, consolidated unaudited quarterly financial statements of Borrower and its Subsidiaries containing substantially the same information required in (i) above; (iii) with the financial statements provided pursuant to subparagraphs</w:t>
      </w:r>
    </w:p>
    <w:p>
      <w:pPr>
        <w:ind w:right="5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and (ii) above, a statement in reasonable detail (each a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signed by a Responsible Officer of the Borrower (A) showing the calculations used in determining the Borrower’s compliance with each of the financial covenants contained in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 xml:space="preserve"> of this Agreement and</w:t>
      </w:r>
    </w:p>
    <w:p>
      <w:pPr>
        <w:ind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stating that there occurred no Default or Event of Default as of such period or, if a Default or Event of Default has occurred and is continuing, describing the nature thereof and all efforts undertaken to cure such Default or Event of Default; and (iv) such other information regarding the operations, business affairs and financial condition of any Loan Party as the Administrative Agent, or any Lender through the Administrative Agent, may reasonably request. Such financial statements shall be prepared in accordance with GAAP consistently applied.</w:t>
      </w:r>
    </w:p>
    <w:p>
      <w:pPr>
        <w:spacing w:after="0" w:line="18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 xml:space="preserve">Documents required to be delivered pursuant to this Section 7.01(a) (to the extent any such documents are included in materials otherwise filed with the SEC) may be delivered electronically and if so delivered, shall be deemed to have been delivered on the date (a) on which the Borrower posts such documents, or provides a link thereto on the Borrower’s website on the Internet at the website address listed on </w:t>
      </w:r>
      <w:r>
        <w:rPr>
          <w:rFonts w:ascii="Times New Roman" w:cs="Times New Roman" w:eastAsia="Times New Roman" w:hAnsi="Times New Roman"/>
          <w:sz w:val="17"/>
          <w:szCs w:val="17"/>
          <w:u w:val="single" w:color="auto"/>
          <w:color w:val="auto"/>
        </w:rPr>
        <w:t>Schedule 2</w:t>
      </w:r>
      <w:r>
        <w:rPr>
          <w:rFonts w:ascii="Times New Roman" w:cs="Times New Roman" w:eastAsia="Times New Roman" w:hAnsi="Times New Roman"/>
          <w:sz w:val="17"/>
          <w:szCs w:val="17"/>
          <w:color w:val="auto"/>
        </w:rPr>
        <w:t>; or (b) on which such documents are posted on the Borrower’s behalf on an Internet or intranet website, if any, to which each Lender and the Administrative Agent have access (whether a commercial, third-party website or whether sponsored by the Administrative Agent); provided that the Borrower shall notify the Administrative Agent of the posting of any such documents and the Administrative Agent shall be able to confirm receipt.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70" w:right="2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an Affiliate thereof may, but shall not be obligated to, make available to the Lenders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Debt Domain, IntraLinks, Syndtrak, ClearPar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(1) all such Borrower Materials shall be clearly and conspicuously marked “PUBLIC” which, at a minimum, shall mean that the word “PUBLIC” shall appear prominently on the first page thereof; (2) by marking Borrower Materials “PUBLIC,” the Borrower shall be deemed to have authorized the Administrative Agent, any Affiliate thereof, any arranger and the Lenders to treat such Borrower Materials as not containing any material non-public information (although it may be sensitive and proprietary) with respect to the Borrower or its securities for purposes of United States federal and state securities laws; (3) all Borrower Materials marked “PUBLIC” are permitted to be made available through a portion of the Platform designated “Public Side Information;” and (4) the Administrative Agent and any Affiliate thereof and any arranger shall be entitled to treat any Borrower Materials that are not marked “PUBLIC” as being suitable only for posting on a portion of the Platform not designated “Public Side Information.”</w:t>
      </w:r>
    </w:p>
    <w:p>
      <w:pPr>
        <w:spacing w:after="0" w:line="189" w:lineRule="exact"/>
        <w:rPr>
          <w:sz w:val="20"/>
          <w:szCs w:val="20"/>
          <w:color w:val="auto"/>
        </w:rPr>
      </w:pPr>
    </w:p>
    <w:p>
      <w:pPr>
        <w:ind w:right="220" w:firstLine="921"/>
        <w:spacing w:after="0" w:line="282" w:lineRule="auto"/>
        <w:tabs>
          <w:tab w:leader="none" w:pos="116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Each of the Borrower and the Guarantor shall continue to maintain its existence, good standing and qualifications to do business where required, except where the failure could not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firstLine="921"/>
        <w:spacing w:after="0" w:line="266" w:lineRule="auto"/>
        <w:tabs>
          <w:tab w:leader="none" w:pos="115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Borrower shall notify the Administrative Agent and each Lender promptly in writing of the occurrence of an event described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hereof which with notice or lapse of time, or both, would constitute an Event of Default described therein and of the action which the Borrower is taking or proposes to take with respect thereto.</w:t>
      </w:r>
    </w:p>
    <w:p>
      <w:pPr>
        <w:spacing w:after="0" w:line="176" w:lineRule="exact"/>
        <w:rPr>
          <w:rFonts w:ascii="Times New Roman" w:cs="Times New Roman" w:eastAsia="Times New Roman" w:hAnsi="Times New Roman"/>
          <w:sz w:val="18"/>
          <w:szCs w:val="18"/>
          <w:color w:val="auto"/>
        </w:rPr>
      </w:pPr>
    </w:p>
    <w:p>
      <w:pPr>
        <w:ind w:right="200" w:firstLine="921"/>
        <w:spacing w:after="0" w:line="282" w:lineRule="auto"/>
        <w:tabs>
          <w:tab w:leader="none" w:pos="116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 Each of the Borrower and the Guarantor, is, and at all times during the term hereof, will remain a “citizen of the United States” within the meaning of 46 U.S.C. §50501, qualified to operate the Vessels in the coastwise trade of the United States of America.</w:t>
      </w:r>
    </w:p>
    <w:p>
      <w:pPr>
        <w:spacing w:after="0" w:line="161"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Borrower shall use the proceeds from the Loans solely for the purposes specified in the Recitals, and for no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06" w:lineRule="exact"/>
        <w:rPr>
          <w:rFonts w:ascii="Times New Roman" w:cs="Times New Roman" w:eastAsia="Times New Roman" w:hAnsi="Times New Roman"/>
          <w:sz w:val="18"/>
          <w:szCs w:val="18"/>
          <w:color w:val="auto"/>
        </w:rPr>
      </w:pPr>
    </w:p>
    <w:p>
      <w:pPr>
        <w:ind w:right="340" w:firstLine="921"/>
        <w:spacing w:after="0" w:line="282" w:lineRule="auto"/>
        <w:tabs>
          <w:tab w:leader="none" w:pos="113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xml:space="preserve"> Each of the Borrower and the Guarantor shall pay and discharge, or cause to be paid and discharged, all material taxes, assessments and governmental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70" w:right="239" w:bottom="1440" w:gutter="0" w:footer="0" w:header="0"/>
        </w:sectPr>
      </w:pPr>
    </w:p>
    <w:bookmarkStart w:id="248" w:name="page249"/>
    <w:bookmarkEnd w:id="248"/>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00" w:right="22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charges or levies imposed on it or on its income or profits or on any of its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neither the Borrower nor the Guarantor shall be required to pay or perform any such tax, assessment or other governmental charge (i) which is being contested in good faith, so long as adequate reserves are maintained with respect thereto in accordance with GAAP or (ii) where the failure to pay or perform such items could not reasonably be expected to have a Material Adverse Effect.</w:t>
      </w:r>
    </w:p>
    <w:p>
      <w:pPr>
        <w:spacing w:after="0" w:line="180" w:lineRule="exact"/>
        <w:rPr>
          <w:sz w:val="20"/>
          <w:szCs w:val="20"/>
          <w:color w:val="auto"/>
        </w:rPr>
      </w:pPr>
    </w:p>
    <w:p>
      <w:pPr>
        <w:ind w:right="300" w:firstLine="921"/>
        <w:spacing w:after="0" w:line="261" w:lineRule="auto"/>
        <w:tabs>
          <w:tab w:leader="none" w:pos="116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Generally.</w:t>
      </w:r>
      <w:r>
        <w:rPr>
          <w:rFonts w:ascii="Times New Roman" w:cs="Times New Roman" w:eastAsia="Times New Roman" w:hAnsi="Times New Roman"/>
          <w:sz w:val="18"/>
          <w:szCs w:val="18"/>
          <w:color w:val="auto"/>
        </w:rPr>
        <w:t xml:space="preserve"> Each of the Borrower and the Guarantor shall comply with the requirements of all Applicable Law (including, but not limited to, the Bank Secrecy Act and, to the extent applicable, the ISM Code and the ISPS Code), rules, regulations including, without limitation, all requirements and orders of any court, governmental body or regulatory agency having jurisdiction over it or its property, except where the failure to comply could not reasonably be expected to have a Material Adverse Effect.</w:t>
      </w:r>
    </w:p>
    <w:p>
      <w:pPr>
        <w:spacing w:after="0" w:line="180" w:lineRule="exact"/>
        <w:rPr>
          <w:rFonts w:ascii="Times New Roman" w:cs="Times New Roman" w:eastAsia="Times New Roman" w:hAnsi="Times New Roman"/>
          <w:sz w:val="18"/>
          <w:szCs w:val="18"/>
          <w:color w:val="auto"/>
        </w:rPr>
      </w:pPr>
    </w:p>
    <w:p>
      <w:pPr>
        <w:ind w:right="100" w:firstLine="921"/>
        <w:spacing w:after="0" w:line="282" w:lineRule="auto"/>
        <w:tabs>
          <w:tab w:leader="none" w:pos="116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 Borrower shall promptly inform the Administrative Agent and each Lender of any pending or threatened litigation involving the Borrower or Guarantor that could reasonably be expect to have a Material Adverse Effect.</w:t>
      </w:r>
    </w:p>
    <w:p>
      <w:pPr>
        <w:spacing w:after="0" w:line="161" w:lineRule="exact"/>
        <w:rPr>
          <w:rFonts w:ascii="Times New Roman" w:cs="Times New Roman" w:eastAsia="Times New Roman" w:hAnsi="Times New Roman"/>
          <w:sz w:val="18"/>
          <w:szCs w:val="18"/>
          <w:color w:val="auto"/>
        </w:rPr>
      </w:pPr>
    </w:p>
    <w:p>
      <w:pPr>
        <w:ind w:firstLine="921"/>
        <w:spacing w:after="0" w:line="256" w:lineRule="auto"/>
        <w:tabs>
          <w:tab w:leader="none" w:pos="112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Responsibility.</w:t>
      </w:r>
      <w:r>
        <w:rPr>
          <w:rFonts w:ascii="Times New Roman" w:cs="Times New Roman" w:eastAsia="Times New Roman" w:hAnsi="Times New Roman"/>
          <w:sz w:val="18"/>
          <w:szCs w:val="18"/>
          <w:color w:val="auto"/>
        </w:rPr>
        <w:t xml:space="preserve"> The Guarantor shall comply with and satisfy all of the provisions of any Applicable Law concerning financial responsibility for liabilities imposed on it or the Vessels with respect to pollution including, without limitation, the International Convention of Maritime Pollution of 1973, the International Convention for the Safety of Life at Sea of 1974, the U.S. Water Pollution Act, as amended by the Water Pollution Control Act Amendment of 1972, the U.S. Oil Pollution Act of 1990, as each of the same may be amended from time to time, and will maintain all certificates or other evidence of financial responsibility as may be required by any Applicable Law with respect to the trade in which the Vessels from time to time engage, in each case except where the failure to comply or maintain could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100" w:firstLine="921"/>
        <w:spacing w:after="0" w:line="282" w:lineRule="auto"/>
        <w:tabs>
          <w:tab w:leader="none" w:pos="112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xml:space="preserve"> The Borrower shall provide the Administrative Agent and each Lender with written notice of the commencement of proceedings by or against it and/or the Guarantor under Debtor Relief Laws involving the Borrower.</w:t>
      </w:r>
    </w:p>
    <w:p>
      <w:pPr>
        <w:spacing w:after="0" w:line="161" w:lineRule="exact"/>
        <w:rPr>
          <w:rFonts w:ascii="Times New Roman" w:cs="Times New Roman" w:eastAsia="Times New Roman" w:hAnsi="Times New Roman"/>
          <w:sz w:val="18"/>
          <w:szCs w:val="18"/>
          <w:color w:val="auto"/>
        </w:rPr>
      </w:pPr>
    </w:p>
    <w:p>
      <w:pPr>
        <w:ind w:right="60" w:firstLine="921"/>
        <w:spacing w:after="0" w:line="261" w:lineRule="auto"/>
        <w:tabs>
          <w:tab w:leader="none" w:pos="116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 for Information.</w:t>
      </w:r>
      <w:r>
        <w:rPr>
          <w:rFonts w:ascii="Times New Roman" w:cs="Times New Roman" w:eastAsia="Times New Roman" w:hAnsi="Times New Roman"/>
          <w:sz w:val="18"/>
          <w:szCs w:val="18"/>
          <w:color w:val="auto"/>
        </w:rPr>
        <w:t xml:space="preserve"> The Borrower shall (i) keep and maintain adequate books and records in accordance with GAAP, (ii) make entries on its books and records in form reasonably satisfactory to the Administrative Agent disclosing the Administrative Agent’s security interest in the Collateral, and (iii) furnish to the Administrative Agent promptly upon request such information, reports, contracts, invoices (showing names, addresses and amounts owing) and other data relating to all charters entered into with respect to the Vessels.</w:t>
      </w:r>
    </w:p>
    <w:p>
      <w:pPr>
        <w:spacing w:after="0" w:line="180" w:lineRule="exact"/>
        <w:rPr>
          <w:rFonts w:ascii="Times New Roman" w:cs="Times New Roman" w:eastAsia="Times New Roman" w:hAnsi="Times New Roman"/>
          <w:sz w:val="18"/>
          <w:szCs w:val="18"/>
          <w:color w:val="auto"/>
        </w:rPr>
      </w:pPr>
    </w:p>
    <w:p>
      <w:pPr>
        <w:ind w:right="60" w:firstLine="921"/>
        <w:spacing w:after="0" w:line="261" w:lineRule="auto"/>
        <w:tabs>
          <w:tab w:leader="none" w:pos="112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ERISA.</w:t>
      </w:r>
      <w:r>
        <w:rPr>
          <w:rFonts w:ascii="Times New Roman" w:cs="Times New Roman" w:eastAsia="Times New Roman" w:hAnsi="Times New Roman"/>
          <w:sz w:val="18"/>
          <w:szCs w:val="18"/>
          <w:color w:val="auto"/>
        </w:rPr>
        <w:t xml:space="preserve"> As soon as practicable and in any event within fifteen (15) days after a Responsible Officer of the Borrower knows or has reason to know of (i) all notices received by the Borrower or any ERISA Affiliate of the PBGC’s intent to terminate any Pension Plan or to have a trustee appointed to administer any Pension Plan, (ii) all notices received by the Borrower or any ERISA Affiliate from a Multiemployer Plan sponsor concerning the imposition or amount of withdrawal liability pursuant to Section 4202 of ERISA which in</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60"/>
          </w:cols>
          <w:pgMar w:left="240" w:top="270" w:right="299" w:bottom="1440" w:gutter="0" w:footer="0" w:header="0"/>
        </w:sectPr>
      </w:pPr>
    </w:p>
    <w:bookmarkStart w:id="249" w:name="page250"/>
    <w:bookmarkEnd w:id="24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any such case could reasonably be expected to result in liabilities to the Borrower in excess of the Threshold Amount and (iii) the Borrower obtaining knowledge or reason to know that the Borrower or any ERISA Affiliate has filed or intends to file a notice of intent to terminate any Pension Plan under a distress termination within the meaning of Section 4041(c) of ERISA.</w:t>
      </w:r>
    </w:p>
    <w:p>
      <w:pPr>
        <w:spacing w:after="0" w:line="176" w:lineRule="exact"/>
        <w:rPr>
          <w:sz w:val="20"/>
          <w:szCs w:val="20"/>
          <w:color w:val="auto"/>
        </w:rPr>
      </w:pPr>
    </w:p>
    <w:p>
      <w:pPr>
        <w:ind w:right="120" w:firstLine="921"/>
        <w:spacing w:after="0" w:line="277" w:lineRule="auto"/>
        <w:tabs>
          <w:tab w:leader="none" w:pos="1218"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Environmental</w:t>
      </w:r>
      <w:r>
        <w:rPr>
          <w:rFonts w:ascii="Times New Roman" w:cs="Times New Roman" w:eastAsia="Times New Roman" w:hAnsi="Times New Roman"/>
          <w:sz w:val="17"/>
          <w:szCs w:val="17"/>
          <w:color w:val="auto"/>
        </w:rPr>
        <w:t>. The Borrower shall promptly advise the Administrative Agent and each Lender in writing of (i) any and all enforcement, cleanup, remedial, removal or other governmental or regulatory actions instituted, completed or threatened pursuant to any applicable federal, state or local laws, ordinances or regulations relating to any Hazardous Materials affecting the Borrower’s or the Guarantor’s business operations that could reasonably be expected to have a Material Adverse Effect; and (ii) all claims made or threatened by any third party against the Borrower relating to damages, contribution, cost recovery, compensation, loss or injury resulting from any Hazardous Materials that could reasonably be expected to have a Material Adverse Effect.</w:t>
      </w:r>
    </w:p>
    <w:p>
      <w:pPr>
        <w:spacing w:after="0" w:line="168" w:lineRule="exact"/>
        <w:rPr>
          <w:rFonts w:ascii="Times New Roman" w:cs="Times New Roman" w:eastAsia="Times New Roman" w:hAnsi="Times New Roman"/>
          <w:sz w:val="17"/>
          <w:szCs w:val="17"/>
          <w:color w:val="auto"/>
        </w:rPr>
      </w:pPr>
    </w:p>
    <w:p>
      <w:pPr>
        <w:ind w:left="1180" w:hanging="259"/>
        <w:spacing w:after="0"/>
        <w:tabs>
          <w:tab w:leader="none" w:pos="11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Reserved</w:t>
      </w:r>
      <w:r>
        <w:rPr>
          <w:rFonts w:ascii="Times New Roman" w:cs="Times New Roman" w:eastAsia="Times New Roman" w:hAnsi="Times New Roman"/>
          <w:sz w:val="18"/>
          <w:szCs w:val="18"/>
          <w:u w:val="single" w:color="auto"/>
          <w:color w:val="auto"/>
        </w:rPr>
        <w:t>]</w:t>
      </w:r>
    </w:p>
    <w:p>
      <w:pPr>
        <w:spacing w:after="0" w:line="22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1492"/>
        <w:spacing w:after="0" w:line="254" w:lineRule="auto"/>
        <w:tabs>
          <w:tab w:leader="none" w:pos="169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or shall cause the Guarantor, at its own expense, keep the Collateral insured against such risks which would be covered by a prudent and responsible owner of similar vessels and equipment engaged in dredging operations in the places and under conditions comparable to those in which the Collateral employed from time to time with reputable and financially secure underwriters or insurers having a minimum A.M. Best rating of A- (or an equivalent rating from Standard &amp; Poor’s insurance rating service) or underwriters or insurers of reasonably equivalent recognized responsibility and financial strength which have been approved by the Administrative Agent (such approval not to be unreasonably withheld or delayed) in conformance with good marine practice, including, without limiting the generality of the foregoing, marine hull and machinery, protection and indemnity insurance, workers’ compensation and employer’s insurance, commercial general liability insurance and, if not covered in the policies referred to above, pollution liability insurance. All insurance coverage shall be placed through independent brokers of recognized standing. The limits specified below shall be minimum limits with respect to the Collateral:</w:t>
      </w:r>
    </w:p>
    <w:p>
      <w:pPr>
        <w:spacing w:after="0" w:line="81" w:lineRule="exact"/>
        <w:rPr>
          <w:rFonts w:ascii="Times New Roman" w:cs="Times New Roman" w:eastAsia="Times New Roman" w:hAnsi="Times New Roman"/>
          <w:sz w:val="18"/>
          <w:szCs w:val="18"/>
          <w:color w:val="auto"/>
        </w:rPr>
      </w:pPr>
    </w:p>
    <w:p>
      <w:pPr>
        <w:ind w:left="1500" w:firstLine="389"/>
        <w:spacing w:after="0" w:line="258" w:lineRule="auto"/>
        <w:tabs>
          <w:tab w:leader="none" w:pos="2192"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full form hull and machinery extended to insure against risks of loss or damage to each Vessel and each item of Equipment for the protection of the interests of the Borrower and the Administrative Agent in an aggregate amount not less than $50,000,000.00 on the Closing Date and, thereafter, not less than the Outstanding Amount from time to time. The deductible or self-insured retention under such policies may be up to $750,000 per occurrence provided the Borrower establishes and maintains reserves for such deductibles or retentions reasonably acceptable to the Administrative Agent.</w:t>
      </w:r>
    </w:p>
    <w:p>
      <w:pPr>
        <w:spacing w:after="0" w:line="75" w:lineRule="exact"/>
        <w:rPr>
          <w:rFonts w:ascii="Times New Roman" w:cs="Times New Roman" w:eastAsia="Times New Roman" w:hAnsi="Times New Roman"/>
          <w:sz w:val="18"/>
          <w:szCs w:val="18"/>
          <w:color w:val="auto"/>
        </w:rPr>
      </w:pPr>
    </w:p>
    <w:p>
      <w:pPr>
        <w:ind w:left="1500" w:right="380" w:firstLine="389"/>
        <w:spacing w:after="0" w:line="282" w:lineRule="auto"/>
        <w:tabs>
          <w:tab w:leader="none" w:pos="2182"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full form protection and indemnity insurance which shall be maintained in the United States or London markets, or other major insurance market approved by the Administrative Agent, and shall be in 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270" w:right="259" w:bottom="1440" w:gutter="0" w:footer="0" w:header="0"/>
        </w:sectPr>
      </w:pPr>
    </w:p>
    <w:bookmarkStart w:id="250" w:name="page251"/>
    <w:bookmarkEnd w:id="250"/>
    <w:p>
      <w:pPr>
        <w:jc w:val="center"/>
        <w:ind w:right="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1420" w:right="120"/>
        <w:spacing w:after="0" w:line="256" w:lineRule="auto"/>
        <w:rPr>
          <w:sz w:val="20"/>
          <w:szCs w:val="20"/>
          <w:color w:val="auto"/>
        </w:rPr>
      </w:pPr>
      <w:r>
        <w:rPr>
          <w:rFonts w:ascii="Times New Roman" w:cs="Times New Roman" w:eastAsia="Times New Roman" w:hAnsi="Times New Roman"/>
          <w:sz w:val="18"/>
          <w:szCs w:val="18"/>
          <w:color w:val="auto"/>
        </w:rPr>
        <w:t>amount of not less than $1,000,000 per occurrence with excess coverage of not less than $50,000,000 per occurrence. Such insurance shall include, but not be limited to, coverage for injuries to or death of masters, mates and crew; unless insured elsewhere, pollution liabilities imposed by any applicable Governmental Authority and third party pollution liabilities; and any loss, damage or injury whatsoever in connection with anything done or not done by each Vessel or item of Equipment. Said policy may include a deductible or self-insured retention of up to $900,000 per occurrence if the Borrower establishes and maintains reserves for such deductibles or retention’s reasonably acceptable to the Administrative Agent.</w:t>
      </w:r>
    </w:p>
    <w:p>
      <w:pPr>
        <w:spacing w:after="0" w:line="80" w:lineRule="exact"/>
        <w:rPr>
          <w:sz w:val="20"/>
          <w:szCs w:val="20"/>
          <w:color w:val="auto"/>
        </w:rPr>
      </w:pPr>
    </w:p>
    <w:p>
      <w:pPr>
        <w:ind w:left="1420" w:right="40" w:firstLine="389"/>
        <w:spacing w:after="0" w:line="282" w:lineRule="auto"/>
        <w:tabs>
          <w:tab w:leader="none" w:pos="210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general liability insurance in a primary amount of not less than $1,000,000 per occurrence with excess coverage of not less than $49,000,000 per occurrence.</w:t>
      </w:r>
    </w:p>
    <w:p>
      <w:pPr>
        <w:spacing w:after="0" w:line="53" w:lineRule="exact"/>
        <w:rPr>
          <w:rFonts w:ascii="Times New Roman" w:cs="Times New Roman" w:eastAsia="Times New Roman" w:hAnsi="Times New Roman"/>
          <w:sz w:val="18"/>
          <w:szCs w:val="18"/>
          <w:color w:val="auto"/>
        </w:rPr>
      </w:pPr>
    </w:p>
    <w:p>
      <w:pPr>
        <w:ind w:left="1420" w:right="240" w:firstLine="389"/>
        <w:spacing w:after="0" w:line="282" w:lineRule="auto"/>
        <w:tabs>
          <w:tab w:leader="none" w:pos="211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for each Vessel’s and each item of Equipment’s operations, cargo legal liability insurance coverage sufficient to protect against physical loss or damage to equipment and cargo onboard, in transit, in store and/or overboard.</w:t>
      </w:r>
    </w:p>
    <w:p>
      <w:pPr>
        <w:spacing w:after="0" w:line="53" w:lineRule="exact"/>
        <w:rPr>
          <w:rFonts w:ascii="Times New Roman" w:cs="Times New Roman" w:eastAsia="Times New Roman" w:hAnsi="Times New Roman"/>
          <w:sz w:val="18"/>
          <w:szCs w:val="18"/>
          <w:color w:val="auto"/>
        </w:rPr>
      </w:pPr>
    </w:p>
    <w:p>
      <w:pPr>
        <w:ind w:left="1420" w:right="100" w:firstLine="389"/>
        <w:spacing w:after="0" w:line="255" w:lineRule="auto"/>
        <w:tabs>
          <w:tab w:leader="none" w:pos="209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during which a Vessel or an item of Equipment is within the jurisdiction of the United States of America, maintain insurance or post bond or maintain evidence of financial responsibility with respect to such Vessel or item of Equipment to cover the actual cost of removal of discharged oil for which the Loan Parties or such Vessel or such Equipment may be held strictly liable (or held liable due to the negligence of any Loan Party or any other person) under any Environmental Law, or under any other international, federal, state or local law, rule, regulation or ordinance applicable where such Vessel or Equipment is located which may apply to such Vessel or Equipment or to the Loan Parties; and the Borrower shall maintain insurance covering similar pollution risks or liabilities incident thereto under any law, rule, regulation or judicial decision of any foreign jurisdiction or jurisdictions or political subdivision thereof applicable to the Loan Parties, each Vessel, each Item of Equipment, or their operations.</w:t>
      </w:r>
    </w:p>
    <w:p>
      <w:pPr>
        <w:spacing w:after="0" w:line="77" w:lineRule="exact"/>
        <w:rPr>
          <w:rFonts w:ascii="Times New Roman" w:cs="Times New Roman" w:eastAsia="Times New Roman" w:hAnsi="Times New Roman"/>
          <w:sz w:val="18"/>
          <w:szCs w:val="18"/>
          <w:color w:val="auto"/>
        </w:rPr>
      </w:pPr>
    </w:p>
    <w:p>
      <w:pPr>
        <w:ind w:left="1420" w:right="180" w:firstLine="389"/>
        <w:spacing w:after="0" w:line="282" w:lineRule="auto"/>
        <w:tabs>
          <w:tab w:leader="none" w:pos="208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worker’s compensation insurance, including, without limitation, longshoremen’s and harbor workers’ insurance, as shall be required by Applicable Law.</w:t>
      </w:r>
    </w:p>
    <w:p>
      <w:pPr>
        <w:spacing w:after="0" w:line="53" w:lineRule="exact"/>
        <w:rPr>
          <w:rFonts w:ascii="Times New Roman" w:cs="Times New Roman" w:eastAsia="Times New Roman" w:hAnsi="Times New Roman"/>
          <w:sz w:val="18"/>
          <w:szCs w:val="18"/>
          <w:color w:val="auto"/>
        </w:rPr>
      </w:pPr>
    </w:p>
    <w:p>
      <w:pPr>
        <w:ind w:left="1420" w:firstLine="389"/>
        <w:spacing w:after="0" w:line="258" w:lineRule="auto"/>
        <w:tabs>
          <w:tab w:leader="none" w:pos="211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Risk and Confiscation insurance with respect to each Vessel and each Item of Equipment in a country outside of the United States of America, in an amount equal to the value of the assets as agreed to from time to time between the Borrower and/or the Guarantor and the relevant insurer under the hull and machinery policy unless (i) the Borrower shall have notified the Administrative Agent that it has determined, in good faith, that such insurance with respect to such contract is not available at a reasonable economic cost or not</w:t>
      </w:r>
    </w:p>
    <w:p>
      <w:pPr>
        <w:spacing w:after="0" w:line="1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20"/>
          </w:cols>
          <w:pgMar w:left="320" w:top="270" w:right="25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right="2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both"/>
        <w:ind w:left="1480" w:right="80"/>
        <w:spacing w:after="0" w:line="266" w:lineRule="auto"/>
        <w:rPr>
          <w:sz w:val="20"/>
          <w:szCs w:val="20"/>
          <w:color w:val="auto"/>
        </w:rPr>
      </w:pPr>
      <w:r>
        <w:rPr>
          <w:rFonts w:ascii="Times New Roman" w:cs="Times New Roman" w:eastAsia="Times New Roman" w:hAnsi="Times New Roman"/>
          <w:sz w:val="18"/>
          <w:szCs w:val="18"/>
          <w:color w:val="auto"/>
        </w:rPr>
        <w:t>available from a reputable insurer, or the property or assets to be used in connection with such contract is not subject to a material risk of asset seizure in such country and (ii) the Administrative Agent shall have concurred with such conclusion in writing (which concurrence shall not be unreasonably withheld or delayed);</w:t>
      </w:r>
    </w:p>
    <w:p>
      <w:pPr>
        <w:spacing w:after="0" w:line="68" w:lineRule="exact"/>
        <w:rPr>
          <w:sz w:val="20"/>
          <w:szCs w:val="20"/>
          <w:color w:val="auto"/>
        </w:rPr>
      </w:pPr>
    </w:p>
    <w:p>
      <w:pPr>
        <w:jc w:val="both"/>
        <w:ind w:left="1480" w:right="380" w:firstLine="389"/>
        <w:spacing w:after="0" w:line="266" w:lineRule="auto"/>
        <w:tabs>
          <w:tab w:leader="none" w:pos="2172"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at its own expense, cause the insurance set out in clause (A) above to be endorsed to include breach of warranty coverage for the benefit of the Administrative Agent, its successors and assigns. Alternatively, the Borrower may arrange a separate policy to cover such risks.</w:t>
      </w:r>
    </w:p>
    <w:p>
      <w:pPr>
        <w:spacing w:after="0" w:line="176" w:lineRule="exact"/>
        <w:rPr>
          <w:rFonts w:ascii="Times New Roman" w:cs="Times New Roman" w:eastAsia="Times New Roman" w:hAnsi="Times New Roman"/>
          <w:sz w:val="18"/>
          <w:szCs w:val="18"/>
          <w:color w:val="auto"/>
        </w:rPr>
      </w:pPr>
    </w:p>
    <w:p>
      <w:pPr>
        <w:ind w:left="-20" w:right="220" w:firstLine="1492"/>
        <w:spacing w:after="0" w:line="282" w:lineRule="auto"/>
        <w:tabs>
          <w:tab w:leader="none" w:pos="172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Payable and Notice of Cancellation</w:t>
      </w:r>
      <w:r>
        <w:rPr>
          <w:rFonts w:ascii="Times New Roman" w:cs="Times New Roman" w:eastAsia="Times New Roman" w:hAnsi="Times New Roman"/>
          <w:sz w:val="18"/>
          <w:szCs w:val="18"/>
          <w:color w:val="auto"/>
        </w:rPr>
        <w:t>. Unless the Administrative Agent shall have given its prior written consent, all Insurances effected pursuant to clause (i)(A) above shall contain a loss payable and notice of cancellation clause in the following form:</w:t>
      </w:r>
    </w:p>
    <w:p>
      <w:pPr>
        <w:spacing w:after="0" w:line="5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“LOSS PAYABLE AND NOTICE OF CANCELLATION CLAUSE</w:t>
      </w:r>
    </w:p>
    <w:p>
      <w:pPr>
        <w:spacing w:after="0" w:line="117" w:lineRule="exact"/>
        <w:rPr>
          <w:sz w:val="20"/>
          <w:szCs w:val="20"/>
          <w:color w:val="auto"/>
        </w:rPr>
      </w:pPr>
    </w:p>
    <w:p>
      <w:pPr>
        <w:ind w:left="1760" w:hanging="288"/>
        <w:spacing w:after="0"/>
        <w:tabs>
          <w:tab w:leader="none" w:pos="17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Bank of America, N.A. (the “Administrative Agent”) shall have notified insurers,</w:t>
      </w:r>
    </w:p>
    <w:p>
      <w:pPr>
        <w:spacing w:after="0" w:line="117" w:lineRule="exact"/>
        <w:rPr>
          <w:rFonts w:ascii="Times New Roman" w:cs="Times New Roman" w:eastAsia="Times New Roman" w:hAnsi="Times New Roman"/>
          <w:sz w:val="18"/>
          <w:szCs w:val="18"/>
          <w:color w:val="auto"/>
        </w:rPr>
      </w:pPr>
    </w:p>
    <w:p>
      <w:pPr>
        <w:jc w:val="both"/>
        <w:ind w:left="1480" w:right="140" w:firstLine="389"/>
        <w:spacing w:after="0" w:line="266" w:lineRule="auto"/>
        <w:tabs>
          <w:tab w:leader="none" w:pos="213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 Event of Default has occurred and is continuing, any claim under any such insurance policy up to an aggregate amount per occurrence equal to or less than $500,000 in respect of any Vessel or Equipment (other than in respect of a Total Loss), shall be paid directly to the Guarantor;</w:t>
      </w:r>
    </w:p>
    <w:p>
      <w:pPr>
        <w:spacing w:after="0" w:line="68" w:lineRule="exact"/>
        <w:rPr>
          <w:rFonts w:ascii="Times New Roman" w:cs="Times New Roman" w:eastAsia="Times New Roman" w:hAnsi="Times New Roman"/>
          <w:sz w:val="18"/>
          <w:szCs w:val="18"/>
          <w:color w:val="auto"/>
        </w:rPr>
      </w:pPr>
    </w:p>
    <w:p>
      <w:pPr>
        <w:ind w:left="1480" w:firstLine="389"/>
        <w:spacing w:after="0" w:line="256" w:lineRule="auto"/>
        <w:tabs>
          <w:tab w:leader="none" w:pos="213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claim under any such insurance policy in an amount per occurrence in excess of $500,000 in respect of any Vessel or Equipment (other than in respect of a Total Loss), shall be paid directly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no Event of Default has occurred and is continuing, the insurers, after receiving the prior written approval of the Administrative Agent, shall be permitted to directly pay the Guarantor if the Guarantor certifies in writing to the Administrative Agent and such insurer that the damages have been or will be repaired with such insurance proceeds and/or such insurer may pay directly the vendor and/or shiprepairers the amounts that have been actually expended to repair and restore such Vessel or Equipment; and</w:t>
      </w:r>
    </w:p>
    <w:p>
      <w:pPr>
        <w:spacing w:after="0" w:line="79" w:lineRule="exact"/>
        <w:rPr>
          <w:rFonts w:ascii="Times New Roman" w:cs="Times New Roman" w:eastAsia="Times New Roman" w:hAnsi="Times New Roman"/>
          <w:sz w:val="18"/>
          <w:szCs w:val="18"/>
          <w:color w:val="auto"/>
        </w:rPr>
      </w:pPr>
    </w:p>
    <w:p>
      <w:pPr>
        <w:ind w:left="1480" w:right="360" w:firstLine="389"/>
        <w:spacing w:after="0" w:line="282" w:lineRule="auto"/>
        <w:tabs>
          <w:tab w:leader="none" w:pos="213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in respect of a Total Loss and any claim of any nature during the continuance of an Event of Default shall be paid directly to the Administrative Agent.</w:t>
      </w:r>
    </w:p>
    <w:p>
      <w:pPr>
        <w:spacing w:after="0" w:line="53" w:lineRule="exact"/>
        <w:rPr>
          <w:rFonts w:ascii="Times New Roman" w:cs="Times New Roman" w:eastAsia="Times New Roman" w:hAnsi="Times New Roman"/>
          <w:sz w:val="18"/>
          <w:szCs w:val="18"/>
          <w:color w:val="auto"/>
        </w:rPr>
      </w:pPr>
    </w:p>
    <w:p>
      <w:pPr>
        <w:ind w:left="1760" w:hanging="288"/>
        <w:spacing w:after="0"/>
        <w:tabs>
          <w:tab w:leader="none" w:pos="17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be advised:</w:t>
      </w:r>
    </w:p>
    <w:p>
      <w:pPr>
        <w:spacing w:after="0" w:line="117" w:lineRule="exact"/>
        <w:rPr>
          <w:sz w:val="20"/>
          <w:szCs w:val="20"/>
          <w:color w:val="auto"/>
        </w:rPr>
      </w:pPr>
    </w:p>
    <w:p>
      <w:pPr>
        <w:ind w:left="1480" w:right="60" w:hanging="8"/>
        <w:spacing w:after="0" w:line="266" w:lineRule="auto"/>
        <w:tabs>
          <w:tab w:leader="none" w:pos="173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hull and machinery insurer cancels or gives notice of cancellation of any insurance or entry at least thirty (30) days before such cancellation is to take effect, unless the insurer cancels insurance because of non-payment of premium, in which cause the insurer shall give the Administrative Agent at least ten (10) days’ notice before such cancellation is to take effect;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60" w:top="270" w:right="239" w:bottom="1440" w:gutter="0" w:footer="0" w:header="0"/>
        </w:sectPr>
      </w:pPr>
    </w:p>
    <w:bookmarkStart w:id="252" w:name="page253"/>
    <w:bookmarkEnd w:id="252"/>
    <w:p>
      <w:pPr>
        <w:jc w:val="center"/>
        <w:ind w:right="-31"/>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80" w:right="24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1732" w:hanging="248"/>
        <w:spacing w:after="0"/>
        <w:tabs>
          <w:tab w:leader="none" w:pos="173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non-renewal of any insurance at least thirty (30) days before such non-renewal is to take effect; and</w:t>
      </w:r>
    </w:p>
    <w:p>
      <w:pPr>
        <w:spacing w:after="0" w:line="117" w:lineRule="exact"/>
        <w:rPr>
          <w:rFonts w:ascii="Times New Roman" w:cs="Times New Roman" w:eastAsia="Times New Roman" w:hAnsi="Times New Roman"/>
          <w:sz w:val="18"/>
          <w:szCs w:val="18"/>
          <w:color w:val="auto"/>
        </w:rPr>
      </w:pPr>
    </w:p>
    <w:p>
      <w:pPr>
        <w:ind w:left="1492" w:hanging="8"/>
        <w:spacing w:after="0" w:line="282" w:lineRule="auto"/>
        <w:tabs>
          <w:tab w:leader="none" w:pos="174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material change in the terms and conditions of the aforesaid insurance policies at least thirty (30) days before such change is to take effect.”</w:t>
      </w:r>
    </w:p>
    <w:p>
      <w:pPr>
        <w:spacing w:after="0" w:line="162" w:lineRule="exact"/>
        <w:rPr>
          <w:sz w:val="20"/>
          <w:szCs w:val="20"/>
          <w:color w:val="auto"/>
        </w:rPr>
      </w:pPr>
    </w:p>
    <w:p>
      <w:pPr>
        <w:ind w:left="-8" w:firstLine="1492"/>
        <w:spacing w:after="0" w:line="258" w:lineRule="auto"/>
        <w:tabs>
          <w:tab w:leader="none" w:pos="179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as to Insurances</w:t>
      </w:r>
      <w:r>
        <w:rPr>
          <w:rFonts w:ascii="Times New Roman" w:cs="Times New Roman" w:eastAsia="Times New Roman" w:hAnsi="Times New Roman"/>
          <w:sz w:val="18"/>
          <w:szCs w:val="18"/>
          <w:color w:val="auto"/>
        </w:rPr>
        <w:t xml:space="preserve">. The Borrower shall give the Administrative Agent and its insurance advisers such information as to the Insurances obtained or being or to be obtained in compliance with the Borrower’s and the Guarantor’s obligations under the provisions of this Section or as to any other matter that may be relevant to such Insurances as the Administrative Agent or its advisers may reasonably request. Without limiting the generality of the foregoing, the Borrower will cause to be furnished to the Administrative Agent on the date hereof and, thereafter annually no later than each anniversary of the Closing Date, copies of certificates of insurance with respect to the Insurances required to be maintained pursuant to this </w:t>
      </w:r>
      <w:r>
        <w:rPr>
          <w:rFonts w:ascii="Times New Roman" w:cs="Times New Roman" w:eastAsia="Times New Roman" w:hAnsi="Times New Roman"/>
          <w:sz w:val="18"/>
          <w:szCs w:val="18"/>
          <w:u w:val="single" w:color="auto"/>
          <w:color w:val="auto"/>
        </w:rPr>
        <w:t>Section 7.01(o)</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172" w:hanging="259"/>
        <w:spacing w:after="0"/>
        <w:tabs>
          <w:tab w:leader="none" w:pos="117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Vessel Covenants</w:t>
      </w:r>
      <w:r>
        <w:rPr>
          <w:rFonts w:ascii="Times New Roman" w:cs="Times New Roman" w:eastAsia="Times New Roman" w:hAnsi="Times New Roman"/>
          <w:sz w:val="18"/>
          <w:szCs w:val="18"/>
          <w:color w:val="auto"/>
        </w:rPr>
        <w:t>. With respect to the Vessels, the Guarantor hereby covenants and agrees:</w:t>
      </w:r>
    </w:p>
    <w:p>
      <w:pPr>
        <w:spacing w:after="0" w:line="117" w:lineRule="exact"/>
        <w:rPr>
          <w:rFonts w:ascii="Times New Roman" w:cs="Times New Roman" w:eastAsia="Times New Roman" w:hAnsi="Times New Roman"/>
          <w:sz w:val="18"/>
          <w:szCs w:val="18"/>
          <w:color w:val="auto"/>
        </w:rPr>
      </w:pPr>
    </w:p>
    <w:p>
      <w:pPr>
        <w:ind w:left="-8" w:right="60" w:firstLine="1492"/>
        <w:spacing w:after="0" w:line="266" w:lineRule="auto"/>
        <w:tabs>
          <w:tab w:leader="none" w:pos="169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provide to the Administrative Agent copies of all material notices and information received by it from any Governmental Authority in relation to the Vessels and their operation unless such notices or information state that they have been provided directly to the Administrative Agent;</w:t>
      </w:r>
    </w:p>
    <w:p>
      <w:pPr>
        <w:spacing w:after="0" w:line="176" w:lineRule="exact"/>
        <w:rPr>
          <w:sz w:val="20"/>
          <w:szCs w:val="20"/>
          <w:color w:val="auto"/>
        </w:rPr>
      </w:pPr>
    </w:p>
    <w:p>
      <w:pPr>
        <w:ind w:left="-8" w:right="260" w:firstLine="1492"/>
        <w:spacing w:after="0" w:line="282" w:lineRule="auto"/>
        <w:tabs>
          <w:tab w:leader="none" w:pos="17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keep each Vessel duly documented under the laws and flag of the United States qualified to engage in the coastwise trade of the United States and to do or suffer to be done nothing whereby such documentation or qualification may be forfeited or canceled;</w:t>
      </w:r>
    </w:p>
    <w:p>
      <w:pPr>
        <w:spacing w:after="0" w:line="161" w:lineRule="exact"/>
        <w:rPr>
          <w:rFonts w:ascii="Times New Roman" w:cs="Times New Roman" w:eastAsia="Times New Roman" w:hAnsi="Times New Roman"/>
          <w:sz w:val="18"/>
          <w:szCs w:val="18"/>
          <w:color w:val="auto"/>
        </w:rPr>
      </w:pPr>
    </w:p>
    <w:p>
      <w:pPr>
        <w:ind w:left="1792" w:hanging="308"/>
        <w:spacing w:after="0"/>
        <w:tabs>
          <w:tab w:leader="none" w:pos="1792"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keep and to cause each Vessel to be kept free and clear of all Liens (other than Permitted Encumbrances);</w:t>
      </w:r>
    </w:p>
    <w:p>
      <w:pPr>
        <w:spacing w:after="0" w:line="225" w:lineRule="exact"/>
        <w:rPr>
          <w:rFonts w:ascii="Times New Roman" w:cs="Times New Roman" w:eastAsia="Times New Roman" w:hAnsi="Times New Roman"/>
          <w:sz w:val="18"/>
          <w:szCs w:val="18"/>
          <w:color w:val="auto"/>
        </w:rPr>
      </w:pPr>
    </w:p>
    <w:p>
      <w:pPr>
        <w:ind w:left="-8" w:right="260" w:firstLine="1492"/>
        <w:spacing w:after="0" w:line="257" w:lineRule="auto"/>
        <w:tabs>
          <w:tab w:leader="none" w:pos="17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to (x) sell any Vessel (unless within five (5) Business Days thereof the Lenders shall have been paid all amounts specified in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 xml:space="preserve"> of this Agreement, in which case no consent shall be required so long as the Orderly Liquidation Value of such sold Vessel(s) is $2,000,000.00 or less in the aggregate based on the last Annual Appraisal and such sales do not occur more frequently than twice in any calendar year), or</w:t>
      </w:r>
    </w:p>
    <w:p>
      <w:pPr>
        <w:spacing w:after="0" w:line="1"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demise charter any Vessel (except as provided in subsection (vii) below);</w:t>
      </w:r>
    </w:p>
    <w:p>
      <w:pPr>
        <w:spacing w:after="0" w:line="206" w:lineRule="exact"/>
        <w:rPr>
          <w:rFonts w:ascii="Times New Roman" w:cs="Times New Roman" w:eastAsia="Times New Roman" w:hAnsi="Times New Roman"/>
          <w:sz w:val="18"/>
          <w:szCs w:val="18"/>
          <w:color w:val="auto"/>
        </w:rPr>
      </w:pPr>
    </w:p>
    <w:p>
      <w:pPr>
        <w:ind w:left="-8" w:right="340" w:firstLine="1492"/>
        <w:spacing w:after="0" w:line="266" w:lineRule="auto"/>
        <w:tabs>
          <w:tab w:leader="none" w:pos="173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Administrative Agent on demand all moneys, with interest thereon at the Default Rate, whatsoever which the Administrative Agent reasonably expends for the protection or enforcement of the security created by this Agreement and the Mortgage or arise from the reasonable exercise by the Administrative Agent of any of the powers vested in it hereunder or thereunder;</w:t>
      </w:r>
    </w:p>
    <w:p>
      <w:pPr>
        <w:spacing w:after="0" w:line="10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72"/>
          </w:cols>
          <w:pgMar w:left="248" w:top="270" w:right="27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20" w:right="160" w:firstLine="1492"/>
        <w:spacing w:after="0" w:line="266" w:lineRule="auto"/>
        <w:tabs>
          <w:tab w:leader="none" w:pos="17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and satisfy all the provisions of Chapter 313 of Title 46 of the United States Code, as at any time amended, in order to establish and maintain the Mortgage as a first preferred mortgage lien thereunder upon each of the Vessels and upon all renewals, improvements and replacements made in or to the same;</w:t>
      </w:r>
    </w:p>
    <w:p>
      <w:pPr>
        <w:spacing w:after="0" w:line="176" w:lineRule="exact"/>
        <w:rPr>
          <w:rFonts w:ascii="Times New Roman" w:cs="Times New Roman" w:eastAsia="Times New Roman" w:hAnsi="Times New Roman"/>
          <w:sz w:val="18"/>
          <w:szCs w:val="18"/>
          <w:color w:val="auto"/>
        </w:rPr>
      </w:pPr>
    </w:p>
    <w:p>
      <w:pPr>
        <w:ind w:left="-20" w:right="40" w:firstLine="1492"/>
        <w:spacing w:after="0" w:line="253" w:lineRule="auto"/>
        <w:tabs>
          <w:tab w:leader="none" w:pos="181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to cause or permit any Vessel to be operated outside the territorial waters of the United States of America, the Gulf of Mexico and the Caribbean Sea (other than for passage from time to time through the Panama Canal in order to reach said waters) without the prior written consent of the Administrative Agent (not to be unreasonably withheld or delayed) , not abandon any Vessel, not to engage in any unlawful trade or violate any law or carry any cargo that will expose any Vessel to penalty, expropriation, nationalization, confiscation, forfeiture or capture, and will not do, or suffer or permit to be done, anything which can or may injuriously affect the registration or enrollment of any Vessel or its qualification to be documented under the laws and regulations of the United States of America, and the Guarantor shall at all times keep each Vessel duly documented thereunder. The Guarantor will not enter into any demise charter (having a duration of six (6) months or more, including all renewals which, in any event, shall not extend past the Termination Date) respecting any Vessel without the prior written consent of the Administrative Agent, which consent shall not be withheld or delayed unreasonably and which consent shall be contingent upon (A) a review of existing insurance and additional insurance to be carried to cover attendant risks, and the Borrower shall carry or cause to be carried such insurance as may be reasonably satisfactory to the Administrative Agent and (B) any such charter or contract being subject and subordinate to the provisions of the Mortgage,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Guarantor may charter any Vessel to an Affiliate of the Borrower without the consent of the Administrative Agent so long as such charter is subject and subordinate to the provisions of the Mortgage;</w:t>
      </w:r>
    </w:p>
    <w:p>
      <w:pPr>
        <w:spacing w:after="0" w:line="190" w:lineRule="exact"/>
        <w:rPr>
          <w:rFonts w:ascii="Times New Roman" w:cs="Times New Roman" w:eastAsia="Times New Roman" w:hAnsi="Times New Roman"/>
          <w:sz w:val="18"/>
          <w:szCs w:val="18"/>
          <w:color w:val="auto"/>
        </w:rPr>
      </w:pPr>
    </w:p>
    <w:p>
      <w:pPr>
        <w:ind w:left="-20" w:firstLine="1492"/>
        <w:spacing w:after="0" w:line="261" w:lineRule="auto"/>
        <w:tabs>
          <w:tab w:leader="none" w:pos="18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and satisfy all the requisites and formalities established by the laws of the United States to perfect the Mortgage as a legal, valid, binding and enforceable first preferred mortgage lien upon each of the Vessels and to furnish to the Administrative Agent and the Lenders from time to time such proofs as the Administrative Agent may reasonably request so that it may be satisfied with respect to the compliance by the Borrower with the provisions of this subsection;</w:t>
      </w:r>
    </w:p>
    <w:p>
      <w:pPr>
        <w:spacing w:after="0" w:line="180" w:lineRule="exact"/>
        <w:rPr>
          <w:rFonts w:ascii="Times New Roman" w:cs="Times New Roman" w:eastAsia="Times New Roman" w:hAnsi="Times New Roman"/>
          <w:sz w:val="18"/>
          <w:szCs w:val="18"/>
          <w:color w:val="auto"/>
        </w:rPr>
      </w:pPr>
    </w:p>
    <w:p>
      <w:pPr>
        <w:ind w:left="-20" w:right="440" w:firstLine="1492"/>
        <w:spacing w:after="0" w:line="282" w:lineRule="auto"/>
        <w:tabs>
          <w:tab w:leader="none" w:pos="17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make, or permit to be made, any substantial change in the structure, type or speed of any Vessel which such modification decreases the value, utility or remaining useful life thereof, without the prior written approval of the Administrative Agent;</w:t>
      </w:r>
    </w:p>
    <w:p>
      <w:pPr>
        <w:spacing w:after="0" w:line="162" w:lineRule="exact"/>
        <w:rPr>
          <w:sz w:val="20"/>
          <w:szCs w:val="20"/>
          <w:color w:val="auto"/>
        </w:rPr>
      </w:pPr>
    </w:p>
    <w:p>
      <w:pPr>
        <w:ind w:left="-20" w:right="80" w:firstLine="1492"/>
        <w:spacing w:after="0" w:line="266" w:lineRule="auto"/>
        <w:tabs>
          <w:tab w:leader="none" w:pos="176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and without cost or expense to the Administrative Agent or any Lender maintain and preserve, or cause to be maintained and preserved, each Vessel and all her equipment, outfit and appurtenances, tight, staunch, strong, in good condition, working order and repair and in all respects seaworthy and fit for its intended service except ordinary wear and tear and damage due to casualty;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60" w:top="270" w:right="25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0" w:firstLine="1492"/>
        <w:spacing w:after="0" w:line="261" w:lineRule="auto"/>
        <w:tabs>
          <w:tab w:leader="none" w:pos="173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will, upon reasonable prior notice during normal business hours with minimal disruption to the Guarantor’s business afford, or cause to be afforded to, the Administrative Agent, the Lenders and their respective authorized representative reasonable access to the Vessels for the purpose of inspecting and valuing the Vessels and their records (provided such access does not interfere with the operation of the Vessels), provided that such inspections shall be no more frequent than once per year so long as no Event of Default has occurred and is continuing;</w:t>
      </w:r>
    </w:p>
    <w:p>
      <w:pPr>
        <w:spacing w:after="0" w:line="180" w:lineRule="exact"/>
        <w:rPr>
          <w:rFonts w:ascii="Times New Roman" w:cs="Times New Roman" w:eastAsia="Times New Roman" w:hAnsi="Times New Roman"/>
          <w:sz w:val="18"/>
          <w:szCs w:val="18"/>
          <w:color w:val="auto"/>
        </w:rPr>
      </w:pPr>
    </w:p>
    <w:p>
      <w:pPr>
        <w:ind w:left="1800" w:hanging="308"/>
        <w:spacing w:after="0"/>
        <w:tabs>
          <w:tab w:leader="none" w:pos="18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the Administrative Agent promptly on written demand, all written charter agreements relating to the Vessels; and</w:t>
      </w:r>
    </w:p>
    <w:p>
      <w:pPr>
        <w:spacing w:after="0" w:line="225" w:lineRule="exact"/>
        <w:rPr>
          <w:rFonts w:ascii="Times New Roman" w:cs="Times New Roman" w:eastAsia="Times New Roman" w:hAnsi="Times New Roman"/>
          <w:sz w:val="18"/>
          <w:szCs w:val="18"/>
          <w:color w:val="auto"/>
        </w:rPr>
      </w:pPr>
    </w:p>
    <w:p>
      <w:pPr>
        <w:ind w:firstLine="1492"/>
        <w:spacing w:after="0" w:line="266" w:lineRule="auto"/>
        <w:tabs>
          <w:tab w:leader="none" w:pos="183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transfer or change, or permit to be transferred or changed, the flag of the Vessels without the prior written consent of the Administrative Agent, and any such written consent to any one transfer or change of flag shall not be construed to be a waiver of this provision with respect to any subsequent proposed transfer or change of flag;.</w:t>
      </w:r>
    </w:p>
    <w:p>
      <w:pPr>
        <w:spacing w:after="0" w:line="17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Equipment Covenants</w:t>
      </w:r>
      <w:r>
        <w:rPr>
          <w:rFonts w:ascii="Times New Roman" w:cs="Times New Roman" w:eastAsia="Times New Roman" w:hAnsi="Times New Roman"/>
          <w:sz w:val="18"/>
          <w:szCs w:val="18"/>
          <w:color w:val="auto"/>
        </w:rPr>
        <w:t>. With respect to the Equipment, the Guarantor hereby covenants and agrees:</w:t>
      </w:r>
    </w:p>
    <w:p>
      <w:pPr>
        <w:spacing w:after="0" w:line="117" w:lineRule="exact"/>
        <w:rPr>
          <w:rFonts w:ascii="Times New Roman" w:cs="Times New Roman" w:eastAsia="Times New Roman" w:hAnsi="Times New Roman"/>
          <w:sz w:val="18"/>
          <w:szCs w:val="18"/>
          <w:color w:val="auto"/>
        </w:rPr>
      </w:pPr>
    </w:p>
    <w:p>
      <w:pPr>
        <w:ind w:right="20" w:firstLine="1492"/>
        <w:spacing w:after="0" w:line="261" w:lineRule="auto"/>
        <w:tabs>
          <w:tab w:leader="none" w:pos="1698"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operate, protect and maintain the Equipment (a) in good operating order, repair and condition, ordinary wear and tear and damage due to casualty excepted, (b) consistent with prudent industry practice (but in no event less than the extent to which Guarantor maintains other similar equipment in the prudent management of its assets and properties), and (c) in compliance in all material respects with all applicable insurance policies, laws, ordinances, rules, regulations and manufacturer’s recommended maintenance and repair procedures;</w:t>
      </w:r>
    </w:p>
    <w:p>
      <w:pPr>
        <w:spacing w:after="0" w:line="180" w:lineRule="exact"/>
        <w:rPr>
          <w:rFonts w:ascii="Times New Roman" w:cs="Times New Roman" w:eastAsia="Times New Roman" w:hAnsi="Times New Roman"/>
          <w:sz w:val="18"/>
          <w:szCs w:val="18"/>
          <w:color w:val="auto"/>
        </w:rPr>
      </w:pPr>
    </w:p>
    <w:p>
      <w:pPr>
        <w:ind w:left="1760" w:hanging="268"/>
        <w:spacing w:after="0"/>
        <w:tabs>
          <w:tab w:leader="none" w:pos="17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adequate books and records regarding the use, operation, maintenance and repair of the Equipment;</w:t>
      </w:r>
    </w:p>
    <w:p>
      <w:pPr>
        <w:spacing w:after="0" w:line="225" w:lineRule="exact"/>
        <w:rPr>
          <w:rFonts w:ascii="Times New Roman" w:cs="Times New Roman" w:eastAsia="Times New Roman" w:hAnsi="Times New Roman"/>
          <w:sz w:val="18"/>
          <w:szCs w:val="18"/>
          <w:color w:val="auto"/>
        </w:rPr>
      </w:pPr>
    </w:p>
    <w:p>
      <w:pPr>
        <w:ind w:right="420" w:firstLine="1492"/>
        <w:spacing w:after="0" w:line="266" w:lineRule="auto"/>
        <w:tabs>
          <w:tab w:leader="none" w:pos="1798"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Equipment shall not be operated outside the territorial waters of the United States of America, the Gulf of Mexico and the Caribbean Sea (other than for passage from time to time through the Panama Canal in order to reach said waters) without the prior written consent of the Administrative Agent (not to be unreasonably withheld or delayed);</w:t>
      </w:r>
    </w:p>
    <w:p>
      <w:pPr>
        <w:spacing w:after="0" w:line="176" w:lineRule="exact"/>
        <w:rPr>
          <w:rFonts w:ascii="Times New Roman" w:cs="Times New Roman" w:eastAsia="Times New Roman" w:hAnsi="Times New Roman"/>
          <w:sz w:val="18"/>
          <w:szCs w:val="18"/>
          <w:color w:val="auto"/>
        </w:rPr>
      </w:pPr>
    </w:p>
    <w:p>
      <w:pPr>
        <w:ind w:right="100" w:firstLine="1492"/>
        <w:spacing w:after="0" w:line="266" w:lineRule="auto"/>
        <w:tabs>
          <w:tab w:leader="none" w:pos="1788"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shall not permanently discontinue use of any Equipment except for normal maintenance nor, through modifications, alternations or otherwise, impair the current or residual value, useful life, utility or originally intended function of any Equipment without the Administrative Agent’s prior consent;</w:t>
      </w:r>
    </w:p>
    <w:p>
      <w:pPr>
        <w:spacing w:after="0" w:line="176" w:lineRule="exact"/>
        <w:rPr>
          <w:rFonts w:ascii="Times New Roman" w:cs="Times New Roman" w:eastAsia="Times New Roman" w:hAnsi="Times New Roman"/>
          <w:sz w:val="18"/>
          <w:szCs w:val="18"/>
          <w:color w:val="auto"/>
        </w:rPr>
      </w:pPr>
    </w:p>
    <w:p>
      <w:pPr>
        <w:ind w:right="140" w:firstLine="1492"/>
        <w:spacing w:after="0" w:line="266" w:lineRule="auto"/>
        <w:tabs>
          <w:tab w:leader="none" w:pos="1738"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or substitution of parts, improvements, upgrades, or additions to the Equipment shall be part of the Collateral subject to Administrative Agent’s security interest, except that if no Event of Default exists, Borrower may at its expense remove improvements or additions provided by Borrower that can be readily removed without impairing the value, function or remaining useful life of the Equipment; and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270" w:right="239"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right="2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40" w:firstLine="1492"/>
        <w:spacing w:after="0" w:line="261" w:lineRule="auto"/>
        <w:tabs>
          <w:tab w:leader="none" w:pos="1748"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will, upon reasonable prior notice during normal business hours with minimal disruption to the Guarantor’s business afford, or cause to be afforded to, the Administrative Agent, the Lenders and their respective authorized representative reasonable access to the Equipment for the purpose of inspecting and valuing the Equipment and their records (provided such access does not interfere with the operation of the Equipment), provided that such inspections shall be no more frequent than once per year so long as no Event of Default has occurred and is continuing.</w:t>
      </w:r>
    </w:p>
    <w:p>
      <w:pPr>
        <w:spacing w:after="0" w:line="180" w:lineRule="exact"/>
        <w:rPr>
          <w:rFonts w:ascii="Times New Roman" w:cs="Times New Roman" w:eastAsia="Times New Roman" w:hAnsi="Times New Roman"/>
          <w:sz w:val="18"/>
          <w:szCs w:val="18"/>
          <w:color w:val="auto"/>
        </w:rPr>
      </w:pPr>
    </w:p>
    <w:p>
      <w:pPr>
        <w:ind w:left="1100" w:hanging="219"/>
        <w:spacing w:after="0"/>
        <w:tabs>
          <w:tab w:leader="none" w:pos="11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60" w:firstLine="1492"/>
        <w:spacing w:after="0" w:line="261" w:lineRule="auto"/>
        <w:tabs>
          <w:tab w:leader="none" w:pos="165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further covenants and agrees that the Borrower shall remain in compliance with (and shall cause the Guarantor to remain in compliance with) the financial covenants (collectively, the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in Section 9.14 in the Existing Credit Agreement as the Existing Credit Agreement is in effect on the Closing Date hereof without regard to any subsequent amendment, modification or restatement of the Existing Credit Agreement; and</w:t>
      </w:r>
    </w:p>
    <w:p>
      <w:pPr>
        <w:spacing w:after="0" w:line="180" w:lineRule="exact"/>
        <w:rPr>
          <w:rFonts w:ascii="Times New Roman" w:cs="Times New Roman" w:eastAsia="Times New Roman" w:hAnsi="Times New Roman"/>
          <w:sz w:val="18"/>
          <w:szCs w:val="18"/>
          <w:color w:val="auto"/>
        </w:rPr>
      </w:pPr>
    </w:p>
    <w:p>
      <w:pPr>
        <w:ind w:left="-40" w:right="60" w:firstLine="1492"/>
        <w:spacing w:after="0" w:line="254" w:lineRule="auto"/>
        <w:tabs>
          <w:tab w:leader="none" w:pos="170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acknowledges and agrees that (i) the Financial Covenants in the form included in the Existing Credit Agreement (as in effect on the Closing Date hereof without regard to any subsequent amendment, modification or restatement of the Existing Credit Agreement) shall be deemed to be permanently incorporated into this Agreement, and shall remain in effect for all purposes of this Agreement notwithstanding the cancellation or termination of the Existing Credit Agreement due to voluntary prepayment, payment at maturity, default or otherwise, unless a replacement credit facility with Financial Covenants has been accepted in writing by Required Lenders in their discretion, and (ii) any waiver of any breach (or anticipated breach) of any Financial Covenant under the Existing Credit Agreement (by reason of amendment, forbearance or otherwise) shall not constitute a waiver of the corresponding default (or anticipated default) under this Agreement unless specifically agreed to in writing by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Required Lenders fail to agree to any replacement credit facility or any waiver, amendment, forbearance or otherwise, then the Borrower may prepay the Loans in full together with any applicable Prepayment Fee.</w:t>
      </w:r>
    </w:p>
    <w:p>
      <w:pPr>
        <w:spacing w:after="0" w:line="189" w:lineRule="exact"/>
        <w:rPr>
          <w:rFonts w:ascii="Times New Roman" w:cs="Times New Roman" w:eastAsia="Times New Roman" w:hAnsi="Times New Roman"/>
          <w:sz w:val="18"/>
          <w:szCs w:val="18"/>
          <w:color w:val="auto"/>
        </w:rPr>
      </w:pPr>
    </w:p>
    <w:p>
      <w:pPr>
        <w:ind w:left="-40" w:right="180" w:firstLine="921"/>
        <w:spacing w:after="0" w:line="313" w:lineRule="auto"/>
        <w:tabs>
          <w:tab w:leader="none" w:pos="1108"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before November 30, 2014, and at the Borrower’s sole expense, the Borrower shall cause to be furnished to the Administrative Agent and each Lender an appraisal of the Orderly Liquidation Value of the Vessels and the Equipment from an Approved Appraiser (the “</w:t>
      </w:r>
      <w:r>
        <w:rPr>
          <w:rFonts w:ascii="Times New Roman" w:cs="Times New Roman" w:eastAsia="Times New Roman" w:hAnsi="Times New Roman"/>
          <w:sz w:val="17"/>
          <w:szCs w:val="17"/>
          <w:u w:val="single" w:color="auto"/>
          <w:color w:val="auto"/>
        </w:rPr>
        <w:t>Initial Appraisal</w:t>
      </w:r>
      <w:r>
        <w:rPr>
          <w:rFonts w:ascii="Times New Roman" w:cs="Times New Roman" w:eastAsia="Times New Roman" w:hAnsi="Times New Roman"/>
          <w:sz w:val="17"/>
          <w:szCs w:val="17"/>
          <w:color w:val="auto"/>
        </w:rPr>
        <w:t>”).</w:t>
      </w:r>
    </w:p>
    <w:p>
      <w:pPr>
        <w:spacing w:after="0" w:line="138" w:lineRule="exact"/>
        <w:rPr>
          <w:rFonts w:ascii="Times New Roman" w:cs="Times New Roman" w:eastAsia="Times New Roman" w:hAnsi="Times New Roman"/>
          <w:sz w:val="17"/>
          <w:szCs w:val="17"/>
          <w:color w:val="auto"/>
        </w:rPr>
      </w:pPr>
    </w:p>
    <w:p>
      <w:pPr>
        <w:ind w:left="-40" w:firstLine="921"/>
        <w:spacing w:after="0" w:line="266" w:lineRule="auto"/>
        <w:tabs>
          <w:tab w:leader="none" w:pos="108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sixty (60) days after each anniversary of the Closing Date and at the Borrower’s sole expense, the Borrower shall cause to be furnished to the Administrative Agent and each Lender an appraisal of the Orderly Liquidation Value of the Vessels and the Equipment from an Approved Appraiser (each, an “</w:t>
      </w:r>
      <w:r>
        <w:rPr>
          <w:rFonts w:ascii="Times New Roman" w:cs="Times New Roman" w:eastAsia="Times New Roman" w:hAnsi="Times New Roman"/>
          <w:sz w:val="18"/>
          <w:szCs w:val="18"/>
          <w:u w:val="single" w:color="auto"/>
          <w:color w:val="auto"/>
        </w:rPr>
        <w:t>Annual Appraisal</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60"/>
          </w:cols>
          <w:pgMar w:left="280" w:top="270" w:right="259" w:bottom="1440" w:gutter="0" w:footer="0" w:header="0"/>
        </w:sectPr>
      </w:pPr>
    </w:p>
    <w:bookmarkStart w:id="256" w:name="page257"/>
    <w:bookmarkEnd w:id="256"/>
    <w:p>
      <w:pPr>
        <w:jc w:val="center"/>
        <w:ind w:right="-5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00" w:right="22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Until all of the Obligations (other than contingent obligations) have been satisfied in full, the Borrower agrees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1160" w:hanging="239"/>
        <w:spacing w:after="0"/>
        <w:tabs>
          <w:tab w:leader="none" w:pos="11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The Loan Parties shall not create, incur, assume or suffer to exist any Liens upon the Vessels, other than Permitted Encumbrances;</w:t>
      </w:r>
    </w:p>
    <w:p>
      <w:pPr>
        <w:spacing w:after="0" w:line="225" w:lineRule="exact"/>
        <w:rPr>
          <w:rFonts w:ascii="Times New Roman" w:cs="Times New Roman" w:eastAsia="Times New Roman" w:hAnsi="Times New Roman"/>
          <w:sz w:val="18"/>
          <w:szCs w:val="18"/>
          <w:color w:val="auto"/>
        </w:rPr>
      </w:pPr>
    </w:p>
    <w:p>
      <w:pPr>
        <w:ind w:firstLine="921"/>
        <w:spacing w:after="0" w:line="256" w:lineRule="auto"/>
        <w:tabs>
          <w:tab w:leader="none" w:pos="116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 of Formation; Place of Business.</w:t>
      </w:r>
      <w:r>
        <w:rPr>
          <w:rFonts w:ascii="Times New Roman" w:cs="Times New Roman" w:eastAsia="Times New Roman" w:hAnsi="Times New Roman"/>
          <w:sz w:val="18"/>
          <w:szCs w:val="18"/>
          <w:color w:val="auto"/>
        </w:rPr>
        <w:t xml:space="preserve"> The Loan Parties shall not change its jurisdiction of incorporation or the location of its principal place of business from that set forth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without giving the Administrative Agent at least thirty (30) Business Days’ prior written notice thereof and setting forth in detail the new jurisdiction of incorporation or complete address of such new place of business (as the case may be). In furtherance thereof, the Loan Parties shall file, and hereby authorize the Administrative Agent to file on its behalf, Uniform Commercial Code financing statements, amendments or continuation statements, in form and substance satisfactory to the Administrative Agent, in such jurisdiction or jurisdictions as the Administrative Agent shall request upon demand by the Administrative Agent;</w:t>
      </w:r>
    </w:p>
    <w:p>
      <w:pPr>
        <w:spacing w:after="0" w:line="187" w:lineRule="exact"/>
        <w:rPr>
          <w:rFonts w:ascii="Times New Roman" w:cs="Times New Roman" w:eastAsia="Times New Roman" w:hAnsi="Times New Roman"/>
          <w:sz w:val="18"/>
          <w:szCs w:val="18"/>
          <w:color w:val="auto"/>
        </w:rPr>
      </w:pPr>
    </w:p>
    <w:p>
      <w:pPr>
        <w:ind w:firstLine="921"/>
        <w:spacing w:after="0" w:line="266" w:lineRule="auto"/>
        <w:tabs>
          <w:tab w:leader="none" w:pos="115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The Loan Parties shall not merge into or consolidate with any other Person or sell, lease, or otherwise transfer all or a substantial part of its assets in one or more transactions, except as permitted in Sections 9.4 or 9.5 of the Existing Credit Agreement as the Existing Credit Agreement is in effect on the Closing Date hereof without regard to any subsequent amendment, modification or restatement of the Existing Credit Agreement;</w:t>
      </w:r>
    </w:p>
    <w:p>
      <w:pPr>
        <w:spacing w:after="0" w:line="176" w:lineRule="exact"/>
        <w:rPr>
          <w:rFonts w:ascii="Times New Roman" w:cs="Times New Roman" w:eastAsia="Times New Roman" w:hAnsi="Times New Roman"/>
          <w:sz w:val="18"/>
          <w:szCs w:val="18"/>
          <w:color w:val="auto"/>
        </w:rPr>
      </w:pPr>
    </w:p>
    <w:p>
      <w:pPr>
        <w:ind w:right="320" w:firstLine="921"/>
        <w:spacing w:after="0" w:line="266" w:lineRule="auto"/>
        <w:tabs>
          <w:tab w:leader="none" w:pos="116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Character of Business</w:t>
      </w:r>
      <w:r>
        <w:rPr>
          <w:rFonts w:ascii="Times New Roman" w:cs="Times New Roman" w:eastAsia="Times New Roman" w:hAnsi="Times New Roman"/>
          <w:sz w:val="18"/>
          <w:szCs w:val="18"/>
          <w:color w:val="auto"/>
        </w:rPr>
        <w:t>. The Borrower shall not engage in any material line of business substantially different from those lines of business conducted by the Borrower and its Subsidiaries on the date hereof or any business reasonably related, complementary, synergistic or ancillary thereto or reasonable extensions thereof; or</w:t>
      </w:r>
    </w:p>
    <w:p>
      <w:pPr>
        <w:spacing w:after="0" w:line="176" w:lineRule="exact"/>
        <w:rPr>
          <w:rFonts w:ascii="Times New Roman" w:cs="Times New Roman" w:eastAsia="Times New Roman" w:hAnsi="Times New Roman"/>
          <w:sz w:val="18"/>
          <w:szCs w:val="18"/>
          <w:color w:val="auto"/>
        </w:rPr>
      </w:pPr>
    </w:p>
    <w:p>
      <w:pPr>
        <w:ind w:right="680" w:firstLine="921"/>
        <w:spacing w:after="0" w:line="282" w:lineRule="auto"/>
        <w:tabs>
          <w:tab w:leader="none" w:pos="115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Financing Statements</w:t>
      </w:r>
      <w:r>
        <w:rPr>
          <w:rFonts w:ascii="Times New Roman" w:cs="Times New Roman" w:eastAsia="Times New Roman" w:hAnsi="Times New Roman"/>
          <w:sz w:val="18"/>
          <w:szCs w:val="18"/>
          <w:color w:val="auto"/>
        </w:rPr>
        <w:t>. The Borrower shall not file any amendments, corrective statements, or termination statements concerning the Collateral without the prior written consent of the Administrative Agent.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EVENTS OF DEFAULT; REMEDIES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Events of Default; Acceleration, etc.</w:t>
      </w:r>
      <w:r>
        <w:rPr>
          <w:rFonts w:ascii="Times New Roman" w:cs="Times New Roman" w:eastAsia="Times New Roman" w:hAnsi="Times New Roman"/>
          <w:sz w:val="18"/>
          <w:szCs w:val="18"/>
          <w:color w:val="auto"/>
        </w:rPr>
        <w:t xml:space="preserve"> If any of the following events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Events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shall occur and be continuing:</w:t>
      </w:r>
    </w:p>
    <w:p>
      <w:pPr>
        <w:spacing w:after="0" w:line="99" w:lineRule="exact"/>
        <w:rPr>
          <w:sz w:val="20"/>
          <w:szCs w:val="20"/>
          <w:color w:val="auto"/>
        </w:rPr>
      </w:pPr>
    </w:p>
    <w:p>
      <w:pPr>
        <w:ind w:right="280" w:firstLine="921"/>
        <w:spacing w:after="0" w:line="282" w:lineRule="auto"/>
        <w:tabs>
          <w:tab w:leader="none" w:pos="115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make any payment of principal on any Loan as and when due under this Agreement, or to make any payment of interest or any other Obligations as and when due and such default shall continue unremedied for a period of five (5) Business Days;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60"/>
          </w:cols>
          <w:pgMar w:left="240" w:top="270" w:right="29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1180" w:hanging="259"/>
        <w:spacing w:after="0"/>
        <w:tabs>
          <w:tab w:leader="none" w:pos="11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Guarantor (as applicable) shall fail to comply with any of the provisions of </w:t>
      </w:r>
      <w:r>
        <w:rPr>
          <w:rFonts w:ascii="Times New Roman" w:cs="Times New Roman" w:eastAsia="Times New Roman" w:hAnsi="Times New Roman"/>
          <w:sz w:val="18"/>
          <w:szCs w:val="18"/>
          <w:u w:val="single" w:color="auto"/>
          <w:color w:val="auto"/>
        </w:rPr>
        <w:t>Section 7.01(b), (d), (e), (f), (o), (r),(s) or (t)</w:t>
      </w:r>
      <w:r>
        <w:rPr>
          <w:rFonts w:ascii="Times New Roman" w:cs="Times New Roman" w:eastAsia="Times New Roman" w:hAnsi="Times New Roman"/>
          <w:sz w:val="18"/>
          <w:szCs w:val="18"/>
          <w:color w:val="auto"/>
        </w:rPr>
        <w:t xml:space="preserve">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or</w:t>
      </w:r>
    </w:p>
    <w:p>
      <w:pPr>
        <w:spacing w:after="0" w:line="206" w:lineRule="exact"/>
        <w:rPr>
          <w:rFonts w:ascii="Times New Roman" w:cs="Times New Roman" w:eastAsia="Times New Roman" w:hAnsi="Times New Roman"/>
          <w:sz w:val="18"/>
          <w:szCs w:val="18"/>
          <w:color w:val="auto"/>
        </w:rPr>
      </w:pPr>
    </w:p>
    <w:p>
      <w:pPr>
        <w:jc w:val="both"/>
        <w:ind w:right="60" w:firstLine="921"/>
        <w:spacing w:after="0" w:line="266" w:lineRule="auto"/>
        <w:tabs>
          <w:tab w:leader="none" w:pos="115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perform or otherwise observe and comply with any covenant or agreement contained in this Agreement (other than as set forth in clauses (a) and (b) above) or any other Loan Document and such failure continues unremedied for thirty (30) days after giving of notice thereof by the Administrative Agent to the Borrower; or</w:t>
      </w:r>
    </w:p>
    <w:p>
      <w:pPr>
        <w:spacing w:after="0" w:line="176" w:lineRule="exact"/>
        <w:rPr>
          <w:rFonts w:ascii="Times New Roman" w:cs="Times New Roman" w:eastAsia="Times New Roman" w:hAnsi="Times New Roman"/>
          <w:sz w:val="18"/>
          <w:szCs w:val="18"/>
          <w:color w:val="auto"/>
        </w:rPr>
      </w:pPr>
    </w:p>
    <w:p>
      <w:pPr>
        <w:ind w:right="200" w:firstLine="921"/>
        <w:spacing w:after="0" w:line="282" w:lineRule="auto"/>
        <w:tabs>
          <w:tab w:leader="none" w:pos="116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the Borrower or Guarantor hereunder or by the Borrower in any of the other Loan Documents shall prove not to have been true in any material respect on the date when made; or</w:t>
      </w:r>
    </w:p>
    <w:p>
      <w:pPr>
        <w:spacing w:after="0" w:line="161" w:lineRule="exact"/>
        <w:rPr>
          <w:rFonts w:ascii="Times New Roman" w:cs="Times New Roman" w:eastAsia="Times New Roman" w:hAnsi="Times New Roman"/>
          <w:sz w:val="18"/>
          <w:szCs w:val="18"/>
          <w:color w:val="auto"/>
        </w:rPr>
      </w:pPr>
    </w:p>
    <w:p>
      <w:pPr>
        <w:ind w:right="180" w:firstLine="921"/>
        <w:spacing w:after="0" w:line="261" w:lineRule="auto"/>
        <w:tabs>
          <w:tab w:leader="none" w:pos="115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the Guarantor shall (i) default in the payment (beyond the applicable grace period with respect thereto) of any indebtedness (other than indebtedness hereunder) having, individually or in the aggregate, an outstanding principal amount in excess of the Threshold Amount, or</w:t>
      </w:r>
    </w:p>
    <w:p>
      <w:pPr>
        <w:ind w:right="40" w:firstLine="8"/>
        <w:spacing w:after="0" w:line="254" w:lineRule="auto"/>
        <w:tabs>
          <w:tab w:leader="none" w:pos="26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observance or performance of any other agreement or condition relating to any such indebtedness, or any other event shall occur or condition exist, the effect of which default or other event or condition is to cause, or to permit the holder or holders of such indebtedness (or a trustee or agent on behalf of such holder or holders) to cause, with the giving of notice and/or lapse of time, if required, any such indebtedness to become due prior to its stated maturity (any applicable grace period having expired); or</w:t>
      </w:r>
    </w:p>
    <w:p>
      <w:pPr>
        <w:spacing w:after="0" w:line="185" w:lineRule="exact"/>
        <w:rPr>
          <w:rFonts w:ascii="Times New Roman" w:cs="Times New Roman" w:eastAsia="Times New Roman" w:hAnsi="Times New Roman"/>
          <w:sz w:val="18"/>
          <w:szCs w:val="18"/>
          <w:color w:val="auto"/>
        </w:rPr>
      </w:pPr>
    </w:p>
    <w:p>
      <w:pPr>
        <w:ind w:right="20" w:firstLine="921"/>
        <w:spacing w:after="0" w:line="261" w:lineRule="auto"/>
        <w:tabs>
          <w:tab w:leader="none" w:pos="1138"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order for the payment of money which causes the aggregate amount of all such judgments or orders (net of any amounts paid or fully covered by independent third party insurance as to which the relevant insurance company does not dispute coverage) to exceed the Threshold Amount shall be entered and is binding against the Borrower or the Guarantor by any court and such judgment or order shall continue without having been discharged, vacated or stayed for a period of thirty (30) consecutive days after the entry thereof; or</w:t>
      </w:r>
    </w:p>
    <w:p>
      <w:pPr>
        <w:spacing w:after="0" w:line="180" w:lineRule="exact"/>
        <w:rPr>
          <w:rFonts w:ascii="Times New Roman" w:cs="Times New Roman" w:eastAsia="Times New Roman" w:hAnsi="Times New Roman"/>
          <w:sz w:val="18"/>
          <w:szCs w:val="18"/>
          <w:color w:val="auto"/>
        </w:rPr>
      </w:pPr>
    </w:p>
    <w:p>
      <w:pPr>
        <w:ind w:firstLine="921"/>
        <w:spacing w:after="0" w:line="256" w:lineRule="auto"/>
        <w:tabs>
          <w:tab w:leader="none" w:pos="1168"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and/or the Guarantor shall (i) apply for or consent to the appointment of or the taking possession by a receiver, trustee, liquidator, assignee, custodian, sequestrator or the like of itself or of a substantial part of its property, (ii) admits in writing its inability to pay its debts as they mature, (iii) make a general assignment for the benefit of its creditors, (iv) commence a voluntary case under the bankruptcy laws of any jurisdiction, (v) file a petition or answer seeking reorganization or an arrangement with creditors or take advantage of any insolvency law or an answer admitting the material allegations of a petition filed against it in any bankruptcy, reorganization or insolvency proceeding or (vi) take action for the purpose of effecting any of the foregoing; or</w:t>
      </w:r>
    </w:p>
    <w:p>
      <w:pPr>
        <w:spacing w:after="0" w:line="187" w:lineRule="exact"/>
        <w:rPr>
          <w:rFonts w:ascii="Times New Roman" w:cs="Times New Roman" w:eastAsia="Times New Roman" w:hAnsi="Times New Roman"/>
          <w:sz w:val="18"/>
          <w:szCs w:val="18"/>
          <w:color w:val="auto"/>
        </w:rPr>
      </w:pPr>
    </w:p>
    <w:p>
      <w:pPr>
        <w:ind w:right="80" w:firstLine="921"/>
        <w:spacing w:after="0" w:line="261" w:lineRule="auto"/>
        <w:tabs>
          <w:tab w:leader="none" w:pos="1168"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judgment, or decree shall be entered in any voluntary or involuntary case with or without the application, approval or consent of the Borrower and/or the Guarantor, by a court or governmental agency of competent jurisdiction, granting relief under or approving a petition seeking reorganization, or appointing a receiver, trustee, liquidator, assignee, custodian, sequestrator or the like of the Borrower and/or the Guarantor or of its property, and such order, judgment or decree shall continue unstayed and in effect for sixty (60) days; or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270" w:right="239" w:bottom="1440" w:gutter="0" w:footer="0" w:header="0"/>
        </w:sectPr>
      </w:pPr>
    </w:p>
    <w:bookmarkStart w:id="258" w:name="page259"/>
    <w:bookmarkEnd w:id="258"/>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400" w:firstLine="921"/>
        <w:spacing w:after="0" w:line="282" w:lineRule="auto"/>
        <w:tabs>
          <w:tab w:leader="none" w:pos="112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reason (other than by reason of any action or inaction by the Administrative Agent), the Administrative Agent fails to hold a duly recorded first preferred ship mortgage over each of the Vessels (other than in accordance with the terms hereof or thereof); or</w:t>
      </w:r>
    </w:p>
    <w:p>
      <w:pPr>
        <w:spacing w:after="0" w:line="161" w:lineRule="exact"/>
        <w:rPr>
          <w:rFonts w:ascii="Times New Roman" w:cs="Times New Roman" w:eastAsia="Times New Roman" w:hAnsi="Times New Roman"/>
          <w:sz w:val="18"/>
          <w:szCs w:val="18"/>
          <w:color w:val="auto"/>
        </w:rPr>
      </w:pPr>
    </w:p>
    <w:p>
      <w:pPr>
        <w:ind w:right="240" w:firstLine="921"/>
        <w:spacing w:after="0" w:line="282" w:lineRule="auto"/>
        <w:tabs>
          <w:tab w:leader="none" w:pos="112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shall have occurred and be continuing under any of the other Loan Documents and all grace or cure periods, if any, with respect thereto shall have expired; or</w:t>
      </w:r>
    </w:p>
    <w:p>
      <w:pPr>
        <w:spacing w:after="0" w:line="161" w:lineRule="exact"/>
        <w:rPr>
          <w:rFonts w:ascii="Times New Roman" w:cs="Times New Roman" w:eastAsia="Times New Roman" w:hAnsi="Times New Roman"/>
          <w:sz w:val="18"/>
          <w:szCs w:val="18"/>
          <w:color w:val="auto"/>
        </w:rPr>
      </w:pPr>
    </w:p>
    <w:p>
      <w:pPr>
        <w:jc w:val="both"/>
        <w:ind w:right="20" w:firstLine="921"/>
        <w:spacing w:after="0" w:line="313" w:lineRule="auto"/>
        <w:tabs>
          <w:tab w:leader="none" w:pos="1168"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Guaranty shall for any reason (other than by reason of any action or inaction by the Administrative Agent or any Lender) cease to be valid and binding on the Guarantor (other than in accordance with the terms hereof or thereof) or any such Person shall disavow its obligations under the Guaranty;</w:t>
      </w:r>
    </w:p>
    <w:p>
      <w:pPr>
        <w:spacing w:after="0" w:line="138" w:lineRule="exact"/>
        <w:rPr>
          <w:sz w:val="20"/>
          <w:szCs w:val="20"/>
          <w:color w:val="auto"/>
        </w:rPr>
      </w:pPr>
    </w:p>
    <w:p>
      <w:pPr>
        <w:jc w:val="both"/>
        <w:ind w:right="40" w:firstLine="921"/>
        <w:spacing w:after="0" w:line="261" w:lineRule="auto"/>
        <w:tabs>
          <w:tab w:leader="none" w:pos="121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Initial Appraisal, the Orderly Liquidation Value shall be less than the Minimum Orderly Liquidation Value Percentage of the Outstanding Amount and the Borrower shall neither provide additional Collateral nor prepay a portion of the Outstanding Amount within forty-five (45) days of the issuance of such Initial Appraisal to the Administrative Agent and each Lender pursuant to Section 7.01(s) hereof, in order to restore the Orderly Liquidation Value to be at least the Minimum Orderly Liquidation Value Percentage of the Outstanding Amount;</w:t>
      </w:r>
    </w:p>
    <w:p>
      <w:pPr>
        <w:spacing w:after="0" w:line="180" w:lineRule="exact"/>
        <w:rPr>
          <w:rFonts w:ascii="Times New Roman" w:cs="Times New Roman" w:eastAsia="Times New Roman" w:hAnsi="Times New Roman"/>
          <w:sz w:val="18"/>
          <w:szCs w:val="18"/>
          <w:color w:val="auto"/>
        </w:rPr>
      </w:pPr>
    </w:p>
    <w:p>
      <w:pPr>
        <w:ind w:right="200" w:firstLine="921"/>
        <w:spacing w:after="0" w:line="261" w:lineRule="auto"/>
        <w:tabs>
          <w:tab w:leader="none" w:pos="116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applicable Annual Appraisal, the Orderly Liquidation Value shall be less than the Minimum Orderly Liquidation Value Percentage of the Outstanding Amount and the Borrower shall neither provide additional Collateral nor prepay a portion of the Outstanding Amount within forty-five (45) days of the issuance of such Annual Appraisal to the Administrative Agent and each Lender pursuant to Section 7.01(t) hereof, in order to restore the Orderly Liquidation Value to be at least the Minimum Orderly Liquidation Value Percentage of the Outstanding Amount;</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then, and in each such event, the Administrative Agent may, and at the direction of the Required Lenders shall, take any or all of the following actions: (A) by notice to the Borrower, declare the Notes, all interest accrued thereon and all other amounts payable thereunder and under this Agreement to be forthwith due and payable, whereupon the Notes, all such interest and all such other amounts shall become immediately due and payable, without presentment, demand, protest or further notice of any kind, all of which are hereby expressly waived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the entry of an order for relief with respect to the Borrower under the Bankruptcy Code or under any similar federal or state statute or regulation, the Notes, all accrued interest thereon and all other amounts due thereunder and under this Agreement shall automatically become due and payable, without in each instance having given the Borrower any notice whatsoever; (B) setoff against and debit any account maintained by Borrower with the Administrative Agent for any sums due the Administrative Agent or Lenders hereunder or under the Notes; (c) immediately proceed against one or more of the Vessels under the Fleet Mortgage; or</w:t>
      </w:r>
    </w:p>
    <w:p>
      <w:pPr>
        <w:spacing w:after="0" w:line="1" w:lineRule="exact"/>
        <w:rPr>
          <w:sz w:val="20"/>
          <w:szCs w:val="20"/>
          <w:color w:val="auto"/>
        </w:rPr>
      </w:pPr>
    </w:p>
    <w:p>
      <w:pPr>
        <w:ind w:left="5620" w:right="3480" w:hanging="5612"/>
        <w:spacing w:after="0" w:line="433" w:lineRule="auto"/>
        <w:tabs>
          <w:tab w:leader="none" w:pos="29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other rights and remedies available under any of the Loan Documents or any Applicable Law. 44</w:t>
      </w:r>
    </w:p>
    <w:p>
      <w:pPr>
        <w:sectPr>
          <w:pgSz w:w="11900" w:h="16838" w:orient="portrait"/>
          <w:cols w:equalWidth="0" w:num="1">
            <w:col w:w="11400"/>
          </w:cols>
          <w:pgMar w:left="240" w:top="270" w:right="259" w:bottom="1440" w:gutter="0" w:footer="0" w:header="0"/>
        </w:sectPr>
      </w:pPr>
    </w:p>
    <w:bookmarkStart w:id="259" w:name="page260"/>
    <w:bookmarkEnd w:id="25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rights and remedies of the Administrative Agent and Lenders hereunder and under any documents or instruments executed pursuant hereto are cumulative, and recourse to one or more rights or remedies shall not constitute a waiver of the others or an election of remedies. It is mutually agreed that commercial reasonableness and good faith require the giving of no more than ten (10) days’ prior written notice of the time and place of any public sale of any Collateral or of the time after which any private sale or any other intended disposition thereof is to be made, and at any such public or private sale, subject to limitations of law, the Administrative Agent, any other Lender, or their respective agents and/or nominees, may purchase the Collateral. If the net proceeds of any disposition of the Collateral exceed the amount then due and owing, whether by acceleration, at maturity or otherwise, or on demand, such excess will be remitted to Borrower or whomsoever shall be entitled thereto. The Borrower shall remain liable for any deficiency remaining after disposition of the Collateral.</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the Borrower fails to perform or comply with any of its obligations contained herein, the Administrative Agent shall have the right, but shall not be obligated, to effect such performance or compliance and the Borrower, within ten (10) days from the date of demand, promises to reimburse the Administrative Agent immediately for such sums so expended, together with interest thereon at the Default Rate for the actual number of days elapsed from date of payment by the Administrative Agent to the date on which the Administrative Agent receives payment thereof from the Borrower. Failure of the Borrower to pay and promptly discharge the aforesaid debts and obligations shall constitute an Event of Default under this Agreement, but the payment of the same by the Administrative Agent shall not cure or constitute a waiver of such Event of Default. Acceptance by the Administrative Agent or any Lender of partial payment(s) or performance by the Borrower or by any other third party shall not be construed as a waiver of any Event of Default, nor shall the same affect or in any way impair the rights and remedies of the Administrative Agent or any Lender hereunder.</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After the exercise of remedies provided for in this Section (or after the Loans have automatically become immediately due and payable) or if at any time insufficient funds are received by and available to the Administrative Agent to pay fully all Secured Obligations then due hereunder, any amounts received on account of the Secured Obligations shall be applied by the Administrative Agent in the following order:</w:t>
      </w:r>
    </w:p>
    <w:p>
      <w:pPr>
        <w:spacing w:after="0" w:line="68" w:lineRule="exact"/>
        <w:rPr>
          <w:sz w:val="20"/>
          <w:szCs w:val="20"/>
          <w:color w:val="auto"/>
        </w:rPr>
      </w:pPr>
    </w:p>
    <w:p>
      <w:pPr>
        <w:ind w:left="460" w:right="340"/>
        <w:spacing w:after="0" w:line="313" w:lineRule="auto"/>
        <w:rPr>
          <w:sz w:val="20"/>
          <w:szCs w:val="20"/>
          <w:color w:val="auto"/>
        </w:rPr>
      </w:pP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to payment of that portion of the Secured Obligations constituting fees, indemnities, expenses and other amounts (including fees, charges and disbursements of counsel to Administrative Agent and amounts payable under Article III) payable to Administrative Agent in its capacity as such;</w:t>
      </w:r>
    </w:p>
    <w:p>
      <w:pPr>
        <w:spacing w:after="0" w:line="30"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Secured Obligations constituting fees, indemnities and other amounts (other than principal and interest) payable to the Lenders (including fees, charges and disbursements of counsel to the respective Lenders (including fees and time charges for attorneys who may be employees of any Lender) arising under the Loan Documents and amounts payable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ratably among them in proportion to the respective amounts described in this clause Second payable to them;</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270" w:right="259" w:bottom="1440" w:gutter="0" w:footer="0" w:header="0"/>
        </w:sectPr>
      </w:pPr>
    </w:p>
    <w:bookmarkStart w:id="260" w:name="page261"/>
    <w:bookmarkEnd w:id="26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460" w:right="180"/>
        <w:spacing w:after="0" w:line="313" w:lineRule="auto"/>
        <w:rPr>
          <w:sz w:val="20"/>
          <w:szCs w:val="20"/>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to payment of that portion of the Secured Obligations constituting accrued and unpaid interest on the Loans and other Secured Obligations arising under the Loan Documents, ratably among the Lenders in proportion to the respective amounts described in this clause Third payable to them;</w:t>
      </w:r>
    </w:p>
    <w:p>
      <w:pPr>
        <w:spacing w:after="0" w:line="30" w:lineRule="exact"/>
        <w:rPr>
          <w:sz w:val="20"/>
          <w:szCs w:val="20"/>
          <w:color w:val="auto"/>
        </w:rPr>
      </w:pPr>
    </w:p>
    <w:p>
      <w:pPr>
        <w:ind w:left="460" w:right="360"/>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to payment of that portion of the Secured Obligations constituting unpaid principal of the Loans, in each case ratably among the Lenders in proportion to the respective amounts described in this clause Fourth held by them; and</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Secured Obligations have been paid in full, to the Borrower or as otherwise required by Applicable Law.</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the proceeds are insufficient to pay the amounts specified in paragraphs “First”, “Second”, “Third” and “Fourth” above, the Administrative Agent and other Secured Parties shall be entitled to collect the balance from the Borrower or any other Person liable therefor. The Borrower hereby expressly waives (to the extent permitted by Applicable Law) all rights to make or manifest any binding instruction upon the Administrative Agent or any Lender as to application of such payments other than as herein provided.</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Miscellaneous Remedies</w:t>
      </w:r>
      <w:r>
        <w:rPr>
          <w:rFonts w:ascii="Times New Roman" w:cs="Times New Roman" w:eastAsia="Times New Roman" w:hAnsi="Times New Roman"/>
          <w:sz w:val="18"/>
          <w:szCs w:val="18"/>
          <w:color w:val="auto"/>
        </w:rPr>
        <w:t xml:space="preserve">. If any Event of Default shall occur and be continuing, the Administrative Agent may (and at the direction of the Required Lenders shall) do any or all of the following in addition to any of the remedies described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notwithstanding any other provision herein to the contrary, except to the extent permitted by Applicable Law, no sale, transfer or other disposition of any Vessel or any interest therein may be made in violation of Sections 56101 and 56102 of Title 46 of the United States Code:</w:t>
      </w:r>
    </w:p>
    <w:p>
      <w:pPr>
        <w:spacing w:after="0" w:line="72" w:lineRule="exact"/>
        <w:rPr>
          <w:sz w:val="20"/>
          <w:szCs w:val="20"/>
          <w:color w:val="auto"/>
        </w:rPr>
      </w:pPr>
    </w:p>
    <w:p>
      <w:pPr>
        <w:ind w:right="140" w:firstLine="921"/>
        <w:spacing w:after="0" w:line="255" w:lineRule="auto"/>
        <w:tabs>
          <w:tab w:leader="none" w:pos="115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as often as may be necessary, take any action to protect the security created hereby and each and every expense or liability (including reasonable fees and expenses of counsel) so incurred by the Administrative Agent in the protection of such security shall be repayable to the Administrative Agent by the Borrower within ten (10) Business Days of demand, together with interest thereon at the Default Rate from the date on which such expense or liability was incurred by the Administrative Agent until full payment is received. If any Event of Default shall have occurred and be continuing, the Borrower promptly shall execute and deliver, or cause to be executed and delivered, to the Administrative Agent such documents, if any, and shall promptly do and perform such acts, if any, as reasonably requested by the Administrative Agent that are necessary or advisable to facilitate or expedite the protection, maintenance and enforcement of the security created hereby;</w:t>
      </w:r>
    </w:p>
    <w:p>
      <w:pPr>
        <w:spacing w:after="0" w:line="189" w:lineRule="exact"/>
        <w:rPr>
          <w:rFonts w:ascii="Times New Roman" w:cs="Times New Roman" w:eastAsia="Times New Roman" w:hAnsi="Times New Roman"/>
          <w:sz w:val="18"/>
          <w:szCs w:val="18"/>
          <w:color w:val="auto"/>
        </w:rPr>
      </w:pPr>
    </w:p>
    <w:p>
      <w:pPr>
        <w:ind w:firstLine="921"/>
        <w:spacing w:after="0" w:line="282" w:lineRule="auto"/>
        <w:tabs>
          <w:tab w:leader="none" w:pos="116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the rights and remedies in foreclosure and otherwise provided to lenders by any Applicable Law, including, without limitation, the Uniform Commercial Code;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270" w:right="239" w:bottom="1440" w:gutter="0" w:footer="0" w:header="0"/>
        </w:sectPr>
      </w:pPr>
    </w:p>
    <w:bookmarkStart w:id="261" w:name="page262"/>
    <w:bookmarkEnd w:id="261"/>
    <w:p>
      <w:pPr>
        <w:jc w:val="center"/>
        <w:ind w:right="-5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00" w:right="22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60" w:firstLine="921"/>
        <w:spacing w:after="0" w:line="266" w:lineRule="auto"/>
        <w:tabs>
          <w:tab w:leader="none" w:pos="115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possession of the Collateral, whether actually or constructively and/or otherwise to take control of the Collateral, wherever it may be, without prior demand and without legal process (when permissible under Applicable Law) and cause the Borrower forthwith upon demand of the Administrative Agent to surrender possession of the Collateral to the Administrative Agent as demanded;</w:t>
      </w:r>
    </w:p>
    <w:p>
      <w:pPr>
        <w:spacing w:after="0" w:line="176" w:lineRule="exact"/>
        <w:rPr>
          <w:rFonts w:ascii="Times New Roman" w:cs="Times New Roman" w:eastAsia="Times New Roman" w:hAnsi="Times New Roman"/>
          <w:sz w:val="18"/>
          <w:szCs w:val="18"/>
          <w:color w:val="auto"/>
        </w:rPr>
      </w:pPr>
    </w:p>
    <w:p>
      <w:pPr>
        <w:ind w:right="820" w:firstLine="921"/>
        <w:spacing w:after="0" w:line="282" w:lineRule="auto"/>
        <w:tabs>
          <w:tab w:leader="none" w:pos="116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all policies, contracts and other records relating to the Insurances (including details of and correspondence concerning outstanding claims) be forthwith delivered to such adjusters, brokers or other insurers as the Administrative Agent may nominate;</w:t>
      </w:r>
    </w:p>
    <w:p>
      <w:pPr>
        <w:spacing w:after="0" w:line="161" w:lineRule="exact"/>
        <w:rPr>
          <w:rFonts w:ascii="Times New Roman" w:cs="Times New Roman" w:eastAsia="Times New Roman" w:hAnsi="Times New Roman"/>
          <w:sz w:val="18"/>
          <w:szCs w:val="18"/>
          <w:color w:val="auto"/>
        </w:rPr>
      </w:pPr>
    </w:p>
    <w:p>
      <w:pPr>
        <w:ind w:right="80" w:firstLine="921"/>
        <w:spacing w:after="0" w:line="266" w:lineRule="auto"/>
        <w:tabs>
          <w:tab w:leader="none" w:pos="115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recover, compromise and give a good discharge for all claims then outstanding or thereafter arising under the Insurances or any of them and to takeover or institute (if necessary using the name of the Borrower and/or the Guarantor) all such proceedings in connection therewith as the Administrative Agent reasonably thinks fit and to permit the brokers through whom collection or recovery is effected to charge the usual brokerage therefor;</w:t>
      </w:r>
    </w:p>
    <w:p>
      <w:pPr>
        <w:spacing w:after="0" w:line="176" w:lineRule="exact"/>
        <w:rPr>
          <w:rFonts w:ascii="Times New Roman" w:cs="Times New Roman" w:eastAsia="Times New Roman" w:hAnsi="Times New Roman"/>
          <w:sz w:val="18"/>
          <w:szCs w:val="18"/>
          <w:color w:val="auto"/>
        </w:rPr>
      </w:pPr>
    </w:p>
    <w:p>
      <w:pPr>
        <w:ind w:right="20" w:firstLine="921"/>
        <w:spacing w:after="0" w:line="282" w:lineRule="auto"/>
        <w:tabs>
          <w:tab w:leader="none" w:pos="113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compound, release or compromise claims against the Borrower concerning the Collateral which have given or may give rise to any charge or lien on the Collateral or which are or may be enforceable by proceedings against the Collateral;</w:t>
      </w:r>
    </w:p>
    <w:p>
      <w:pPr>
        <w:spacing w:after="0" w:line="161" w:lineRule="exact"/>
        <w:rPr>
          <w:rFonts w:ascii="Times New Roman" w:cs="Times New Roman" w:eastAsia="Times New Roman" w:hAnsi="Times New Roman"/>
          <w:sz w:val="18"/>
          <w:szCs w:val="18"/>
          <w:color w:val="auto"/>
        </w:rPr>
      </w:pPr>
    </w:p>
    <w:p>
      <w:pPr>
        <w:jc w:val="both"/>
        <w:ind w:right="60" w:firstLine="921"/>
        <w:spacing w:after="0" w:line="266" w:lineRule="auto"/>
        <w:tabs>
          <w:tab w:leader="none" w:pos="116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appropriate judicial, extra-judicial or administrative proceedings for the foreclosure of the lien created hereby or by the Fleet Mortgage and/or for the enforcement of the rights of the Administrative Agent and other Secured Parties hereunder or otherwise, recover judgment for any amount due on the Obligations and collect the same out of any property of the Borrower;</w:t>
      </w:r>
    </w:p>
    <w:p>
      <w:pPr>
        <w:spacing w:after="0" w:line="176" w:lineRule="exact"/>
        <w:rPr>
          <w:rFonts w:ascii="Times New Roman" w:cs="Times New Roman" w:eastAsia="Times New Roman" w:hAnsi="Times New Roman"/>
          <w:sz w:val="18"/>
          <w:szCs w:val="18"/>
          <w:color w:val="auto"/>
        </w:rPr>
      </w:pPr>
    </w:p>
    <w:p>
      <w:pPr>
        <w:ind w:right="220" w:firstLine="921"/>
        <w:spacing w:after="0" w:line="282" w:lineRule="auto"/>
        <w:tabs>
          <w:tab w:leader="none" w:pos="116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United States and other Applicable Law, sell the Collateral at public auction, free from any claim of or by the Borrower of any nature whatsoever by first giving notice of the time and place of sale with a general description of the Collateral in the following manner:</w:t>
      </w:r>
    </w:p>
    <w:p>
      <w:pPr>
        <w:spacing w:after="0" w:line="53" w:lineRule="exact"/>
        <w:rPr>
          <w:rFonts w:ascii="Times New Roman" w:cs="Times New Roman" w:eastAsia="Times New Roman" w:hAnsi="Times New Roman"/>
          <w:sz w:val="18"/>
          <w:szCs w:val="18"/>
          <w:color w:val="auto"/>
        </w:rPr>
      </w:pPr>
    </w:p>
    <w:p>
      <w:pPr>
        <w:ind w:left="1700" w:hanging="208"/>
        <w:spacing w:after="0"/>
        <w:tabs>
          <w:tab w:leader="none" w:pos="17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publishing such notice for ten (10) consecutive days in a daily newspaper of general circulation published in New York City, New</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w:t>
      </w:r>
    </w:p>
    <w:p>
      <w:pPr>
        <w:spacing w:after="0" w:line="206" w:lineRule="exact"/>
        <w:rPr>
          <w:rFonts w:ascii="Times New Roman" w:cs="Times New Roman" w:eastAsia="Times New Roman" w:hAnsi="Times New Roman"/>
          <w:sz w:val="18"/>
          <w:szCs w:val="18"/>
          <w:color w:val="auto"/>
        </w:rPr>
      </w:pPr>
    </w:p>
    <w:p>
      <w:pPr>
        <w:ind w:right="100" w:firstLine="1492"/>
        <w:spacing w:after="0" w:line="282" w:lineRule="auto"/>
        <w:tabs>
          <w:tab w:leader="none" w:pos="1748"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place of sale should not be New York City, New York, then also by publication of a similar notice in a daily newspaper, if any, published at the place of sale; and</w:t>
      </w:r>
    </w:p>
    <w:p>
      <w:pPr>
        <w:spacing w:after="0" w:line="161" w:lineRule="exact"/>
        <w:rPr>
          <w:rFonts w:ascii="Times New Roman" w:cs="Times New Roman" w:eastAsia="Times New Roman" w:hAnsi="Times New Roman"/>
          <w:sz w:val="18"/>
          <w:szCs w:val="18"/>
          <w:color w:val="auto"/>
        </w:rPr>
      </w:pPr>
    </w:p>
    <w:p>
      <w:pPr>
        <w:ind w:right="80" w:firstLine="1492"/>
        <w:spacing w:after="0" w:line="282" w:lineRule="auto"/>
        <w:tabs>
          <w:tab w:leader="none" w:pos="1798"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similar notice by telecopy confirmed by mail to the Borrower at least ten (10) days before the date of sale as permitted by United States and other Applicable Law.</w:t>
      </w:r>
    </w:p>
    <w:p>
      <w:pPr>
        <w:spacing w:after="0" w:line="162" w:lineRule="exact"/>
        <w:rPr>
          <w:sz w:val="20"/>
          <w:szCs w:val="20"/>
          <w:color w:val="auto"/>
        </w:rPr>
      </w:pPr>
    </w:p>
    <w:p>
      <w:pPr>
        <w:ind w:firstLine="1484"/>
        <w:spacing w:after="0" w:line="266" w:lineRule="auto"/>
        <w:rPr>
          <w:sz w:val="20"/>
          <w:szCs w:val="20"/>
          <w:color w:val="auto"/>
        </w:rPr>
      </w:pPr>
      <w:r>
        <w:rPr>
          <w:rFonts w:ascii="Times New Roman" w:cs="Times New Roman" w:eastAsia="Times New Roman" w:hAnsi="Times New Roman"/>
          <w:sz w:val="18"/>
          <w:szCs w:val="18"/>
          <w:color w:val="auto"/>
        </w:rPr>
        <w:t>Such sale of the Collateral may be held at such place and at such time as the Administrative Agent in such notices may have specified, or such sale may be adjourned by the Administrative Agent from time to time by announcement at the time and place appointed for such sale or for such adjourned sale and without further notice or publication the Administrative</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60"/>
          </w:cols>
          <w:pgMar w:left="240" w:top="270" w:right="29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Agent may make such sale at the time and place to which the same shall be so adjourned. Such sale may be conducted without bringing the Collateral to the place designated for such sale and in such manner as the Administrative Agent may deem advisable, and the Administrative Agent or any other Lender may become the purchaser at such sale and shall have the right to credit on the purchase price any and all amounts due in respect of such Note and/or any Obligations, as appropriate. Any sale made in accordance with the provisions of this subsection (h) above shall be deemed made in a commercially reasonable manner insofar as the Borrower is concerned;</w:t>
      </w:r>
    </w:p>
    <w:p>
      <w:pPr>
        <w:spacing w:after="0" w:line="184" w:lineRule="exact"/>
        <w:rPr>
          <w:sz w:val="20"/>
          <w:szCs w:val="20"/>
          <w:color w:val="auto"/>
        </w:rPr>
      </w:pPr>
    </w:p>
    <w:p>
      <w:pPr>
        <w:ind w:right="60" w:firstLine="921"/>
        <w:spacing w:after="0" w:line="256" w:lineRule="auto"/>
        <w:tabs>
          <w:tab w:leader="none" w:pos="112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sale of the Collateral (either directly or indirectly), as permitted by United States and other Applicable Law, manage, charter, lease, insure, maintain, or repair the Collateral and employ, lay up or operate the Collateral upon such terms, in such manner and for such period as the Administrative Agent may reasonably deem expedient and for the purpose aforesaid the Administrative Agent shall be entitled to do all acts and things incidental or conducive thereto and in particular, with respect to the Vessels, to enter into such arrangements respecting the Vessels, their management, maintenance, repair, classification and employment in all respects as if the Administrative Agent were the owner of the Vessels but without any obligations to take any action with respect to the Vessels and without any responsibility for any loss thereby incurred;</w:t>
      </w:r>
    </w:p>
    <w:p>
      <w:pPr>
        <w:spacing w:after="0" w:line="187" w:lineRule="exact"/>
        <w:rPr>
          <w:rFonts w:ascii="Times New Roman" w:cs="Times New Roman" w:eastAsia="Times New Roman" w:hAnsi="Times New Roman"/>
          <w:sz w:val="18"/>
          <w:szCs w:val="18"/>
          <w:color w:val="auto"/>
        </w:rPr>
      </w:pPr>
    </w:p>
    <w:p>
      <w:pPr>
        <w:ind w:firstLine="921"/>
        <w:spacing w:after="0" w:line="266" w:lineRule="auto"/>
        <w:tabs>
          <w:tab w:leader="none" w:pos="112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from the Borrower on demand any losses as may be incurred by the Administrative Agent in the exercise of the power vested in the Administrative Agent under subsection (i) hereof with interest thereon at the Default Rate from the date when such losses were incurred by the Administrative Agent until full payment is received; and</w:t>
      </w:r>
    </w:p>
    <w:p>
      <w:pPr>
        <w:spacing w:after="0" w:line="176" w:lineRule="exact"/>
        <w:rPr>
          <w:rFonts w:ascii="Times New Roman" w:cs="Times New Roman" w:eastAsia="Times New Roman" w:hAnsi="Times New Roman"/>
          <w:sz w:val="18"/>
          <w:szCs w:val="18"/>
          <w:color w:val="auto"/>
        </w:rPr>
      </w:pPr>
    </w:p>
    <w:p>
      <w:pPr>
        <w:jc w:val="both"/>
        <w:ind w:right="280" w:firstLine="921"/>
        <w:spacing w:after="0" w:line="266" w:lineRule="auto"/>
        <w:tabs>
          <w:tab w:leader="none" w:pos="116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from the Borrower on demand all expenses, payments and disbursements (including fees and expenses of counsel) incurred by the Administrative Agent in the exercise by it of any of the powers vested in it hereunder together with interest thereon at the Default Rate from the date when such expenses, payments or disbursements were incurred by it until full payment is received.</w:t>
      </w:r>
    </w:p>
    <w:p>
      <w:pPr>
        <w:spacing w:after="0" w:line="17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Application of Moneys</w:t>
      </w:r>
      <w:r>
        <w:rPr>
          <w:rFonts w:ascii="Times New Roman" w:cs="Times New Roman" w:eastAsia="Times New Roman" w:hAnsi="Times New Roman"/>
          <w:sz w:val="18"/>
          <w:szCs w:val="18"/>
          <w:color w:val="auto"/>
        </w:rPr>
        <w:t xml:space="preserve">. The proceeds of any sale made either under the power of sale hereby granted to the Administrative Agent or under a judgment or decree in any judicial proceeding for the foreclosure of the lien created hereunder, or proceeds arising from the enforcement of any remedy granted to the Administrative Agent hereunder, or, or in the case of the Vessels or the proceeds of any and all Insurances and any claims for damages on account of the Vessels or the Borrower of any nature whatsoever and any net earnings of the Vessels from the operation of the Vessels by the Administrative Agent under any of the powers herein granted or by law provided shall be applied as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Additional Rights.</w:t>
      </w:r>
      <w:r>
        <w:rPr>
          <w:rFonts w:ascii="Times New Roman" w:cs="Times New Roman" w:eastAsia="Times New Roman" w:hAnsi="Times New Roman"/>
          <w:sz w:val="18"/>
          <w:szCs w:val="18"/>
          <w:color w:val="auto"/>
        </w:rPr>
        <w:t xml:space="preserve"> In addition to the foregoing, the Administrative Agent shall be entitled to the remedies described in each of the other Loan Documents. In furtherance thereof, the Borrower hereby irrevocably appoints the Administrative Agent as its attorney-in-fact (which power shall be deemed coupled with an interest) to, upon the occurrence and during the continuance of an Event of Default, execute, endorse and deliver any deed, conveyance, assignment or other instrument in writing as may be required to vest in the Administrative Agent any right, title or power which by the terms hereof are expressed to be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270" w:right="239" w:bottom="1440" w:gutter="0" w:footer="0" w:header="0"/>
        </w:sectPr>
      </w:pPr>
    </w:p>
    <w:bookmarkStart w:id="263" w:name="page264"/>
    <w:bookmarkEnd w:id="263"/>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80" w:right="24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 xml:space="preserve">conveyed to or conferred upon the Administrative Agent, including any documents and checks or drafts relating to or received in payment for any loss or damage under the policies of insurance required by the provisions of </w:t>
      </w:r>
      <w:r>
        <w:rPr>
          <w:rFonts w:ascii="Times New Roman" w:cs="Times New Roman" w:eastAsia="Times New Roman" w:hAnsi="Times New Roman"/>
          <w:sz w:val="18"/>
          <w:szCs w:val="18"/>
          <w:u w:val="single" w:color="auto"/>
          <w:color w:val="auto"/>
        </w:rPr>
        <w:t>Section 7.01(o)</w:t>
      </w:r>
      <w:r>
        <w:rPr>
          <w:rFonts w:ascii="Times New Roman" w:cs="Times New Roman" w:eastAsia="Times New Roman" w:hAnsi="Times New Roman"/>
          <w:sz w:val="18"/>
          <w:szCs w:val="18"/>
          <w:color w:val="auto"/>
        </w:rPr>
        <w:t xml:space="preserve"> hereof, but only to the extent that the same relates to the Collateral.</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xml:space="preserve"> 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waiver or consent shall:</w:t>
      </w:r>
    </w:p>
    <w:p>
      <w:pPr>
        <w:spacing w:after="0" w:line="76" w:lineRule="exact"/>
        <w:rPr>
          <w:sz w:val="20"/>
          <w:szCs w:val="20"/>
          <w:color w:val="auto"/>
        </w:rPr>
      </w:pPr>
    </w:p>
    <w:p>
      <w:pPr>
        <w:ind w:left="700" w:hanging="236"/>
        <w:spacing w:after="0"/>
        <w:tabs>
          <w:tab w:leader="none" w:pos="7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condition set forth in Article V, without the written consent of the Required Lenders;</w:t>
      </w:r>
    </w:p>
    <w:p>
      <w:pPr>
        <w:spacing w:after="0" w:line="225" w:lineRule="exact"/>
        <w:rPr>
          <w:rFonts w:ascii="Times New Roman" w:cs="Times New Roman" w:eastAsia="Times New Roman" w:hAnsi="Times New Roman"/>
          <w:sz w:val="18"/>
          <w:szCs w:val="18"/>
          <w:color w:val="auto"/>
        </w:rPr>
      </w:pPr>
    </w:p>
    <w:p>
      <w:pPr>
        <w:ind w:right="140" w:firstLine="464"/>
        <w:spacing w:after="0" w:line="282" w:lineRule="auto"/>
        <w:tabs>
          <w:tab w:leader="none" w:pos="71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without the written consent of such Lender (it being understood and agreed that a waiver of any Default is not considered an extension or increase in Commitment of any Lender);</w:t>
      </w:r>
    </w:p>
    <w:p>
      <w:pPr>
        <w:spacing w:after="0" w:line="161" w:lineRule="exact"/>
        <w:rPr>
          <w:rFonts w:ascii="Times New Roman" w:cs="Times New Roman" w:eastAsia="Times New Roman" w:hAnsi="Times New Roman"/>
          <w:sz w:val="18"/>
          <w:szCs w:val="18"/>
          <w:color w:val="auto"/>
        </w:rPr>
      </w:pPr>
    </w:p>
    <w:p>
      <w:pPr>
        <w:jc w:val="both"/>
        <w:ind w:right="40" w:firstLine="464"/>
        <w:spacing w:after="0" w:line="266" w:lineRule="auto"/>
        <w:tabs>
          <w:tab w:leader="none" w:pos="70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76" w:lineRule="exact"/>
        <w:rPr>
          <w:rFonts w:ascii="Times New Roman" w:cs="Times New Roman" w:eastAsia="Times New Roman" w:hAnsi="Times New Roman"/>
          <w:sz w:val="18"/>
          <w:szCs w:val="18"/>
          <w:color w:val="auto"/>
        </w:rPr>
      </w:pPr>
    </w:p>
    <w:p>
      <w:pPr>
        <w:ind w:right="80" w:firstLine="464"/>
        <w:spacing w:after="0" w:line="258" w:lineRule="auto"/>
        <w:tabs>
          <w:tab w:leader="none" w:pos="71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any Loan, or (subject to clause (ii) of the second proviso to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shall be necessary (i) to amend the definition of “Default Rate” or to waive any obligation of the Borrower to pay interest at the Default Rate or (ii) to amend any financial covenant hereunder (or any defined term used therein) even if the effect of such amendment would be to reduce the rate of interest on any Loan or to reduce any fee payable hereunder;</w:t>
      </w:r>
    </w:p>
    <w:p>
      <w:pPr>
        <w:spacing w:after="0" w:line="183" w:lineRule="exact"/>
        <w:rPr>
          <w:rFonts w:ascii="Times New Roman" w:cs="Times New Roman" w:eastAsia="Times New Roman" w:hAnsi="Times New Roman"/>
          <w:sz w:val="18"/>
          <w:szCs w:val="18"/>
          <w:color w:val="auto"/>
        </w:rPr>
      </w:pPr>
    </w:p>
    <w:p>
      <w:pPr>
        <w:ind w:right="520" w:firstLine="464"/>
        <w:spacing w:after="0" w:line="282" w:lineRule="auto"/>
        <w:tabs>
          <w:tab w:leader="none" w:pos="70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the application of proceeds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w:t>
      </w:r>
    </w:p>
    <w:p>
      <w:pPr>
        <w:spacing w:after="0" w:line="161" w:lineRule="exact"/>
        <w:rPr>
          <w:rFonts w:ascii="Times New Roman" w:cs="Times New Roman" w:eastAsia="Times New Roman" w:hAnsi="Times New Roman"/>
          <w:sz w:val="18"/>
          <w:szCs w:val="18"/>
          <w:color w:val="auto"/>
        </w:rPr>
      </w:pPr>
    </w:p>
    <w:p>
      <w:pPr>
        <w:ind w:right="180" w:firstLine="464"/>
        <w:spacing w:after="0" w:line="266" w:lineRule="auto"/>
        <w:tabs>
          <w:tab w:leader="none" w:pos="68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any provision of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the definition of “Required Lenders” or any other provision of any Loan Document specifying the number or percentage of Lenders required to amend, waive or otherwise modify any rights hereunder or thereunder or make any determination or grant any consent hereunder, without the written consent of each Lender;</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270" w:right="279" w:bottom="1440" w:gutter="0" w:footer="0" w:header="0"/>
        </w:sectPr>
      </w:pPr>
    </w:p>
    <w:bookmarkStart w:id="264" w:name="page265"/>
    <w:bookmarkEnd w:id="264"/>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720" w:hanging="256"/>
        <w:spacing w:after="0"/>
        <w:tabs>
          <w:tab w:leader="none" w:pos="7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in any transaction or series of related transactions, without the written consent of each Lender;</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the Guaranty, without the written consent of each Lender; or</w:t>
      </w:r>
    </w:p>
    <w:p>
      <w:pPr>
        <w:spacing w:after="0" w:line="225" w:lineRule="exact"/>
        <w:rPr>
          <w:rFonts w:ascii="Times New Roman" w:cs="Times New Roman" w:eastAsia="Times New Roman" w:hAnsi="Times New Roman"/>
          <w:sz w:val="18"/>
          <w:szCs w:val="18"/>
          <w:color w:val="auto"/>
        </w:rPr>
      </w:pPr>
    </w:p>
    <w:p>
      <w:pPr>
        <w:ind w:right="20" w:firstLine="464"/>
        <w:spacing w:after="0" w:line="282" w:lineRule="auto"/>
        <w:tabs>
          <w:tab w:leader="none" w:pos="67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the Borrower or permit the Borrower to assign or transfer any of its rights or obligations under this Agreement or the other Loan Documents without the consent of each Lender.</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no amendment, waiver or consent shall, unless in writing and signed by the Administrative Agent in addition to the Lenders required above, affect the rights or duties of the Administrative Agent under this Agreement or any other Loan Document. Notwithstanding anything to the contrary herein, (A)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(B) the Required Lenders shall determine whether or not to allow a Loan Party to use cash collateral in the context of a bankruptcy or insolvency proceeding and such determination shall be binding on all of the Lenders.</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the Administrative Agent may, with the prior written consent of the Borrower only, amend, modify or supplement this Agreement or any of the other Loan Documents to cure any ambiguity, omission, mistake, defect or inconsistency, and each Lender hereby irrevocably authorizes the Administrative Agent on its behalf, and without further consent, to enter into amendments or modifications to this Agreement (including, without limitation, amendments to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any of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amendment or modification shall result in any increase in the amount of any Lender’s Commitment or any increase in any Lender’s Commitment Percentage, in each case, without the written consent of such affected Lender.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Notices, etc.</w:t>
      </w:r>
    </w:p>
    <w:p>
      <w:pPr>
        <w:spacing w:after="0" w:line="225" w:lineRule="exact"/>
        <w:rPr>
          <w:sz w:val="20"/>
          <w:szCs w:val="20"/>
          <w:color w:val="auto"/>
        </w:rPr>
      </w:pPr>
    </w:p>
    <w:p>
      <w:pPr>
        <w:ind w:firstLine="464"/>
        <w:spacing w:after="0" w:line="261" w:lineRule="auto"/>
        <w:tabs>
          <w:tab w:leader="none" w:pos="70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71" w:lineRule="exact"/>
        <w:rPr>
          <w:rFonts w:ascii="Times New Roman" w:cs="Times New Roman" w:eastAsia="Times New Roman" w:hAnsi="Times New Roman"/>
          <w:sz w:val="18"/>
          <w:szCs w:val="18"/>
          <w:color w:val="auto"/>
        </w:rPr>
      </w:pPr>
    </w:p>
    <w:p>
      <w:pPr>
        <w:ind w:left="460" w:right="440" w:firstLine="443"/>
        <w:spacing w:after="0" w:line="282" w:lineRule="auto"/>
        <w:tabs>
          <w:tab w:leader="none" w:pos="1113"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Borrower or any other Loan Party or the Administrative Agent, to the address, fax number, e-mail address or telephone number specified for such Person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and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240" w:top="270" w:right="319" w:bottom="1440" w:gutter="0" w:footer="0" w:header="0"/>
        </w:sectPr>
      </w:pPr>
    </w:p>
    <w:bookmarkStart w:id="265" w:name="page266"/>
    <w:bookmarkEnd w:id="265"/>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80" w:right="24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460" w:right="440" w:firstLine="443"/>
        <w:spacing w:after="0" w:line="266" w:lineRule="auto"/>
        <w:tabs>
          <w:tab w:leader="none" w:pos="116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4" w:lineRule="exact"/>
        <w:rPr>
          <w:sz w:val="20"/>
          <w:szCs w:val="20"/>
          <w:color w:val="auto"/>
        </w:rPr>
      </w:pPr>
    </w:p>
    <w:p>
      <w:pPr>
        <w:ind w:right="100" w:firstLine="464"/>
        <w:spacing w:after="0" w:line="256" w:lineRule="auto"/>
        <w:tabs>
          <w:tab w:leader="none" w:pos="71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Administrative Agent and the Lenders hereunder may be delivered or furnished by electronic communication (including e-mail, FPML messaging and Internet or intranet websites) pursuant to procedures approved by the Administrative Agent; provided that the foregoing shall not apply to notices to any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provided that for both clauses (i) and (ii), if such notice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ind w:right="120" w:firstLine="464"/>
        <w:spacing w:after="0" w:line="258" w:lineRule="auto"/>
        <w:tabs>
          <w:tab w:leader="none" w:pos="70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80"/>
          </w:cols>
          <w:pgMar w:left="240" w:top="270" w:right="279" w:bottom="1440" w:gutter="0" w:footer="0" w:header="0"/>
        </w:sectPr>
      </w:pPr>
    </w:p>
    <w:bookmarkStart w:id="266" w:name="page267"/>
    <w:bookmarkEnd w:id="26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the Borrower, any Lender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184" w:lineRule="exact"/>
        <w:rPr>
          <w:sz w:val="20"/>
          <w:szCs w:val="20"/>
          <w:color w:val="auto"/>
        </w:rPr>
      </w:pPr>
    </w:p>
    <w:p>
      <w:pPr>
        <w:ind w:firstLine="464"/>
        <w:spacing w:after="0" w:line="254" w:lineRule="auto"/>
        <w:tabs>
          <w:tab w:leader="none" w:pos="71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the Borrower and the Administrative Agent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6" w:lineRule="exact"/>
        <w:rPr>
          <w:rFonts w:ascii="Times New Roman" w:cs="Times New Roman" w:eastAsia="Times New Roman" w:hAnsi="Times New Roman"/>
          <w:sz w:val="18"/>
          <w:szCs w:val="18"/>
          <w:color w:val="auto"/>
        </w:rPr>
      </w:pPr>
    </w:p>
    <w:p>
      <w:pPr>
        <w:ind w:right="20" w:firstLine="464"/>
        <w:spacing w:after="0" w:line="254" w:lineRule="auto"/>
        <w:tabs>
          <w:tab w:leader="none" w:pos="70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and Lenders</w:t>
      </w:r>
      <w:r>
        <w:rPr>
          <w:rFonts w:ascii="Times New Roman" w:cs="Times New Roman" w:eastAsia="Times New Roman" w:hAnsi="Times New Roman"/>
          <w:sz w:val="18"/>
          <w:szCs w:val="18"/>
          <w:color w:val="auto"/>
        </w:rPr>
        <w:t>. The Administrative Agent and the Lenders shall be entitled to rely and act upon any notices (including, without limitation, telephonic or electronic notices, Loan Notices and Notices of Loan Prepayment)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a Loan Party; provided that such indemnity shall not be available to the extent such losses, costs, expenses and liabilities are determined by a court of competent jurisdiction by final and non-appealable judgment to have resulted from the gross negligence, bad faith or willful misconduct of any Indemnitee. All telephonic notices to and other telephonic communications with the Administrative Agent may be recorded by the Administrative Agent, and each of the parties hereto hereby consents to such recording.</w:t>
      </w:r>
    </w:p>
    <w:p>
      <w:pPr>
        <w:spacing w:after="0" w:line="189" w:lineRule="exact"/>
        <w:rPr>
          <w:sz w:val="20"/>
          <w:szCs w:val="20"/>
          <w:color w:val="auto"/>
        </w:rPr>
      </w:pPr>
    </w:p>
    <w:p>
      <w:pPr>
        <w:jc w:val="both"/>
        <w:ind w:right="320" w:firstLine="456"/>
        <w:spacing w:after="0" w:line="266" w:lineRule="auto"/>
        <w:rPr>
          <w:sz w:val="20"/>
          <w:szCs w:val="20"/>
          <w:color w:val="auto"/>
        </w:rPr>
      </w:pPr>
      <w:r>
        <w:rPr>
          <w:rFonts w:ascii="Times New Roman" w:cs="Times New Roman" w:eastAsia="Times New Roman" w:hAnsi="Times New Roman"/>
          <w:sz w:val="18"/>
          <w:szCs w:val="18"/>
          <w:color w:val="auto"/>
        </w:rPr>
        <w:t>SECTION 9.03. GOVERNING LAW. THIS AGREEMENT AND THE RIGHTS AND OBLIGATIONS OF THE PARTIES HERETO SHALL BE GOVERNED BY, AND CONSTRUED IN ACCORDANCE WITH, THE LAWS OF THE STATE OF NEW YORK (EXCLUDING ITS CONFLICT OF LAWS RULES OTHER THAN SECTIONS 5-1401 AND 5-1402 OF THE GENERAL OBLIGATIONS LAW).</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270" w:right="259" w:bottom="1440" w:gutter="0" w:footer="0" w:header="0"/>
        </w:sectPr>
      </w:pPr>
    </w:p>
    <w:bookmarkStart w:id="267" w:name="page268"/>
    <w:bookmarkEnd w:id="267"/>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80" w:right="24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Service of Process and Consent to Jurisdiction; Waiver of Venue</w:t>
      </w:r>
      <w:r>
        <w:rPr>
          <w:rFonts w:ascii="Times New Roman" w:cs="Times New Roman" w:eastAsia="Times New Roman" w:hAnsi="Times New Roman"/>
          <w:sz w:val="18"/>
          <w:szCs w:val="18"/>
          <w:color w:val="auto"/>
        </w:rPr>
        <w:t xml:space="preserve">. Each of the parties hereto hereby irrevocably submits to the non-exclusive jurisdiction of the Federal and state courts located in the State of New York, in any action brought against it under this Agreement, the Notes or any other Loan Document and agrees that a summons and complaint commencing any action or proceeding in such court shall be properly served if delivered personally or by registered mail to such party at its address referenced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or otherwise served under the laws of the State of New York, and each of the parties hereto hereby waives any objection to venue and jurisdiction which it may now or hereafter have. The Loan Parties shall promptly notify Administrative Agent of any change in its address. Nothing herein shall affect the right of any party hereto to serve process in any other matter prescribed by Applicable Law or the right of any party hereto to bring legal proceedings in any other competent jurisdiction.</w:t>
      </w:r>
    </w:p>
    <w:p>
      <w:pPr>
        <w:spacing w:after="0" w:line="189"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 Remedy Exclusive</w:t>
      </w:r>
      <w:r>
        <w:rPr>
          <w:rFonts w:ascii="Times New Roman" w:cs="Times New Roman" w:eastAsia="Times New Roman" w:hAnsi="Times New Roman"/>
          <w:sz w:val="18"/>
          <w:szCs w:val="18"/>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Applicable Law.</w:t>
      </w:r>
    </w:p>
    <w:p>
      <w:pPr>
        <w:spacing w:after="0" w:line="18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VIII for the benefit of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or (c)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(ii) in addition to the matters set forth in clauses (b) and (c) of the preceding proviso and subject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270" w:right="27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Payment of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00" w:firstLine="464"/>
        <w:spacing w:after="0" w:line="255" w:lineRule="auto"/>
        <w:tabs>
          <w:tab w:leader="none" w:pos="68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 shall pay (i) all reasonable and documented out-of-pocket expenses incurred by the Administrative Agent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documented out-of-pocket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Loans made hereunder, including all such out-of-pocket expenses incurred during any workout, restructuring or negotiations in respect of such Loans.</w:t>
      </w:r>
    </w:p>
    <w:p>
      <w:pPr>
        <w:spacing w:after="0" w:line="185" w:lineRule="exact"/>
        <w:rPr>
          <w:rFonts w:ascii="Times New Roman" w:cs="Times New Roman" w:eastAsia="Times New Roman" w:hAnsi="Times New Roman"/>
          <w:sz w:val="18"/>
          <w:szCs w:val="18"/>
          <w:color w:val="auto"/>
        </w:rPr>
      </w:pPr>
    </w:p>
    <w:p>
      <w:pPr>
        <w:ind w:left="-20" w:firstLine="464"/>
        <w:spacing w:after="0" w:line="252" w:lineRule="auto"/>
        <w:tabs>
          <w:tab w:leader="none" w:pos="69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the Administrative Agent (and any sub-agent thereof)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reasonable out-of-pocket expenses (including the fees, charges and disbursements of any counsel for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(ii) any Loan or the use or proposed use of the proceeds therefrom, (iii) any actual or alleged presence or release of Hazardous Materials on or from any property owned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or any of the Borrower’s or such Loan Party’s directors, shareholders or creditors,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bad faith or willful misconduct of such Indemnitee (or such Indemnitee’s Related Parties) or result from a claim brought by the Borrower or the Guarantor against an Indemnitee for breach in bad faith of such Indemnitee’s obligations hereunder or under any other Loan Document, if the Borrower or the Guarantor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18"/>
          <w:szCs w:val="18"/>
          <w:u w:val="single" w:color="auto"/>
          <w:color w:val="auto"/>
        </w:rPr>
        <w:t>Section 10.01(c)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60" w:top="270" w:right="259" w:bottom="1440" w:gutter="0" w:footer="0" w:header="0"/>
        </w:sectPr>
      </w:pPr>
    </w:p>
    <w:bookmarkStart w:id="269" w:name="page270"/>
    <w:bookmarkEnd w:id="269"/>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700" w:hanging="236"/>
        <w:spacing w:after="0"/>
        <w:tabs>
          <w:tab w:leader="none" w:pos="7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To the extent that the Borrower for any reason fails to indefeasibly pay any amount required under subsection (a) or</w:t>
      </w:r>
    </w:p>
    <w:p>
      <w:pPr>
        <w:spacing w:after="0" w:line="27" w:lineRule="exact"/>
        <w:rPr>
          <w:rFonts w:ascii="Times New Roman" w:cs="Times New Roman" w:eastAsia="Times New Roman" w:hAnsi="Times New Roman"/>
          <w:sz w:val="18"/>
          <w:szCs w:val="18"/>
          <w:color w:val="auto"/>
        </w:rPr>
      </w:pPr>
    </w:p>
    <w:p>
      <w:pPr>
        <w:ind w:firstLine="8"/>
        <w:spacing w:after="0" w:line="251" w:lineRule="auto"/>
        <w:tabs>
          <w:tab w:leader="none" w:pos="2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Section to be paid by it to the Administrative Agent (or any sub-agent thereof) or any Related Party of the Administrative Agent,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The obligations of the Lenders under this subsection (c) are subject to the provisions of </w:t>
      </w:r>
      <w:r>
        <w:rPr>
          <w:rFonts w:ascii="Times New Roman" w:cs="Times New Roman" w:eastAsia="Times New Roman" w:hAnsi="Times New Roman"/>
          <w:sz w:val="18"/>
          <w:szCs w:val="18"/>
          <w:u w:val="single" w:color="auto"/>
          <w:color w:val="auto"/>
        </w:rPr>
        <w:t>Section 2.06(d)</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20" w:firstLine="464"/>
        <w:spacing w:after="0" w:line="255" w:lineRule="auto"/>
        <w:tabs>
          <w:tab w:leader="none" w:pos="71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To the fullest extent permitted by Applicable Law, the Borrower shall not assert, and the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89"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ten (10) Business Days after demand therefor.</w:t>
      </w:r>
    </w:p>
    <w:p>
      <w:pPr>
        <w:spacing w:after="0" w:line="225" w:lineRule="exact"/>
        <w:rPr>
          <w:rFonts w:ascii="Times New Roman" w:cs="Times New Roman" w:eastAsia="Times New Roman" w:hAnsi="Times New Roman"/>
          <w:sz w:val="18"/>
          <w:szCs w:val="18"/>
          <w:color w:val="auto"/>
        </w:rPr>
      </w:pPr>
    </w:p>
    <w:p>
      <w:pPr>
        <w:ind w:right="60" w:firstLine="464"/>
        <w:spacing w:after="0" w:line="282" w:lineRule="auto"/>
        <w:tabs>
          <w:tab w:leader="none" w:pos="68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agreements in this Section and the indemnity provisions of </w:t>
      </w:r>
      <w:r>
        <w:rPr>
          <w:rFonts w:ascii="Times New Roman" w:cs="Times New Roman" w:eastAsia="Times New Roman" w:hAnsi="Times New Roman"/>
          <w:sz w:val="18"/>
          <w:szCs w:val="18"/>
          <w:u w:val="single" w:color="auto"/>
          <w:color w:val="auto"/>
        </w:rPr>
        <w:t>Section 9.02(e)</w:t>
      </w:r>
      <w:r>
        <w:rPr>
          <w:rFonts w:ascii="Times New Roman" w:cs="Times New Roman" w:eastAsia="Times New Roman" w:hAnsi="Times New Roman"/>
          <w:sz w:val="18"/>
          <w:szCs w:val="18"/>
          <w:color w:val="auto"/>
        </w:rPr>
        <w:t xml:space="preserve"> shall survive the resignation of the Administrative Agent, the replacement of any Lender, the termination of the Commitments and the repayment, satisfaction or discharge of all the other Obligations.</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Borrower further agrees to execute such other and further assurances and documents as in the opinion of the Administrative Agent are reasonably required to carry out the terms of this Agreement or of any of the other Loan Documents.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240" w:top="270" w:right="319" w:bottom="1440" w:gutter="0" w:footer="0" w:header="0"/>
        </w:sectPr>
      </w:pPr>
    </w:p>
    <w:bookmarkStart w:id="270" w:name="page271"/>
    <w:bookmarkEnd w:id="270"/>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 Except as provided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93"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of the Articles and the Section headings of this Agreement are for convenience only and shall not affect the construction of this Agreement.</w:t>
      </w:r>
    </w:p>
    <w:p>
      <w:pPr>
        <w:spacing w:after="0" w:line="16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Loan, and shall continue in full force and effect as long as any Loan or any other Obligation hereunder shall remain unpaid or unsatisfied.</w:t>
      </w:r>
    </w:p>
    <w:p>
      <w:pPr>
        <w:spacing w:after="0" w:line="18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SECTION 9.12. WAIVER OF TRIAL BY JURY. TO THE EXTENT PERMITTED BY APPLICABLE LAW, THE PARTIES HERETO HEREBY WAIVE TRIAL BY JURY IN ANY ACTION OR PROCEEDING TO WHICH THEY MAY BE PARTIES, ARISING OUT OF OR IN ANY WAY PERTAINING TO (A) THIS AGREEMENT OR (B) THE OTHER LOAN DOCUMENTS. IT IS AGREED AND UNDERSTOOD THAT THIS WAIVER CONSTITUTES A WAIVER OF TRIAL BY JURY OF ALL CLAIMS AGAINST ALL PARTIES TO SUCH ACTIONS OR PROCEEDINGS, INCLUDING CLAIMS AGAINST</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240" w:top="270" w:right="319" w:bottom="1440" w:gutter="0" w:footer="0" w:header="0"/>
        </w:sectPr>
      </w:pPr>
    </w:p>
    <w:bookmarkStart w:id="271" w:name="page272"/>
    <w:bookmarkEnd w:id="27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PARTIES WHO ARE NOT PARTIES TO THIS AGREEMENT. THIS WAIVER IS KNOWINGLY, WILLINGLY AND VOLUNTARILY MADE BY EACH OF THE PARTIES HERETO, AND THE PARTIES HEREBY REPRESENT THAT NO REPRESENTATIONS OF FACT OR OPINION HAVE BEEN MADE BY ANY INDIVIDUAL TO INDUCE THIS WAIVER OF TRIAL BY JURY OR TO IN ANY WAY MODIFY OR NULLIFY ITS EFFECT. THE PARTIES FURTHER REPRESENT THAT THEY HAVE BEEN REPRESENTED IN THE SIGNING OF THIS AGREEMENT AND IN THE MAKING OF THIS WAIVER BY INDEPENDENT LEGAL COUNSEL, SELECTED OF THEIR OWN FREE WILL, AND THEY HAVE HAD THE OPPORTUNITY TO DISCUSS THIS WAIVER WITH COUNSEL.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64"/>
        <w:spacing w:after="0" w:line="254" w:lineRule="auto"/>
        <w:tabs>
          <w:tab w:leader="none" w:pos="70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Agreement and the other Loan Documents shall be binding upon and inure to the benefit of the parties hereto and thereto and their respective successors and assigns permitted hereby, except neither the Borrower nor any other Loan Party may assign or otherwise transfer any of its rights or obligations hereunder or under any other Loan Document without the prior written consent of the Administrative Agent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86" w:lineRule="exact"/>
        <w:rPr>
          <w:rFonts w:ascii="Times New Roman" w:cs="Times New Roman" w:eastAsia="Times New Roman" w:hAnsi="Times New Roman"/>
          <w:sz w:val="18"/>
          <w:szCs w:val="18"/>
          <w:color w:val="auto"/>
        </w:rPr>
      </w:pPr>
    </w:p>
    <w:p>
      <w:pPr>
        <w:ind w:right="360" w:firstLine="464"/>
        <w:spacing w:after="0" w:line="266" w:lineRule="auto"/>
        <w:tabs>
          <w:tab w:leader="none" w:pos="71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Any Lender may at any time assign to one or more assignees all or a portion of its rights and obligations under this Agreement and the other Loan Documents (including all or a portion of its Commitment(s) and the Loans at the time owing to it); provided that any such assignment shall be subject to the following conditions:</w:t>
      </w:r>
    </w:p>
    <w:p>
      <w:pPr>
        <w:spacing w:after="0" w:line="68"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20" w:right="40" w:firstLine="421"/>
        <w:spacing w:after="0" w:line="261" w:lineRule="auto"/>
        <w:tabs>
          <w:tab w:leader="none" w:pos="1635"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and/or the Loans at the time owing to it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71" w:lineRule="exact"/>
        <w:rPr>
          <w:rFonts w:ascii="Times New Roman" w:cs="Times New Roman" w:eastAsia="Times New Roman" w:hAnsi="Times New Roman"/>
          <w:sz w:val="18"/>
          <w:szCs w:val="18"/>
          <w:color w:val="auto"/>
        </w:rPr>
      </w:pPr>
    </w:p>
    <w:p>
      <w:pPr>
        <w:ind w:left="920" w:right="400" w:firstLine="421"/>
        <w:spacing w:after="0" w:line="282" w:lineRule="auto"/>
        <w:tabs>
          <w:tab w:leader="none" w:pos="1625"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subsection (b)(i)(A) of this Section, the aggregate amount of the Commitment (which for this purpose includes Loans outstanding thereunder) or, if the Commitment is not then in effect, the principal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270" w:right="259" w:bottom="1440" w:gutter="0" w:footer="0" w:header="0"/>
        </w:sectPr>
      </w:pPr>
    </w:p>
    <w:bookmarkStart w:id="272" w:name="page273"/>
    <w:bookmarkEnd w:id="272"/>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840" w:right="120"/>
        <w:spacing w:after="0" w:line="261" w:lineRule="auto"/>
        <w:rPr>
          <w:sz w:val="20"/>
          <w:szCs w:val="20"/>
          <w:color w:val="auto"/>
        </w:rPr>
      </w:pPr>
      <w:r>
        <w:rPr>
          <w:rFonts w:ascii="Times New Roman" w:cs="Times New Roman" w:eastAsia="Times New Roman" w:hAnsi="Times New Roman"/>
          <w:sz w:val="18"/>
          <w:szCs w:val="18"/>
          <w:color w:val="auto"/>
        </w:rPr>
        <w:t>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the Administrative Agent otherwise consents (such consent not to be unreasonably withheld or delayed).</w:t>
      </w:r>
    </w:p>
    <w:p>
      <w:pPr>
        <w:spacing w:after="0" w:line="72" w:lineRule="exact"/>
        <w:rPr>
          <w:sz w:val="20"/>
          <w:szCs w:val="20"/>
          <w:color w:val="auto"/>
        </w:rPr>
      </w:pPr>
    </w:p>
    <w:p>
      <w:pPr>
        <w:ind w:left="380" w:right="260" w:firstLine="443"/>
        <w:spacing w:after="0" w:line="282" w:lineRule="auto"/>
        <w:tabs>
          <w:tab w:leader="none" w:pos="1083"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xml:space="preserve"> Each partial assignment shall be made as an assignment of a proportionate part of all the assigning Lender’s rights and obligations under this Agreement and the other Loan Documents with respect to the Loans and/or the Commitment assigned.</w:t>
      </w:r>
    </w:p>
    <w:p>
      <w:pPr>
        <w:spacing w:after="0" w:line="53" w:lineRule="exact"/>
        <w:rPr>
          <w:rFonts w:ascii="Times New Roman" w:cs="Times New Roman" w:eastAsia="Times New Roman" w:hAnsi="Times New Roman"/>
          <w:sz w:val="18"/>
          <w:szCs w:val="18"/>
          <w:color w:val="auto"/>
        </w:rPr>
      </w:pPr>
    </w:p>
    <w:p>
      <w:pPr>
        <w:ind w:left="380" w:right="60" w:firstLine="443"/>
        <w:spacing w:after="0" w:line="282" w:lineRule="auto"/>
        <w:tabs>
          <w:tab w:leader="none" w:pos="1133"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subsection (b)(i)(B) of this Section and, in addition:</w:t>
      </w:r>
    </w:p>
    <w:p>
      <w:pPr>
        <w:spacing w:after="0" w:line="53" w:lineRule="exact"/>
        <w:rPr>
          <w:rFonts w:ascii="Times New Roman" w:cs="Times New Roman" w:eastAsia="Times New Roman" w:hAnsi="Times New Roman"/>
          <w:sz w:val="18"/>
          <w:szCs w:val="18"/>
          <w:color w:val="auto"/>
        </w:rPr>
      </w:pPr>
    </w:p>
    <w:p>
      <w:pPr>
        <w:ind w:left="840" w:right="140" w:firstLine="421"/>
        <w:spacing w:after="0" w:line="266" w:lineRule="auto"/>
        <w:tabs>
          <w:tab w:leader="none" w:pos="1555"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consent shall be required during the primary syndication of the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Borrower’s consent shall not be required for any assignment after the Closing Date so long as such assignment is made to a commercial bank and/or an affiliate of a commercial bank; and</w:t>
      </w:r>
    </w:p>
    <w:p>
      <w:pPr>
        <w:spacing w:after="0" w:line="68" w:lineRule="exact"/>
        <w:rPr>
          <w:rFonts w:ascii="Times New Roman" w:cs="Times New Roman" w:eastAsia="Times New Roman" w:hAnsi="Times New Roman"/>
          <w:sz w:val="18"/>
          <w:szCs w:val="18"/>
          <w:color w:val="auto"/>
        </w:rPr>
      </w:pPr>
    </w:p>
    <w:p>
      <w:pPr>
        <w:jc w:val="both"/>
        <w:ind w:left="840" w:right="60" w:firstLine="421"/>
        <w:spacing w:after="0" w:line="266" w:lineRule="auto"/>
        <w:tabs>
          <w:tab w:leader="none" w:pos="1545"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in respect of (1) any unfunded Commitment if such assignment is to a Person that is not a Lender, an Affiliate of such Lender or an Approved Fund with respect to such Lender or (2) any Loan to a Person that is not a Lender, an Affiliate of a Lender or an Approved Fund.</w:t>
      </w:r>
    </w:p>
    <w:p>
      <w:pPr>
        <w:spacing w:after="0" w:line="68" w:lineRule="exact"/>
        <w:rPr>
          <w:rFonts w:ascii="Times New Roman" w:cs="Times New Roman" w:eastAsia="Times New Roman" w:hAnsi="Times New Roman"/>
          <w:sz w:val="18"/>
          <w:szCs w:val="18"/>
          <w:color w:val="auto"/>
        </w:rPr>
      </w:pPr>
    </w:p>
    <w:p>
      <w:pPr>
        <w:ind w:left="380" w:right="100" w:firstLine="443"/>
        <w:spacing w:after="0" w:line="261" w:lineRule="auto"/>
        <w:tabs>
          <w:tab w:leader="none" w:pos="1123"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1" w:lineRule="exact"/>
        <w:rPr>
          <w:rFonts w:ascii="Times New Roman" w:cs="Times New Roman" w:eastAsia="Times New Roman" w:hAnsi="Times New Roman"/>
          <w:sz w:val="18"/>
          <w:szCs w:val="18"/>
          <w:color w:val="auto"/>
        </w:rPr>
      </w:pPr>
    </w:p>
    <w:p>
      <w:pPr>
        <w:ind w:left="1080" w:hanging="257"/>
        <w:spacing w:after="0"/>
        <w:tabs>
          <w:tab w:leader="none" w:pos="108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No such assignment shall be made (A) to the Borrower or any of the Borrower’s Affiliates or Subsidiaries,</w:t>
      </w:r>
    </w:p>
    <w:p>
      <w:pPr>
        <w:spacing w:after="0" w:line="27" w:lineRule="exact"/>
        <w:rPr>
          <w:rFonts w:ascii="Times New Roman" w:cs="Times New Roman" w:eastAsia="Times New Roman" w:hAnsi="Times New Roman"/>
          <w:sz w:val="18"/>
          <w:szCs w:val="18"/>
          <w:color w:val="auto"/>
        </w:rPr>
      </w:pPr>
    </w:p>
    <w:p>
      <w:pPr>
        <w:ind w:left="380" w:firstLine="4"/>
        <w:spacing w:after="0" w:line="252" w:lineRule="auto"/>
        <w:tabs>
          <w:tab w:leader="none" w:pos="66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natural Person, or (C) to any Person that is a competitor of the Borrower or any of its Subsidiaries as such competitors are separately identified by Borrower to the Administrative Agent on or prior to the Closing Date and from time to time thereafter as requested by the Administrative Agent; provided that the Administrative Agent shall not be responsible or have any liability for, or have any duty to ascertain, inquire into, monitor or enforce, compliance with the provisions hereof relating to competitors. Without limiting the generality of the foregoing, the Administrative Agent shall not (x) be obligated to ascertain, monitor or inquire as to whether any Lender or Participant or prospective Lender or Participant is a competitor or (y) have any liability with respect to or arising</w:t>
      </w:r>
    </w:p>
    <w:p>
      <w:pPr>
        <w:spacing w:after="0" w:line="1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320" w:top="270" w:right="239" w:bottom="1440" w:gutter="0" w:footer="0" w:header="0"/>
        </w:sectPr>
      </w:pPr>
    </w:p>
    <w:bookmarkStart w:id="273" w:name="page274"/>
    <w:bookmarkEnd w:id="27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460" w:right="40"/>
        <w:spacing w:after="0" w:line="261" w:lineRule="auto"/>
        <w:rPr>
          <w:sz w:val="20"/>
          <w:szCs w:val="20"/>
          <w:color w:val="auto"/>
        </w:rPr>
      </w:pPr>
      <w:r>
        <w:rPr>
          <w:rFonts w:ascii="Times New Roman" w:cs="Times New Roman" w:eastAsia="Times New Roman" w:hAnsi="Times New Roman"/>
          <w:sz w:val="18"/>
          <w:szCs w:val="18"/>
          <w:color w:val="auto"/>
        </w:rPr>
        <w:t>out of any assignment or participation of Loans, or disclosure of confidential information, to any competitor. The Administrative Agent shall have the right, and the Borrower hereby expressly authorizes the Administrative Agent, to post the list of competitors provided by the Borrower on the Platform, including that portion of the Platform that is designated for “public side” Lenders and/or provide the list of competitors to each Lender requesting the same.”</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9.06</w:t>
      </w:r>
      <w:r>
        <w:rPr>
          <w:rFonts w:ascii="Times New Roman" w:cs="Times New Roman" w:eastAsia="Times New Roman" w:hAnsi="Times New Roman"/>
          <w:sz w:val="18"/>
          <w:szCs w:val="18"/>
          <w:color w:val="auto"/>
        </w:rPr>
        <w:t xml:space="preserve"> with respect to facts and circumstances occurring prior to the effective date of such assignment).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9" w:lineRule="exact"/>
        <w:rPr>
          <w:sz w:val="20"/>
          <w:szCs w:val="20"/>
          <w:color w:val="auto"/>
        </w:rPr>
      </w:pPr>
    </w:p>
    <w:p>
      <w:pPr>
        <w:ind w:firstLine="464"/>
        <w:spacing w:after="0" w:line="255" w:lineRule="auto"/>
        <w:tabs>
          <w:tab w:leader="none" w:pos="70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89" w:lineRule="exact"/>
        <w:rPr>
          <w:rFonts w:ascii="Times New Roman" w:cs="Times New Roman" w:eastAsia="Times New Roman" w:hAnsi="Times New Roman"/>
          <w:sz w:val="18"/>
          <w:szCs w:val="18"/>
          <w:color w:val="auto"/>
        </w:rPr>
      </w:pPr>
    </w:p>
    <w:p>
      <w:pPr>
        <w:ind w:right="40" w:firstLine="464"/>
        <w:spacing w:after="0" w:line="255" w:lineRule="auto"/>
        <w:tabs>
          <w:tab w:leader="none" w:pos="71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may at any time, without the consent of, or notice to, the Borrower or the Administrative Agent, sell participations to any Person (other than a natural Person or the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9.06(c)</w:t>
      </w:r>
      <w:r>
        <w:rPr>
          <w:rFonts w:ascii="Times New Roman" w:cs="Times New Roman" w:eastAsia="Times New Roman" w:hAnsi="Times New Roman"/>
          <w:sz w:val="18"/>
          <w:szCs w:val="18"/>
          <w:color w:val="auto"/>
        </w:rPr>
        <w:t xml:space="preserve"> without regard to the existence of any participations.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270" w:right="239" w:bottom="1440" w:gutter="0" w:footer="0" w:header="0"/>
        </w:sectPr>
      </w:pPr>
    </w:p>
    <w:bookmarkStart w:id="274" w:name="page275"/>
    <w:bookmarkEnd w:id="27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that affects such 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10.01(e)</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10.01(e)</w:t>
      </w:r>
      <w:r>
        <w:rPr>
          <w:rFonts w:ascii="Times New Roman" w:cs="Times New Roman" w:eastAsia="Times New Roman" w:hAnsi="Times New Roman"/>
          <w:sz w:val="18"/>
          <w:szCs w:val="18"/>
          <w:color w:val="auto"/>
        </w:rPr>
        <w:t xml:space="preserve"> shall be delivered to the Lender who sells the participation)) to the same extent as if it were a Lender and had acquired its interest by assignment pursuant to paragraph (b) of this Section; provided that such Participant (A) agrees to be subject to the provisions of </w:t>
      </w:r>
      <w:r>
        <w:rPr>
          <w:rFonts w:ascii="Times New Roman" w:cs="Times New Roman" w:eastAsia="Times New Roman" w:hAnsi="Times New Roman"/>
          <w:sz w:val="18"/>
          <w:szCs w:val="18"/>
          <w:u w:val="single" w:color="auto"/>
          <w:color w:val="auto"/>
        </w:rPr>
        <w:t>Sections 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with respect to any Participant. To the extent permitted by Applicable Law, each Participant also shall be entitled to the benefits of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as though it were a Lender; provided that such Participant agrees to be subject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9" w:lineRule="exact"/>
        <w:rPr>
          <w:sz w:val="20"/>
          <w:szCs w:val="20"/>
          <w:color w:val="auto"/>
        </w:rPr>
      </w:pPr>
    </w:p>
    <w:p>
      <w:pPr>
        <w:ind w:right="20" w:firstLine="464"/>
        <w:spacing w:after="0" w:line="261" w:lineRule="auto"/>
        <w:tabs>
          <w:tab w:leader="none" w:pos="70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270" w:right="239" w:bottom="1440" w:gutter="0" w:footer="0" w:header="0"/>
        </w:sectPr>
      </w:pPr>
    </w:p>
    <w:bookmarkStart w:id="275" w:name="page276"/>
    <w:bookmarkEnd w:id="27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Borrower hereby:</w:t>
      </w:r>
    </w:p>
    <w:p>
      <w:pPr>
        <w:spacing w:after="0" w:line="117" w:lineRule="exact"/>
        <w:rPr>
          <w:sz w:val="20"/>
          <w:szCs w:val="20"/>
          <w:color w:val="auto"/>
        </w:rPr>
      </w:pPr>
    </w:p>
    <w:p>
      <w:pPr>
        <w:ind w:right="20" w:firstLine="464"/>
        <w:spacing w:after="0" w:line="266" w:lineRule="auto"/>
        <w:tabs>
          <w:tab w:leader="none" w:pos="70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none of the material written information which Borrower has provided to the Administrative Agent and the Lenders in connection with the Loans, taken as a whole, contains any untrue statement of material fact or omits to state any material fact necessary to make the statements therein, in light of the circumstances under which they were made, not misleading;</w:t>
      </w:r>
    </w:p>
    <w:p>
      <w:pPr>
        <w:spacing w:after="0" w:line="176" w:lineRule="exact"/>
        <w:rPr>
          <w:rFonts w:ascii="Times New Roman" w:cs="Times New Roman" w:eastAsia="Times New Roman" w:hAnsi="Times New Roman"/>
          <w:sz w:val="18"/>
          <w:szCs w:val="18"/>
          <w:color w:val="auto"/>
        </w:rPr>
      </w:pPr>
    </w:p>
    <w:p>
      <w:pPr>
        <w:ind w:right="40" w:firstLine="464"/>
        <w:spacing w:after="0" w:line="266" w:lineRule="auto"/>
        <w:tabs>
          <w:tab w:leader="none" w:pos="71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provide any information deemed necessary by the anti-money laundering compliance officer of the Administrative Agent or any Lender in its sole discretion to comply with the USA PATRIOT Act, the Administrative Agent’s or such Lender’s anti-money laundering program and related responsibilities from time to time and warrant that all such information provided will be true, correct and complete at the time provided;</w:t>
      </w:r>
    </w:p>
    <w:p>
      <w:pPr>
        <w:spacing w:after="0" w:line="176" w:lineRule="exact"/>
        <w:rPr>
          <w:rFonts w:ascii="Times New Roman" w:cs="Times New Roman" w:eastAsia="Times New Roman" w:hAnsi="Times New Roman"/>
          <w:sz w:val="18"/>
          <w:szCs w:val="18"/>
          <w:color w:val="auto"/>
        </w:rPr>
      </w:pPr>
    </w:p>
    <w:p>
      <w:pPr>
        <w:ind w:right="100" w:firstLine="464"/>
        <w:spacing w:after="0" w:line="282" w:lineRule="auto"/>
        <w:tabs>
          <w:tab w:leader="none" w:pos="70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is entering into this Agreement, the other Loan Documents and the transaction contemplated hereby and thereby solely for its own account, risk and beneficial interest and not for the account or beneficial interest of any third party;</w:t>
      </w:r>
    </w:p>
    <w:p>
      <w:pPr>
        <w:spacing w:after="0" w:line="161" w:lineRule="exact"/>
        <w:rPr>
          <w:rFonts w:ascii="Times New Roman" w:cs="Times New Roman" w:eastAsia="Times New Roman" w:hAnsi="Times New Roman"/>
          <w:sz w:val="18"/>
          <w:szCs w:val="18"/>
          <w:color w:val="auto"/>
        </w:rPr>
      </w:pPr>
    </w:p>
    <w:p>
      <w:pPr>
        <w:ind w:firstLine="464"/>
        <w:spacing w:after="0" w:line="258" w:lineRule="auto"/>
        <w:tabs>
          <w:tab w:leader="none" w:pos="71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 its knowledge, without investigation, that (a) it is not an individual, entity or organization identified on (i) any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“watch list”, including, without limitation, OFAC’s list of Specially Designated Nationals and Blocked Persons, or (ii) any Federal Bureau of Investigation “watch list” or Bureau of Industry and Security list of unverified persons or denied persons, and it is not an Affiliate of any kind with such an individual, entity or organization; (b) it does not have a shell bank or offshore bank; and (c) it is not a Person or entity (i) resident in or whose funds are transferred from or through or (ii) has operations in, a jurisdiction identified as non-cooperative by the Financial Action Task Force or sanctioned by OFAC.</w:t>
      </w:r>
    </w:p>
    <w:p>
      <w:pPr>
        <w:spacing w:after="0" w:line="184"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Payments Set Aside.</w:t>
      </w:r>
      <w:r>
        <w:rPr>
          <w:rFonts w:ascii="Times New Roman" w:cs="Times New Roman" w:eastAsia="Times New Roman" w:hAnsi="Times New Roman"/>
          <w:sz w:val="18"/>
          <w:szCs w:val="18"/>
          <w:color w:val="auto"/>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270" w:right="239"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(a) (i) the arranging and other services regarding this Agreement provided by the Administrative Agent and any Affiliate thereof, any arranger and the Lenders are arm’s-length commercial transactions between the Borrower, each other Loan Party and their respective Affiliates, on the one hand, and the Administrative Agent and, as applicable, its Affiliates (including any arranger) and the Lenders and their Affiliates (collectively, solely for purposes of this Section, the “Lenders”),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w:t>
      </w:r>
    </w:p>
    <w:p>
      <w:pPr>
        <w:spacing w:after="0" w:line="1" w:lineRule="exact"/>
        <w:rPr>
          <w:sz w:val="20"/>
          <w:szCs w:val="20"/>
          <w:color w:val="auto"/>
        </w:rPr>
      </w:pPr>
    </w:p>
    <w:p>
      <w:pPr>
        <w:ind w:right="20" w:firstLine="8"/>
        <w:spacing w:after="0" w:line="251" w:lineRule="auto"/>
        <w:tabs>
          <w:tab w:leader="none" w:pos="25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Administrative Agent and its Affiliates (including any arranger) and each Lender each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(ii) neither the Administrative Agent, any of its Affiliates (including any arranger) nor any Lender has any obligation to the Borrower, any other Loan Party or any of their respective Affiliates with respect to the transactions contemplated hereby except those obligations expressly set forth herein and in the other Loan Documents; and (c) the Administrative Agent and its Affiliates (including any arranger) and the Lenders may be engaged in a broad range of transactions that involve interests that differ from those of the Borrower, the other Loan Parties and their respective Affiliates, and neither the Administrative Agent, any of its Affiliates (including any arranger) nor any Lender has any obligation to disclose any of such interests to the Borrower, any other Loan Party or any of their respective Affiliates. To the fullest extent permitted by Applicable Law, each of the Borrower and each other Loan Party hereby waives and releases any claims that it may have against the Administrative Agent, any of its Affiliates (including any arranger) or any Lender with respect to any breach or alleged breach of agency or fiduciary duty in connection with any aspect of any transactions contemplated hereby.</w:t>
      </w:r>
    </w:p>
    <w:p>
      <w:pPr>
        <w:spacing w:after="0" w:line="1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 xml:space="preserve">. 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neither the Administrative Agent nor any Lender is under any obligation to agree to accept electronic signatures in any form or in any format unless expressly agreed to by the Administrative Agent or such Lender pursuant to procedures approved by it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without limiting the foregoing, upon the request of any party, any electronic signature shall be promptly followed by such manually executed counterpart.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270" w:right="239"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firstLine="456"/>
        <w:spacing w:after="0" w:line="251"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Treatment of Certain Information; Confidentiality</w:t>
      </w:r>
      <w:r>
        <w:rPr>
          <w:rFonts w:ascii="Times New Roman" w:cs="Times New Roman" w:eastAsia="Times New Roman" w:hAnsi="Times New Roman"/>
          <w:sz w:val="18"/>
          <w:szCs w:val="18"/>
          <w:color w:val="auto"/>
        </w:rPr>
        <w:t>. Each of the Administrative Agent and the Lenders agrees to maintain the 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in accordance with customary practices), (b) to the extent required or requested by, or required to be disclosed to, any regulatory or similar authority purporting to have jurisdiction over such Person or its Related Parties (including any self-regulatory authority, such as the National Association of Insurance Commissioners), (c) to the extent required by Applicable Law or regulations or by any subpoena or similar legal process, (d) to any other party hereto, (e) in connection with the exercise of any remedies under this Agreement or under any other Loan Document, or any action or proceeding relating to this Agreement or any other Loan Document, or the enforcement of rights hereunder or thereunder, (f) subject to an agreement containing provisions substantially the same as those of this Section, to (i) any Eligible Assignee of or Participant in, or any prospective Eligible Assignee of or Participant in, any of its rights and obligations under this Agreement, and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the Guarantor or (ii) the CUSIP Service Bureau or any similar agency in connection with the issuance and monitoring of CUSIP numbers with respect to the Facility (it being understood that, prior to any such disclosure, such Person to whom such disclosure is to be made will be informed of the confidential nature of such Information and shall undertake to keep such Information confidential in accordance with customary practices); (h) with the written consent of the Borrower, or (i) to the extent such Information (i) becomes publicly available other than as a result of a breach of this Section or (ii) becomes available to the Administrative Agent, any Lender or any of their respective Affiliates on a non-confidential basis from a source other than the Borrower or any Affiliate of the Borrower or (k) to governmental regulatory authorities in connection with any regulatory examination of the Administrative Agent or any Lender or in accordance with the Administrative Agent’s or any Lender’s regulatory compliance policy if the Administrative Agent or such Lender deems necessary for the mitigation of claims by those authorities against the Administrative Agent or such Lender or any of its subsidiaries or affiliates. In addition, each of the Administrative Agent and the Lenders may disclose the existence of this Agreement and information about this Agreement to market data collectors, similar service providers to the lending industry and service providers to the Administrative Agent or the Lenders in connection with the administration and management of this Agreement, the other Loan Documents, the Commitments and the Loan. 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any Loan Party or any Subsidiary thereof relating to any Loan Party or any Subsidiary thereof or any of their respective businesses, other than any such information that is publicly available to the Administrative Agent or any Lender prior to disclosure by any Loan Party or any Subsidiary thereof other than as a result of a breach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a Loan Party or any Subsidiary thereof after the date hereof, such information is clearly identified at the time of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270" w:right="239" w:bottom="1440" w:gutter="0" w:footer="0" w:header="0"/>
        </w:sectPr>
      </w:pPr>
    </w:p>
    <w:bookmarkStart w:id="278" w:name="page279"/>
    <w:bookmarkEnd w:id="278"/>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delivery as confidential or is delivered pursuant to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7.01(h)</w:t>
      </w:r>
      <w:r>
        <w:rPr>
          <w:rFonts w:ascii="Times New Roman" w:cs="Times New Roman" w:eastAsia="Times New Roman" w:hAnsi="Times New Roman"/>
          <w:sz w:val="18"/>
          <w:szCs w:val="18"/>
          <w:color w:val="auto"/>
        </w:rPr>
        <w:t xml:space="preserve"> hereof and is not publically available.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Each of the Administrative Agent and the Lenders acknowledges that (i) the Information may include material non-public information concerning the Borrower or any of its Subsidiaries, (ii) it has developed compliance procedures regarding the use of material non-public information and (iii) it is required to handle such material non-public information in accordance with Applicable Law, including United States federal and state securities laws.</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Accounting Matters</w:t>
      </w:r>
      <w:r>
        <w:rPr>
          <w:rFonts w:ascii="Times New Roman" w:cs="Times New Roman" w:eastAsia="Times New Roman" w:hAnsi="Times New Roman"/>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shall remain in effect from the Closing Date through and including the Termination Date. No termination of this Agreement shall affect the rights and obligations of the parties hereto arising prior to such termination or in respect of any provision of this Agreement which survives such termination.</w:t>
      </w:r>
    </w:p>
    <w:p>
      <w:pPr>
        <w:spacing w:after="0" w:line="176"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Inconsistencies with Other Documents</w:t>
      </w:r>
      <w:r>
        <w:rPr>
          <w:rFonts w:ascii="Times New Roman" w:cs="Times New Roman" w:eastAsia="Times New Roman" w:hAnsi="Times New Roman"/>
          <w:sz w:val="18"/>
          <w:szCs w:val="18"/>
          <w:color w:val="auto"/>
        </w:rPr>
        <w:t>. In the event there is a conflict or inconsistency between this Agreement and any other Loan Document, the terms of this Agreement shall control.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TAXES AND YIELD PROTECTION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921"/>
        <w:spacing w:after="0" w:line="258" w:lineRule="auto"/>
        <w:tabs>
          <w:tab w:leader="none" w:pos="1128"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the Borrower under any Loan Document shall be made without deduction or withholding for any Taxes, except as required by Applicable Law. If any Applicable Law (as determined in the good faith discretion of the Administrative Agent) requires the deduction or withholding of any Tax from any such payment by the Administrative Agent or the Borrower, then the Administrative Agent or the Borrower shall be entitled to make such deduction or withholding, upon the basis of the information and documentation to be delivered pursuant to subsection (e) below.</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270" w:right="259" w:bottom="1440" w:gutter="0" w:footer="0" w:header="0"/>
        </w:sectPr>
      </w:pPr>
    </w:p>
    <w:bookmarkStart w:id="279" w:name="page280"/>
    <w:bookmarkEnd w:id="279"/>
    <w:p>
      <w:pPr>
        <w:jc w:val="center"/>
        <w:ind w:right="-11"/>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8" w:right="360" w:firstLine="921"/>
        <w:spacing w:after="0" w:line="276" w:lineRule="auto"/>
        <w:tabs>
          <w:tab w:leader="none" w:pos="1170" w:val="left"/>
        </w:tabs>
        <w:numPr>
          <w:ilvl w:val="2"/>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Borrower or the Administrative Agent shall be required by the Code to withhold or deduct any Taxes, including both United States federal backup withholding and withholding taxes, from any payment, then (A) the Borrower or the Administrative Agent, as the case may be, shall</w:t>
      </w:r>
    </w:p>
    <w:p>
      <w:pPr>
        <w:ind w:left="-8" w:firstLine="8"/>
        <w:spacing w:after="0" w:line="253" w:lineRule="auto"/>
        <w:tabs>
          <w:tab w:leader="none" w:pos="24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withhold or make such deductions based upon the information and documentation it has received pursuant to subsection (e) below, and (y) timely pay the full amount withheld or deducted to the relevant Governmental Authority in accordance with the Code, and (B)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187" w:lineRule="exact"/>
        <w:rPr>
          <w:rFonts w:ascii="Times New Roman" w:cs="Times New Roman" w:eastAsia="Times New Roman" w:hAnsi="Times New Roman"/>
          <w:sz w:val="18"/>
          <w:szCs w:val="18"/>
          <w:color w:val="auto"/>
        </w:rPr>
      </w:pPr>
    </w:p>
    <w:p>
      <w:pPr>
        <w:ind w:left="-8" w:right="40" w:firstLine="921"/>
        <w:spacing w:after="0" w:line="255" w:lineRule="auto"/>
        <w:tabs>
          <w:tab w:leader="none" w:pos="1220"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or the Administrative Agent shall be required by any Applicable Law other than the Code to withhold or deduct any Taxes from any payment, then (A) the Borrower or the Administrative Agent, as required by such Applicable Law, shall withhold or make such deductions as are determined by it to be required based upon the information and documentation it has received pursuant to subsection (e) below, (B) the Borrower or the Administrative Agent, to the extent required by such Applicable Law, shall timely pay the full amount withheld or deducted to the relevant Governmental Authority in accordance with such Applicable Law,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185" w:lineRule="exact"/>
        <w:rPr>
          <w:rFonts w:ascii="Times New Roman" w:cs="Times New Roman" w:eastAsia="Times New Roman" w:hAnsi="Times New Roman"/>
          <w:sz w:val="18"/>
          <w:szCs w:val="18"/>
          <w:color w:val="auto"/>
        </w:rPr>
      </w:pPr>
    </w:p>
    <w:p>
      <w:pPr>
        <w:ind w:left="-8" w:right="180" w:firstLine="464"/>
        <w:spacing w:after="0" w:line="266" w:lineRule="auto"/>
        <w:tabs>
          <w:tab w:leader="none" w:pos="703"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Without limiting the provisions of subsection (a) above, the Borrower shall timely pay to the relevant Governmental Authority in accordance with Applicable Law, or at the option of the Administrative Agent timely reimburse it for the payment of, any Other Taxes.</w:t>
      </w:r>
    </w:p>
    <w:p>
      <w:pPr>
        <w:spacing w:after="0" w:line="176" w:lineRule="exact"/>
        <w:rPr>
          <w:rFonts w:ascii="Times New Roman" w:cs="Times New Roman" w:eastAsia="Times New Roman" w:hAnsi="Times New Roman"/>
          <w:sz w:val="18"/>
          <w:szCs w:val="18"/>
          <w:color w:val="auto"/>
        </w:rPr>
      </w:pPr>
    </w:p>
    <w:p>
      <w:pPr>
        <w:ind w:left="692" w:hanging="236"/>
        <w:spacing w:after="0"/>
        <w:tabs>
          <w:tab w:leader="none" w:pos="692"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firstLine="921"/>
        <w:spacing w:after="0" w:line="256" w:lineRule="auto"/>
        <w:tabs>
          <w:tab w:leader="none" w:pos="112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and does hereby indemnify each Recipient, and shall make payment in respect thereof within twenty (20)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The Borrower</w:t>
      </w:r>
    </w:p>
    <w:p>
      <w:pPr>
        <w:spacing w:after="0" w:line="12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92"/>
          </w:cols>
          <w:pgMar w:left="248" w:top="270" w:right="259" w:bottom="1440" w:gutter="0" w:footer="0" w:header="0"/>
        </w:sectPr>
      </w:pPr>
    </w:p>
    <w:bookmarkStart w:id="280" w:name="page281"/>
    <w:bookmarkEnd w:id="28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shall also, and does hereby indemnify the Administrative Agent, and shall make payment in respect thereof within ten (10) days after demand therefor, for any amount which a Lender for any reason fails to pay indefeasibly to the Administrative Agent as required pursuant to </w:t>
      </w:r>
      <w:r>
        <w:rPr>
          <w:rFonts w:ascii="Times New Roman" w:cs="Times New Roman" w:eastAsia="Times New Roman" w:hAnsi="Times New Roman"/>
          <w:sz w:val="18"/>
          <w:szCs w:val="18"/>
          <w:u w:val="single" w:color="auto"/>
          <w:color w:val="auto"/>
        </w:rPr>
        <w:t>Section 10.01(c)(ii)</w:t>
      </w:r>
      <w:r>
        <w:rPr>
          <w:rFonts w:ascii="Times New Roman" w:cs="Times New Roman" w:eastAsia="Times New Roman" w:hAnsi="Times New Roman"/>
          <w:sz w:val="18"/>
          <w:szCs w:val="18"/>
          <w:color w:val="auto"/>
        </w:rPr>
        <w:t xml:space="preserve"> below.</w:t>
      </w:r>
    </w:p>
    <w:p>
      <w:pPr>
        <w:spacing w:after="0" w:line="162" w:lineRule="exact"/>
        <w:rPr>
          <w:sz w:val="20"/>
          <w:szCs w:val="20"/>
          <w:color w:val="auto"/>
        </w:rPr>
      </w:pPr>
    </w:p>
    <w:p>
      <w:pPr>
        <w:ind w:firstLine="921"/>
        <w:spacing w:after="0" w:line="254" w:lineRule="auto"/>
        <w:tabs>
          <w:tab w:leader="none" w:pos="117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and does hereby, severally indemnify and shall make payment in respect thereof within twenty (20) days after demand therefor, (A) the Administrative Agent against any Indemnified Taxes attributable to such Lender (but only to the extent that the Borrower has not already indemnified the Administrative Agent for such Indemnified Taxes and without limiting the obligation of the Borrower to do so), (B) the Administrative Agent and the Borrower, as applicable, against any Taxes attributable to such Lender’s failure to comply with the provisions of </w:t>
      </w:r>
      <w:r>
        <w:rPr>
          <w:rFonts w:ascii="Times New Roman" w:cs="Times New Roman" w:eastAsia="Times New Roman" w:hAnsi="Times New Roman"/>
          <w:sz w:val="18"/>
          <w:szCs w:val="18"/>
          <w:u w:val="single" w:color="auto"/>
          <w:color w:val="auto"/>
        </w:rPr>
        <w:t>Section 9.13(d)</w:t>
      </w:r>
      <w:r>
        <w:rPr>
          <w:rFonts w:ascii="Times New Roman" w:cs="Times New Roman" w:eastAsia="Times New Roman" w:hAnsi="Times New Roman"/>
          <w:sz w:val="18"/>
          <w:szCs w:val="18"/>
          <w:color w:val="auto"/>
        </w:rPr>
        <w:t xml:space="preserve"> relating to the maintenance of a Participant Register and (C) the Administrative Agent and the Borrower, as applicable, against any Excluded Taxes attributable to such Lender,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clause (ii).</w:t>
      </w:r>
    </w:p>
    <w:p>
      <w:pPr>
        <w:spacing w:after="0" w:line="186" w:lineRule="exact"/>
        <w:rPr>
          <w:rFonts w:ascii="Times New Roman" w:cs="Times New Roman" w:eastAsia="Times New Roman" w:hAnsi="Times New Roman"/>
          <w:sz w:val="18"/>
          <w:szCs w:val="18"/>
          <w:color w:val="auto"/>
        </w:rPr>
      </w:pPr>
    </w:p>
    <w:p>
      <w:pPr>
        <w:ind w:right="140" w:firstLine="464"/>
        <w:spacing w:after="0" w:line="258" w:lineRule="auto"/>
        <w:tabs>
          <w:tab w:leader="none" w:pos="71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xml:space="preserve">. Upon request by the Borrower or the Administrative Agent, as the case may be, after any payment of Taxes by any Loan Party or by the Administrative Agent to a Governmental Authority as provided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Applicable Law to report such payment or other evidence of such payment reasonably satisfactory to the Borrower or the Administrative Agent, as the case may be.</w:t>
      </w:r>
    </w:p>
    <w:p>
      <w:pPr>
        <w:spacing w:after="0" w:line="183"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921"/>
        <w:spacing w:after="0" w:line="255" w:lineRule="auto"/>
        <w:tabs>
          <w:tab w:leader="none" w:pos="112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10.01(e)(ii)(A)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270" w:right="259" w:bottom="1440" w:gutter="0" w:footer="0" w:header="0"/>
        </w:sectPr>
      </w:pPr>
    </w:p>
    <w:bookmarkStart w:id="281" w:name="page282"/>
    <w:bookmarkEnd w:id="28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reasonable judgment such completion, execution or submission would subject such Lender to any material unreimbursed cost or expense or would materially prejudice the legal or commercial position of such Lender.</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the Borrower is a U.S. Person,</w:t>
      </w:r>
    </w:p>
    <w:p>
      <w:pPr>
        <w:spacing w:after="0" w:line="131" w:lineRule="exact"/>
        <w:rPr>
          <w:sz w:val="20"/>
          <w:szCs w:val="20"/>
          <w:color w:val="auto"/>
        </w:rPr>
      </w:pPr>
    </w:p>
    <w:p>
      <w:pPr>
        <w:ind w:left="1480" w:right="60" w:hanging="567"/>
        <w:spacing w:after="0" w:line="261" w:lineRule="auto"/>
        <w:tabs>
          <w:tab w:leader="none" w:pos="14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85" w:lineRule="exact"/>
        <w:rPr>
          <w:rFonts w:ascii="Times New Roman" w:cs="Times New Roman" w:eastAsia="Times New Roman" w:hAnsi="Times New Roman"/>
          <w:sz w:val="18"/>
          <w:szCs w:val="18"/>
          <w:color w:val="auto"/>
        </w:rPr>
      </w:pPr>
    </w:p>
    <w:p>
      <w:pPr>
        <w:ind w:left="1480" w:hanging="567"/>
        <w:spacing w:after="0" w:line="261" w:lineRule="auto"/>
        <w:tabs>
          <w:tab w:leader="none" w:pos="14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85" w:lineRule="exact"/>
        <w:rPr>
          <w:rFonts w:ascii="Times New Roman" w:cs="Times New Roman" w:eastAsia="Times New Roman" w:hAnsi="Times New Roman"/>
          <w:sz w:val="18"/>
          <w:szCs w:val="18"/>
          <w:color w:val="auto"/>
        </w:rPr>
      </w:pPr>
    </w:p>
    <w:p>
      <w:pPr>
        <w:ind w:left="1920" w:right="80" w:hanging="440"/>
        <w:spacing w:after="0" w:line="258" w:lineRule="auto"/>
        <w:tabs>
          <w:tab w:leader="none" w:pos="19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89"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originals of IRS Form W-8ECI;</w:t>
      </w:r>
    </w:p>
    <w:p>
      <w:pPr>
        <w:spacing w:after="0" w:line="130" w:lineRule="exact"/>
        <w:rPr>
          <w:rFonts w:ascii="Times New Roman" w:cs="Times New Roman" w:eastAsia="Times New Roman" w:hAnsi="Times New Roman"/>
          <w:sz w:val="18"/>
          <w:szCs w:val="18"/>
          <w:color w:val="auto"/>
        </w:rPr>
      </w:pPr>
    </w:p>
    <w:p>
      <w:pPr>
        <w:ind w:left="1920" w:right="40" w:hanging="440"/>
        <w:spacing w:after="0" w:line="258" w:lineRule="auto"/>
        <w:tabs>
          <w:tab w:leader="none" w:pos="19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originals of IRS Form W-8BEN; or</w:t>
      </w:r>
    </w:p>
    <w:p>
      <w:pPr>
        <w:spacing w:after="0" w:line="89" w:lineRule="exact"/>
        <w:rPr>
          <w:rFonts w:ascii="Times New Roman" w:cs="Times New Roman" w:eastAsia="Times New Roman" w:hAnsi="Times New Roman"/>
          <w:sz w:val="18"/>
          <w:szCs w:val="18"/>
          <w:color w:val="auto"/>
        </w:rPr>
      </w:pPr>
    </w:p>
    <w:p>
      <w:pPr>
        <w:ind w:left="1920" w:right="20" w:hanging="440"/>
        <w:spacing w:after="0" w:line="266" w:lineRule="auto"/>
        <w:tabs>
          <w:tab w:leader="none" w:pos="19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originals of IRS Form W-8IMY, accompanied by IRS Form W-8ECI, IRS Form W-8BEN, a U.S. Tax Compliance Certificate substantially in the form of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G-3</w:t>
      </w:r>
      <w:r>
        <w:rPr>
          <w:rFonts w:ascii="Times New Roman" w:cs="Times New Roman" w:eastAsia="Times New Roman" w:hAnsi="Times New Roman"/>
          <w:sz w:val="18"/>
          <w:szCs w:val="18"/>
          <w:color w:val="auto"/>
        </w:rPr>
        <w:t>, IRS Form W-9, and/or other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270" w:right="25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1920" w:right="160"/>
        <w:spacing w:after="0" w:line="261" w:lineRule="auto"/>
        <w:rPr>
          <w:sz w:val="20"/>
          <w:szCs w:val="20"/>
          <w:color w:val="auto"/>
        </w:rPr>
      </w:pPr>
      <w:r>
        <w:rPr>
          <w:rFonts w:ascii="Times New Roman" w:cs="Times New Roman" w:eastAsia="Times New Roman" w:hAnsi="Times New Roman"/>
          <w:sz w:val="18"/>
          <w:szCs w:val="18"/>
          <w:color w:val="auto"/>
        </w:rPr>
        <w:t xml:space="preserve">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G-4</w:t>
      </w:r>
      <w:r>
        <w:rPr>
          <w:rFonts w:ascii="Times New Roman" w:cs="Times New Roman" w:eastAsia="Times New Roman" w:hAnsi="Times New Roman"/>
          <w:sz w:val="18"/>
          <w:szCs w:val="18"/>
          <w:color w:val="auto"/>
        </w:rPr>
        <w:t xml:space="preserve"> on behalf of each such direct and indirect partner;</w:t>
      </w:r>
    </w:p>
    <w:p>
      <w:pPr>
        <w:spacing w:after="0" w:line="86" w:lineRule="exact"/>
        <w:rPr>
          <w:sz w:val="20"/>
          <w:szCs w:val="20"/>
          <w:color w:val="auto"/>
        </w:rPr>
      </w:pPr>
    </w:p>
    <w:p>
      <w:pPr>
        <w:ind w:left="1460" w:right="200" w:hanging="567"/>
        <w:spacing w:after="0" w:line="256" w:lineRule="auto"/>
        <w:tabs>
          <w:tab w:leader="none" w:pos="14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93" w:lineRule="exact"/>
        <w:rPr>
          <w:rFonts w:ascii="Times New Roman" w:cs="Times New Roman" w:eastAsia="Times New Roman" w:hAnsi="Times New Roman"/>
          <w:sz w:val="18"/>
          <w:szCs w:val="18"/>
          <w:color w:val="auto"/>
        </w:rPr>
      </w:pPr>
    </w:p>
    <w:p>
      <w:pPr>
        <w:ind w:left="1460" w:hanging="567"/>
        <w:spacing w:after="0" w:line="254" w:lineRule="auto"/>
        <w:tabs>
          <w:tab w:leader="none" w:pos="14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9" w:lineRule="exact"/>
        <w:rPr>
          <w:rFonts w:ascii="Times New Roman" w:cs="Times New Roman" w:eastAsia="Times New Roman" w:hAnsi="Times New Roman"/>
          <w:sz w:val="18"/>
          <w:szCs w:val="18"/>
          <w:color w:val="auto"/>
        </w:rPr>
      </w:pPr>
    </w:p>
    <w:p>
      <w:pPr>
        <w:ind w:left="-20" w:right="340" w:firstLine="921"/>
        <w:spacing w:after="0" w:line="266" w:lineRule="auto"/>
        <w:tabs>
          <w:tab w:leader="none" w:pos="1208"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76" w:lineRule="exact"/>
        <w:rPr>
          <w:rFonts w:ascii="Times New Roman" w:cs="Times New Roman" w:eastAsia="Times New Roman" w:hAnsi="Times New Roman"/>
          <w:sz w:val="18"/>
          <w:szCs w:val="18"/>
          <w:color w:val="auto"/>
        </w:rPr>
      </w:pPr>
    </w:p>
    <w:p>
      <w:pPr>
        <w:ind w:left="-20" w:right="60" w:firstLine="464"/>
        <w:spacing w:after="0" w:line="289" w:lineRule="auto"/>
        <w:tabs>
          <w:tab w:leader="none" w:pos="661"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Certain Refunds</w:t>
      </w:r>
      <w:r>
        <w:rPr>
          <w:rFonts w:ascii="Times New Roman" w:cs="Times New Roman" w:eastAsia="Times New Roman" w:hAnsi="Times New Roman"/>
          <w:sz w:val="17"/>
          <w:szCs w:val="17"/>
          <w:color w:val="auto"/>
        </w:rPr>
        <w:t>. Unless required by Applicable Law,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80"/>
          </w:cols>
          <w:pgMar w:left="260" w:top="270" w:right="259" w:bottom="1440" w:gutter="0" w:footer="0" w:header="0"/>
        </w:sectPr>
      </w:pPr>
    </w:p>
    <w:bookmarkStart w:id="283" w:name="page284"/>
    <w:bookmarkEnd w:id="28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been indemnified by the Borrower or with respect to which the Borrower has paid additional amounts pursuant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it shall pay to the Borrower an amount equal to such refund (but only to the extent of indemnity payments made, or additional amounts paid, by the Borrower under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provided that the Borrower, upon the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193" w:lineRule="exact"/>
        <w:rPr>
          <w:sz w:val="20"/>
          <w:szCs w:val="20"/>
          <w:color w:val="auto"/>
        </w:rPr>
      </w:pPr>
    </w:p>
    <w:p>
      <w:pPr>
        <w:ind w:right="640" w:firstLine="464"/>
        <w:spacing w:after="0" w:line="266" w:lineRule="auto"/>
        <w:tabs>
          <w:tab w:leader="none" w:pos="71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17" w:lineRule="exact"/>
        <w:rPr>
          <w:rFonts w:ascii="Times New Roman" w:cs="Times New Roman" w:eastAsia="Times New Roman" w:hAnsi="Times New Roman"/>
          <w:sz w:val="18"/>
          <w:szCs w:val="18"/>
          <w:color w:val="auto"/>
        </w:rPr>
      </w:pPr>
    </w:p>
    <w:p>
      <w:pPr>
        <w:ind w:right="200" w:firstLine="921"/>
        <w:spacing w:after="0" w:line="282" w:lineRule="auto"/>
        <w:tabs>
          <w:tab w:leader="none" w:pos="1128"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161" w:lineRule="exact"/>
        <w:rPr>
          <w:rFonts w:ascii="Times New Roman" w:cs="Times New Roman" w:eastAsia="Times New Roman" w:hAnsi="Times New Roman"/>
          <w:sz w:val="18"/>
          <w:szCs w:val="18"/>
          <w:color w:val="auto"/>
        </w:rPr>
      </w:pPr>
    </w:p>
    <w:p>
      <w:pPr>
        <w:ind w:right="220" w:firstLine="921"/>
        <w:spacing w:after="0" w:line="282" w:lineRule="auto"/>
        <w:tabs>
          <w:tab w:leader="none" w:pos="1178"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and (B) Excluded Taxes) on its loans, loan principal, letters of credit, commitments, or other obligations, or its deposits, reserves, other liabilities or capital attributable thereto; or</w:t>
      </w:r>
    </w:p>
    <w:p>
      <w:pPr>
        <w:spacing w:after="0" w:line="161" w:lineRule="exact"/>
        <w:rPr>
          <w:rFonts w:ascii="Times New Roman" w:cs="Times New Roman" w:eastAsia="Times New Roman" w:hAnsi="Times New Roman"/>
          <w:sz w:val="18"/>
          <w:szCs w:val="18"/>
          <w:color w:val="auto"/>
        </w:rPr>
      </w:pPr>
    </w:p>
    <w:p>
      <w:pPr>
        <w:ind w:left="1240" w:hanging="319"/>
        <w:spacing w:after="0"/>
        <w:tabs>
          <w:tab w:leader="none" w:pos="124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any other condition, cost or expense (other than Taxes) affecting this Agreement or Loans made by such Lender;</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 (it being understood that the provisions set forth in this Section are not intended to derogate from the Borrower’s rights provided in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270" w:right="239" w:bottom="1440" w:gutter="0" w:footer="0" w:header="0"/>
        </w:sectPr>
      </w:pPr>
    </w:p>
    <w:bookmarkStart w:id="284" w:name="page285"/>
    <w:bookmarkEnd w:id="284"/>
    <w:p>
      <w:pPr>
        <w:jc w:val="center"/>
        <w:ind w:right="-31"/>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8" w:right="120" w:firstLine="464"/>
        <w:spacing w:after="0" w:line="255" w:lineRule="auto"/>
        <w:tabs>
          <w:tab w:leader="none" w:pos="703"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xml:space="preserve">.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 (it being understood that the provisions set forth in this Section are not intended to derogate from the Borrower’s rights provided in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8" w:firstLine="464"/>
        <w:spacing w:after="0" w:line="257" w:lineRule="auto"/>
        <w:tabs>
          <w:tab w:leader="none" w:pos="693"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A certificate of a Lender setting forth the amount or amounts (together with a description and calculation of such amounts) necessary to compensate such Lender or its holding company, as the case may be, as specified in subsection (a) or (b) of this Section and delivered to the Borrower shall be conclusive absent manifest error. The Borrower shall pay such Lender the amount shown as due on any such certificate within fifteen</w:t>
      </w:r>
    </w:p>
    <w:p>
      <w:pPr>
        <w:spacing w:after="0" w:line="1"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receipt thereof.</w:t>
      </w:r>
    </w:p>
    <w:p>
      <w:pPr>
        <w:spacing w:after="0" w:line="206" w:lineRule="exact"/>
        <w:rPr>
          <w:rFonts w:ascii="Times New Roman" w:cs="Times New Roman" w:eastAsia="Times New Roman" w:hAnsi="Times New Roman"/>
          <w:sz w:val="18"/>
          <w:szCs w:val="18"/>
          <w:color w:val="auto"/>
        </w:rPr>
      </w:pPr>
    </w:p>
    <w:p>
      <w:pPr>
        <w:ind w:left="-8" w:right="200" w:firstLine="464"/>
        <w:spacing w:after="0" w:line="255" w:lineRule="auto"/>
        <w:tabs>
          <w:tab w:leader="none" w:pos="703"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to demand compensation pursuant to the foregoing provisions of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shall not constitute a waiver of such Lender’s right to demand such compensation, provided that the Borrower shall not be required to compensate a Lender pursuant to the foregoing provisions of this Section for any increased costs incurred or reductions suffered more than 180 days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180 day period referred to above shall be extended to include the period of retroactive effect thereof, but in any event, shall not extend more than 365 days prior to the date that such notice was received by the Borrower).</w:t>
      </w:r>
    </w:p>
    <w:p>
      <w:pPr>
        <w:spacing w:after="0" w:line="189"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Mitigation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20" w:firstLine="464"/>
        <w:spacing w:after="0" w:line="255" w:lineRule="auto"/>
        <w:tabs>
          <w:tab w:leader="none" w:pos="69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or requires the Borrower to pay any Indemnified Taxes or additional amounts to any Lender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any Governmental Authority for the account of any Lender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then at the request of the Borrower,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as the case may be, in the future,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2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92"/>
          </w:cols>
          <w:pgMar w:left="248" w:top="270" w:right="259" w:bottom="1440" w:gutter="0" w:footer="0" w:header="0"/>
        </w:sectPr>
      </w:pPr>
    </w:p>
    <w:bookmarkStart w:id="285" w:name="page286"/>
    <w:bookmarkEnd w:id="28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both"/>
        <w:ind w:right="80" w:firstLine="464"/>
        <w:spacing w:after="0" w:line="261" w:lineRule="auto"/>
        <w:tabs>
          <w:tab w:leader="none" w:pos="71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10.03(a)</w:t>
      </w:r>
      <w:r>
        <w:rPr>
          <w:rFonts w:ascii="Times New Roman" w:cs="Times New Roman" w:eastAsia="Times New Roman" w:hAnsi="Times New Roman"/>
          <w:sz w:val="18"/>
          <w:szCs w:val="18"/>
          <w:color w:val="auto"/>
        </w:rPr>
        <w:t xml:space="preserve">, or if any Lender provides notice to the Borrower pursuant to </w:t>
      </w:r>
      <w:r>
        <w:rPr>
          <w:rFonts w:ascii="Times New Roman" w:cs="Times New Roman" w:eastAsia="Times New Roman" w:hAnsi="Times New Roman"/>
          <w:sz w:val="18"/>
          <w:szCs w:val="18"/>
          <w:u w:val="single" w:color="auto"/>
          <w:color w:val="auto"/>
        </w:rPr>
        <w:t>Section 3.04(b)(iii),</w:t>
      </w:r>
      <w:r>
        <w:rPr>
          <w:rFonts w:ascii="Times New Roman" w:cs="Times New Roman" w:eastAsia="Times New Roman" w:hAnsi="Times New Roman"/>
          <w:sz w:val="18"/>
          <w:szCs w:val="18"/>
          <w:color w:val="auto"/>
        </w:rPr>
        <w:t xml:space="preserve"> the Borrower may replace such Lender in accordance with </w:t>
      </w:r>
      <w:r>
        <w:rPr>
          <w:rFonts w:ascii="Times New Roman" w:cs="Times New Roman" w:eastAsia="Times New Roman" w:hAnsi="Times New Roman"/>
          <w:sz w:val="18"/>
          <w:szCs w:val="18"/>
          <w:u w:val="single" w:color="auto"/>
          <w:color w:val="auto"/>
        </w:rPr>
        <w:t>Section 10.04.</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the Borrower is entitled to replace a Lender pursuant to the provisions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or if any Lender is a Non-Consenting Lender, then the Borrower may, at its sole expense and effort, upon notice to such Lender and the Administrative Agent, either (i) repay all Obligations of the Borrower owing to such Lender (without any Prepayment Fee) relating to the Loans held by such Lender or (ii)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and obligations under this Agreement and the related Loan Documents to an Eligible Assignee that shall assume such obligations (which assignee may be another Lender, if a Lender accepts such assignment), provided that:</w:t>
      </w:r>
    </w:p>
    <w:p>
      <w:pPr>
        <w:spacing w:after="0" w:line="81" w:lineRule="exact"/>
        <w:rPr>
          <w:sz w:val="20"/>
          <w:szCs w:val="20"/>
          <w:color w:val="auto"/>
        </w:rPr>
      </w:pPr>
    </w:p>
    <w:p>
      <w:pPr>
        <w:ind w:right="280" w:firstLine="464"/>
        <w:spacing w:after="0" w:line="266" w:lineRule="auto"/>
        <w:tabs>
          <w:tab w:leader="none" w:pos="70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100% of the outstanding principal of its Loans, accrued interest thereon, accrued fees and all other amounts payable to it hereunder and under the other Loan Documents from the assignee (to the extent of such outstanding principal and accrued interest and fees) or the Borrower (in the case of all other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Prepayment Fee shall be payable to such Lender;</w:t>
      </w:r>
    </w:p>
    <w:p>
      <w:pPr>
        <w:spacing w:after="0" w:line="176" w:lineRule="exact"/>
        <w:rPr>
          <w:rFonts w:ascii="Times New Roman" w:cs="Times New Roman" w:eastAsia="Times New Roman" w:hAnsi="Times New Roman"/>
          <w:sz w:val="18"/>
          <w:szCs w:val="18"/>
          <w:color w:val="auto"/>
        </w:rPr>
      </w:pPr>
    </w:p>
    <w:p>
      <w:pPr>
        <w:ind w:right="520" w:firstLine="464"/>
        <w:spacing w:after="0" w:line="282" w:lineRule="auto"/>
        <w:tabs>
          <w:tab w:leader="none" w:pos="71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161"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 and</w:t>
      </w:r>
    </w:p>
    <w:p>
      <w:pPr>
        <w:spacing w:after="0" w:line="225" w:lineRule="exact"/>
        <w:rPr>
          <w:rFonts w:ascii="Times New Roman" w:cs="Times New Roman" w:eastAsia="Times New Roman" w:hAnsi="Times New Roman"/>
          <w:sz w:val="18"/>
          <w:szCs w:val="18"/>
          <w:color w:val="auto"/>
        </w:rPr>
      </w:pPr>
    </w:p>
    <w:p>
      <w:pPr>
        <w:ind w:right="540" w:firstLine="464"/>
        <w:spacing w:after="0" w:line="282" w:lineRule="auto"/>
        <w:tabs>
          <w:tab w:leader="none" w:pos="71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 Lender becoming a Non-Consenting Lender, the applicable assignee shall have consented to the applicable amendment, waiver or consent.</w:t>
      </w:r>
    </w:p>
    <w:p>
      <w:pPr>
        <w:spacing w:after="0" w:line="161" w:lineRule="exact"/>
        <w:rPr>
          <w:rFonts w:ascii="Times New Roman" w:cs="Times New Roman" w:eastAsia="Times New Roman" w:hAnsi="Times New Roman"/>
          <w:sz w:val="18"/>
          <w:szCs w:val="18"/>
          <w:color w:val="auto"/>
        </w:rPr>
      </w:pPr>
    </w:p>
    <w:p>
      <w:pPr>
        <w:ind w:right="160" w:firstLine="464"/>
        <w:spacing w:after="0" w:line="282" w:lineRule="auto"/>
        <w:tabs>
          <w:tab w:leader="none" w:pos="70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 xml:space="preserve">All of the Borrower’s obligations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survive termination of the Commitments, repayment of all other Obligations hereunder, resignation of the Administrative Agent and the Maturity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270" w:right="239" w:bottom="1440" w:gutter="0" w:footer="0" w:header="0"/>
        </w:sectPr>
      </w:pPr>
    </w:p>
    <w:bookmarkStart w:id="286" w:name="page287"/>
    <w:bookmarkEnd w:id="286"/>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00" w:right="22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ADMINISTRATIVE AGENT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64"/>
        <w:spacing w:after="0" w:line="255" w:lineRule="auto"/>
        <w:tabs>
          <w:tab w:leader="none" w:pos="70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of the Lenders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5" w:lineRule="exact"/>
        <w:rPr>
          <w:rFonts w:ascii="Times New Roman" w:cs="Times New Roman" w:eastAsia="Times New Roman" w:hAnsi="Times New Roman"/>
          <w:sz w:val="18"/>
          <w:szCs w:val="18"/>
          <w:color w:val="auto"/>
        </w:rPr>
      </w:pPr>
    </w:p>
    <w:p>
      <w:pPr>
        <w:ind w:right="80" w:firstLine="464"/>
        <w:spacing w:after="0" w:line="255" w:lineRule="auto"/>
        <w:tabs>
          <w:tab w:leader="none" w:pos="71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xml:space="preserve">. 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Loan Documents, or for exercising any rights and remedies thereunder at the direction of the Administrative Agent), shall be entitled to the benefits of all provisions of this Article XI and Article IX (including </w:t>
      </w:r>
      <w:r>
        <w:rPr>
          <w:rFonts w:ascii="Times New Roman" w:cs="Times New Roman" w:eastAsia="Times New Roman" w:hAnsi="Times New Roman"/>
          <w:sz w:val="18"/>
          <w:szCs w:val="18"/>
          <w:u w:val="single" w:color="auto"/>
          <w:color w:val="auto"/>
        </w:rPr>
        <w:t>Section 9.06(c)</w:t>
      </w:r>
      <w:r>
        <w:rPr>
          <w:rFonts w:ascii="Times New Roman" w:cs="Times New Roman" w:eastAsia="Times New Roman" w:hAnsi="Times New Roman"/>
          <w:sz w:val="18"/>
          <w:szCs w:val="18"/>
          <w:color w:val="auto"/>
        </w:rPr>
        <w:t xml:space="preserve"> as though such co-agents, sub-agents and attorneys-in-fact were the “collateral agent” under the Loan Documents) as if set forth in full herein with respect thereto.</w:t>
      </w:r>
    </w:p>
    <w:p>
      <w:pPr>
        <w:spacing w:after="0" w:line="18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if such Person is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60"/>
          </w:cols>
          <w:pgMar w:left="240" w:top="270" w:right="299" w:bottom="1440" w:gutter="0" w:footer="0" w:header="0"/>
        </w:sectPr>
      </w:pPr>
    </w:p>
    <w:bookmarkStart w:id="287" w:name="page288"/>
    <w:bookmarkEnd w:id="28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68" w:lineRule="exact"/>
        <w:rPr>
          <w:sz w:val="20"/>
          <w:szCs w:val="20"/>
          <w:color w:val="auto"/>
        </w:rPr>
      </w:pPr>
    </w:p>
    <w:p>
      <w:pPr>
        <w:ind w:left="700" w:hanging="236"/>
        <w:spacing w:after="0"/>
        <w:tabs>
          <w:tab w:leader="none" w:pos="7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225" w:lineRule="exact"/>
        <w:rPr>
          <w:rFonts w:ascii="Times New Roman" w:cs="Times New Roman" w:eastAsia="Times New Roman" w:hAnsi="Times New Roman"/>
          <w:sz w:val="18"/>
          <w:szCs w:val="18"/>
          <w:color w:val="auto"/>
        </w:rPr>
      </w:pPr>
    </w:p>
    <w:p>
      <w:pPr>
        <w:ind w:right="40" w:firstLine="464"/>
        <w:spacing w:after="0" w:line="256" w:lineRule="auto"/>
        <w:tabs>
          <w:tab w:leader="none" w:pos="71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and</w:t>
      </w:r>
    </w:p>
    <w:p>
      <w:pPr>
        <w:spacing w:after="0" w:line="187" w:lineRule="exact"/>
        <w:rPr>
          <w:rFonts w:ascii="Times New Roman" w:cs="Times New Roman" w:eastAsia="Times New Roman" w:hAnsi="Times New Roman"/>
          <w:sz w:val="18"/>
          <w:szCs w:val="18"/>
          <w:color w:val="auto"/>
        </w:rPr>
      </w:pPr>
    </w:p>
    <w:p>
      <w:pPr>
        <w:ind w:right="220" w:firstLine="464"/>
        <w:spacing w:after="0" w:line="266" w:lineRule="auto"/>
        <w:tabs>
          <w:tab w:leader="none" w:pos="70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Lender.</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8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Reliance by the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270" w:right="25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64"/>
        <w:spacing w:after="0" w:line="255" w:lineRule="auto"/>
        <w:tabs>
          <w:tab w:leader="none" w:pos="70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give notice of its 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89" w:lineRule="exact"/>
        <w:rPr>
          <w:rFonts w:ascii="Times New Roman" w:cs="Times New Roman" w:eastAsia="Times New Roman" w:hAnsi="Times New Roman"/>
          <w:sz w:val="18"/>
          <w:szCs w:val="18"/>
          <w:color w:val="auto"/>
        </w:rPr>
      </w:pPr>
    </w:p>
    <w:p>
      <w:pPr>
        <w:ind w:firstLine="464"/>
        <w:spacing w:after="0" w:line="256" w:lineRule="auto"/>
        <w:tabs>
          <w:tab w:leader="none" w:pos="71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(1) the retiring Administrative Agent shall be discharged from its duties and obligations hereunder and under the other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and (2) except for any indemnity payments or other amounts then owed to the retiring Administrative Agent, all payments, communications and determinations provided to be made by, to or through the Administrative Agent shall instead be made by or to each Lender directly, until such time, if any, as the Required Lenders appoint a successor Administrative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270" w:right="239" w:bottom="1440" w:gutter="0" w:footer="0" w:header="0"/>
        </w:sectPr>
      </w:pPr>
    </w:p>
    <w:bookmarkStart w:id="289" w:name="page290"/>
    <w:bookmarkEnd w:id="28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Agent as provided for above. Upon the acceptance of a successor’s appointment as Administrative Agent hereunder, such successor shall succeed to and become vested with all of the rights, powers, privileges and duties of the retiring Administrative Agent (other than as provided in </w:t>
      </w:r>
      <w:r>
        <w:rPr>
          <w:rFonts w:ascii="Times New Roman" w:cs="Times New Roman" w:eastAsia="Times New Roman" w:hAnsi="Times New Roman"/>
          <w:sz w:val="18"/>
          <w:szCs w:val="18"/>
          <w:u w:val="single" w:color="auto"/>
          <w:color w:val="auto"/>
        </w:rPr>
        <w:t>Section 10.01(g)</w:t>
      </w:r>
      <w:r>
        <w:rPr>
          <w:rFonts w:ascii="Times New Roman" w:cs="Times New Roman" w:eastAsia="Times New Roman" w:hAnsi="Times New Roman"/>
          <w:sz w:val="18"/>
          <w:szCs w:val="18"/>
          <w:color w:val="auto"/>
        </w:rPr>
        <w:t xml:space="preserve"> and other than any rights to indemnity payments or other amounts owed to the retiring Administrative Agent as of the Resignation Effective Date),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Administrative Agent.</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Non-Reliance on Administrative Agent and Other Lenders</w:t>
      </w:r>
      <w:r>
        <w:rPr>
          <w:rFonts w:ascii="Times New Roman" w:cs="Times New Roman" w:eastAsia="Times New Roman" w:hAnsi="Times New Roman"/>
          <w:sz w:val="18"/>
          <w:szCs w:val="18"/>
          <w:color w:val="auto"/>
        </w:rPr>
        <w:t>.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Administrative Agent May File Proofs of Claim; Credit Bidding</w:t>
      </w:r>
      <w:r>
        <w:rPr>
          <w:rFonts w:ascii="Times New Roman" w:cs="Times New Roman" w:eastAsia="Times New Roman" w:hAnsi="Times New Roman"/>
          <w:sz w:val="18"/>
          <w:szCs w:val="18"/>
          <w:color w:val="auto"/>
        </w:rPr>
        <w:t>. In case of the pendency of any proceeding under any Debtor Relief Law or any other similar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72" w:lineRule="exact"/>
        <w:rPr>
          <w:sz w:val="20"/>
          <w:szCs w:val="20"/>
          <w:color w:val="auto"/>
        </w:rPr>
      </w:pPr>
    </w:p>
    <w:p>
      <w:pPr>
        <w:ind w:right="180" w:firstLine="464"/>
        <w:spacing w:after="0" w:line="258" w:lineRule="auto"/>
        <w:tabs>
          <w:tab w:leader="none" w:pos="70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270" w:right="239" w:bottom="1440" w:gutter="0" w:footer="0" w:header="0"/>
        </w:sectPr>
      </w:pPr>
    </w:p>
    <w:bookmarkStart w:id="290" w:name="page291"/>
    <w:bookmarkEnd w:id="290"/>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7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Applicable Law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(i) of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of this Agreement,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Lender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Lender or any acquisition vehicle to take any further action.</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270" w:right="259" w:bottom="1440" w:gutter="0" w:footer="0" w:header="0"/>
        </w:sectPr>
      </w:pPr>
    </w:p>
    <w:bookmarkStart w:id="291" w:name="page292"/>
    <w:bookmarkEnd w:id="29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the Lenders irrevocably authorize the Administrative Agent, at its option and in its discretion, to release any Lien on any property granted to or held by the Administrative Agent under any Loan Document (i) upon termination of the Commitments and payment in full of all Obligations (other than contingent indemnification obligations), (ii) that is sold or otherwise disposed of or to be sold or otherwise disposed of as part of or in connection with any sale or other disposition permitted hereunder or under any other Loan Document, or (iii) subject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if approved, authorized or ratified in writing by the Required Lenders.</w:t>
      </w:r>
    </w:p>
    <w:p>
      <w:pPr>
        <w:spacing w:after="0" w:line="184"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the Administrative Agent’s authority to release its interest in particular types or items of property pursuant to this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270" w:right="25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day and year first above written.</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GREAT LAKES DREDGE &amp; DOCK</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CORPORATION, as the Borrower</w:t>
      </w:r>
    </w:p>
    <w:p>
      <w:pPr>
        <w:spacing w:after="0" w:line="2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17145</wp:posOffset>
            </wp:positionV>
            <wp:extent cx="265874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Mark W. Marinko</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0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GREAT LAKES DREDGE &amp; DOCK COMPANY,</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LLC, as the Guarantor</w:t>
      </w:r>
    </w:p>
    <w:p>
      <w:pPr>
        <w:spacing w:after="0" w:line="2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17145</wp:posOffset>
            </wp:positionV>
            <wp:extent cx="265874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Mark W. Marinko</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0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BANK OF AMERICA, N.A., as Administrative</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Agent</w:t>
      </w:r>
    </w:p>
    <w:p>
      <w:pPr>
        <w:spacing w:after="0" w:line="2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Bridgett J. Manduk Mowry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17145</wp:posOffset>
            </wp:positionV>
            <wp:extent cx="26587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Bridgett J. Manduk Mowry</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THE HUNTINGTON NATIONAL BANK, as a Lender</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Rebecca C. Stirnkorb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17145</wp:posOffset>
            </wp:positionV>
            <wp:extent cx="265874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Rebecca C. Stirnkorb</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Authorized Signer</w:t>
      </w:r>
    </w:p>
    <w:p>
      <w:pPr>
        <w:spacing w:after="0" w:line="20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PACIFIC WESTERN BANK, as a Lender</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Robert S. Wille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17145</wp:posOffset>
            </wp:positionV>
            <wp:extent cx="265874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Robert S. Wille</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SUNTRUST EQUIPMENT FINANCE &amp;</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LEASING CORP., as a Lender</w:t>
      </w:r>
    </w:p>
    <w:p>
      <w:pPr>
        <w:spacing w:after="0" w:line="22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Deborah V. Gibb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17145</wp:posOffset>
            </wp:positionV>
            <wp:extent cx="265874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 Deborah V. Gibb</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Loan and Security Agreement</w:t>
      </w:r>
    </w:p>
    <w:p>
      <w:pPr>
        <w:sectPr>
          <w:pgSz w:w="11900" w:h="16838" w:orient="portrait"/>
          <w:cols w:equalWidth="0" w:num="1">
            <w:col w:w="11260"/>
          </w:cols>
          <w:pgMar w:left="320" w:top="270" w:right="319" w:bottom="1440" w:gutter="0" w:footer="0" w:header="0"/>
        </w:sectPr>
      </w:pPr>
    </w:p>
    <w:bookmarkStart w:id="293" w:name="page294"/>
    <w:bookmarkEnd w:id="293"/>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16"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Allocated Percentage Values</w:t>
            </w:r>
          </w:p>
        </w:tc>
      </w:tr>
      <w:tr>
        <w:trPr>
          <w:trHeight w:val="412"/>
        </w:trPr>
        <w:tc>
          <w:tcPr>
            <w:tcW w:w="178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Vessel</w:t>
            </w:r>
          </w:p>
        </w:tc>
        <w:tc>
          <w:tcPr>
            <w:tcW w:w="62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Percentage</w:t>
            </w:r>
          </w:p>
        </w:tc>
      </w:tr>
      <w:tr>
        <w:trPr>
          <w:trHeight w:val="223"/>
        </w:trPr>
        <w:tc>
          <w:tcPr>
            <w:tcW w:w="178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gridSpan w:val="3"/>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19"/>
                <w:szCs w:val="19"/>
                <w:color w:val="auto"/>
              </w:rPr>
            </w:pPr>
          </w:p>
        </w:tc>
      </w:tr>
    </w:tbl>
    <w:p>
      <w:pPr>
        <w:sectPr>
          <w:pgSz w:w="11900" w:h="16838" w:orient="portrait"/>
          <w:cols w:equalWidth="0" w:num="1">
            <w:col w:w="11340"/>
          </w:cols>
          <w:pgMar w:left="320" w:top="270" w:right="23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14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Equipment</w:t>
            </w:r>
          </w:p>
        </w:tc>
        <w:tc>
          <w:tcPr>
            <w:tcW w:w="2580" w:type="dxa"/>
            <w:vAlign w:val="bottom"/>
          </w:tcPr>
          <w:p>
            <w:pPr>
              <w:spacing w:after="0"/>
              <w:rPr>
                <w:sz w:val="14"/>
                <w:szCs w:val="14"/>
                <w:color w:val="auto"/>
              </w:rPr>
            </w:pPr>
          </w:p>
        </w:tc>
        <w:tc>
          <w:tcPr>
            <w:tcW w:w="212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Percentage</w:t>
            </w:r>
          </w:p>
        </w:tc>
      </w:tr>
      <w:tr>
        <w:trPr>
          <w:trHeight w:val="223"/>
        </w:trPr>
        <w:tc>
          <w:tcPr>
            <w:tcW w:w="1660" w:type="dxa"/>
            <w:vAlign w:val="bottom"/>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19"/>
                <w:szCs w:val="19"/>
                <w:color w:val="auto"/>
              </w:rPr>
            </w:pPr>
          </w:p>
        </w:tc>
      </w:tr>
      <w:tr>
        <w:trPr>
          <w:trHeight w:val="365"/>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8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260"/>
          </w:cols>
          <w:pgMar w:left="320" w:top="270" w:right="319" w:bottom="1440" w:gutter="0" w:footer="0" w:header="0"/>
        </w:sectPr>
      </w:pPr>
    </w:p>
    <w:bookmarkStart w:id="295" w:name="page296"/>
    <w:bookmarkEnd w:id="295"/>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216"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Notices</w:t>
            </w:r>
          </w:p>
        </w:tc>
        <w:tc>
          <w:tcPr>
            <w:tcW w:w="2820" w:type="dxa"/>
            <w:vAlign w:val="bottom"/>
            <w:gridSpan w:val="2"/>
          </w:tcPr>
          <w:p>
            <w:pPr>
              <w:spacing w:after="0"/>
              <w:rPr>
                <w:sz w:val="17"/>
                <w:szCs w:val="17"/>
                <w:color w:val="auto"/>
              </w:rPr>
            </w:pPr>
          </w:p>
        </w:tc>
      </w:tr>
      <w:tr>
        <w:trPr>
          <w:trHeight w:val="46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If to the Borrower or the Guarantor:</w:t>
            </w: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Great Lakes Dredge &amp; Dock Corporation</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2122 York Road</w:t>
            </w:r>
          </w:p>
        </w:tc>
      </w:tr>
      <w:tr>
        <w:trPr>
          <w:trHeight w:val="230"/>
        </w:trPr>
        <w:tc>
          <w:tcPr>
            <w:tcW w:w="3600" w:type="dxa"/>
            <w:vAlign w:val="bottom"/>
          </w:tcPr>
          <w:p>
            <w:pPr>
              <w:spacing w:after="0"/>
              <w:rPr>
                <w:sz w:val="19"/>
                <w:szCs w:val="19"/>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Oak Brook, IL 60523</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Attention:   Mark W. Marinko</w:t>
            </w:r>
          </w:p>
        </w:tc>
      </w:tr>
      <w:tr>
        <w:trPr>
          <w:trHeight w:val="216"/>
        </w:trPr>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0"/>
        </w:trPr>
        <w:tc>
          <w:tcPr>
            <w:tcW w:w="3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Telephone: (630) 574-2960</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Facsimile: (630) 574-3007</w:t>
            </w:r>
          </w:p>
        </w:tc>
      </w:tr>
      <w:tr>
        <w:trPr>
          <w:trHeight w:val="234"/>
        </w:trPr>
        <w:tc>
          <w:tcPr>
            <w:tcW w:w="3600" w:type="dxa"/>
            <w:vAlign w:val="bottom"/>
          </w:tcPr>
          <w:p>
            <w:pPr>
              <w:spacing w:after="0"/>
              <w:rPr>
                <w:sz w:val="20"/>
                <w:szCs w:val="20"/>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Email: mwmarinko@gldd.com</w:t>
            </w:r>
          </w:p>
        </w:tc>
      </w:tr>
      <w:tr>
        <w:trPr>
          <w:trHeight w:val="319"/>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 copies to:</w:t>
            </w: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Jenner &amp; Block LLP</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353 N. Clark Street</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Chicago, IL 60654</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Attention: Brian S. Hart</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Telephone: (312) 923-2618</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Facsimile: (312) 923-2718</w:t>
            </w:r>
          </w:p>
        </w:tc>
      </w:tr>
      <w:tr>
        <w:trPr>
          <w:trHeight w:val="234"/>
        </w:trPr>
        <w:tc>
          <w:tcPr>
            <w:tcW w:w="3600" w:type="dxa"/>
            <w:vAlign w:val="bottom"/>
          </w:tcPr>
          <w:p>
            <w:pPr>
              <w:spacing w:after="0"/>
              <w:rPr>
                <w:sz w:val="20"/>
                <w:szCs w:val="20"/>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Email: bhart@jenner.com</w:t>
            </w:r>
          </w:p>
        </w:tc>
      </w:tr>
      <w:tr>
        <w:trPr>
          <w:trHeight w:val="31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If to the Administrative Agent:</w:t>
            </w: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w w:val="98"/>
              </w:rPr>
              <w:t>Bank of America, N.A., as Administrative Agent</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901 Main Street</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Dallas, Texas 75202-3714</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Attention: Diana Lopez</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Telephone: (972) 338-3774</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Facsimile: (214) 290-8384</w:t>
            </w:r>
          </w:p>
        </w:tc>
      </w:tr>
      <w:tr>
        <w:trPr>
          <w:trHeight w:val="194"/>
        </w:trPr>
        <w:tc>
          <w:tcPr>
            <w:tcW w:w="3600" w:type="dxa"/>
            <w:vAlign w:val="bottom"/>
          </w:tcPr>
          <w:p>
            <w:pPr>
              <w:spacing w:after="0"/>
              <w:rPr>
                <w:sz w:val="16"/>
                <w:szCs w:val="16"/>
                <w:color w:val="auto"/>
              </w:rPr>
            </w:pPr>
          </w:p>
        </w:tc>
        <w:tc>
          <w:tcPr>
            <w:tcW w:w="4520" w:type="dxa"/>
            <w:vAlign w:val="bottom"/>
            <w:gridSpan w:val="5"/>
          </w:tcPr>
          <w:p>
            <w:pPr>
              <w:ind w:left="1020"/>
              <w:spacing w:after="0" w:line="194" w:lineRule="exact"/>
              <w:rPr>
                <w:sz w:val="20"/>
                <w:szCs w:val="20"/>
                <w:color w:val="auto"/>
              </w:rPr>
            </w:pPr>
            <w:r>
              <w:rPr>
                <w:rFonts w:ascii="Times New Roman" w:cs="Times New Roman" w:eastAsia="Times New Roman" w:hAnsi="Times New Roman"/>
                <w:sz w:val="18"/>
                <w:szCs w:val="18"/>
                <w:color w:val="auto"/>
              </w:rPr>
              <w:t>Email: DIANA.R.LOPEZ@BAML.COM</w:t>
            </w:r>
          </w:p>
        </w:tc>
      </w:tr>
      <w:tr>
        <w:trPr>
          <w:trHeight w:val="20"/>
        </w:trPr>
        <w:tc>
          <w:tcPr>
            <w:tcW w:w="36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Account:</w:t>
            </w:r>
          </w:p>
        </w:tc>
      </w:tr>
      <w:tr>
        <w:trPr>
          <w:trHeight w:val="319"/>
        </w:trPr>
        <w:tc>
          <w:tcPr>
            <w:tcW w:w="3600" w:type="dxa"/>
            <w:vAlign w:val="bottom"/>
          </w:tcPr>
          <w:p>
            <w:pPr>
              <w:spacing w:after="0"/>
              <w:rPr>
                <w:sz w:val="24"/>
                <w:szCs w:val="24"/>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Bank of America, N.A.</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New York, New York</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ABA #026009593</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ACCT #1292000883</w:t>
            </w:r>
          </w:p>
        </w:tc>
      </w:tr>
      <w:tr>
        <w:trPr>
          <w:trHeight w:val="216"/>
        </w:trPr>
        <w:tc>
          <w:tcPr>
            <w:tcW w:w="3600" w:type="dxa"/>
            <w:vAlign w:val="bottom"/>
          </w:tcPr>
          <w:p>
            <w:pPr>
              <w:spacing w:after="0"/>
              <w:rPr>
                <w:sz w:val="18"/>
                <w:szCs w:val="18"/>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NAME: CORPORATE CREDIT SERVICES</w:t>
            </w:r>
          </w:p>
        </w:tc>
      </w:tr>
      <w:tr>
        <w:trPr>
          <w:trHeight w:val="234"/>
        </w:trPr>
        <w:tc>
          <w:tcPr>
            <w:tcW w:w="3600" w:type="dxa"/>
            <w:vAlign w:val="bottom"/>
          </w:tcPr>
          <w:p>
            <w:pPr>
              <w:spacing w:after="0"/>
              <w:rPr>
                <w:sz w:val="20"/>
                <w:szCs w:val="20"/>
                <w:color w:val="auto"/>
              </w:rPr>
            </w:pPr>
          </w:p>
        </w:tc>
        <w:tc>
          <w:tcPr>
            <w:tcW w:w="4520" w:type="dxa"/>
            <w:vAlign w:val="bottom"/>
            <w:gridSpan w:val="5"/>
          </w:tcPr>
          <w:p>
            <w:pPr>
              <w:ind w:left="1020"/>
              <w:spacing w:after="0"/>
              <w:rPr>
                <w:sz w:val="20"/>
                <w:szCs w:val="20"/>
                <w:color w:val="auto"/>
              </w:rPr>
            </w:pPr>
            <w:r>
              <w:rPr>
                <w:rFonts w:ascii="Times New Roman" w:cs="Times New Roman" w:eastAsia="Times New Roman" w:hAnsi="Times New Roman"/>
                <w:sz w:val="18"/>
                <w:szCs w:val="18"/>
                <w:color w:val="auto"/>
              </w:rPr>
              <w:t>REF: GREAT LAKES DREDGE</w:t>
            </w:r>
          </w:p>
        </w:tc>
      </w:tr>
    </w:tbl>
    <w:p>
      <w:pPr>
        <w:sectPr>
          <w:pgSz w:w="11900" w:h="16838" w:orient="portrait"/>
          <w:cols w:equalWidth="0" w:num="1">
            <w:col w:w="11340"/>
          </w:cols>
          <w:pgMar w:left="320" w:top="270" w:right="239"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ectPr>
          <w:pgSz w:w="11900" w:h="16838" w:orient="portrait"/>
          <w:cols w:equalWidth="0" w:num="1">
            <w:col w:w="11260"/>
          </w:cols>
          <w:pgMar w:left="320" w:top="270" w:right="319" w:bottom="1440" w:gutter="0" w:footer="0" w:header="0"/>
        </w:sectPr>
      </w:pPr>
    </w:p>
    <w:p>
      <w:pPr>
        <w:spacing w:after="0" w:line="9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with copies to:</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Womble Carlyle Sandridge &amp; Rice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West Pratt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MD 21201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Merrick J. Benn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(410) 545-5822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(443) 769-1522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mbenn@wcsr.com</w:t>
      </w:r>
    </w:p>
    <w:p>
      <w:pPr>
        <w:spacing w:after="0" w:line="153" w:lineRule="exact"/>
        <w:rPr>
          <w:sz w:val="20"/>
          <w:szCs w:val="20"/>
          <w:color w:val="auto"/>
        </w:rPr>
      </w:pPr>
    </w:p>
    <w:p>
      <w:pPr>
        <w:sectPr>
          <w:pgSz w:w="11900" w:h="16838" w:orient="portrait"/>
          <w:cols w:equalWidth="0" w:num="2">
            <w:col w:w="5300" w:space="720"/>
            <w:col w:w="5240"/>
          </w:cols>
          <w:pgMar w:left="320" w:top="270"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270" w:right="319" w:bottom="1440" w:gutter="0" w:footer="0" w:header="0"/>
          <w:type w:val="continuous"/>
        </w:sectPr>
      </w:pPr>
    </w:p>
    <w:bookmarkStart w:id="297" w:name="page298"/>
    <w:bookmarkEnd w:id="297"/>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w:t>
      </w:r>
    </w:p>
    <w:p>
      <w:pPr>
        <w:spacing w:after="0" w:line="250"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3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2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Applicable Percentage</w:t>
            </w:r>
          </w:p>
        </w:tc>
        <w:tc>
          <w:tcPr>
            <w:tcW w:w="0" w:type="dxa"/>
            <w:vAlign w:val="bottom"/>
          </w:tcPr>
          <w:p>
            <w:pPr>
              <w:spacing w:after="0"/>
              <w:rPr>
                <w:sz w:val="1"/>
                <w:szCs w:val="1"/>
                <w:color w:val="auto"/>
              </w:rPr>
            </w:pPr>
          </w:p>
        </w:tc>
      </w:tr>
      <w:tr>
        <w:trPr>
          <w:trHeight w:val="20"/>
        </w:trPr>
        <w:tc>
          <w:tcPr>
            <w:tcW w:w="4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 of America Leasing &amp; Capital, LLC</w:t>
            </w:r>
          </w:p>
        </w:tc>
        <w:tc>
          <w:tcPr>
            <w:tcW w:w="9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$15,000,000.00</w:t>
            </w:r>
          </w:p>
        </w:tc>
        <w:tc>
          <w:tcPr>
            <w:tcW w:w="70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Huntington National Bank</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$11,666,666.67</w:t>
            </w:r>
          </w:p>
        </w:tc>
        <w:tc>
          <w:tcPr>
            <w:tcW w:w="2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23.3333333%</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Pacific Western Bank</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$11,666,666.67</w:t>
            </w:r>
          </w:p>
        </w:tc>
        <w:tc>
          <w:tcPr>
            <w:tcW w:w="2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23.3333333%</w:t>
            </w:r>
          </w:p>
        </w:tc>
        <w:tc>
          <w:tcPr>
            <w:tcW w:w="0" w:type="dxa"/>
            <w:vAlign w:val="bottom"/>
          </w:tcPr>
          <w:p>
            <w:pPr>
              <w:spacing w:after="0"/>
              <w:rPr>
                <w:sz w:val="1"/>
                <w:szCs w:val="1"/>
                <w:color w:val="auto"/>
              </w:rPr>
            </w:pPr>
          </w:p>
        </w:tc>
      </w:tr>
      <w:tr>
        <w:trPr>
          <w:trHeight w:val="23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SunTrust Equipment Finance &amp; Leasing Corp.</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$11,666,666.66</w:t>
            </w:r>
          </w:p>
        </w:tc>
        <w:tc>
          <w:tcPr>
            <w:tcW w:w="2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23.3333333%</w:t>
            </w:r>
          </w:p>
        </w:tc>
        <w:tc>
          <w:tcPr>
            <w:tcW w:w="0" w:type="dxa"/>
            <w:vAlign w:val="bottom"/>
          </w:tcPr>
          <w:p>
            <w:pPr>
              <w:spacing w:after="0"/>
              <w:rPr>
                <w:sz w:val="1"/>
                <w:szCs w:val="1"/>
                <w:color w:val="auto"/>
              </w:rPr>
            </w:pPr>
          </w:p>
        </w:tc>
      </w:tr>
    </w:tbl>
    <w:p>
      <w:pPr>
        <w:sectPr>
          <w:pgSz w:w="11900" w:h="16838" w:orient="portrait"/>
          <w:cols w:equalWidth="0" w:num="1">
            <w:col w:w="11340"/>
          </w:cols>
          <w:pgMar w:left="320" w:top="270" w:right="239" w:bottom="1440" w:gutter="0" w:footer="0" w:header="0"/>
        </w:sectPr>
      </w:pPr>
    </w:p>
    <w:bookmarkStart w:id="298" w:name="page299"/>
    <w:bookmarkEnd w:id="298"/>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4</w:t>
      </w:r>
    </w:p>
    <w:p>
      <w:pPr>
        <w:spacing w:after="0" w:line="216"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12"/>
        </w:trPr>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Plant #</w:t>
            </w:r>
          </w:p>
        </w:tc>
        <w:tc>
          <w:tcPr>
            <w:tcW w:w="29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Name or Description</w:t>
            </w: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Type</w:t>
            </w:r>
          </w:p>
        </w:tc>
      </w:tr>
      <w:tr>
        <w:trPr>
          <w:trHeight w:val="191"/>
        </w:trPr>
        <w:tc>
          <w:tcPr>
            <w:tcW w:w="20" w:type="dxa"/>
            <w:vAlign w:val="bottom"/>
          </w:tcPr>
          <w:p>
            <w:pPr>
              <w:spacing w:after="0"/>
              <w:rPr>
                <w:sz w:val="16"/>
                <w:szCs w:val="16"/>
                <w:color w:val="auto"/>
              </w:rPr>
            </w:pPr>
          </w:p>
        </w:tc>
        <w:tc>
          <w:tcPr>
            <w:tcW w:w="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Booster 8</w:t>
            </w:r>
          </w:p>
        </w:tc>
        <w:tc>
          <w:tcPr>
            <w:tcW w:w="1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0"/>
              </w:rPr>
              <w:t>Skid</w:t>
            </w:r>
          </w:p>
        </w:tc>
        <w:tc>
          <w:tcPr>
            <w:tcW w:w="15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R010</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IOWA</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R011</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SANDPIPER</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R012</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L.W.</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R013</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L.P.</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R016</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COMADOR</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R017</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CHRIS L</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R018</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LAKE LADY</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Cutter Suction Dredge</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R030</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Booster 30-22 (22” Diesel)</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R031</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Booster 31-22 (22” Diesel)</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R032</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Booster 32-20 (20” Diesel)</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R033</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Booster 33-20 (20” Diesel)</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R034</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Booster 34-20 20” Electric-Skid Mounted</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R035</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Booster 35-20 (20” Electric)</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R044</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Booster 44-20</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Skid Mounted Booster</w:t>
            </w:r>
          </w:p>
        </w:tc>
      </w:tr>
      <w:tr>
        <w:trPr>
          <w:trHeight w:val="216"/>
        </w:trPr>
        <w:tc>
          <w:tcPr>
            <w:tcW w:w="20" w:type="dxa"/>
            <w:vAlign w:val="bottom"/>
          </w:tcPr>
          <w:p>
            <w:pPr>
              <w:spacing w:after="0"/>
              <w:rPr>
                <w:sz w:val="18"/>
                <w:szCs w:val="18"/>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R045</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Booster 45-20</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Skid Mounted Booster</w:t>
            </w:r>
          </w:p>
        </w:tc>
      </w:tr>
      <w:tr>
        <w:trPr>
          <w:trHeight w:val="234"/>
        </w:trPr>
        <w:tc>
          <w:tcPr>
            <w:tcW w:w="20" w:type="dxa"/>
            <w:vAlign w:val="bottom"/>
          </w:tcPr>
          <w:p>
            <w:pPr>
              <w:spacing w:after="0"/>
              <w:rPr>
                <w:sz w:val="20"/>
                <w:szCs w:val="20"/>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R099</w:t>
            </w:r>
          </w:p>
        </w:tc>
        <w:tc>
          <w:tcPr>
            <w:tcW w:w="39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Sectional barges and transition frames</w:t>
            </w: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23 (10’X40’), 4 (8’X32’)</w:t>
            </w:r>
          </w:p>
        </w:tc>
      </w:tr>
    </w:tbl>
    <w:p>
      <w:pPr>
        <w:sectPr>
          <w:pgSz w:w="11900" w:h="16838" w:orient="portrait"/>
          <w:cols w:equalWidth="0" w:num="1">
            <w:col w:w="11340"/>
          </w:cols>
          <w:pgMar w:left="320" w:top="270" w:right="239" w:bottom="1440" w:gutter="0" w:footer="0" w:header="0"/>
        </w:sectPr>
      </w:pPr>
    </w:p>
    <w:bookmarkStart w:id="299" w:name="page300"/>
    <w:bookmarkEnd w:id="299"/>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5</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Vessels</w:t>
      </w:r>
    </w:p>
    <w:p>
      <w:pPr>
        <w:spacing w:after="0" w:line="250"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Plant #</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Vessel Type</w:t>
            </w:r>
          </w:p>
        </w:tc>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Official Number</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Barge</w:t>
            </w: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4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rPr>
              <w:t>243</w:t>
            </w:r>
          </w:p>
        </w:tc>
        <w:tc>
          <w:tcPr>
            <w:tcW w:w="600" w:type="dxa"/>
            <w:vAlign w:val="bottom"/>
          </w:tcPr>
          <w:p>
            <w:pPr>
              <w:spacing w:after="0"/>
              <w:rPr>
                <w:sz w:val="16"/>
                <w:szCs w:val="16"/>
                <w:color w:val="auto"/>
              </w:rPr>
            </w:pPr>
          </w:p>
        </w:tc>
        <w:tc>
          <w:tcPr>
            <w:tcW w:w="37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FUEL BARGE 1001</w:t>
            </w:r>
          </w:p>
        </w:tc>
        <w:tc>
          <w:tcPr>
            <w:tcW w:w="7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w w:val="99"/>
              </w:rPr>
              <w:t>New Fuel</w:t>
            </w:r>
          </w:p>
        </w:tc>
        <w:tc>
          <w:tcPr>
            <w:tcW w:w="2860" w:type="dxa"/>
            <w:vAlign w:val="bottom"/>
            <w:vMerge w:val="continue"/>
          </w:tcPr>
          <w:p>
            <w:pPr>
              <w:spacing w:after="0"/>
              <w:rPr>
                <w:sz w:val="16"/>
                <w:szCs w:val="16"/>
                <w:color w:val="auto"/>
              </w:rPr>
            </w:pPr>
          </w:p>
        </w:tc>
        <w:tc>
          <w:tcPr>
            <w:tcW w:w="102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rPr>
              <w:t>1253489</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533</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G. L. 175</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Spider Barge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650209</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575</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G.L. 112</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Anchor Barge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1253488</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565</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G.L. 111</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Anchor Barge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1253487</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DERRICK 60</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Derrick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286687</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606</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DERRICK 66</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Derrick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695433</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608</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DERRICK 68</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Derrick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252050</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609</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DERRICK 69</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Derrick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530661</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DERRICK 70</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Derrick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1212358</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604</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DERRICK 64</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Derrick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1184264</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306</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JACK NEWMAN</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293297</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316</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MCCORMACK BOYS</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646543</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433</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G.L. 33</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Dump Scow</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612272</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435</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G.L. 35</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Dump Scow</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563732</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463</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G.L. 63</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Dump Scow</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922736</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464</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G.L. 64</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Dump Scow</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922737</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365</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MUSKEGON RIVER</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Survey Boat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1226788</w:t>
            </w:r>
          </w:p>
        </w:tc>
        <w:tc>
          <w:tcPr>
            <w:tcW w:w="0" w:type="dxa"/>
            <w:vAlign w:val="bottom"/>
          </w:tcPr>
          <w:p>
            <w:pPr>
              <w:spacing w:after="0"/>
              <w:rPr>
                <w:sz w:val="1"/>
                <w:szCs w:val="1"/>
                <w:color w:val="auto"/>
              </w:rPr>
            </w:pPr>
          </w:p>
        </w:tc>
      </w:tr>
      <w:tr>
        <w:trPr>
          <w:trHeight w:val="216"/>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366</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SAGINAW RIVER</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Survey Boat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1236901</w:t>
            </w:r>
          </w:p>
        </w:tc>
        <w:tc>
          <w:tcPr>
            <w:tcW w:w="0" w:type="dxa"/>
            <w:vAlign w:val="bottom"/>
          </w:tcPr>
          <w:p>
            <w:pPr>
              <w:spacing w:after="0"/>
              <w:rPr>
                <w:sz w:val="1"/>
                <w:szCs w:val="1"/>
                <w:color w:val="auto"/>
              </w:rPr>
            </w:pPr>
          </w:p>
        </w:tc>
      </w:tr>
      <w:tr>
        <w:trPr>
          <w:trHeight w:val="234"/>
        </w:trPr>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R015</w:t>
            </w:r>
          </w:p>
        </w:tc>
        <w:tc>
          <w:tcPr>
            <w:tcW w:w="43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LITTLE ROCK</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Cutter Suction Dredge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531592</w:t>
            </w:r>
          </w:p>
        </w:tc>
        <w:tc>
          <w:tcPr>
            <w:tcW w:w="0" w:type="dxa"/>
            <w:vAlign w:val="bottom"/>
          </w:tcPr>
          <w:p>
            <w:pPr>
              <w:spacing w:after="0"/>
              <w:rPr>
                <w:sz w:val="1"/>
                <w:szCs w:val="1"/>
                <w:color w:val="auto"/>
              </w:rPr>
            </w:pPr>
          </w:p>
        </w:tc>
      </w:tr>
    </w:tbl>
    <w:p>
      <w:pPr>
        <w:sectPr>
          <w:pgSz w:w="11900" w:h="16838" w:orient="portrait"/>
          <w:cols w:equalWidth="0" w:num="1">
            <w:col w:w="11340"/>
          </w:cols>
          <w:pgMar w:left="320" w:top="270" w:right="23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Existing Liens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ectPr>
          <w:pgSz w:w="11900" w:h="16838" w:orient="portrait"/>
          <w:cols w:equalWidth="0" w:num="1">
            <w:col w:w="11420"/>
          </w:cols>
          <w:pgMar w:left="240" w:top="270" w:right="239"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Other Trade Names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Loan Parties have not used any trade names or fictitious names within the five-year period preceding the date hereof, except for the following names in the respective jurisdictions: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w:t>
      </w:r>
    </w:p>
    <w:p>
      <w:pPr>
        <w:spacing w:after="0" w:line="131" w:lineRule="exact"/>
        <w:rPr>
          <w:sz w:val="20"/>
          <w:szCs w:val="20"/>
          <w:color w:val="auto"/>
        </w:rPr>
      </w:pPr>
    </w:p>
    <w:p>
      <w:pPr>
        <w:ind w:left="900" w:hanging="446"/>
        <w:spacing w:after="0"/>
        <w:tabs>
          <w:tab w:leader="none" w:pos="9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Lakes Dredge &amp; Dock Corporation of Delaware” was used in the following jurisdictions:</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Alaska</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Florida</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Iowa</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Louisiana</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Maine</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Missouri</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Carolina</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Tennessee</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Wisconsin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Lakes Dredging Corporation” was used in California;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“L.W. Matteson, Inc., a division of Great Lakes Dredge &amp; Dock Corporation” was used in Iowa.</w:t>
      </w:r>
    </w:p>
    <w:p>
      <w:pPr>
        <w:sectPr>
          <w:pgSz w:w="11900" w:h="16838" w:orient="portrait"/>
          <w:cols w:equalWidth="0" w:num="1">
            <w:col w:w="11420"/>
          </w:cols>
          <w:pgMar w:left="240" w:top="270" w:right="239" w:bottom="1440" w:gutter="0" w:footer="0" w:header="0"/>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Promissory Note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270" w:right="319"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560" w:type="dxa"/>
            <w:vAlign w:val="bottom"/>
            <w:gridSpan w:val="2"/>
          </w:tcPr>
          <w:p>
            <w:pPr>
              <w:jc w:val="center"/>
              <w:ind w:right="3540"/>
              <w:spacing w:after="0"/>
              <w:rPr>
                <w:sz w:val="20"/>
                <w:szCs w:val="20"/>
                <w:color w:val="auto"/>
              </w:rPr>
            </w:pPr>
            <w:r>
              <w:rPr>
                <w:rFonts w:ascii="Times New Roman" w:cs="Times New Roman" w:eastAsia="Times New Roman" w:hAnsi="Times New Roman"/>
                <w:sz w:val="18"/>
                <w:szCs w:val="18"/>
                <w:color w:val="auto"/>
                <w:w w:val="99"/>
              </w:rPr>
              <w:t>TERM NOTE</w:t>
            </w:r>
          </w:p>
        </w:tc>
        <w:tc>
          <w:tcPr>
            <w:tcW w:w="1660" w:type="dxa"/>
            <w:vAlign w:val="bottom"/>
          </w:tcPr>
          <w:p>
            <w:pPr>
              <w:spacing w:after="0"/>
              <w:rPr>
                <w:sz w:val="17"/>
                <w:szCs w:val="17"/>
                <w:color w:val="auto"/>
              </w:rPr>
            </w:pPr>
          </w:p>
        </w:tc>
      </w:tr>
      <w:tr>
        <w:trPr>
          <w:trHeight w:val="20"/>
        </w:trPr>
        <w:tc>
          <w:tcPr>
            <w:tcW w:w="2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5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652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color w:val="auto"/>
                <w:w w:val="99"/>
              </w:rPr>
              <w:t>Chicago, Illinois</w:t>
            </w:r>
          </w:p>
        </w:tc>
        <w:tc>
          <w:tcPr>
            <w:tcW w:w="16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November 4, 2014</w:t>
            </w:r>
          </w:p>
        </w:tc>
      </w:tr>
      <w:tr>
        <w:trPr>
          <w:trHeight w:val="414"/>
        </w:trPr>
        <w:tc>
          <w:tcPr>
            <w:tcW w:w="976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For value received, GREAT LAKES DREDGE &amp; DOCK CORPORATION (the “Borrower”) promises to pay to the order of</w:t>
            </w:r>
          </w:p>
        </w:tc>
        <w:tc>
          <w:tcPr>
            <w:tcW w:w="1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“Lender”), the principal sum of</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or such lesser amount as shall equal the unpaid principal amount of each Loan made by the Lender to the</w:t>
            </w:r>
          </w:p>
        </w:tc>
      </w:tr>
    </w:tbl>
    <w:p>
      <w:pPr>
        <w:ind w:right="40"/>
        <w:spacing w:after="0" w:line="252" w:lineRule="auto"/>
        <w:rPr>
          <w:sz w:val="20"/>
          <w:szCs w:val="20"/>
          <w:color w:val="auto"/>
        </w:rPr>
      </w:pPr>
      <w:r>
        <w:rPr>
          <w:rFonts w:ascii="Times New Roman" w:cs="Times New Roman" w:eastAsia="Times New Roman" w:hAnsi="Times New Roman"/>
          <w:sz w:val="18"/>
          <w:szCs w:val="18"/>
          <w:color w:val="auto"/>
        </w:rPr>
        <w:t>Borrower pursuant to the Loan Agreement referred to below, on the dates and in the amounts provided in the Loan Agreement. The Borrower promises to pay interest on the unpaid principal amount of this Term Note on the dates and at the rate or rates provided for in the Loan Agreement. Interest on any overdue principal of and, to the extent permitted by law, overdue interest on the principal amount hereof shall bear interest at the Default Rate, as provided for in the Loan Agreement. All such payments of principal and interest shall be made in lawful money of the United States in federal or other immediately available funds at the office of Bank of America, N.A., New York, New York, XXXXXX, XXXXXXX, NAME: CORPORATE CREDIT SERVICES, REF: GREAT LAKES DREDGE, as Administrative Agent for the benefit of the Secured Parties, or at such other address as may be specified from time to time pursuant to the Loan Agreement.</w:t>
      </w:r>
    </w:p>
    <w:p>
      <w:pPr>
        <w:spacing w:after="0" w:line="18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 xml:space="preserve">All Loans made by the Lender, the interest rates from time to time applicable thereto and all repayments of the principal thereof shall be recorded by the Lender and, prior to any transfer hereof, endorsed by the Lender on the schedule attached hereto, or on a continuation of such schedule attached to and made a part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the Lender to make, or any error of the Lender in making, any such recordation or endorsement shall not affect the obligations of the Borrower hereunder or under the Loan Agreement. This Term Note is secured by, among other security, the Collateral Documents, as the same may be modified or amended from time to time.</w:t>
      </w:r>
    </w:p>
    <w:p>
      <w:pPr>
        <w:spacing w:after="0" w:line="18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This Term Note is one of the Notes referred to in the Loan and Security Agreement (as amended, restated, supplemented or otherwise modified in writing from time to time, the “Loan Agreement”) dated as of November 4, 2014 among the Lender, the Borrower, Great Lakes Dredge &amp; Dock Company, LLC, as Guarantor, Bank of America, N.A., as Administrative Agent for the Secured Parties, and the Lenders from time to time party thereto. Terms defined in the Loan Agreement are used herein with the same meanings. Reference is made to the Loan Agreement for provisions for the prepayment and the repayment hereof and the acceleration of the maturity hereof.</w:t>
      </w:r>
    </w:p>
    <w:p>
      <w:pPr>
        <w:spacing w:after="0" w:line="184"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Borrower hereby waives presentment, demand, protest, notice of demand, protest and nonpayment and any other notice required by law relative hereto, except to the extent as otherwise may be expressly provided for in the Loan Agreement.</w:t>
      </w:r>
    </w:p>
    <w:p>
      <w:pPr>
        <w:spacing w:after="0" w:line="162"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Borrower agrees, in the event that this Term Note or any portion hereof is collected by law or through an attorney at law, to pay all reasonable costs of collection, including, without limitation, reasonable attorneys’ fees.</w:t>
      </w:r>
    </w:p>
    <w:p>
      <w:pPr>
        <w:sectPr>
          <w:pgSz w:w="11900" w:h="16838" w:orient="portrait"/>
          <w:cols w:equalWidth="0" w:num="1">
            <w:col w:w="11420"/>
          </w:cols>
          <w:pgMar w:left="240" w:top="270" w:right="239" w:bottom="1440" w:gutter="0" w:footer="0" w:header="0"/>
        </w:sectPr>
      </w:pPr>
    </w:p>
    <w:bookmarkStart w:id="304" w:name="page305"/>
    <w:bookmarkEnd w:id="304"/>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IN WITNESS WHEREOF, the Borrower has caused this Term Note to be duly executed under seal, by its duly authorized officers as of the day and year first above written.</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-130810</wp:posOffset>
            </wp:positionV>
            <wp:extent cx="265874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-130810</wp:posOffset>
            </wp:positionV>
            <wp:extent cx="252158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to Term Note]</w:t>
      </w:r>
    </w:p>
    <w:p>
      <w:pPr>
        <w:sectPr>
          <w:pgSz w:w="11900" w:h="16838" w:orient="portrait"/>
          <w:cols w:equalWidth="0" w:num="1">
            <w:col w:w="11340"/>
          </w:cols>
          <w:pgMar w:left="240" w:top="269" w:right="319" w:bottom="1440" w:gutter="0" w:footer="0" w:header="0"/>
        </w:sectPr>
      </w:pPr>
    </w:p>
    <w:bookmarkStart w:id="305" w:name="page306"/>
    <w:bookmarkEnd w:id="30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 Note (cont’d)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ADVANCES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60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color w:val="auto"/>
              </w:rPr>
              <w:t>Interest</w:t>
            </w:r>
          </w:p>
        </w:tc>
        <w:tc>
          <w:tcPr>
            <w:tcW w:w="16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Interest</w:t>
            </w:r>
          </w:p>
        </w:tc>
        <w:tc>
          <w:tcPr>
            <w:tcW w:w="14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color w:val="auto"/>
              </w:rPr>
              <w:t>Amount of</w:t>
            </w:r>
          </w:p>
        </w:tc>
        <w:tc>
          <w:tcPr>
            <w:tcW w:w="14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Amount of</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Notation</w:t>
            </w:r>
          </w:p>
        </w:tc>
        <w:tc>
          <w:tcPr>
            <w:tcW w:w="0" w:type="dxa"/>
            <w:vAlign w:val="bottom"/>
          </w:tcPr>
          <w:p>
            <w:pPr>
              <w:spacing w:after="0"/>
              <w:rPr>
                <w:sz w:val="1"/>
                <w:szCs w:val="1"/>
                <w:color w:val="auto"/>
              </w:rPr>
            </w:pPr>
          </w:p>
        </w:tc>
      </w:tr>
      <w:tr>
        <w:trPr>
          <w:trHeight w:val="144"/>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Date</w:t>
            </w:r>
          </w:p>
        </w:tc>
        <w:tc>
          <w:tcPr>
            <w:tcW w:w="338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64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Period</w:t>
            </w:r>
          </w:p>
        </w:tc>
        <w:tc>
          <w:tcPr>
            <w:tcW w:w="1440" w:type="dxa"/>
            <w:vAlign w:val="bottom"/>
            <w:gridSpan w:val="2"/>
            <w:vMerge w:val="continue"/>
          </w:tcPr>
          <w:p>
            <w:pPr>
              <w:spacing w:after="0"/>
              <w:rPr>
                <w:sz w:val="12"/>
                <w:szCs w:val="12"/>
                <w:color w:val="auto"/>
              </w:rPr>
            </w:pPr>
          </w:p>
        </w:tc>
        <w:tc>
          <w:tcPr>
            <w:tcW w:w="144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Principal</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80" w:type="dxa"/>
            <w:vAlign w:val="bottom"/>
            <w:tcBorders>
              <w:bottom w:val="single" w:sz="8" w:color="auto"/>
            </w:tcBorders>
            <w:vMerge w:val="continue"/>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Rate</w:t>
            </w:r>
          </w:p>
        </w:tc>
        <w:tc>
          <w:tcPr>
            <w:tcW w:w="6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(if applicable)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Advance</w:t>
            </w:r>
          </w:p>
        </w:tc>
        <w:tc>
          <w:tcPr>
            <w:tcW w:w="6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Repaid</w:t>
            </w:r>
          </w:p>
        </w:tc>
        <w:tc>
          <w:tcPr>
            <w:tcW w:w="680" w:type="dxa"/>
            <w:vAlign w:val="bottom"/>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Made By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306" w:name="page307"/>
    <w:bookmarkEnd w:id="306"/>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First Preferred Fleet Mortgage</w:t>
      </w:r>
    </w:p>
    <w:p>
      <w:pPr>
        <w:sectPr>
          <w:pgSz w:w="11900" w:h="16838" w:orient="portrait"/>
          <w:cols w:equalWidth="0" w:num="1">
            <w:col w:w="11260"/>
          </w:cols>
          <w:pgMar w:left="320" w:top="270" w:right="319" w:bottom="1440" w:gutter="0" w:footer="0" w:header="0"/>
        </w:sectPr>
      </w:pPr>
    </w:p>
    <w:bookmarkStart w:id="307" w:name="page308"/>
    <w:bookmarkEnd w:id="307"/>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2849880</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FIRST PREFERRED FLEET MORTGAGE</w:t>
      </w:r>
    </w:p>
    <w:p>
      <w:pPr>
        <w:spacing w:after="0" w:line="2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Given By</w:t>
      </w:r>
    </w:p>
    <w:p>
      <w:pPr>
        <w:spacing w:after="0" w:line="2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GREAT LAKES DREDGE &amp; DOCK COMPANY, LLC,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Owner</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Favor Of</w:t>
      </w:r>
    </w:p>
    <w:p>
      <w:pPr>
        <w:spacing w:after="0" w:line="2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BANK OF AMERICA, N.A., AS ADMINISTRATIVE AGENT,</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Mortgagee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408940</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270" w:right="239" w:bottom="1440" w:gutter="0" w:footer="0" w:header="0"/>
        </w:sectPr>
      </w:pPr>
    </w:p>
    <w:bookmarkStart w:id="308" w:name="page309"/>
    <w:bookmarkEnd w:id="30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SYNOPSIS OF MORTGAGE</w:t>
      </w:r>
    </w:p>
    <w:p>
      <w:pPr>
        <w:spacing w:after="0" w:line="2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Vessels Subject to</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2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Instrument</w:t>
            </w:r>
          </w:p>
        </w:tc>
        <w:tc>
          <w:tcPr>
            <w:tcW w:w="476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AME OF</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11"/>
                <w:szCs w:val="11"/>
                <w:b w:val="1"/>
                <w:bCs w:val="1"/>
                <w:color w:val="auto"/>
              </w:rPr>
              <w:t>ESSEL</w:t>
            </w:r>
          </w:p>
        </w:tc>
        <w:tc>
          <w:tcPr>
            <w:tcW w:w="256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FFICIAL</w:t>
            </w:r>
            <w:r>
              <w:rPr>
                <w:rFonts w:ascii="Times New Roman" w:cs="Times New Roman" w:eastAsia="Times New Roman" w:hAnsi="Times New Roman"/>
                <w:sz w:val="14"/>
                <w:szCs w:val="14"/>
                <w:b w:val="1"/>
                <w:bCs w:val="1"/>
                <w:color w:val="auto"/>
              </w:rPr>
              <w:t xml:space="preserve"> N</w:t>
            </w:r>
            <w:r>
              <w:rPr>
                <w:rFonts w:ascii="Times New Roman" w:cs="Times New Roman" w:eastAsia="Times New Roman" w:hAnsi="Times New Roman"/>
                <w:sz w:val="11"/>
                <w:szCs w:val="11"/>
                <w:b w:val="1"/>
                <w:bCs w:val="1"/>
                <w:color w:val="auto"/>
              </w:rPr>
              <w:t>UMBER</w:t>
            </w:r>
          </w:p>
        </w:tc>
      </w:tr>
      <w:tr>
        <w:trPr>
          <w:trHeight w:val="191"/>
        </w:trPr>
        <w:tc>
          <w:tcPr>
            <w:tcW w:w="4120" w:type="dxa"/>
            <w:vAlign w:val="bottom"/>
          </w:tcPr>
          <w:p>
            <w:pPr>
              <w:spacing w:after="0"/>
              <w:rPr>
                <w:sz w:val="16"/>
                <w:szCs w:val="16"/>
                <w:color w:val="auto"/>
              </w:rPr>
            </w:pPr>
          </w:p>
        </w:tc>
        <w:tc>
          <w:tcPr>
            <w:tcW w:w="1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FUEL BARGE 1001</w:t>
            </w:r>
          </w:p>
        </w:tc>
        <w:tc>
          <w:tcPr>
            <w:tcW w:w="1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1253489</w:t>
            </w:r>
          </w:p>
        </w:tc>
        <w:tc>
          <w:tcPr>
            <w:tcW w:w="2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G. L. 175</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650209</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G.L. 112</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1253488</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G.L. 111</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1253487</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DERRICK 60</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286687</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DERRICK 66</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695433</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DERRICK 68</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252050</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DERRICK 69</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530661</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DERRICK 70</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1212358</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DERRICK 64</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1184264</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JACK NEWMAN</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293297</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MCCORMACK BOYS</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646543</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G.L. 33</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612272</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G.L. 35</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563732</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G.L. 63</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922736</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G.L. 64</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922737</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MUSKEGON RIVER</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1226788</w:t>
            </w: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SAGINAW RIVER</w:t>
            </w: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1236901</w:t>
            </w:r>
          </w:p>
        </w:tc>
      </w:tr>
      <w:tr>
        <w:trPr>
          <w:trHeight w:val="234"/>
        </w:trPr>
        <w:tc>
          <w:tcPr>
            <w:tcW w:w="412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LITTLE ROCK</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531592</w:t>
            </w:r>
          </w:p>
        </w:tc>
      </w:tr>
      <w:tr>
        <w:trPr>
          <w:trHeight w:val="45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Type of Instrument:</w:t>
            </w:r>
          </w:p>
        </w:tc>
        <w:tc>
          <w:tcPr>
            <w:tcW w:w="1840" w:type="dxa"/>
            <w:vAlign w:val="bottom"/>
          </w:tcPr>
          <w:p>
            <w:pPr>
              <w:spacing w:after="0"/>
              <w:rPr>
                <w:sz w:val="24"/>
                <w:szCs w:val="24"/>
                <w:color w:val="auto"/>
              </w:rPr>
            </w:pPr>
          </w:p>
        </w:tc>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First Preferred Fleet Mortgage</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 of Instrument:</w:t>
            </w:r>
          </w:p>
        </w:tc>
        <w:tc>
          <w:tcPr>
            <w:tcW w:w="1840" w:type="dxa"/>
            <w:vAlign w:val="bottom"/>
          </w:tcPr>
          <w:p>
            <w:pPr>
              <w:spacing w:after="0"/>
              <w:rPr>
                <w:sz w:val="24"/>
                <w:szCs w:val="24"/>
                <w:color w:val="auto"/>
              </w:rPr>
            </w:pPr>
          </w:p>
        </w:tc>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November 4, 2014</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Name of Owner</w:t>
            </w:r>
          </w:p>
        </w:tc>
        <w:tc>
          <w:tcPr>
            <w:tcW w:w="1840" w:type="dxa"/>
            <w:vAlign w:val="bottom"/>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Great Lakes Dredge &amp; Dock Company, LLC</w:t>
            </w:r>
          </w:p>
        </w:tc>
      </w:tr>
      <w:tr>
        <w:trPr>
          <w:trHeight w:val="32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Vessel owned:</w:t>
            </w:r>
          </w:p>
        </w:tc>
        <w:tc>
          <w:tcPr>
            <w:tcW w:w="1840" w:type="dxa"/>
            <w:vAlign w:val="bottom"/>
          </w:tcPr>
          <w:p>
            <w:pPr>
              <w:spacing w:after="0"/>
              <w:rPr>
                <w:sz w:val="24"/>
                <w:szCs w:val="24"/>
                <w:color w:val="auto"/>
              </w:rPr>
            </w:pPr>
          </w:p>
        </w:tc>
        <w:tc>
          <w:tcPr>
            <w:tcW w:w="1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Address of Owner:</w:t>
            </w:r>
          </w:p>
        </w:tc>
        <w:tc>
          <w:tcPr>
            <w:tcW w:w="1840" w:type="dxa"/>
            <w:vAlign w:val="bottom"/>
          </w:tcPr>
          <w:p>
            <w:pPr>
              <w:spacing w:after="0"/>
              <w:rPr>
                <w:sz w:val="24"/>
                <w:szCs w:val="24"/>
                <w:color w:val="auto"/>
              </w:rPr>
            </w:pPr>
          </w:p>
        </w:tc>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2122 York Road</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Oak Brook, IL 60523</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Name of Mortgagee:</w:t>
            </w:r>
          </w:p>
        </w:tc>
        <w:tc>
          <w:tcPr>
            <w:tcW w:w="1840" w:type="dxa"/>
            <w:vAlign w:val="bottom"/>
          </w:tcPr>
          <w:p>
            <w:pPr>
              <w:spacing w:after="0"/>
              <w:rPr>
                <w:sz w:val="24"/>
                <w:szCs w:val="24"/>
                <w:color w:val="auto"/>
              </w:rPr>
            </w:pP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Bank of America, N.A., as Administrative Agent</w:t>
            </w:r>
          </w:p>
        </w:tc>
      </w:tr>
      <w:tr>
        <w:trPr>
          <w:trHeight w:val="30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Address of Mortgagee:</w:t>
            </w:r>
          </w:p>
        </w:tc>
        <w:tc>
          <w:tcPr>
            <w:tcW w:w="1840" w:type="dxa"/>
            <w:vAlign w:val="bottom"/>
          </w:tcPr>
          <w:p>
            <w:pPr>
              <w:spacing w:after="0"/>
              <w:rPr>
                <w:sz w:val="24"/>
                <w:szCs w:val="24"/>
                <w:color w:val="auto"/>
              </w:rPr>
            </w:pPr>
          </w:p>
        </w:tc>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One Independence Center</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 N. Tryon St.</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Charlotte, NC, 28255-0001</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Amount of Mortgage:</w:t>
            </w:r>
          </w:p>
        </w:tc>
        <w:tc>
          <w:tcPr>
            <w:tcW w:w="1840" w:type="dxa"/>
            <w:vAlign w:val="bottom"/>
          </w:tcPr>
          <w:p>
            <w:pPr>
              <w:spacing w:after="0"/>
              <w:rPr>
                <w:sz w:val="24"/>
                <w:szCs w:val="24"/>
                <w:color w:val="auto"/>
              </w:rPr>
            </w:pPr>
          </w:p>
        </w:tc>
        <w:tc>
          <w:tcPr>
            <w:tcW w:w="2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Fifty Million United States Dollars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48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$50,000,000, plus interest, fees, costs and expenses</w:t>
            </w:r>
          </w:p>
        </w:tc>
      </w:tr>
    </w:tbl>
    <w:p>
      <w:pPr>
        <w:sectPr>
          <w:pgSz w:w="11900" w:h="16838" w:orient="portrait"/>
          <w:cols w:equalWidth="0" w:num="1">
            <w:col w:w="11420"/>
          </w:cols>
          <w:pgMar w:left="240" w:top="270" w:right="239" w:bottom="1440" w:gutter="0" w:footer="0" w:header="0"/>
        </w:sectPr>
      </w:pPr>
    </w:p>
    <w:bookmarkStart w:id="309" w:name="page310"/>
    <w:bookmarkEnd w:id="309"/>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540" w:type="dxa"/>
            <w:vAlign w:val="bottom"/>
            <w:gridSpan w:val="4"/>
          </w:tcPr>
          <w:p>
            <w:pPr>
              <w:jc w:val="right"/>
              <w:ind w:right="4720"/>
              <w:spacing w:after="0"/>
              <w:rPr>
                <w:sz w:val="20"/>
                <w:szCs w:val="20"/>
                <w:color w:val="auto"/>
              </w:rPr>
            </w:pPr>
            <w:r>
              <w:rPr>
                <w:rFonts w:ascii="Times New Roman" w:cs="Times New Roman" w:eastAsia="Times New Roman" w:hAnsi="Times New Roman"/>
                <w:sz w:val="18"/>
                <w:szCs w:val="18"/>
                <w:color w:val="auto"/>
                <w:w w:val="97"/>
              </w:rPr>
              <w:t>TABLE OF CONTENTS</w:t>
            </w:r>
          </w:p>
        </w:tc>
        <w:tc>
          <w:tcPr>
            <w:tcW w:w="0" w:type="dxa"/>
            <w:vAlign w:val="bottom"/>
          </w:tcPr>
          <w:p>
            <w:pPr>
              <w:spacing w:after="0"/>
              <w:rPr>
                <w:sz w:val="1"/>
                <w:szCs w:val="1"/>
                <w:color w:val="auto"/>
              </w:rPr>
            </w:pPr>
          </w:p>
        </w:tc>
      </w:tr>
      <w:tr>
        <w:trPr>
          <w:trHeight w:val="412"/>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4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182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228"/>
        </w:trPr>
        <w:tc>
          <w:tcPr>
            <w:tcW w:w="340" w:type="dxa"/>
            <w:vAlign w:val="bottom"/>
            <w:vMerge w:val="continue"/>
          </w:tcPr>
          <w:p>
            <w:pPr>
              <w:spacing w:after="0"/>
              <w:rPr>
                <w:sz w:val="19"/>
                <w:szCs w:val="19"/>
                <w:color w:val="auto"/>
              </w:rPr>
            </w:pPr>
          </w:p>
        </w:tc>
        <w:tc>
          <w:tcPr>
            <w:tcW w:w="446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MORTGAGE</w:t>
            </w:r>
          </w:p>
        </w:tc>
        <w:tc>
          <w:tcPr>
            <w:tcW w:w="6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6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COVENANTS</w:t>
            </w:r>
          </w:p>
        </w:tc>
        <w:tc>
          <w:tcPr>
            <w:tcW w:w="6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EVENTS OF DEFAULT</w:t>
            </w:r>
          </w:p>
        </w:tc>
        <w:tc>
          <w:tcPr>
            <w:tcW w:w="6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MONEYS</w:t>
            </w:r>
          </w:p>
        </w:tc>
        <w:tc>
          <w:tcPr>
            <w:tcW w:w="6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DELAY AND CURE</w:t>
            </w:r>
          </w:p>
        </w:tc>
        <w:tc>
          <w:tcPr>
            <w:tcW w:w="6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DELEGATION OF MORTGAGEE’S POWERS</w:t>
            </w:r>
          </w:p>
        </w:tc>
        <w:tc>
          <w:tcPr>
            <w:tcW w:w="6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OWNER’S INDEMNITY</w:t>
            </w:r>
          </w:p>
        </w:tc>
        <w:tc>
          <w:tcPr>
            <w:tcW w:w="6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 OF ATTORNEY</w:t>
            </w:r>
          </w:p>
        </w:tc>
        <w:tc>
          <w:tcPr>
            <w:tcW w:w="6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ARREST BY A THIRD PARTY</w:t>
            </w:r>
          </w:p>
        </w:tc>
        <w:tc>
          <w:tcPr>
            <w:tcW w:w="6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JURISDICTION</w:t>
            </w:r>
          </w:p>
        </w:tc>
        <w:tc>
          <w:tcPr>
            <w:tcW w:w="6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INVALID PROVISIONS</w:t>
            </w:r>
          </w:p>
        </w:tc>
        <w:tc>
          <w:tcPr>
            <w:tcW w:w="6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w:t>
            </w:r>
          </w:p>
        </w:tc>
        <w:tc>
          <w:tcPr>
            <w:tcW w:w="6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CUMULATIVE REMEDIES</w:t>
            </w:r>
          </w:p>
        </w:tc>
        <w:tc>
          <w:tcPr>
            <w:tcW w:w="6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OF MORTGAGE</w:t>
            </w:r>
          </w:p>
        </w:tc>
        <w:tc>
          <w:tcPr>
            <w:tcW w:w="6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STATUS</w:t>
            </w:r>
          </w:p>
        </w:tc>
        <w:tc>
          <w:tcPr>
            <w:tcW w:w="6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6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PARTIES BOUND</w:t>
            </w:r>
          </w:p>
        </w:tc>
        <w:tc>
          <w:tcPr>
            <w:tcW w:w="6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DEMAND</w:t>
            </w:r>
          </w:p>
        </w:tc>
        <w:tc>
          <w:tcPr>
            <w:tcW w:w="6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6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69" w:right="319" w:bottom="1440" w:gutter="0" w:footer="0" w:header="0"/>
        </w:sectPr>
      </w:pPr>
    </w:p>
    <w:bookmarkStart w:id="310" w:name="page311"/>
    <w:bookmarkEnd w:id="310"/>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FIRST PREFERRED FLEET MORTGAGE</w:t>
      </w:r>
    </w:p>
    <w:p>
      <w:pPr>
        <w:spacing w:after="0" w:line="22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THIS FIRST PREFERRED FLEET MORTGAGE is effective as of November 4, 2014 (this “</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by GREAT LAKES DREDGE &amp; DOCK COMPANY, LLC, a Delaware limited liability company with offices at 2122 York Road, Oak Brook, IL 60523 (the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in favor of BANK OF AMERICA, N.A., a national banking association, as Administrative Agent for the lenders from time to time party to the Loan Agreement referred to below, having an address at One Independence Center, 101 N. Tryon St., Charlotte, NC, 28255-0001 (Bank of America, N.A. acting in such capacity, the “</w:t>
      </w:r>
      <w:r>
        <w:rPr>
          <w:rFonts w:ascii="Times New Roman" w:cs="Times New Roman" w:eastAsia="Times New Roman" w:hAnsi="Times New Roman"/>
          <w:sz w:val="18"/>
          <w:szCs w:val="18"/>
          <w:u w:val="single" w:color="auto"/>
          <w:color w:val="auto"/>
        </w:rPr>
        <w:t>Mortgagee</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Owner is the sole legal owner of the whole of the following vessels (collectively, the “</w:t>
      </w:r>
      <w:r>
        <w:rPr>
          <w:rFonts w:ascii="Times New Roman" w:cs="Times New Roman" w:eastAsia="Times New Roman" w:hAnsi="Times New Roman"/>
          <w:sz w:val="18"/>
          <w:szCs w:val="18"/>
          <w:u w:val="single" w:color="auto"/>
          <w:color w:val="auto"/>
        </w:rPr>
        <w:t>Vessels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Vessel</w:t>
      </w:r>
      <w:r>
        <w:rPr>
          <w:rFonts w:ascii="Times New Roman" w:cs="Times New Roman" w:eastAsia="Times New Roman" w:hAnsi="Times New Roman"/>
          <w:sz w:val="18"/>
          <w:szCs w:val="18"/>
          <w:color w:val="auto"/>
        </w:rPr>
        <w:t>”),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Vessels being duly documented in the name of the Owner under the laws and flag of the United States of America:</w:t>
      </w:r>
    </w:p>
    <w:p>
      <w:pPr>
        <w:spacing w:after="0" w:line="227" w:lineRule="exact"/>
        <w:rPr>
          <w:sz w:val="20"/>
          <w:szCs w:val="20"/>
          <w:color w:val="auto"/>
        </w:rPr>
      </w:pPr>
    </w:p>
    <w:tbl>
      <w:tblPr>
        <w:tblLayout w:type="fixed"/>
        <w:tblInd w:w="1840" w:type="dxa"/>
        <w:tblCellMar>
          <w:top w:w="0" w:type="dxa"/>
          <w:left w:w="0" w:type="dxa"/>
          <w:bottom w:w="0" w:type="dxa"/>
          <w:right w:w="0" w:type="dxa"/>
        </w:tblCellMar>
      </w:tblPr>
      <w:tr>
        <w:trPr>
          <w:trHeight w:val="193"/>
        </w:trPr>
        <w:tc>
          <w:tcPr>
            <w:tcW w:w="4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AME OF</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11"/>
                <w:szCs w:val="11"/>
                <w:b w:val="1"/>
                <w:bCs w:val="1"/>
                <w:color w:val="auto"/>
              </w:rPr>
              <w:t>ESSEL</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1"/>
                <w:szCs w:val="11"/>
                <w:b w:val="1"/>
                <w:bCs w:val="1"/>
                <w:color w:val="auto"/>
              </w:rPr>
              <w:t>FFICIAL</w:t>
            </w:r>
            <w:r>
              <w:rPr>
                <w:rFonts w:ascii="Times New Roman" w:cs="Times New Roman" w:eastAsia="Times New Roman" w:hAnsi="Times New Roman"/>
                <w:sz w:val="14"/>
                <w:szCs w:val="14"/>
                <w:b w:val="1"/>
                <w:bCs w:val="1"/>
                <w:color w:val="auto"/>
              </w:rPr>
              <w:t xml:space="preserve"> N</w:t>
            </w:r>
            <w:r>
              <w:rPr>
                <w:rFonts w:ascii="Times New Roman" w:cs="Times New Roman" w:eastAsia="Times New Roman" w:hAnsi="Times New Roman"/>
                <w:sz w:val="11"/>
                <w:szCs w:val="11"/>
                <w:b w:val="1"/>
                <w:bCs w:val="1"/>
                <w:color w:val="auto"/>
              </w:rPr>
              <w:t>UMBER</w:t>
            </w:r>
          </w:p>
        </w:tc>
      </w:tr>
      <w:tr>
        <w:trPr>
          <w:trHeight w:val="185"/>
        </w:trPr>
        <w:tc>
          <w:tcPr>
            <w:tcW w:w="10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5"/>
              </w:rPr>
              <w:t>FUEL BARGE</w:t>
            </w:r>
          </w:p>
        </w:tc>
        <w:tc>
          <w:tcPr>
            <w:tcW w:w="3000" w:type="dxa"/>
            <w:vAlign w:val="bottom"/>
          </w:tcPr>
          <w:p>
            <w:pPr>
              <w:jc w:val="right"/>
              <w:ind w:right="2490"/>
              <w:spacing w:after="0" w:line="185" w:lineRule="exact"/>
              <w:rPr>
                <w:sz w:val="20"/>
                <w:szCs w:val="20"/>
                <w:color w:val="auto"/>
              </w:rPr>
            </w:pPr>
            <w:r>
              <w:rPr>
                <w:rFonts w:ascii="Times New Roman" w:cs="Times New Roman" w:eastAsia="Times New Roman" w:hAnsi="Times New Roman"/>
                <w:sz w:val="18"/>
                <w:szCs w:val="18"/>
                <w:color w:val="auto"/>
              </w:rPr>
              <w:t>1001</w:t>
            </w:r>
          </w:p>
        </w:tc>
        <w:tc>
          <w:tcPr>
            <w:tcW w:w="2380" w:type="dxa"/>
            <w:vAlign w:val="bottom"/>
          </w:tcPr>
          <w:p>
            <w:pPr>
              <w:spacing w:after="0"/>
              <w:rPr>
                <w:sz w:val="16"/>
                <w:szCs w:val="16"/>
                <w:color w:val="auto"/>
              </w:rPr>
            </w:pPr>
          </w:p>
        </w:tc>
        <w:tc>
          <w:tcPr>
            <w:tcW w:w="12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1253489</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 L. 175</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650209</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 112</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1253488</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 111</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1253487</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DERRICK 60</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286687</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DERRICK 66</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695433</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DERRICK 68</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252050</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DERRICK 69</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530661</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DERRICK 70</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1212358</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DERRICK 64</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1184264</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NEWMAN</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293297</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MCCORMACK BOYS</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646543</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 33</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612272</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 35</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563732</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 63</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922736</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 64</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922737</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MUSKEGON RIVER</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1226788</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SAGINAW RIVER</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1236901</w:t>
            </w: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LITTLE ROCK</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531592</w:t>
            </w:r>
          </w:p>
        </w:tc>
      </w:tr>
    </w:tbl>
    <w:p>
      <w:pPr>
        <w:spacing w:after="0" w:line="198"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WHEREAS, Great Lakes Dredge &amp; Dock Corporation, a Delaware corporation (“</w:t>
      </w:r>
      <w:r>
        <w:rPr>
          <w:rFonts w:ascii="Times New Roman" w:cs="Times New Roman" w:eastAsia="Times New Roman" w:hAnsi="Times New Roman"/>
          <w:sz w:val="18"/>
          <w:szCs w:val="18"/>
          <w:u w:val="single" w:color="auto"/>
          <w:color w:val="auto"/>
        </w:rPr>
        <w:t>Great Lakes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Owner’s direct parent corporation, has entered into that certain Loan and Security Agreement dated as of November 4, 2014 by and among the Borrower, the Owner, as Guarantor, the financial institutions from time to time party thereto as Lenders and Bank of America, N.A., as Administrative Agent (as the same may be amended, restated, supplemented or otherwise modified in writing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under which loans and other financial accommodations heretofore have been and may hereafter be made to or for the benefit of the Borrower;</w:t>
      </w:r>
    </w:p>
    <w:p>
      <w:pPr>
        <w:sectPr>
          <w:pgSz w:w="11900" w:h="16838" w:orient="portrait"/>
          <w:cols w:equalWidth="0" w:num="1">
            <w:col w:w="11340"/>
          </w:cols>
          <w:pgMar w:left="240" w:top="269" w:right="319" w:bottom="1440" w:gutter="0" w:footer="0" w:header="0"/>
        </w:sectPr>
      </w:pPr>
    </w:p>
    <w:bookmarkStart w:id="311" w:name="page312"/>
    <w:bookmarkEnd w:id="31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WHEREAS, the Owner has entered into that certain Guaranty dated as of November 4, 2014 (as the same may be amended, restated, supplemented or otherwise modified in writing from time to time,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pursuant to which the Owner has guaranteed all of the Obligations (which guaranty obligations of the Owner and the Borrower, all other payment and performance obligations of the Owner under this Mortgage, and all other obligations of the Owner and Borrower under the other Loan Documents to which the Owner and the Borrower are each a party, are hereinafter referred to collectively as the “</w:t>
      </w:r>
      <w:r>
        <w:rPr>
          <w:rFonts w:ascii="Times New Roman" w:cs="Times New Roman" w:eastAsia="Times New Roman" w:hAnsi="Times New Roman"/>
          <w:sz w:val="18"/>
          <w:szCs w:val="18"/>
          <w:u w:val="single" w:color="auto"/>
          <w:color w:val="auto"/>
        </w:rPr>
        <w:t>Secured Indebtedness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WHEREAS, the Owner has agreed to secure the Secured Indebedness with, among other things, a first preferred fleet mortgage on certain vessels owned by the Owner and documented under the laws of the United States in the maximum principal amount of U.S. $50,000,000, plus interest, expenses and fees; and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WHEREAS, the Loan Agreement (excluding Exhibits and Schedules) is attached to this Mortgage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THIS MORTGAGE WITNESSETH:</w:t>
      </w:r>
    </w:p>
    <w:p>
      <w:pPr>
        <w:spacing w:after="0" w:line="117" w:lineRule="exact"/>
        <w:rPr>
          <w:sz w:val="20"/>
          <w:szCs w:val="20"/>
          <w:color w:val="auto"/>
        </w:rPr>
      </w:pPr>
    </w:p>
    <w:p>
      <w:pPr>
        <w:ind w:right="200" w:firstLine="464"/>
        <w:spacing w:after="0" w:line="282" w:lineRule="auto"/>
        <w:tabs>
          <w:tab w:leader="none" w:pos="6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herein shall, unless otherwise defined herein, have the meanings provided in the Loan Agreement. The rules of usage and interpretation set forth in the Loan Agreement shall apply to terms defined herein.</w:t>
      </w:r>
    </w:p>
    <w:p>
      <w:pPr>
        <w:spacing w:after="0" w:line="161" w:lineRule="exact"/>
        <w:rPr>
          <w:rFonts w:ascii="Times New Roman" w:cs="Times New Roman" w:eastAsia="Times New Roman" w:hAnsi="Times New Roman"/>
          <w:sz w:val="18"/>
          <w:szCs w:val="18"/>
          <w:color w:val="auto"/>
        </w:rPr>
      </w:pPr>
    </w:p>
    <w:p>
      <w:pPr>
        <w:ind w:right="20" w:firstLine="464"/>
        <w:spacing w:after="0" w:line="253" w:lineRule="auto"/>
        <w:tabs>
          <w:tab w:leader="none" w:pos="6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xml:space="preserve">. In consideration of the premises and of other good and valuable consideration, the receipt and sufficiency of which are hereby acknowledged, and to secure the payment of the Secured Indebtedness and to secure the performance and observance of and compliance with the covenants, terms and conditions contained in this Mortgage and the performance of and compliance with conditions of the Loan Agreement and the other Loan Documents, the Owner has granted, conveyed and mortgaged, and does by these presents grant, convey and mortgage, to and in favor of the Mortgagee, for the benefit of the Secured Parties, the whole of the Vessels, together with (i) all of the boilers, engines, machinery, masts, rigging, boats, anchors, chains, cables, tackle, apparel, spare gear, fuel, consumable or other stores, equipment and all other appurtenances thereto appertaining or belonging to the Vessels, whether now owned or hereafter acquired, whether on board or not, (ii) all additions, improvements and replacements hereafter made in or to the Vessels, or any part thereof, except such equipment and stores that, when placed aboard the Vessels, do not become the property of the Owner and leased equipment not belonging to the Owner, and (iii) all logs, books and records pertaining to the use and operation of the Vessels, </w:t>
      </w:r>
      <w:r>
        <w:rPr>
          <w:rFonts w:ascii="Times New Roman" w:cs="Times New Roman" w:eastAsia="Times New Roman" w:hAnsi="Times New Roman"/>
          <w:sz w:val="18"/>
          <w:szCs w:val="18"/>
          <w:u w:val="single" w:color="auto"/>
          <w:color w:val="auto"/>
        </w:rPr>
        <w:t>TO HAVE AND TO HOLD</w:t>
      </w:r>
      <w:r>
        <w:rPr>
          <w:rFonts w:ascii="Times New Roman" w:cs="Times New Roman" w:eastAsia="Times New Roman" w:hAnsi="Times New Roman"/>
          <w:sz w:val="18"/>
          <w:szCs w:val="18"/>
          <w:color w:val="auto"/>
        </w:rPr>
        <w:t xml:space="preserve"> the same unto the Mortgagee, for the benefit of the Secured Parties, forever, upon the terms set forth in this Mortgage for the enforcement of the payment of the Secured Indebtedness and to secure the performance and observance of and compliance with the covenants, terms and conditions contained in this Mortgage, the Loan Agreement and the other Loan Documents;</w:t>
      </w:r>
    </w:p>
    <w:p>
      <w:pPr>
        <w:spacing w:after="0" w:line="19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PROVIDED, HOWEVER, and the conditions of these presents are such that the Mortgagee agrees that the liens created by this Mortgage and the estate and rights hereby granted shall cease, determine and terminate upon the Termination Date, and in such event, at the expense of the Owner, the Mortgagee agrees to execute all such documents as the Owner may reasonably request to discharge this Mortgage under the laws of the United States of America; otherwise to be and remain in full force and effect.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312" w:name="page313"/>
    <w:bookmarkEnd w:id="312"/>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It is declared and hereby agreed that the security created by this Mortgage shall be held by the Mortgagee, for the benefit of the Secured Parties, as a continuing security for the payment of the Secured Indebtedness.</w:t>
      </w:r>
    </w:p>
    <w:p>
      <w:pPr>
        <w:spacing w:after="0" w:line="162" w:lineRule="exact"/>
        <w:rPr>
          <w:sz w:val="20"/>
          <w:szCs w:val="20"/>
          <w:color w:val="auto"/>
        </w:rPr>
      </w:pPr>
    </w:p>
    <w:p>
      <w:pPr>
        <w:ind w:left="640" w:hanging="176"/>
        <w:spacing w:after="0"/>
        <w:tabs>
          <w:tab w:leader="none" w:pos="64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Owner hereby represents and warrants that:</w:t>
      </w:r>
    </w:p>
    <w:p>
      <w:pPr>
        <w:spacing w:after="0" w:line="117" w:lineRule="exact"/>
        <w:rPr>
          <w:rFonts w:ascii="Times New Roman" w:cs="Times New Roman" w:eastAsia="Times New Roman" w:hAnsi="Times New Roman"/>
          <w:sz w:val="18"/>
          <w:szCs w:val="18"/>
          <w:color w:val="auto"/>
        </w:rPr>
      </w:pPr>
    </w:p>
    <w:p>
      <w:pPr>
        <w:ind w:right="120" w:firstLine="921"/>
        <w:spacing w:after="0" w:line="266" w:lineRule="auto"/>
        <w:tabs>
          <w:tab w:leader="none" w:pos="1158"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limited liability company duly organized, validly existing and in good standing under the laws of the State of Delaware, has the power and authority to carry on its business as contemplated by the Loan Documents to which it is a party, and is duly authorized and qualified to document each Vessel in its name as Owner thereof under the laws and flag of the United States of America;</w:t>
      </w:r>
    </w:p>
    <w:p>
      <w:pPr>
        <w:spacing w:after="0" w:line="176" w:lineRule="exact"/>
        <w:rPr>
          <w:rFonts w:ascii="Times New Roman" w:cs="Times New Roman" w:eastAsia="Times New Roman" w:hAnsi="Times New Roman"/>
          <w:sz w:val="18"/>
          <w:szCs w:val="18"/>
          <w:color w:val="auto"/>
        </w:rPr>
      </w:pPr>
    </w:p>
    <w:p>
      <w:pPr>
        <w:ind w:right="180" w:firstLine="921"/>
        <w:spacing w:after="0" w:line="282" w:lineRule="auto"/>
        <w:tabs>
          <w:tab w:leader="none" w:pos="1168"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and authority to (i) execute and deliver this Mortgage and the other Loan Documents to which it is a party, and (ii) comply with the provisions of, and perform all its obligations under, this Mortgage and the other Loan Documents to which it is a party;</w:t>
      </w:r>
    </w:p>
    <w:p>
      <w:pPr>
        <w:spacing w:after="0" w:line="161" w:lineRule="exact"/>
        <w:rPr>
          <w:rFonts w:ascii="Times New Roman" w:cs="Times New Roman" w:eastAsia="Times New Roman" w:hAnsi="Times New Roman"/>
          <w:sz w:val="18"/>
          <w:szCs w:val="18"/>
          <w:color w:val="auto"/>
        </w:rPr>
      </w:pPr>
    </w:p>
    <w:p>
      <w:pPr>
        <w:ind w:right="60" w:firstLine="921"/>
        <w:spacing w:after="0" w:line="266" w:lineRule="auto"/>
        <w:tabs>
          <w:tab w:leader="none" w:pos="1158"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taken all necessary action (i) to authorize the execution and delivery of this Mortgage and the other Loan Documents to which it is a party, and (ii) to take title to each of the Vessels and to document each of the Vessels in its name under the laws and flag of the United States of America with a coastwise endorsement;</w:t>
      </w:r>
    </w:p>
    <w:p>
      <w:pPr>
        <w:spacing w:after="0" w:line="176" w:lineRule="exact"/>
        <w:rPr>
          <w:rFonts w:ascii="Times New Roman" w:cs="Times New Roman" w:eastAsia="Times New Roman" w:hAnsi="Times New Roman"/>
          <w:sz w:val="18"/>
          <w:szCs w:val="18"/>
          <w:color w:val="auto"/>
        </w:rPr>
      </w:pPr>
    </w:p>
    <w:p>
      <w:pPr>
        <w:ind w:right="140" w:firstLine="921"/>
        <w:spacing w:after="0" w:line="258" w:lineRule="auto"/>
        <w:tabs>
          <w:tab w:leader="none" w:pos="1168"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this Mortgage and the other Loan Documents to which it is a party constitutes or, as the case may be, will, upon execution and delivery thereof by each of the parties thereto (and where applicable, registration thereof as provided for in this Mortgage and the Loan Documents), constitute its legal, valid and binding obligation enforceable against it in accordance with its terms, except to the extent such enforcement may be limited by any relevant bankruptcy, insolvency, reorganization, moratorium or similar laws affecting creditors’ rights generally and by general principles of equity (regardless of whether such enforceability is considered in a proceeding in equity or at law);</w:t>
      </w:r>
    </w:p>
    <w:p>
      <w:pPr>
        <w:spacing w:after="0" w:line="183"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duly executed and delivered this Mortgage and each of the other Loan Documents to which it is a party;</w:t>
      </w:r>
    </w:p>
    <w:p>
      <w:pPr>
        <w:spacing w:after="0" w:line="225"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entry into and performance of this Mortgage and the other Loan Documents to which it is a party do not, and will not violate in any respect</w:t>
      </w:r>
    </w:p>
    <w:p>
      <w:pPr>
        <w:spacing w:after="0" w:line="27" w:lineRule="exact"/>
        <w:rPr>
          <w:rFonts w:ascii="Times New Roman" w:cs="Times New Roman" w:eastAsia="Times New Roman" w:hAnsi="Times New Roman"/>
          <w:sz w:val="18"/>
          <w:szCs w:val="18"/>
          <w:color w:val="auto"/>
        </w:rPr>
      </w:pPr>
    </w:p>
    <w:p>
      <w:pPr>
        <w:ind w:right="420" w:firstLine="8"/>
        <w:spacing w:after="0" w:line="261" w:lineRule="auto"/>
        <w:tabs>
          <w:tab w:leader="none" w:pos="21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 that is binding on it or its assets, or (ii) its certificate of formation or limited liability company agreement, or (iii) any agreement, contract or other undertaking, to which it is a party or that is binding on it or any of its assets;</w:t>
      </w:r>
    </w:p>
    <w:p>
      <w:pPr>
        <w:spacing w:after="0" w:line="179" w:lineRule="exact"/>
        <w:rPr>
          <w:rFonts w:ascii="Times New Roman" w:cs="Times New Roman" w:eastAsia="Times New Roman" w:hAnsi="Times New Roman"/>
          <w:sz w:val="18"/>
          <w:szCs w:val="18"/>
          <w:color w:val="auto"/>
        </w:rPr>
      </w:pPr>
    </w:p>
    <w:p>
      <w:pPr>
        <w:ind w:firstLine="921"/>
        <w:spacing w:after="0" w:line="266" w:lineRule="auto"/>
        <w:tabs>
          <w:tab w:leader="none" w:pos="1168"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Mortgage or the other Loan Documents to which it is a party, nor the consummation of the transactions contemplated hereby or thereby, nor its compliance with any of the terms and provisions hereof or thereof (i) contravenes or results in a breach of or constitutes a default under any existing judgment or order applicable to or binding on the Owner or any of its properties, or results in the creation of a Lien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69" w:right="259" w:bottom="1440" w:gutter="0" w:footer="0" w:header="0"/>
        </w:sectPr>
      </w:pPr>
    </w:p>
    <w:bookmarkStart w:id="313" w:name="page314"/>
    <w:bookmarkEnd w:id="313"/>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or any obligation to provide any Lien upon any of the Vessels other than as set forth in this Mortgage and the other Loan Documents, or (ii) contravenes or results in any breach of or constitutes any default under, any indenture, mortgage, chattel mortgage, deed of trust, conditional sales contract, bank loan or loan agreement or other material agreement or instrument to which the Owner or any of its properties may be bound or affected;</w:t>
      </w:r>
    </w:p>
    <w:p>
      <w:pPr>
        <w:spacing w:after="0" w:line="176" w:lineRule="exact"/>
        <w:rPr>
          <w:sz w:val="20"/>
          <w:szCs w:val="20"/>
          <w:color w:val="auto"/>
        </w:rPr>
      </w:pPr>
    </w:p>
    <w:p>
      <w:pPr>
        <w:ind w:right="40" w:firstLine="921"/>
        <w:spacing w:after="0" w:line="266" w:lineRule="auto"/>
        <w:tabs>
          <w:tab w:leader="none" w:pos="116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taxes payable by it or the Mortgagee imposed by the State of Delaware or the State of Illinois or any political subdivision thereof in connection with the execution and delivery by the Owner or the Mortgagee of this Mortgage or any other Loan Document to which each respectively is a party;</w:t>
      </w:r>
    </w:p>
    <w:p>
      <w:pPr>
        <w:spacing w:after="0" w:line="176" w:lineRule="exact"/>
        <w:rPr>
          <w:rFonts w:ascii="Times New Roman" w:cs="Times New Roman" w:eastAsia="Times New Roman" w:hAnsi="Times New Roman"/>
          <w:sz w:val="18"/>
          <w:szCs w:val="18"/>
          <w:color w:val="auto"/>
        </w:rPr>
      </w:pPr>
    </w:p>
    <w:p>
      <w:pPr>
        <w:ind w:right="140" w:firstLine="921"/>
        <w:spacing w:after="0" w:line="282" w:lineRule="auto"/>
        <w:tabs>
          <w:tab w:leader="none" w:pos="112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or caused to be complied with, all statutory, regulatory and other requirements concerning the ownership and operation of the Vessels, except where the failure could not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right="60" w:firstLine="921"/>
        <w:spacing w:after="0" w:line="255" w:lineRule="auto"/>
        <w:tabs>
          <w:tab w:leader="none" w:pos="112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consents, licenses, approvals and authorizations (including any approvals of the U.S. Maritime Administration and U.S. Coast Guard) required for the entry into, performance, validity and enforceability of, this Mortgage and the other Loan Documents to which it is a party have been duly obtained and are in full force and effect, and all stamp, registration or similar taxes or fees to be paid in or in relation to the this Mortgage or the other Loan Documents have been paid other than (i) consents, authorizations, filings or other acts or consents for which the failure to obtain or make could not, individually or in the aggregate, reasonably be expected to have a Material Adverse Effect, (ii) with respect to the validity and enforceability of the Mortgage under the laws of the United States, filings under the UCC, or the United States federal Ship Mortgage Act of 1920, as applicable and (iii) filings and recordings necessary to perfect and maintain the Liens created under the Loan Documents;</w:t>
      </w:r>
    </w:p>
    <w:p>
      <w:pPr>
        <w:spacing w:after="0" w:line="189"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classed, each Vessel is free of any overdue recommendations and conditions affecting her class;</w:t>
      </w:r>
    </w:p>
    <w:p>
      <w:pPr>
        <w:spacing w:after="0" w:line="225" w:lineRule="exact"/>
        <w:rPr>
          <w:rFonts w:ascii="Times New Roman" w:cs="Times New Roman" w:eastAsia="Times New Roman" w:hAnsi="Times New Roman"/>
          <w:sz w:val="18"/>
          <w:szCs w:val="18"/>
          <w:color w:val="auto"/>
        </w:rPr>
      </w:pPr>
    </w:p>
    <w:p>
      <w:pPr>
        <w:ind w:firstLine="921"/>
        <w:spacing w:after="0" w:line="282" w:lineRule="auto"/>
        <w:tabs>
          <w:tab w:leader="none" w:pos="112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Vessels is duly documented in the name of the Owner under the laws and flag of the United States of America eligible to engage in the coastwise trade of the United States of America;</w:t>
      </w:r>
    </w:p>
    <w:p>
      <w:pPr>
        <w:spacing w:after="0" w:line="161" w:lineRule="exact"/>
        <w:rPr>
          <w:rFonts w:ascii="Times New Roman" w:cs="Times New Roman" w:eastAsia="Times New Roman" w:hAnsi="Times New Roman"/>
          <w:sz w:val="18"/>
          <w:szCs w:val="18"/>
          <w:color w:val="auto"/>
        </w:rPr>
      </w:pPr>
    </w:p>
    <w:p>
      <w:pPr>
        <w:ind w:right="20" w:firstLine="921"/>
        <w:spacing w:after="0" w:line="266" w:lineRule="auto"/>
        <w:tabs>
          <w:tab w:leader="none" w:pos="121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Vessels is in the absolute and unencumbered ownership of the Owner except for this Mortgage and any Permitted Encumbrances, and Owner will warrant and defend the title and possession of each of the Vessels and of every part thereof for the benefit of the Mortgagee and the other Secured Parties against the claims and demands of all persons whomsoever; and</w:t>
      </w:r>
    </w:p>
    <w:p>
      <w:pPr>
        <w:spacing w:after="0" w:line="176" w:lineRule="exact"/>
        <w:rPr>
          <w:rFonts w:ascii="Times New Roman" w:cs="Times New Roman" w:eastAsia="Times New Roman" w:hAnsi="Times New Roman"/>
          <w:sz w:val="18"/>
          <w:szCs w:val="18"/>
          <w:color w:val="auto"/>
        </w:rPr>
      </w:pPr>
    </w:p>
    <w:p>
      <w:pPr>
        <w:ind w:right="60" w:firstLine="921"/>
        <w:spacing w:after="0" w:line="266" w:lineRule="auto"/>
        <w:tabs>
          <w:tab w:leader="none" w:pos="116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Vessels complies with all Applicable Laws as are applicable to similar vessels documented under U.S. flag and engaged in the same or similar service as each Vessel is or is to be engaged, except where the failure to comply could not reasonably be expected to have a Material Adverse Effect.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0" w:right="259" w:bottom="1440" w:gutter="0" w:footer="0" w:header="0"/>
        </w:sectPr>
      </w:pPr>
    </w:p>
    <w:bookmarkStart w:id="314" w:name="page315"/>
    <w:bookmarkEnd w:id="314"/>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80" w:right="24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640" w:hanging="176"/>
        <w:spacing w:after="0"/>
        <w:tabs>
          <w:tab w:leader="none" w:pos="64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The Owner hereby covenants and agrees to (i) pay the Secured Indebtedness to the Mortgagee and the other Secured Parties, and</w:t>
      </w:r>
    </w:p>
    <w:p>
      <w:pPr>
        <w:spacing w:after="0" w:line="27" w:lineRule="exact"/>
        <w:rPr>
          <w:rFonts w:ascii="Times New Roman" w:cs="Times New Roman" w:eastAsia="Times New Roman" w:hAnsi="Times New Roman"/>
          <w:sz w:val="18"/>
          <w:szCs w:val="18"/>
          <w:color w:val="auto"/>
        </w:rPr>
      </w:pPr>
    </w:p>
    <w:p>
      <w:pPr>
        <w:ind w:right="180" w:firstLine="8"/>
        <w:spacing w:after="0" w:line="261" w:lineRule="auto"/>
        <w:tabs>
          <w:tab w:leader="none" w:pos="26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 and perform and comply with the terms and conditions herein and in the other Loan Documents to which it is a party on its part to be observed, performed or complied with; and further covenants and undertakes at all times throughout the term hereof (unless otherwise specified):</w:t>
      </w:r>
    </w:p>
    <w:p>
      <w:pPr>
        <w:spacing w:after="0" w:line="71"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remain authorized to document each Vessel in its name under the flag of the United States of America with a coastwise endorsement;</w:t>
      </w:r>
    </w:p>
    <w:p>
      <w:pPr>
        <w:spacing w:after="0" w:line="225" w:lineRule="exact"/>
        <w:rPr>
          <w:rFonts w:ascii="Times New Roman" w:cs="Times New Roman" w:eastAsia="Times New Roman" w:hAnsi="Times New Roman"/>
          <w:sz w:val="18"/>
          <w:szCs w:val="18"/>
          <w:color w:val="auto"/>
        </w:rPr>
      </w:pPr>
    </w:p>
    <w:p>
      <w:pPr>
        <w:ind w:right="40" w:firstLine="921"/>
        <w:spacing w:after="0" w:line="282" w:lineRule="auto"/>
        <w:tabs>
          <w:tab w:leader="none" w:pos="1168"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no expense or cost to the Mortgagee or any other Secured Party, to insure and keep each Vessel insured in accordance with </w:t>
      </w:r>
      <w:r>
        <w:rPr>
          <w:rFonts w:ascii="Times New Roman" w:cs="Times New Roman" w:eastAsia="Times New Roman" w:hAnsi="Times New Roman"/>
          <w:sz w:val="18"/>
          <w:szCs w:val="18"/>
          <w:u w:val="single" w:color="auto"/>
          <w:color w:val="auto"/>
        </w:rPr>
        <w:t>Section 7.01(o)</w:t>
      </w:r>
      <w:r>
        <w:rPr>
          <w:rFonts w:ascii="Times New Roman" w:cs="Times New Roman" w:eastAsia="Times New Roman" w:hAnsi="Times New Roman"/>
          <w:sz w:val="18"/>
          <w:szCs w:val="18"/>
          <w:color w:val="auto"/>
        </w:rPr>
        <w:t xml:space="preserve"> of the Loan Agreement;</w:t>
      </w:r>
    </w:p>
    <w:p>
      <w:pPr>
        <w:spacing w:after="0" w:line="161" w:lineRule="exact"/>
        <w:rPr>
          <w:rFonts w:ascii="Times New Roman" w:cs="Times New Roman" w:eastAsia="Times New Roman" w:hAnsi="Times New Roman"/>
          <w:sz w:val="18"/>
          <w:szCs w:val="18"/>
          <w:color w:val="auto"/>
        </w:rPr>
      </w:pPr>
    </w:p>
    <w:p>
      <w:pPr>
        <w:ind w:right="60" w:firstLine="921"/>
        <w:spacing w:after="0" w:line="282" w:lineRule="auto"/>
        <w:tabs>
          <w:tab w:leader="none" w:pos="1158"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notify the Mortgagee of the actual or constructive Total Loss of a Vessel or the agreed or compromised Total Loss of a Vessel, or the arrest, capture, condemnation, confiscation, registration, seizure or forfeiture of a Vessel;</w:t>
      </w:r>
    </w:p>
    <w:p>
      <w:pPr>
        <w:spacing w:after="0" w:line="161" w:lineRule="exact"/>
        <w:rPr>
          <w:rFonts w:ascii="Times New Roman" w:cs="Times New Roman" w:eastAsia="Times New Roman" w:hAnsi="Times New Roman"/>
          <w:sz w:val="18"/>
          <w:szCs w:val="18"/>
          <w:color w:val="auto"/>
        </w:rPr>
      </w:pPr>
    </w:p>
    <w:p>
      <w:pPr>
        <w:ind w:right="120" w:firstLine="921"/>
        <w:spacing w:after="0" w:line="282" w:lineRule="auto"/>
        <w:tabs>
          <w:tab w:leader="none" w:pos="1168"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keep each Vessel duly documented under the flag of the United States of America qualified to engage in the coastwise trade of the United States of America, and to do or suffer to be done nothing whereby such documentation or qualification may be forfeited or canceled;</w:t>
      </w:r>
    </w:p>
    <w:p>
      <w:pPr>
        <w:spacing w:after="0" w:line="161" w:lineRule="exact"/>
        <w:rPr>
          <w:rFonts w:ascii="Times New Roman" w:cs="Times New Roman" w:eastAsia="Times New Roman" w:hAnsi="Times New Roman"/>
          <w:sz w:val="18"/>
          <w:szCs w:val="18"/>
          <w:color w:val="auto"/>
        </w:rPr>
      </w:pPr>
    </w:p>
    <w:p>
      <w:pPr>
        <w:jc w:val="both"/>
        <w:ind w:right="140" w:firstLine="921"/>
        <w:spacing w:after="0" w:line="266" w:lineRule="auto"/>
        <w:tabs>
          <w:tab w:leader="none" w:pos="1158"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to remain a “citizen of the United States” within the meaning of Section 2 of the Shipping Act, 1916, as amended and recodified as 46 U.S.C. Section 50501, et. seq. and all regulations from time to time promulgated thereunder, eligible to document and operate vessels in the coastwise trade under the laws of the United States; and</w:t>
      </w:r>
    </w:p>
    <w:p>
      <w:pPr>
        <w:spacing w:after="0" w:line="176" w:lineRule="exact"/>
        <w:rPr>
          <w:rFonts w:ascii="Times New Roman" w:cs="Times New Roman" w:eastAsia="Times New Roman" w:hAnsi="Times New Roman"/>
          <w:sz w:val="18"/>
          <w:szCs w:val="18"/>
          <w:color w:val="auto"/>
        </w:rPr>
      </w:pPr>
    </w:p>
    <w:p>
      <w:pPr>
        <w:jc w:val="both"/>
        <w:ind w:right="80" w:firstLine="921"/>
        <w:spacing w:after="0" w:line="266" w:lineRule="auto"/>
        <w:tabs>
          <w:tab w:leader="none" w:pos="1138" w:val="left"/>
        </w:tabs>
        <w:numPr>
          <w:ilvl w:val="2"/>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place, and at all times and places to retain, a properly certified copy of this Mortgage, together with the following printed notice, on board each Vessel and to cause such certified copy and such Vessel’s marine documents to be exhibited to any and all Persons having business therewith that might give rise to any Lien thereon and to any representatives of the Mortgagee: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NOTICE OF MORTGAGE</w:t>
      </w:r>
    </w:p>
    <w:p>
      <w:pPr>
        <w:spacing w:after="0" w:line="225" w:lineRule="exact"/>
        <w:rPr>
          <w:sz w:val="20"/>
          <w:szCs w:val="20"/>
          <w:color w:val="auto"/>
        </w:rPr>
      </w:pPr>
    </w:p>
    <w:p>
      <w:pPr>
        <w:ind w:firstLine="456"/>
        <w:spacing w:after="0" w:line="269" w:lineRule="auto"/>
        <w:rPr>
          <w:sz w:val="20"/>
          <w:szCs w:val="20"/>
          <w:color w:val="auto"/>
        </w:rPr>
      </w:pPr>
      <w:r>
        <w:rPr>
          <w:rFonts w:ascii="Times New Roman" w:cs="Times New Roman" w:eastAsia="Times New Roman" w:hAnsi="Times New Roman"/>
          <w:sz w:val="17"/>
          <w:szCs w:val="17"/>
          <w:color w:val="auto"/>
        </w:rPr>
        <w:t>THIS VESSEL IS COVERED BY A FIRST PREFERRED FLEET MORTGAGE DATED NOVEMBER 4, 2014 IN FAVOR OF BANK OF AMERICA, N.A., AS ADMINISTRATIVE AGENT (THE “MORTGAGEE”), UNDER AUTHORITY OF CHAPTER 313, TITLE 46 OF THE UNITED STATES CODE. UNDER THE TERMS OF SAID MORTGAGE, NEITHER THE OWNER, ANY CHARTERER, THE MASTER OF THIS VESSEL NOR ANY OTHER PERSON HAS ANY RIGHT, POWER OR AUTHORITY TO CREATE, INCUR OR PERMIT TO BE PLACED OR IMPOSED UPON THIS VESSEL ANY LIEN WHATSOEVER OTHER THAN THE LIENS OF THE AFORESAID MORTGAGE AND LIENS FOR CURRENT CREW WAGES, GENERAL AVERAGE AND SALVAGE, LIENS COVERED BY VALID POLICIES OF INSURANCE AND LIENS PERMITTED BY SECTION 7.02(a)</w:t>
      </w:r>
    </w:p>
    <w:p>
      <w:pPr>
        <w:ind w:right="180"/>
        <w:spacing w:after="0" w:line="261" w:lineRule="auto"/>
        <w:rPr>
          <w:sz w:val="20"/>
          <w:szCs w:val="20"/>
          <w:color w:val="auto"/>
        </w:rPr>
      </w:pPr>
      <w:r>
        <w:rPr>
          <w:rFonts w:ascii="Times New Roman" w:cs="Times New Roman" w:eastAsia="Times New Roman" w:hAnsi="Times New Roman"/>
          <w:sz w:val="18"/>
          <w:szCs w:val="18"/>
          <w:color w:val="auto"/>
        </w:rPr>
        <w:t>OF THE LOAN AGREEMENT, AND LIENS INCURRED IN THE ORDINARY COURSE OF OPERATION OF THE VESSELS THAT ARE NOT YET DUE AND PAYABLE AND ARE IN EXISTENCE LESS THAN THIRTY (30) DAYS.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69" w:right="279" w:bottom="1440" w:gutter="0" w:footer="0" w:header="0"/>
        </w:sectPr>
      </w:pPr>
    </w:p>
    <w:bookmarkStart w:id="315" w:name="page316"/>
    <w:bookmarkEnd w:id="31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right="2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20" w:right="160" w:firstLine="464"/>
        <w:spacing w:after="0" w:line="266" w:lineRule="auto"/>
        <w:tabs>
          <w:tab w:leader="none" w:pos="61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xml:space="preserve">. If any Event of Default (as defined in the Loan Agreement) shall occur, the Mortgagee may do any or all of the following;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notwithstanding any other provision herein to the contrary, except to the extent permitted by law, no sale, transfer or other disposition of the Vessels or any interest therein may be made in violation of 46 U.S.C. Section 56101 and 46 U.S.C. Section 56102:</w:t>
      </w:r>
    </w:p>
    <w:p>
      <w:pPr>
        <w:spacing w:after="0" w:line="68" w:lineRule="exact"/>
        <w:rPr>
          <w:rFonts w:ascii="Times New Roman" w:cs="Times New Roman" w:eastAsia="Times New Roman" w:hAnsi="Times New Roman"/>
          <w:sz w:val="18"/>
          <w:szCs w:val="18"/>
          <w:color w:val="auto"/>
        </w:rPr>
      </w:pPr>
    </w:p>
    <w:p>
      <w:pPr>
        <w:ind w:left="-20" w:right="40" w:firstLine="921"/>
        <w:spacing w:after="0" w:line="266" w:lineRule="auto"/>
        <w:tabs>
          <w:tab w:leader="none" w:pos="113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payment of the Secured Indebtedness, by written notice to the Owner, whereupon such payment by the Owner to the Mortgagee shall be immediately due and payable without prejudice to any other rights and remedies of the Mortgagee (provided no demand or notices shall be required if an Event of Default shall have occurred with respect to the Owner under Sections 8.01(g) and 8.01(h) of the Loan Agreement);</w:t>
      </w:r>
    </w:p>
    <w:p>
      <w:pPr>
        <w:spacing w:after="0" w:line="176" w:lineRule="exact"/>
        <w:rPr>
          <w:rFonts w:ascii="Times New Roman" w:cs="Times New Roman" w:eastAsia="Times New Roman" w:hAnsi="Times New Roman"/>
          <w:sz w:val="18"/>
          <w:szCs w:val="18"/>
          <w:color w:val="auto"/>
        </w:rPr>
      </w:pPr>
    </w:p>
    <w:p>
      <w:pPr>
        <w:ind w:left="-20" w:firstLine="921"/>
        <w:spacing w:after="0" w:line="256" w:lineRule="auto"/>
        <w:tabs>
          <w:tab w:leader="none" w:pos="114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as often as may be necessary, take any action to protect the security created by this Mortgage and each and every expense or liability (including fees and expenses of counsel) so incurred by the Mortgagee in the protection of such security shall be repayable to the Mortgagee by the Owner on demand, together with interest thereon at the Default Rate from the date on which such expense or liability was incurred by the Mortgagee until full payment is received. The Owner promptly shall execute and deliver, or cause to be executed and delivered, to the Mortgagee such documents, if any, and shall promptly do and perform such acts, if any, as in the reasonable opinion of the Mortgagee or its counsel are necessary or advisable to facilitate or expedite the protection, maintenance and enforcement of the security created by this Mortgage;</w:t>
      </w:r>
    </w:p>
    <w:p>
      <w:pPr>
        <w:spacing w:after="0" w:line="187" w:lineRule="exact"/>
        <w:rPr>
          <w:rFonts w:ascii="Times New Roman" w:cs="Times New Roman" w:eastAsia="Times New Roman" w:hAnsi="Times New Roman"/>
          <w:sz w:val="18"/>
          <w:szCs w:val="18"/>
          <w:color w:val="auto"/>
        </w:rPr>
      </w:pPr>
    </w:p>
    <w:p>
      <w:pPr>
        <w:ind w:left="-20" w:right="520" w:firstLine="921"/>
        <w:spacing w:after="0" w:line="282" w:lineRule="auto"/>
        <w:tabs>
          <w:tab w:leader="none" w:pos="113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the rights and remedies in foreclosure and otherwise provided to mortgagees by any applicable law, including provisions of Chapter 313 or other Applicable Law, including the law of any jurisdiction where any Vessel may be found;</w:t>
      </w:r>
    </w:p>
    <w:p>
      <w:pPr>
        <w:spacing w:after="0" w:line="161" w:lineRule="exact"/>
        <w:rPr>
          <w:rFonts w:ascii="Times New Roman" w:cs="Times New Roman" w:eastAsia="Times New Roman" w:hAnsi="Times New Roman"/>
          <w:sz w:val="18"/>
          <w:szCs w:val="18"/>
          <w:color w:val="auto"/>
        </w:rPr>
      </w:pPr>
    </w:p>
    <w:p>
      <w:pPr>
        <w:ind w:left="-20" w:right="100" w:firstLine="921"/>
        <w:spacing w:after="0" w:line="266" w:lineRule="auto"/>
        <w:tabs>
          <w:tab w:leader="none" w:pos="114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possession of the Vessels, whether actually or constructively and/or otherwise to take control of the Vessels, wherever they may be, without prior demand and without legal process (when permissible under Applicable Law) and cause the Owner of the Vessels forthwith upon demand of the Mortgagee to surrender possession thereof to the Mortgagee as demanded;</w:t>
      </w:r>
    </w:p>
    <w:p>
      <w:pPr>
        <w:spacing w:after="0" w:line="176" w:lineRule="exact"/>
        <w:rPr>
          <w:rFonts w:ascii="Times New Roman" w:cs="Times New Roman" w:eastAsia="Times New Roman" w:hAnsi="Times New Roman"/>
          <w:sz w:val="18"/>
          <w:szCs w:val="18"/>
          <w:color w:val="auto"/>
        </w:rPr>
      </w:pPr>
    </w:p>
    <w:p>
      <w:pPr>
        <w:ind w:left="-20" w:firstLine="921"/>
        <w:spacing w:after="0" w:line="282" w:lineRule="auto"/>
        <w:tabs>
          <w:tab w:leader="none" w:pos="113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all policies, contracts and other records relating to the Insurances (including details of and correspondence concerning outstanding claims) be forthwith delivered to such adjusters, brokers or other insurers as the Mortgagee may nominate;</w:t>
      </w:r>
    </w:p>
    <w:p>
      <w:pPr>
        <w:spacing w:after="0" w:line="161" w:lineRule="exact"/>
        <w:rPr>
          <w:rFonts w:ascii="Times New Roman" w:cs="Times New Roman" w:eastAsia="Times New Roman" w:hAnsi="Times New Roman"/>
          <w:sz w:val="18"/>
          <w:szCs w:val="18"/>
          <w:color w:val="auto"/>
        </w:rPr>
      </w:pPr>
    </w:p>
    <w:p>
      <w:pPr>
        <w:ind w:left="-20" w:right="80" w:firstLine="921"/>
        <w:spacing w:after="0" w:line="266" w:lineRule="auto"/>
        <w:tabs>
          <w:tab w:leader="none" w:pos="111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recover, compromise and give a good discharge for all claims then outstanding or thereafter arising under the Insurances or any of them and to takeover or institute (if necessary using the name of the Owner) all such proceedings in connection therewith as the Mortgagee reasonably thinks fit and to permit the brokers through whom collection or recovery is effected to charge the usual brokerage therefor;</w:t>
      </w:r>
    </w:p>
    <w:p>
      <w:pPr>
        <w:spacing w:after="0" w:line="176" w:lineRule="exact"/>
        <w:rPr>
          <w:rFonts w:ascii="Times New Roman" w:cs="Times New Roman" w:eastAsia="Times New Roman" w:hAnsi="Times New Roman"/>
          <w:sz w:val="18"/>
          <w:szCs w:val="18"/>
          <w:color w:val="auto"/>
        </w:rPr>
      </w:pPr>
    </w:p>
    <w:p>
      <w:pPr>
        <w:ind w:left="-20" w:right="60" w:firstLine="921"/>
        <w:spacing w:after="0" w:line="282" w:lineRule="auto"/>
        <w:tabs>
          <w:tab w:leader="none" w:pos="114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compound, release or compromise claims against the Owner concerning the Vessels that have given or may give rise to any lien on the Vessels or that are or may be enforceable by proceedings against the Vessels;</w:t>
      </w:r>
    </w:p>
    <w:p>
      <w:pPr>
        <w:spacing w:after="0" w:line="161" w:lineRule="exact"/>
        <w:rPr>
          <w:rFonts w:ascii="Times New Roman" w:cs="Times New Roman" w:eastAsia="Times New Roman" w:hAnsi="Times New Roman"/>
          <w:sz w:val="18"/>
          <w:szCs w:val="18"/>
          <w:color w:val="auto"/>
        </w:rPr>
      </w:pPr>
    </w:p>
    <w:p>
      <w:pPr>
        <w:ind w:left="-20" w:right="220" w:firstLine="921"/>
        <w:spacing w:after="0" w:line="282" w:lineRule="auto"/>
        <w:tabs>
          <w:tab w:leader="none" w:pos="114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appropriate judicial, extra-judicial or administrative proceedings for the foreclosure of this Mortgage and/or for the enforcement of the rights of the Mortgagee hereunder, or otherwise recover judgment for any amount due on the Secured Indebtedness;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60" w:top="269" w:right="239" w:bottom="1440" w:gutter="0" w:footer="0" w:header="0"/>
        </w:sectPr>
      </w:pPr>
    </w:p>
    <w:bookmarkStart w:id="316" w:name="page317"/>
    <w:bookmarkEnd w:id="31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160" w:firstLine="921"/>
        <w:spacing w:after="0" w:line="266" w:lineRule="auto"/>
        <w:tabs>
          <w:tab w:leader="none" w:pos="112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the laws of the United States of America and other Applicable Law, sell the Vessels at public auction, free from any claim of or by the Owner of any nature whatsoever by first giving notice of the time and place of sale with a general description of the Vessels in the following manner:</w:t>
      </w:r>
    </w:p>
    <w:p>
      <w:pPr>
        <w:spacing w:after="0" w:line="68" w:lineRule="exact"/>
        <w:rPr>
          <w:rFonts w:ascii="Times New Roman" w:cs="Times New Roman" w:eastAsia="Times New Roman" w:hAnsi="Times New Roman"/>
          <w:sz w:val="18"/>
          <w:szCs w:val="18"/>
          <w:color w:val="auto"/>
        </w:rPr>
      </w:pPr>
    </w:p>
    <w:p>
      <w:pPr>
        <w:ind w:left="1700" w:hanging="208"/>
        <w:spacing w:after="0"/>
        <w:tabs>
          <w:tab w:leader="none" w:pos="170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publishing such notice for ten (10) consecutive days in a daily newspaper of general circulation published in New York City, New</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 and</w:t>
      </w:r>
    </w:p>
    <w:p>
      <w:pPr>
        <w:spacing w:after="0" w:line="206" w:lineRule="exact"/>
        <w:rPr>
          <w:rFonts w:ascii="Times New Roman" w:cs="Times New Roman" w:eastAsia="Times New Roman" w:hAnsi="Times New Roman"/>
          <w:sz w:val="18"/>
          <w:szCs w:val="18"/>
          <w:color w:val="auto"/>
        </w:rPr>
      </w:pPr>
    </w:p>
    <w:p>
      <w:pPr>
        <w:ind w:right="160" w:firstLine="1492"/>
        <w:spacing w:after="0" w:line="282" w:lineRule="auto"/>
        <w:tabs>
          <w:tab w:leader="none" w:pos="1748"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place of sale should not be New York City, New York, then also by publication of a similar notice in a daily newspaper, if any, published at the place of sale; and</w:t>
      </w:r>
    </w:p>
    <w:p>
      <w:pPr>
        <w:spacing w:after="0" w:line="161" w:lineRule="exact"/>
        <w:rPr>
          <w:rFonts w:ascii="Times New Roman" w:cs="Times New Roman" w:eastAsia="Times New Roman" w:hAnsi="Times New Roman"/>
          <w:sz w:val="18"/>
          <w:szCs w:val="18"/>
          <w:color w:val="auto"/>
        </w:rPr>
      </w:pPr>
    </w:p>
    <w:p>
      <w:pPr>
        <w:ind w:right="120" w:firstLine="1492"/>
        <w:spacing w:after="0" w:line="282" w:lineRule="auto"/>
        <w:tabs>
          <w:tab w:leader="none" w:pos="1798"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similar notice by telecopy confirmed by mail to the Owner at least ten (10) days before the date of sale as permitted by the laws of the United States of America and other applicable law.</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Such sale of the Vessels may be held at such place and at such time as the Mortgagee in such notices may have specified, or such sale may be adjourned by the Mortgagee from time to time by announcement at the time and place appointed for such sale or for such adjourned sale and without further notice or publication the Mortgagee may make such sale at the time and place to which the same shall be so adjourned. Such sale may be conducted without bringing the Vessels to the place designated for such sale and in such manner as the Mortgagee may deem advisable, and the Mortgagee or any other Secured Party may become the purchaser at such sale and shall have the right to credit on the purchase price any and all amounts due in respect of the Secured Indebtedness, as appropriate. Any sale made in accordance with the provisions of this subsection (i) above shall be deemed made in a commercially reasonable manner insofar as the Owner is concerned;</w:t>
      </w:r>
    </w:p>
    <w:p>
      <w:pPr>
        <w:spacing w:after="0" w:line="189" w:lineRule="exact"/>
        <w:rPr>
          <w:sz w:val="20"/>
          <w:szCs w:val="20"/>
          <w:color w:val="auto"/>
        </w:rPr>
      </w:pPr>
    </w:p>
    <w:p>
      <w:pPr>
        <w:ind w:right="100" w:firstLine="921"/>
        <w:spacing w:after="0" w:line="256" w:lineRule="auto"/>
        <w:tabs>
          <w:tab w:leader="none" w:pos="112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sale of the Vessels (either directly or indirectly), as permitted by the laws of the United States of America and other Applicable Law, manage, charter, lease, insure, maintain or repair the Vessels and employ or lay up the Vessels upon such terms, in such manner and for such period as the Mortgagee may reasonably deem expedient and for the purpose aforesaid the Mortgagee shall be entitled to do all acts and things incidental or conducive thereto and in particular to enter into such arrangements respecting the Vessels, their insurance, management, maintenance, repair, classification and employment in all respects as if the Mortgagee were the owner of the Vessels but without any obligations to take any action with respect to the Vessels and without any responsibility for any loss thereby incurred;</w:t>
      </w:r>
    </w:p>
    <w:p>
      <w:pPr>
        <w:spacing w:after="0" w:line="187" w:lineRule="exact"/>
        <w:rPr>
          <w:rFonts w:ascii="Times New Roman" w:cs="Times New Roman" w:eastAsia="Times New Roman" w:hAnsi="Times New Roman"/>
          <w:sz w:val="18"/>
          <w:szCs w:val="18"/>
          <w:color w:val="auto"/>
        </w:rPr>
      </w:pPr>
    </w:p>
    <w:p>
      <w:pPr>
        <w:jc w:val="both"/>
        <w:ind w:right="340" w:firstLine="921"/>
        <w:spacing w:after="0" w:line="266" w:lineRule="auto"/>
        <w:tabs>
          <w:tab w:leader="none" w:pos="116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from the Owner on demand any losses as may be incurred by the Mortgagee in the exercise of the power vested in the Mortgagee under subsection (j) hereof with interest thereon at the Default Rate from the date when such losses were incurred by the Mortgagee until full payment is received; and</w:t>
      </w:r>
    </w:p>
    <w:p>
      <w:pPr>
        <w:spacing w:after="0" w:line="176" w:lineRule="exact"/>
        <w:rPr>
          <w:rFonts w:ascii="Times New Roman" w:cs="Times New Roman" w:eastAsia="Times New Roman" w:hAnsi="Times New Roman"/>
          <w:sz w:val="18"/>
          <w:szCs w:val="18"/>
          <w:color w:val="auto"/>
        </w:rPr>
      </w:pPr>
    </w:p>
    <w:p>
      <w:pPr>
        <w:ind w:right="520" w:firstLine="921"/>
        <w:spacing w:after="0" w:line="266" w:lineRule="auto"/>
        <w:tabs>
          <w:tab w:leader="none" w:pos="112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from the Owner on demand all expenses, payments and disbursements (including fees and expenses of counsel) incurred by the Mortgagee in the exercise by it of any of the powers vested in it hereunder, together with interest thereon at the Default Rate from the date when such expenses, payments or disbursements were incurred by it until full payment is received;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0" w:right="239" w:bottom="1440" w:gutter="0" w:footer="0" w:header="0"/>
        </w:sectPr>
      </w:pPr>
    </w:p>
    <w:bookmarkStart w:id="317" w:name="page318"/>
    <w:bookmarkEnd w:id="31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 xml:space="preserve">PROVIDED, ALWAYS, that any sale by the Mortgagee of the Vessels or any shares therein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operate to divest all rights, title and interest of any nature whatsoever of the Owner, its successors and assigns, and all Persons claiming by, through or under the Owner in or to the Vessels or such shares so sold and upon such sale the purchaser shall not be bound to see or inquire whether the power of sale of the Mortgagee has arisen in the manner herein provided and the sale shall be deemed to be within the power of the Mortgagee and the receipt by the Mortgagee of the purchase money shall effectively discharge the purchaser, who shall not be concerned with the manner of application of the proceeds of the sale or be in any way answerable therefor. The Owner hereby irrevocably appoints the Mortgagee, for the benefit of the Secured Parties, the true and lawful attorney of the Owner, in its name and stead, to make all necessary transfers of the whole or any part of the Vessels in connection with a sale, use or other disposition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and for that purpose to execute all necessary instruments of assignment and transfer. Nevertheless, the Owner shall, if so requested by the Mortgagee, ratify and confirm any sale, assignment, transfer or delivery by executing and delivering such proper bill of sale, assignment, conveyance, instrument of transfer or other instrument as may be designated in such request.</w:t>
      </w:r>
    </w:p>
    <w:p>
      <w:pPr>
        <w:spacing w:after="0" w:line="186" w:lineRule="exact"/>
        <w:rPr>
          <w:sz w:val="20"/>
          <w:szCs w:val="20"/>
          <w:color w:val="auto"/>
        </w:rPr>
      </w:pPr>
    </w:p>
    <w:p>
      <w:pPr>
        <w:ind w:firstLine="464"/>
        <w:spacing w:after="0" w:line="255" w:lineRule="auto"/>
        <w:tabs>
          <w:tab w:leader="none" w:pos="63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Moneys</w:t>
      </w:r>
      <w:r>
        <w:rPr>
          <w:rFonts w:ascii="Times New Roman" w:cs="Times New Roman" w:eastAsia="Times New Roman" w:hAnsi="Times New Roman"/>
          <w:sz w:val="18"/>
          <w:szCs w:val="18"/>
          <w:color w:val="auto"/>
        </w:rPr>
        <w:t xml:space="preserve">. The proceeds of any sale made either under the power of sale hereby granted to the Mortgagee, for the benefit of the Secured Parties, or under a judgment or decree in any judicial proceeding for the foreclosure of this Mortgage, or proceeds arising from the enforcement of any remedy granted to the Mortgagee hereunder, or any net earnings arising from the management, charter or other use of the Vessels by the Mortgagee under any of the powers herein granted or the proceeds of any and all Insurances and any claims for damages on account of the Vessels or the Owner of any nature whatsoever and any net earnings of the Vessels from the operation of the Vessels by the Mortgagee under any of the powers herein granted or by law provided or any Requisition Compensation shall be applied as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the Loan Agreement. If the proceeds are insufficient to pay the amounts specified in paragraphs “First”, “Second”, “Third” and “Fourth”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of the Loan Agreement, the Mortgagee and other Secured Parties shall be entitled to collect the balance from the Owner or any other Person liable therefor.</w:t>
      </w:r>
    </w:p>
    <w:p>
      <w:pPr>
        <w:spacing w:after="0" w:line="185" w:lineRule="exact"/>
        <w:rPr>
          <w:rFonts w:ascii="Times New Roman" w:cs="Times New Roman" w:eastAsia="Times New Roman" w:hAnsi="Times New Roman"/>
          <w:sz w:val="18"/>
          <w:szCs w:val="18"/>
          <w:color w:val="auto"/>
        </w:rPr>
      </w:pPr>
    </w:p>
    <w:p>
      <w:pPr>
        <w:ind w:right="100" w:firstLine="464"/>
        <w:spacing w:after="0" w:line="255" w:lineRule="auto"/>
        <w:tabs>
          <w:tab w:leader="none" w:pos="63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and Cure</w:t>
      </w:r>
      <w:r>
        <w:rPr>
          <w:rFonts w:ascii="Times New Roman" w:cs="Times New Roman" w:eastAsia="Times New Roman" w:hAnsi="Times New Roman"/>
          <w:sz w:val="18"/>
          <w:szCs w:val="18"/>
          <w:color w:val="auto"/>
        </w:rPr>
        <w:t>. No delay or omission of the Mortgagee to exercise any right or power vested in it under this Mortgage shall impair such right or power or be construed as a waiver thereof or as an acquiescence in any default by the Owner hereunder or under the Loan Agreement, the Notes or any other Loan Document, nor shall the acceptance by the Mortgagee or any other Secured Party of any payments concerning this Mortgage from any source be deemed a waiver hereunder. However, if at any time after an Event of Default and before the actual sale of the Vessels by the Mortgagee or before any foreclosure proceedings, the Owner cures completely and promptly all Events of Default and pays promptly all expenses, advances and damages to the Mortgagee arising from such Events of Default, with interest at the Default Rate from the date when such expenses, advances and damages were incurred until full payment is received, then the Mortgagee may, in its sole discretion, accept such cure and payment and restore the Owner to its former position, but such action shall not affect any subsequent Event of Default or impair any rights consequent thereon.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69" w:right="259" w:bottom="1440" w:gutter="0" w:footer="0" w:header="0"/>
        </w:sectPr>
      </w:pPr>
    </w:p>
    <w:bookmarkStart w:id="318" w:name="page319"/>
    <w:bookmarkEnd w:id="31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right="2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both"/>
        <w:ind w:left="-40" w:right="20" w:firstLine="464"/>
        <w:spacing w:after="0" w:line="266" w:lineRule="auto"/>
        <w:tabs>
          <w:tab w:leader="none" w:pos="59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Mortgagee’s Powers</w:t>
      </w:r>
      <w:r>
        <w:rPr>
          <w:rFonts w:ascii="Times New Roman" w:cs="Times New Roman" w:eastAsia="Times New Roman" w:hAnsi="Times New Roman"/>
          <w:sz w:val="18"/>
          <w:szCs w:val="18"/>
          <w:color w:val="auto"/>
        </w:rPr>
        <w:t>. The Mortgagee shall be entitled at any time and as often as may be expedient to delegate all or any of the powers and discretions vested in it by this Mortgage (including the power vested in it by virtue of Section 10 hereof) in such manner and upon such terms and to such Persons as the Mortgagee in its absolute discretion may think fit.</w:t>
      </w:r>
    </w:p>
    <w:p>
      <w:pPr>
        <w:spacing w:after="0" w:line="176" w:lineRule="exact"/>
        <w:rPr>
          <w:rFonts w:ascii="Times New Roman" w:cs="Times New Roman" w:eastAsia="Times New Roman" w:hAnsi="Times New Roman"/>
          <w:sz w:val="18"/>
          <w:szCs w:val="18"/>
          <w:color w:val="auto"/>
        </w:rPr>
      </w:pPr>
    </w:p>
    <w:p>
      <w:pPr>
        <w:ind w:left="-40" w:right="20" w:firstLine="464"/>
        <w:spacing w:after="0" w:line="255" w:lineRule="auto"/>
        <w:tabs>
          <w:tab w:leader="none" w:pos="59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 Indemnity</w:t>
      </w:r>
      <w:r>
        <w:rPr>
          <w:rFonts w:ascii="Times New Roman" w:cs="Times New Roman" w:eastAsia="Times New Roman" w:hAnsi="Times New Roman"/>
          <w:sz w:val="18"/>
          <w:szCs w:val="18"/>
          <w:color w:val="auto"/>
        </w:rPr>
        <w:t xml:space="preserve">. Without prejudice to any other rights and remedies of the Mortgagee arising under this Mortgage, the Owner hereby agrees and undertakes to indemnify the Mortgagee and the other Secured Parties from and against any and all obligations and liabilities whatsoever and whensoever incurred by the Mortgagee or the other Secured Parties in the enforcement of the Mortgagee’s rights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bad faith or willful misconduct of such Indemnitee (or such Indemnitee’s Related Parties) or result from a claim brought by the Borrower or the Guarantor against an Indemnitee for breach in bad faith of such Indemnitee’s obligations hereunder or under any other Loan Document, if the Borrower or the Guarantor has obtained a final and nonappealable judgment in its favor on such claim as determined by a court of competent jurisdiction.</w:t>
      </w:r>
    </w:p>
    <w:p>
      <w:pPr>
        <w:spacing w:after="0" w:line="185" w:lineRule="exact"/>
        <w:rPr>
          <w:rFonts w:ascii="Times New Roman" w:cs="Times New Roman" w:eastAsia="Times New Roman" w:hAnsi="Times New Roman"/>
          <w:sz w:val="18"/>
          <w:szCs w:val="18"/>
          <w:color w:val="auto"/>
        </w:rPr>
      </w:pPr>
    </w:p>
    <w:p>
      <w:pPr>
        <w:ind w:left="700" w:hanging="276"/>
        <w:spacing w:after="0"/>
        <w:tabs>
          <w:tab w:leader="none" w:pos="7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firstLine="921"/>
        <w:spacing w:after="0" w:line="254" w:lineRule="auto"/>
        <w:tabs>
          <w:tab w:leader="none" w:pos="111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hereby irrevocably appoints the Mortgagee, for the benefit of the Secured Parties, as its attorney-in-fact (which appointment is irrevocable and coupled with an interest) for the duration of the term hereof to do in the name of the Owner or in the Mortgagee’s own name while an Event of Default has occurred and is continuing, all acts that the Owner, or its successors or assigns, could do in relation to the Vessels, including, without limitation, to demand, collect, receive, compromise, settle and sue for (insofar as the Mortgagee lawfully may), all amounts due from underwriters under the Insurances as payment for losses or as return of premiums or otherwise, salvage awards and recoveries, in general average or otherwise, and all other sums due or to become due to the Owner or arising from the Vessels, and to make, give and execute in the name of the Owner acquittance, receipts, releases, or other discharges for the same, whether under seal or otherwise, to take possession of, sell or otherwise dispose of or manage or employ the Vessels, to execute and deliver charters and a bill of sale for the Vessels, and to endorse and accept in the name of the Owner all checks, notes, drafts, warrants, agreements and all other instruments in writing with respect to the foregoing.</w:t>
      </w:r>
    </w:p>
    <w:p>
      <w:pPr>
        <w:spacing w:after="0" w:line="189" w:lineRule="exact"/>
        <w:rPr>
          <w:rFonts w:ascii="Times New Roman" w:cs="Times New Roman" w:eastAsia="Times New Roman" w:hAnsi="Times New Roman"/>
          <w:sz w:val="18"/>
          <w:szCs w:val="18"/>
          <w:color w:val="auto"/>
        </w:rPr>
      </w:pPr>
    </w:p>
    <w:p>
      <w:pPr>
        <w:ind w:left="-40" w:right="60" w:firstLine="921"/>
        <w:spacing w:after="0" w:line="261" w:lineRule="auto"/>
        <w:tabs>
          <w:tab w:leader="none" w:pos="112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by or on behalf of the Mortgagee of the power granted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not require any Person dealing with the Mortgagee to conduct any inquiry as to whether any Event of Default has occurred, nor shall such Person be in any way affected by notice that any Event of Default does not exist, and the exercise by the Mortgagee of such power shall, with regard to such Person, be conclusive evidence of the Mortgagee’s right to exercise the same.</w:t>
      </w:r>
    </w:p>
    <w:p>
      <w:pPr>
        <w:spacing w:after="0" w:line="180" w:lineRule="exact"/>
        <w:rPr>
          <w:rFonts w:ascii="Times New Roman" w:cs="Times New Roman" w:eastAsia="Times New Roman" w:hAnsi="Times New Roman"/>
          <w:sz w:val="18"/>
          <w:szCs w:val="18"/>
          <w:color w:val="auto"/>
        </w:rPr>
      </w:pPr>
    </w:p>
    <w:p>
      <w:pPr>
        <w:ind w:left="-40" w:right="20" w:firstLine="464"/>
        <w:spacing w:after="0" w:line="282" w:lineRule="auto"/>
        <w:tabs>
          <w:tab w:leader="none" w:pos="6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Arrest by a Third Party</w:t>
      </w:r>
      <w:r>
        <w:rPr>
          <w:rFonts w:ascii="Times New Roman" w:cs="Times New Roman" w:eastAsia="Times New Roman" w:hAnsi="Times New Roman"/>
          <w:sz w:val="18"/>
          <w:szCs w:val="18"/>
          <w:color w:val="auto"/>
        </w:rPr>
        <w:t>. If an Event of Default shall have occurred and be continuing and one or more of the Vessels shall be arrested or detained by a marshal or other officer of any court of law, equity or admiralty jurisdiction in any country of the world or by 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80" w:top="270" w:right="259" w:bottom="1440" w:gutter="0" w:footer="0" w:header="0"/>
        </w:sectPr>
      </w:pPr>
    </w:p>
    <w:bookmarkStart w:id="319" w:name="page320"/>
    <w:bookmarkEnd w:id="31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government or other authority and shall not be released from arrest or detention within thirty (30) days from the date of arrest or detention, the Owner hereby authorizes the Mortgagee, in the name of the Owner, to apply for and receive possession of and to take possession of such Vessel(s) with all of the rights and powers that the Owner might have, possess and exercise in any such event. This authorization is irrevocable and coupled with an interest.</w:t>
      </w:r>
    </w:p>
    <w:p>
      <w:pPr>
        <w:spacing w:after="0" w:line="176" w:lineRule="exact"/>
        <w:rPr>
          <w:sz w:val="20"/>
          <w:szCs w:val="20"/>
          <w:color w:val="auto"/>
        </w:rPr>
      </w:pPr>
    </w:p>
    <w:p>
      <w:pPr>
        <w:ind w:right="100" w:firstLine="464"/>
        <w:spacing w:after="0" w:line="258" w:lineRule="auto"/>
        <w:tabs>
          <w:tab w:leader="none" w:pos="72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Mortgagee shall have the right to commence proceedings in the courts of any country having jurisdiction over any Vessel. In particular, the Mortgagee shall have the right to arrest and take action against the Vessels at whatever places the Vessels shall be found lying and for the purpose of any such action, before the local court or other judicial authority with jurisdiction over the Vessels. The Owner agrees that for the purpose of proceedings against the Vessels, any writ, notice, judgment or other legal process or documents may be served upon the respective Masters of the Vessels (or upon anyone acting as the Master) and that such service shall be deemed good service on the Owner for all purposes.</w:t>
      </w:r>
    </w:p>
    <w:p>
      <w:pPr>
        <w:spacing w:after="0" w:line="183" w:lineRule="exact"/>
        <w:rPr>
          <w:rFonts w:ascii="Times New Roman" w:cs="Times New Roman" w:eastAsia="Times New Roman" w:hAnsi="Times New Roman"/>
          <w:sz w:val="18"/>
          <w:szCs w:val="18"/>
          <w:color w:val="auto"/>
        </w:rPr>
      </w:pPr>
    </w:p>
    <w:p>
      <w:pPr>
        <w:ind w:right="100" w:firstLine="464"/>
        <w:spacing w:after="0" w:line="258" w:lineRule="auto"/>
        <w:tabs>
          <w:tab w:leader="none" w:pos="72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 Provisions</w:t>
      </w:r>
      <w:r>
        <w:rPr>
          <w:rFonts w:ascii="Times New Roman" w:cs="Times New Roman" w:eastAsia="Times New Roman" w:hAnsi="Times New Roman"/>
          <w:sz w:val="18"/>
          <w:szCs w:val="18"/>
          <w:color w:val="auto"/>
        </w:rPr>
        <w:t>. If any provision or provisions of this Mortgage shall be declared invalid, void or otherwise inoperative by any present or future court of competent jurisdiction in any country, the Owner will, without prejudice to any other right and remedy of the Mortgagee under this Mortgage, execute and deliver such other and further instruments and do such things as in the opinion of the Mortgagee or its counsel will be necessary or advisable to carry out the intent and spirit of this Mortgage. In any event, any such declaration of partial invalidity shall not affect the validity of any other provision or provisions of this Mortgage, which shall remain in full force and effect, or the validity of this Mortgage as a whole.</w:t>
      </w:r>
    </w:p>
    <w:p>
      <w:pPr>
        <w:spacing w:after="0" w:line="183" w:lineRule="exact"/>
        <w:rPr>
          <w:rFonts w:ascii="Times New Roman" w:cs="Times New Roman" w:eastAsia="Times New Roman" w:hAnsi="Times New Roman"/>
          <w:sz w:val="18"/>
          <w:szCs w:val="18"/>
          <w:color w:val="auto"/>
        </w:rPr>
      </w:pPr>
    </w:p>
    <w:p>
      <w:pPr>
        <w:jc w:val="both"/>
        <w:ind w:right="460" w:firstLine="464"/>
        <w:spacing w:after="0" w:line="266" w:lineRule="auto"/>
        <w:tabs>
          <w:tab w:leader="none" w:pos="72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w:t>
      </w:r>
      <w:r>
        <w:rPr>
          <w:rFonts w:ascii="Times New Roman" w:cs="Times New Roman" w:eastAsia="Times New Roman" w:hAnsi="Times New Roman"/>
          <w:sz w:val="18"/>
          <w:szCs w:val="18"/>
          <w:color w:val="auto"/>
        </w:rPr>
        <w:t>. The Owner hereby further undertakes at its own expense to execute, sign, perfect, do and (if required), register every such further assurance, document, act or thing reasonably requested by the Mortgagee for the purpose of maintaining or perfecting or exercising the security constituted by this Mortgage.</w:t>
      </w:r>
    </w:p>
    <w:p>
      <w:pPr>
        <w:spacing w:after="0" w:line="176" w:lineRule="exact"/>
        <w:rPr>
          <w:rFonts w:ascii="Times New Roman" w:cs="Times New Roman" w:eastAsia="Times New Roman" w:hAnsi="Times New Roman"/>
          <w:sz w:val="18"/>
          <w:szCs w:val="18"/>
          <w:color w:val="auto"/>
        </w:rPr>
      </w:pPr>
    </w:p>
    <w:p>
      <w:pPr>
        <w:ind w:right="100" w:firstLine="464"/>
        <w:spacing w:after="0" w:line="258" w:lineRule="auto"/>
        <w:tabs>
          <w:tab w:leader="none" w:pos="72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Each and every power and remedy in this Mortgage specifically given to the Mortgagee shall be in addition to every other power and remedy herein specifically given or now or hereafter existing at law, in equity, admiralty, or by statute, and each and every power and remedy, whether specifically in this Mortgage given or otherwise existing, may be exercised from time to time and as often and in such order as may be deemed expedient by the Mortgagee, and the exercise or the commencement of the exercise of any such power or remedy shall not be construed to be a waiver of the right to exercise at the same time or thereafter any other power or remedy under this Mortgage.</w:t>
      </w:r>
    </w:p>
    <w:p>
      <w:pPr>
        <w:spacing w:after="0" w:line="183" w:lineRule="exact"/>
        <w:rPr>
          <w:rFonts w:ascii="Times New Roman" w:cs="Times New Roman" w:eastAsia="Times New Roman" w:hAnsi="Times New Roman"/>
          <w:sz w:val="18"/>
          <w:szCs w:val="18"/>
          <w:color w:val="auto"/>
        </w:rPr>
      </w:pPr>
    </w:p>
    <w:p>
      <w:pPr>
        <w:ind w:right="360" w:firstLine="464"/>
        <w:spacing w:after="0" w:line="282" w:lineRule="auto"/>
        <w:tabs>
          <w:tab w:leader="none" w:pos="72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of Mortgage</w:t>
      </w:r>
      <w:r>
        <w:rPr>
          <w:rFonts w:ascii="Times New Roman" w:cs="Times New Roman" w:eastAsia="Times New Roman" w:hAnsi="Times New Roman"/>
          <w:sz w:val="18"/>
          <w:szCs w:val="18"/>
          <w:color w:val="auto"/>
        </w:rPr>
        <w:t>. The total amount of obligations secured this Mortgage is Fifty Million United States Dollars ($50,000,000) (exclusive of interest, fees, costs and expenses). The discharge amount is the same as the total amount.</w:t>
      </w:r>
    </w:p>
    <w:p>
      <w:pPr>
        <w:spacing w:after="0" w:line="161" w:lineRule="exact"/>
        <w:rPr>
          <w:rFonts w:ascii="Times New Roman" w:cs="Times New Roman" w:eastAsia="Times New Roman" w:hAnsi="Times New Roman"/>
          <w:sz w:val="18"/>
          <w:szCs w:val="18"/>
          <w:color w:val="auto"/>
        </w:rPr>
      </w:pPr>
    </w:p>
    <w:p>
      <w:pPr>
        <w:ind w:firstLine="464"/>
        <w:spacing w:after="0" w:line="266" w:lineRule="auto"/>
        <w:tabs>
          <w:tab w:leader="none" w:pos="72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Status</w:t>
      </w:r>
      <w:r>
        <w:rPr>
          <w:rFonts w:ascii="Times New Roman" w:cs="Times New Roman" w:eastAsia="Times New Roman" w:hAnsi="Times New Roman"/>
          <w:sz w:val="18"/>
          <w:szCs w:val="18"/>
          <w:color w:val="auto"/>
        </w:rPr>
        <w:t>. Anything herein to the contrary notwithstanding, it is intended that nothing herein shall waive the preferred status of this Mortgage and that, if any provision or portion of this Mortgage shall be construed to waive its preferred status, then such provision or portion to such extent shall be void and of no effect.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0" w:right="259" w:bottom="1440" w:gutter="0" w:footer="0" w:header="0"/>
        </w:sectPr>
      </w:pPr>
    </w:p>
    <w:bookmarkStart w:id="320" w:name="page321"/>
    <w:bookmarkEnd w:id="320"/>
    <w:p>
      <w:pPr>
        <w:jc w:val="center"/>
        <w:ind w:right="-3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80" w:right="4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220" w:firstLine="464"/>
        <w:spacing w:after="0" w:line="261" w:lineRule="auto"/>
        <w:tabs>
          <w:tab w:leader="none" w:pos="72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and other communications required or permitted by this Mortgage shall, until further notice in writing of a change therein, be in writing and shall be deemed to be duly given or made when delivered (in the case of personal delivery or letter) and when dispatched (in the case of facsimile) to such party addressed to it at the address stated below (or at such address as such party may hereafter specify for such purpose to the other by notice in writing):</w:t>
      </w:r>
    </w:p>
    <w:p>
      <w:pPr>
        <w:sectPr>
          <w:pgSz w:w="11900" w:h="16838" w:orient="portrait"/>
          <w:cols w:equalWidth="0" w:num="1">
            <w:col w:w="11380"/>
          </w:cols>
          <w:pgMar w:left="240" w:top="270" w:right="279" w:bottom="1440" w:gutter="0" w:footer="0" w:header="0"/>
        </w:sectPr>
      </w:pP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If to the Owner: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Great Lakes Dredge &amp; Dock Company,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2122 York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 Brook, IL 60523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Mark W. Marinko</w:t>
      </w:r>
    </w:p>
    <w:p>
      <w:pPr>
        <w:spacing w:after="0" w:line="2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(630) 574-3007</w:t>
      </w:r>
    </w:p>
    <w:p>
      <w:pPr>
        <w:spacing w:after="0" w:line="200" w:lineRule="exact"/>
        <w:rPr>
          <w:sz w:val="20"/>
          <w:szCs w:val="20"/>
          <w:color w:val="auto"/>
        </w:rPr>
      </w:pPr>
    </w:p>
    <w:p>
      <w:pPr>
        <w:sectPr>
          <w:pgSz w:w="11900" w:h="16838" w:orient="portrait"/>
          <w:cols w:equalWidth="0" w:num="2">
            <w:col w:w="4160" w:space="720"/>
            <w:col w:w="6500"/>
          </w:cols>
          <w:pgMar w:left="240" w:top="270" w:right="279" w:bottom="1440" w:gutter="0" w:footer="0" w:header="0"/>
          <w:type w:val="continuous"/>
        </w:sectPr>
      </w:pP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Jenner &amp; Block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353 N. Clark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Brian S. Hart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Facsimile: (312) 923-2718</w:t>
      </w:r>
    </w:p>
    <w:p>
      <w:pPr>
        <w:spacing w:after="0" w:line="200" w:lineRule="exact"/>
        <w:rPr>
          <w:sz w:val="20"/>
          <w:szCs w:val="20"/>
          <w:color w:val="auto"/>
        </w:rPr>
      </w:pPr>
    </w:p>
    <w:p>
      <w:pPr>
        <w:sectPr>
          <w:pgSz w:w="11900" w:h="16838" w:orient="portrait"/>
          <w:cols w:equalWidth="0" w:num="2">
            <w:col w:w="4160" w:space="720"/>
            <w:col w:w="6500"/>
          </w:cols>
          <w:pgMar w:left="240" w:top="270" w:right="279" w:bottom="1440" w:gutter="0" w:footer="0" w:header="0"/>
          <w:type w:val="continuous"/>
        </w:sectPr>
      </w:pP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If to the Mortgagee: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 as Administrative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901 Main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75202-3714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Diana Lopez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(214) 290-8384</w:t>
      </w:r>
    </w:p>
    <w:p>
      <w:pPr>
        <w:spacing w:after="0" w:line="200" w:lineRule="exact"/>
        <w:rPr>
          <w:sz w:val="20"/>
          <w:szCs w:val="20"/>
          <w:color w:val="auto"/>
        </w:rPr>
      </w:pPr>
    </w:p>
    <w:p>
      <w:pPr>
        <w:sectPr>
          <w:pgSz w:w="11900" w:h="16838" w:orient="portrait"/>
          <w:cols w:equalWidth="0" w:num="2">
            <w:col w:w="4160" w:space="720"/>
            <w:col w:w="6500"/>
          </w:cols>
          <w:pgMar w:left="240" w:top="270" w:right="279" w:bottom="1440" w:gutter="0" w:footer="0" w:header="0"/>
          <w:type w:val="continuous"/>
        </w:sectPr>
      </w:pPr>
    </w:p>
    <w:p>
      <w:pPr>
        <w:spacing w:after="0" w:line="2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 written notice includes a notice by facsimile. A notice or other communication received on a non-working day or after business hours in the place of receipt, shall be deemed to be served on the next following working day in such place.</w:t>
      </w:r>
    </w:p>
    <w:p>
      <w:pPr>
        <w:spacing w:after="0" w:line="162" w:lineRule="exact"/>
        <w:rPr>
          <w:sz w:val="20"/>
          <w:szCs w:val="20"/>
          <w:color w:val="auto"/>
        </w:rPr>
      </w:pPr>
    </w:p>
    <w:p>
      <w:pPr>
        <w:jc w:val="both"/>
        <w:ind w:firstLine="464"/>
        <w:spacing w:after="0" w:line="266" w:lineRule="auto"/>
        <w:tabs>
          <w:tab w:leader="none" w:pos="72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 Bound</w:t>
      </w:r>
      <w:r>
        <w:rPr>
          <w:rFonts w:ascii="Times New Roman" w:cs="Times New Roman" w:eastAsia="Times New Roman" w:hAnsi="Times New Roman"/>
          <w:sz w:val="18"/>
          <w:szCs w:val="18"/>
          <w:color w:val="auto"/>
        </w:rPr>
        <w:t>. All the covenants, promises, stipulations and agreements of the Owner and all the rights and remedies of the Mortgagee contained in this Mortgage shall bind the Owner, its successors and assigns, and shall inure to the benefit of the Mortgagee, for the benefit of the Secured Parties and their respective successors and assigns, whether or not so expressed.</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70" w:right="279" w:bottom="1440" w:gutter="0" w:footer="0" w:header="0"/>
          <w:type w:val="continuous"/>
        </w:sectPr>
      </w:pPr>
    </w:p>
    <w:bookmarkStart w:id="321" w:name="page322"/>
    <w:bookmarkEnd w:id="321"/>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60" w:right="180" w:firstLine="464"/>
        <w:spacing w:after="0" w:line="266" w:lineRule="auto"/>
        <w:tabs>
          <w:tab w:leader="none" w:pos="66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Demand</w:t>
      </w:r>
      <w:r>
        <w:rPr>
          <w:rFonts w:ascii="Times New Roman" w:cs="Times New Roman" w:eastAsia="Times New Roman" w:hAnsi="Times New Roman"/>
          <w:sz w:val="18"/>
          <w:szCs w:val="18"/>
          <w:color w:val="auto"/>
        </w:rPr>
        <w:t>. The Owner hereby expressly waives demand and presentment for payment, notice of nonpayment, protest, notice of protest, notice of dishonor, bringing of suit, and diligence in taking any action to collect amounts called for under this Mortgage or the Notes and in the handling of collateral for the Notes at any time in connection herewith and therewith.</w:t>
      </w:r>
    </w:p>
    <w:p>
      <w:pPr>
        <w:spacing w:after="0" w:line="176" w:lineRule="exact"/>
        <w:rPr>
          <w:rFonts w:ascii="Times New Roman" w:cs="Times New Roman" w:eastAsia="Times New Roman" w:hAnsi="Times New Roman"/>
          <w:sz w:val="18"/>
          <w:szCs w:val="18"/>
          <w:color w:val="auto"/>
        </w:rPr>
      </w:pPr>
    </w:p>
    <w:p>
      <w:pPr>
        <w:ind w:left="-60" w:firstLine="464"/>
        <w:spacing w:after="0" w:line="255" w:lineRule="auto"/>
        <w:tabs>
          <w:tab w:leader="none" w:pos="66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Owner shall reimburse the Mortgagee for all reasonable and documented out-of-pocket costs and expenses, which the Mortgagee may from time to time incur, lay out or expend during the existence of an Event of Default, together with interest at the Default Rate in insuring the Vessels, discharging liens, paying taxes, dues, assessments, governmental charges, fines and penalties that may be lawfully imposed, making repairs or in performing any other duty that the Owner is obligated to perform hereunder, but otherwise fails to perform. The obligation to reimburse the Mortgagee for such costs and expenses shall be a Secured Indebtedness due from the Owner, secured by this Mortgage, and shall be payable by the Owner on demand. The Mortgagee, though privileged so to do, shall be under no obligation to make any such expenditures, nor shall the making thereof relieve the Owner of any default in that respect.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00"/>
          </w:cols>
          <w:pgMar w:left="300" w:top="270" w:right="299" w:bottom="1440" w:gutter="0" w:footer="0" w:header="0"/>
        </w:sectPr>
      </w:pPr>
    </w:p>
    <w:bookmarkStart w:id="322" w:name="page323"/>
    <w:bookmarkEnd w:id="322"/>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IN WITNESS WHEREOF, the Owner has executed this Mortgage by its duly authorized officer effective as of the day, month and year first above written.</w:t>
      </w:r>
    </w:p>
    <w:p>
      <w:pPr>
        <w:spacing w:after="0" w:line="18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GREAT LAKES DREDGE &amp; DOCK COMPANY, LLC</w:t>
      </w:r>
    </w:p>
    <w:p>
      <w:pPr>
        <w:spacing w:after="0" w:line="225" w:lineRule="exact"/>
        <w:rPr>
          <w:sz w:val="20"/>
          <w:szCs w:val="20"/>
          <w:color w:val="auto"/>
        </w:rPr>
      </w:pPr>
    </w:p>
    <w:p>
      <w:pPr>
        <w:ind w:left="572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Mark W. Marinko</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ACKNOWLEDGMENT</w:t>
      </w:r>
    </w:p>
    <w:p>
      <w:pPr>
        <w:sectPr>
          <w:pgSz w:w="11900" w:h="16838" w:orient="portrait"/>
          <w:cols w:equalWidth="0" w:num="1">
            <w:col w:w="11340"/>
          </w:cols>
          <w:pgMar w:left="240" w:top="269" w:right="319" w:bottom="1440" w:gutter="0" w:footer="0" w:header="0"/>
        </w:sectPr>
      </w:pPr>
    </w:p>
    <w:p>
      <w:pPr>
        <w:spacing w:after="0" w:line="252" w:lineRule="exact"/>
        <w:rPr>
          <w:sz w:val="20"/>
          <w:szCs w:val="20"/>
          <w:color w:val="auto"/>
        </w:rPr>
      </w:pPr>
    </w:p>
    <w:p>
      <w:pPr>
        <w:ind w:right="60"/>
        <w:spacing w:after="0" w:line="530" w:lineRule="auto"/>
        <w:rPr>
          <w:sz w:val="20"/>
          <w:szCs w:val="20"/>
          <w:color w:val="auto"/>
        </w:rPr>
      </w:pPr>
      <w:r>
        <w:rPr>
          <w:rFonts w:ascii="Times New Roman" w:cs="Times New Roman" w:eastAsia="Times New Roman" w:hAnsi="Times New Roman"/>
          <w:sz w:val="17"/>
          <w:szCs w:val="17"/>
          <w:color w:val="auto"/>
        </w:rPr>
        <w:t>STATE OF ILLINOIS COUNTY OF DUPAGE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w:t>
      </w:r>
    </w:p>
    <w:p>
      <w:pPr>
        <w:spacing w:after="0" w:line="441" w:lineRule="exact"/>
        <w:rPr>
          <w:sz w:val="20"/>
          <w:szCs w:val="20"/>
          <w:color w:val="auto"/>
        </w:rPr>
      </w:pPr>
    </w:p>
    <w:p>
      <w:pPr>
        <w:sectPr>
          <w:pgSz w:w="11900" w:h="16838" w:orient="portrait"/>
          <w:cols w:equalWidth="0" w:num="3">
            <w:col w:w="1840" w:space="720"/>
            <w:col w:w="60" w:space="100"/>
            <w:col w:w="8620"/>
          </w:cols>
          <w:pgMar w:left="240" w:top="269" w:right="319" w:bottom="1440" w:gutter="0" w:footer="0" w:header="0"/>
          <w:type w:val="continuous"/>
        </w:sectPr>
      </w:pPr>
    </w:p>
    <w:p>
      <w:pPr>
        <w:ind w:right="260" w:firstLine="913"/>
        <w:spacing w:after="0" w:line="313" w:lineRule="auto"/>
        <w:rPr>
          <w:sz w:val="20"/>
          <w:szCs w:val="20"/>
          <w:color w:val="auto"/>
        </w:rPr>
      </w:pPr>
      <w:r>
        <w:rPr>
          <w:rFonts w:ascii="Times New Roman" w:cs="Times New Roman" w:eastAsia="Times New Roman" w:hAnsi="Times New Roman"/>
          <w:sz w:val="17"/>
          <w:szCs w:val="17"/>
          <w:color w:val="auto"/>
        </w:rPr>
        <w:t>The foregoing instrument was acknowledged before me this 4</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day of November, 2014, by Mark W. Marinko, the Senior Vice President and Chief Financial Officer of GREAT LAKES DREDGE &amp; DOCK COMPANY, LLC, a Delaware limited liability company, on behalf of the company.</w:t>
      </w:r>
    </w:p>
    <w:p>
      <w:pPr>
        <w:spacing w:after="0" w:line="13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Notary Public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OFFICIAL SEAL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JENNIFER LYNN BEITZEL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NOTARY PUBLIC - STATE OF ILLINOIS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MY COMMISSION EXPIRES 09/27/16</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Jennifer Lynn Beitzel</w:t>
      </w:r>
    </w:p>
    <w:p>
      <w:pPr>
        <w:sectPr>
          <w:pgSz w:w="11900" w:h="16838" w:orient="portrait"/>
          <w:cols w:equalWidth="0" w:num="1">
            <w:col w:w="11340"/>
          </w:cols>
          <w:pgMar w:left="240" w:top="269" w:right="319" w:bottom="1440" w:gutter="0" w:footer="0" w:header="0"/>
          <w:type w:val="continuous"/>
        </w:sectPr>
      </w:pPr>
    </w:p>
    <w:bookmarkStart w:id="323" w:name="page324"/>
    <w:bookmarkEnd w:id="323"/>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Attached)</w:t>
      </w:r>
    </w:p>
    <w:p>
      <w:pPr>
        <w:sectPr>
          <w:pgSz w:w="11900" w:h="16838" w:orient="portrait"/>
          <w:cols w:equalWidth="0" w:num="1">
            <w:col w:w="11260"/>
          </w:cols>
          <w:pgMar w:left="320" w:top="269" w:right="319" w:bottom="1440" w:gutter="0" w:footer="0" w:header="0"/>
        </w:sectPr>
      </w:pPr>
    </w:p>
    <w:bookmarkStart w:id="324" w:name="page325"/>
    <w:bookmarkEnd w:id="324"/>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Guaranty</w:t>
      </w:r>
    </w:p>
    <w:p>
      <w:pPr>
        <w:sectPr>
          <w:pgSz w:w="11900" w:h="16838" w:orient="portrait"/>
          <w:cols w:equalWidth="0" w:num="1">
            <w:col w:w="11260"/>
          </w:cols>
          <w:pgMar w:left="320" w:top="270" w:right="319" w:bottom="1440" w:gutter="0" w:footer="0" w:header="0"/>
        </w:sectPr>
      </w:pPr>
    </w:p>
    <w:bookmarkStart w:id="325" w:name="page326"/>
    <w:bookmarkEnd w:id="32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COPY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GUARANTY</w:t>
      </w:r>
    </w:p>
    <w:p>
      <w:pPr>
        <w:spacing w:after="0" w:line="229"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THIS GUARANTY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dated as of November 4, 2014, is made by Great Lakes Dredge &amp; Dock Company, LLC, a Delaware limited liability company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for the benefit of Bank of America, N.A.,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each of the other Secured Parties (as defined in the hereinafter defined Loan Agreement). Capitalized terms used herein shall, unless otherwise defined herein, have the meanings provided in the Loan Agreement referred to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Guarantor is a direct, wholly-owned subsidiary of Great Lakes Dredge &amp; Dock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WHEREAS, the Borrower has entered into that certain Loan and Security Agreement dated as of November 4, 2014 by and among the Borrower, Guarantor, the financial institutions from time to time party thereto as Lenders and the Administrative Agent (as the same may be amended, restated, supplemented or otherwise modified from time to time in writing,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under which loans and other financial accommodations heretofore have been and may hereafter be made to or for the benefit of the Borrower; and</w:t>
      </w:r>
    </w:p>
    <w:p>
      <w:pPr>
        <w:spacing w:after="0" w:line="18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WHEREAS, it is a condition precedent to the Lenders and the Administrative Agent entering into the Loan Agreement that Guarantor guaranty the obligations of the Borrower under the Loan Agreement and the other Loan Documents;</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NOW, THEREFORE, in order to induce the Administrative Agent and the Lenders to enter into the Loan Agreement, and for other good and valuable consideration, the receipt of which is hereby acknowledged, Guarantor hereby agrees as follows:</w:t>
      </w:r>
    </w:p>
    <w:p>
      <w:pPr>
        <w:spacing w:after="0" w:line="5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Guarantor hereby unconditionally and irrevocably guarantees to the Administrative Agent and each of the other Secured Parties, as a primary obligor and not merely as a surety, (i) the due, regular and punctual performance of the obligations of the Borrower arising under or pursuant to the Loan Documents and (ii) the due and punctual payment when due of any and all sums which are now or hereafter imposed on or payable by the Borrower pursuant to any provisions of the Loan Documents, including without limitation all Secured Obligations (all such payment and performance obligations being collectively referred to as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Guarantor does hereby further guarantee to pay upon demand all losses, costs, attorneys’ fees and expenses which may be incurred by reason of any Event of Default.</w:t>
      </w:r>
    </w:p>
    <w:p>
      <w:pPr>
        <w:spacing w:after="0" w:line="18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This Guaranty is a guaranty of prompt payment and performance (and not merely a guaranty of collection). Nothing herein shall require any Person to first seek or exhaust any remedy against the Borrower, its successors and assigns, or any other person obligated with respect to the Obligations, or to first foreclose, exhaust or otherwise proceed against any collateral or security which may be given in connection with the Obligations. It is agreed that the Administrative Agent may, upon the occurrence and during the continuance of any Event of Default, make demand upon Guarantor and receive payment and performance of the Obligations,</w:t>
      </w:r>
    </w:p>
    <w:p>
      <w:pPr>
        <w:sectPr>
          <w:pgSz w:w="11900" w:h="16838" w:orient="portrait"/>
          <w:cols w:equalWidth="0" w:num="1">
            <w:col w:w="11420"/>
          </w:cols>
          <w:pgMar w:left="240" w:top="270" w:right="239" w:bottom="1440" w:gutter="0" w:footer="0" w:header="0"/>
        </w:sectPr>
      </w:pPr>
    </w:p>
    <w:bookmarkStart w:id="326" w:name="page327"/>
    <w:bookmarkEnd w:id="32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with or without notice or demand for payment or performance by Guarantor, its successors or assigns, or any other Person. Suit may be brought and maintained against Guarantor, at the Administrative Agent’s election, without joinder of the Borrower or any other Person as parties thereto. The obligations of the Guarantor hereunder, and each other guarantor of the Obligations, shall be joint and several.</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Guarantor agrees that its obligations under this Guaranty shall be primary, absolute, continuing and unconditional, irrespective of and unaffected by any of the following actions or circumstances (regardless of any notice to or consent of Guarantor): (a) the genuineness, validity, regularity and enforceability of the Loan Documents or any other document; (b) any extension, renewal, amendment, change, waiver or other modification of the Loan Documents or any other document; (c) the absence of, or delay in, any action to enforce the Guaranty or any other Loan Documents or any other document; (d) the release of, extension of time for payment or performance by, or any other indulgence granted to the Borrower or any other Person with respect to the Obligations by operation of law or otherwise; (e) the existence, value, condition, loss, subordination or release (with or without substitution) of, or failure to have title to or perfect and maintain a security interest in, or the time, place and manner of any sale or other disposition of any leased equipment, collateral or security given in connection with the Obligations, or any other impairment (whether intentional or negligent, by operation of law or otherwise) of the rights of Guarantor;</w:t>
      </w:r>
    </w:p>
    <w:p>
      <w:pPr>
        <w:spacing w:after="0" w:line="1" w:lineRule="exact"/>
        <w:rPr>
          <w:sz w:val="20"/>
          <w:szCs w:val="20"/>
          <w:color w:val="auto"/>
        </w:rPr>
      </w:pPr>
    </w:p>
    <w:p>
      <w:pPr>
        <w:ind w:right="100" w:firstLine="8"/>
        <w:spacing w:after="0" w:line="255" w:lineRule="auto"/>
        <w:tabs>
          <w:tab w:leader="none" w:pos="22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voluntary or involuntary bankruptcy, assignment for the benefit of creditors, reorganization, or similar proceedings affecting the Borrower or any of its assets; or (g) any other action or circumstances which might otherwise constitute a legal or equitable discharge or defense of a surety or guarantor.</w:t>
      </w:r>
    </w:p>
    <w:p>
      <w:pPr>
        <w:spacing w:after="0" w:line="186"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This Guaranty, the other Loan Documents and the Obligations may be assigned by the Administrative Agent, without the consent of Guarantor. Guarantor agrees that if it receives written notice of an assignment from the Administrative Agent, Guarantor will pay all amounts due hereunder to such assignee or as instructed by the Administrative Agent. Guarantor also agrees to confirm in writing receipt of the notice of assignment as may be reasonably requested by assignee. Guarantor hereby waives and agrees not to assert against any such assignee any of the defenses set forth in the first sentence of the immediate preceding paragraph.</w:t>
      </w:r>
    </w:p>
    <w:p>
      <w:pPr>
        <w:spacing w:after="0" w:line="18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If (a) the Borrower defaults in the payment or performance of any Obligation, or (b) if there exists any event or condition which, with notice and/or the passage of time, would constitute an Event of Default (including any default relating to Guarantor or this Guaranty), or (c) any representation or warranty of Guarantor herein or in any certificate, agreement, statement or document furnished at any time to the Administrative Agent for the benefit of the Secured Parties by or on behalf of Guarantor (including without limitation, any financial information), shall prove to be or to have been false or incorrect in any material respect when made; or (d) Guarantor shall fail to perform or observe any covenant (including without limitation, any financial covenants), condition or agreement required to be performed or observed by it hereunder or in connection with any Obligation, and such failure shall continue for 30 days after written notice thereof to Guarantor; or (e), or if there is a liquidation, bankruptcy, assignment for the benefit of creditors or similar proceeding affecting the status, existence, assets or obligations of Guarantor (each of the foregoing being hereinafter referred to as a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Obligations of the Borrower shall, at the sole option of the Administrative Agent, be deemed to be accelerated and become immediately due and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327" w:name="page328"/>
    <w:bookmarkEnd w:id="327"/>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80" w:right="24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payable by Guarantor for all purposes of this Guaranty, and Guarantor shall (i) immediately pay directly to Administrative Agent for the benefit of the Secured Parties all such Obligations for the payment of money owing to Administrative Agent for the benefit of the Secured Parties by reason of acceleration or otherwise (including without limitation, any rent, liquidated damages, principal or interest payments or balances, fees, other installments or any other accrued or unaccrued amounts with respect to such Obligations), irrespective of whether a Default exists relating to the Borrower, and notwithstanding any stay, injunction or other prohibition preventing acceleration of any Obligations against the Borrower, and (ii) promptly perform all other Obligations. Guarantor shall be liable, as principal obligor and not as a surety or guarantor only, for all attorneys’ fees and other costs and expenses incurred by Administrative Agent for the benefit of the Secured Parties in connection with Administrative Agent’s enforcement of this Guaranty), together with interest at the Default Rate on all amounts recoverable under this Guaranty, from the time such amounts become due and payable until the date such payments are received (without duplication). If Administrative Agent is required to return any payment made to Administrative Agent by or on behalf of the Borrower, whether as a result of the Borrower’s bankruptcy, reorganization or otherwise, Guarantor acknowledges that this Guaranty covers all such amounts, notwithstanding that the original of this Guaranty may have been returned to Guarantor and/or otherwise canceled.</w:t>
      </w:r>
    </w:p>
    <w:p>
      <w:pPr>
        <w:spacing w:after="0" w:line="193"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This Guaranty may be terminated upon delivery to the Administrative Agent (at the address provided in the Loan Agreement) of a written termination notice from Guarantor. However, as to all Obligations (whether matured, unmatured, absolute, contingent or otherwise) incurred by the Borrower prior to the Administrative Agent’s receipt of such written termination notice (and regardless of any subsequent amendment, extension or other modification which may be made with respect to such Obligations), this Guaranty shall nevertheless continue and remain undischarged until all such Obligations are indefeasibly paid and performed in full.</w:t>
      </w:r>
    </w:p>
    <w:p>
      <w:pPr>
        <w:spacing w:after="0" w:line="18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Guarantor agrees that this Guaranty shall remain in full force and effect or be reinstated (as the case may be) if at any time payment or performance of any of the Obligations (or any part thereof) is rescinded, reduced or must otherwise be restored or returned by the Administrative Agent, all as though such payment or performance had not been made. If, by reason of any bankruptcy, insolvency or similar laws effecting the rights of creditors, the Administrative Agent shall be prohibited from exercising any of the Administrative Agent’s rights or remedies against the Borrower or any other Person or against any property, then, as between the Administrative Agent and Guarantor, such prohibition shall be of no force and effect, and the Administrative Agent shall have the right to make demand upon, and receive payment from, Guarantor of all amounts and other sums that would be due to the Administrative Agent upon a default with respect to the Obligations.</w:t>
      </w:r>
    </w:p>
    <w:p>
      <w:pPr>
        <w:spacing w:after="0" w:line="18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Notice of acceptance of this Guaranty and of any default by the Borrower or any other Person is hereby waived. Presentment, protest demand, and notice of protest, demand and dishonor of any of the Obligations, and the exercise of possessory, collection or other remedies for the Obligations, are hereby waived. Guarantor warrants that it has adequate means to obtain from the Borrower on a continuing basis financial data and other information regarding the Borrower and is not relying upon the Administrative Agent to provide any such data or other information. Without limiting the foregoing, notice of adverse change in the Borrower’s financial condition or of any other fact which might materially increase the risk of Guarantor is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69" w:right="279" w:bottom="1440" w:gutter="0" w:footer="0" w:header="0"/>
        </w:sectPr>
      </w:pPr>
    </w:p>
    <w:bookmarkStart w:id="328" w:name="page329"/>
    <w:bookmarkEnd w:id="32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also waived. All settlements, compromises, accounts stated and agreed balances made in good faith between the Borrower, its successors or assigns, and the Administrative Agent shall be binding upon and shall not affect the liability of Guarantor.</w:t>
      </w:r>
    </w:p>
    <w:p>
      <w:pPr>
        <w:spacing w:after="0" w:line="162"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Payment of all amounts now or hereafter owed to Guarantor by the Borrower or any other obligor for any of the Obligations is hereby subordinated in right of payment to the indefeasible payment in full to the Administrative Agent of all Obligations and is hereby assigned to the Administrative Agent as a security therefor. Guarantor hereby irrevocably and unconditionally waives and relinquishes all statutory, contractual, common law, equitable and all other claims against the Borrower, any other obligor for any of the Obligations, any collateral therefor, or any other assets of the Borrower or any such other obligor, for subrogation, reimbursement, exoneration, contribution, indemnification, setoff or other recourse in respect of sums paid or payable to the Administrative Agent by Guarantor hereunder, and Guarantor hereby further irrevocably and unconditionally waives and relinquishes any and all other benefits which it might otherwise directly or indirectly receive or be entitled to receive by reason of any amounts paid by, or collected or due from, it, the Borrower or any other obligor for any of the Obligations, or realized from any of their respective assets.</w:t>
      </w:r>
    </w:p>
    <w:p>
      <w:pPr>
        <w:spacing w:after="0" w:line="185" w:lineRule="exact"/>
        <w:rPr>
          <w:sz w:val="20"/>
          <w:szCs w:val="20"/>
          <w:color w:val="auto"/>
        </w:rPr>
      </w:pPr>
    </w:p>
    <w:p>
      <w:pPr>
        <w:ind w:firstLine="456"/>
        <w:spacing w:after="0" w:line="271" w:lineRule="auto"/>
        <w:rPr>
          <w:sz w:val="20"/>
          <w:szCs w:val="20"/>
          <w:color w:val="auto"/>
        </w:rPr>
      </w:pPr>
      <w:r>
        <w:rPr>
          <w:rFonts w:ascii="Times New Roman" w:cs="Times New Roman" w:eastAsia="Times New Roman" w:hAnsi="Times New Roman"/>
          <w:sz w:val="17"/>
          <w:szCs w:val="17"/>
          <w:color w:val="auto"/>
        </w:rPr>
        <w:t>GUARANTOR HEREBY UNCONDITIONALLY WAIVES ITS RIGHT TO A JURY TRIAL OF ANY CLAIM OR CAUSE OF ACTION BASED UPON OR ARISING OUT OF, DIRECTLY OR INDIRECTLY, THIS GUARANTY, THE OBLIGATIONS GUARANTEED HEREBY, ANY OF THE RELATED DOCUMENTS, ANY DEALINGS BETWEEN US RELATING TO THE SUBJECT MATTER HEREOF OR THEREOF, AND/OR THE RELATIONSHIP THAT IS BEING ESTABLISHED BETWEEN US. THE SCOPE OF THIS WAIVER IS INTENDED TO BE ALL ENCOMPASSING OF ANY AND ALL DISPUTES THAT MAY BE FILED IN ANY COURT (INCLUDING, WITHOUT LIMITATION, CONTRACT CLAIMS, TORT CLAIMS, BREACH OF DUTY CLAIMS, AND ALL OTHER COMMON LAW AND STATUTORY CLAIMS). THIS WAIVER IS IRREVOCABLE MEANING THAT IT MAY NOT BE MODIFIED EITHER ORALLY OR IN WRITING, AND SHALL APPLY TO ANY SUBSEQUENT AMENDMENTS, RENEWALS, SUPPLEMENTS OR MODIFICATIONS TO THIS GUARANTY, THE OBLIGATIONS GUARANTEED HEREBY, OR ANY RELATED DOCUMENTS. IN THE EVENT OF LITIGATION, THIS GUARANTY MAY BE FILED AS A WRITTEN CONSENT TO A TRIAL BY THE COURT.</w:t>
      </w:r>
    </w:p>
    <w:p>
      <w:pPr>
        <w:spacing w:after="0" w:line="17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Guaranty is intended by the parties as a final expression of the guaranty of Guarantor and is also intended as a complete and exclusive statement of the terms thereof. No course of dealing, course of performance or trade usage, nor any paid evidence of any kind, shall be used to supplement or modify any of the terms hereof. Nor are there any conditions to the full effectiveness of this Guaranty. This Guaranty and each of its provisions may only be waived, modified, varied, released, terminated or surrendered, in whole or in part, by a duly authorized written instrument signed by the Administrative Agent. No failure by the Administrative Agent to exercise the Administrative Agent’s rights hereunder shall give rise to any estoppel against the Administrative Agent, or excuse Guarantor from performing hereunder. The Administrative Agent’s waiver of any right to demand performance hereunder shall not be a waiver of any subsequent or other right to demand performance hereunder.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9" w:right="239" w:bottom="1440" w:gutter="0" w:footer="0" w:header="0"/>
        </w:sectPr>
      </w:pPr>
    </w:p>
    <w:bookmarkStart w:id="329" w:name="page330"/>
    <w:bookmarkEnd w:id="32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This Guaranty shall be governed by, or construed in accordance with, the laws of the State of New York (excluding its conflict of laws rules other than Section 5-1401 of the General Obligations Law). This Guaranty shall bind Guarantor’s successors and assigns and the benefits thereof shall extend to and include the Administrative Agent’s successors and assigns. In addition, if an Event of Default exists, the Administrative Agent may at any time inspect Guarantor’s records.</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Guarantor hereby represents and warrants to the Administrative Agent as of the date hereof that (i) Guarantor’s execution, delivery and performance hereof does not and will not violate any judgment, order or law applicable to Guarantor, or constitute a breach of or default under any indenture, mortgage, deed of trust, or other agreement entered into by Guarantor with Guarantor’s creditors or any other party; (ii) no approval, consent or withholding of objections is required from any Governmental Authority or any other entity with respect to the execution, delivery and performance by Guarantor of this Guaranty; (iii) this Guaranty constitutes a valid, legal and binding obligation of Guarantor, enforceable in accordance with its terms, except as may be limited by bankruptcy, insolvency, reorganization, moratorium or similar state or federal debtor relief laws from time to time in effect which affect the enforcement of creditors’ rights in general and the availability of equitable remedies; (iv) there are no proceedings presently pending or threatened against Guarantor which will impair its ability to perform under this Guaranty; (v) since the date of Guarantor’s most recent financial statement, there has been no material adverse change in the financial condition of Guarantor; and (vi) Guarantor is and will remain in full compliance with all Applicable Laws, except where the failure to comply could not reasonably be expected to have a Material Adverse Effect, and it neither is nor shall be (Y) listed on the Specially Designated Nationals and Blocked Person List maintained by the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Department of the Treasury, and/or any other similar lists maintained by OFAC pursuant to any authorizing statute, Executive Order or regulation or (Z) a Person designated under Section 1(b), (c) or (d) of Executive Order No. 13224 (September 23, 2001), any related enabling legislation or any other similar Executive Orders.</w:t>
      </w:r>
    </w:p>
    <w:p>
      <w:pPr>
        <w:spacing w:after="0" w:line="189"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If any provisions of this Guaranty are in conflict with any applicable statute, rule or law, then such provisions shall be deemed null and void to the extent that they may conflict therewith, but without invalidating any other provisions hereof.</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GUARANTOR IRREVOCABLY SUBMITS TO THE NON-EXCLUSIVE JURISDICTION OF THE STATE AND FEDERAL COURTS LOCATED IN THE STATE OF NEW YORK TO HEAR AND DETERMINE ANY SUIT, ACTION OR PROCEEDING AND TO SETTLE ANY DISPUTES, WHICH MAY ARISE OUT OF OR IN CONNECTION HEREWITH AND WITH THE LOAN DOCUMENTS (COLLECTIVELY, THE “</w:t>
      </w:r>
      <w:r>
        <w:rPr>
          <w:rFonts w:ascii="Times New Roman" w:cs="Times New Roman" w:eastAsia="Times New Roman" w:hAnsi="Times New Roman"/>
          <w:sz w:val="18"/>
          <w:szCs w:val="18"/>
          <w:u w:val="single" w:color="auto"/>
          <w:color w:val="auto"/>
        </w:rPr>
        <w:t>PROCEEDINGS</w:t>
      </w:r>
      <w:r>
        <w:rPr>
          <w:rFonts w:ascii="Times New Roman" w:cs="Times New Roman" w:eastAsia="Times New Roman" w:hAnsi="Times New Roman"/>
          <w:sz w:val="18"/>
          <w:szCs w:val="18"/>
          <w:color w:val="auto"/>
        </w:rPr>
        <w:t>”), AND GUARANTOR FURTHER IRREVOCABLY WAIVES ANY RIGHT IT MAY HAVE TO REMOVE ANY SUCH PROCEEDINGS FROM ANY SUCH COURT (EVEN IF REMOVAL IS SOUGHT TO ANOTHER OF THE ABOVE-NAMED COURTS). GUARANTOR IRREVOCABLY WAIVES ANY OBJECTION WHICH IT MIGHT NOW OR HEREAFTER HAVE TO THE ABOVE-NAMED COURTS BEING NOMINATED AS THE EXCLUSIVE FORUM TO HEAR AND DETERMINE ANY SUCH PROCEEDINGS AND AGREES NOT TO CLAIM THAT IT IS NOT PERSONALLY SUBJECT TO THE JURISDICTION OF THE ABOVE-NAMED COURTS FOR ANY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330" w:name="page331"/>
    <w:bookmarkEnd w:id="33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60" w:right="26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REASON WHATSOEVER, THAT IT OR ITS PROPERTY IS IMMUNE FROM LEGAL PROCESS FOR ANY REASON WHATSOEVER, THAT ANY SUCH COURT IS NOT A CONVENIENT OR APPROPRIATE FORUM IN EACH CASE WHETHER ON THE GROUNDS OF VENUE OR FORUM NON-CONVENIENS OR OTHERWISE. GUARANTOR ACKNOWLEDGES THAT BRINGING ANY SUCH SUIT, ACTION OR PROCEEDING IN ANY COURT OTHER THAN THE COURTS SET FORTH ABOVE WILL CAUSE IRREPARABLE HARM TO PAYEE WHICH COULD NOT ADEQUATELY BE COMPENSATED BY MONETARY DAMAGES, AND, AS SUCH, GUARANTOR AGREES THAT, IN ADDITION TO ANY OF THE REMEDIES TO WHICH PAYEE MAY BE ENTITLED AT LAW OR IN EQUITY, THE ADMINISTRATIVE AGENT WILL BE ENTITLED TO AN INJUNCTION OR INJUNCTIONS (WITHOUT THE POSTING OF ANY BOND AND WITHOUT PROOF OF ACTUAL DAMAGES) TO ENJOIN THE PROSECUTION OF ANY SUCH PROCEEDINGS IN ANY OTHER COURT. Notwithstanding the foregoing, the Administrative Agent and Guarantor shall have the right to apply to a court of competent jurisdiction in the United States of America or abroad for equitable relief as is necessary to preserve, protect and enforce its respective rights under this Guaranty and the other Loan Documents, including, but not limited to orders of attachment or injunction necessary to maintain the status quo pending litigation or to enforce judgments against Guarantor, the Borrower or the collateral pledged to the Administrative Agent pursuant to any Loan Document or to gain possession of such collateral.</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331" w:name="page332"/>
    <w:bookmarkEnd w:id="331"/>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COPY</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Guaranty has been duly executed as of the day and year above written.</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GREAT LAKES DREDGE &amp; DOCK COMPANY, LLC</w:t>
      </w:r>
    </w:p>
    <w:p>
      <w:pPr>
        <w:spacing w:after="0" w:line="229" w:lineRule="exact"/>
        <w:rPr>
          <w:sz w:val="20"/>
          <w:szCs w:val="20"/>
          <w:color w:val="auto"/>
        </w:rPr>
      </w:pPr>
    </w:p>
    <w:p>
      <w:pPr>
        <w:ind w:left="67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17145</wp:posOffset>
            </wp:positionV>
            <wp:extent cx="263271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Mark W. Marinko</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Senior Vice President and Chief</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Signature Page to Guaranty</w:t>
      </w:r>
    </w:p>
    <w:p>
      <w:pPr>
        <w:sectPr>
          <w:pgSz w:w="11900" w:h="16838" w:orient="portrait"/>
          <w:cols w:equalWidth="0" w:num="1">
            <w:col w:w="11340"/>
          </w:cols>
          <w:pgMar w:left="320" w:top="270" w:right="239" w:bottom="1440" w:gutter="0" w:footer="0" w:header="0"/>
        </w:sectPr>
      </w:pPr>
    </w:p>
    <w:bookmarkStart w:id="332" w:name="page333"/>
    <w:bookmarkEnd w:id="332"/>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Loan Notice</w:t>
      </w:r>
    </w:p>
    <w:p>
      <w:pPr>
        <w:sectPr>
          <w:pgSz w:w="11900" w:h="16838" w:orient="portrait"/>
          <w:cols w:equalWidth="0" w:num="1">
            <w:col w:w="11260"/>
          </w:cols>
          <w:pgMar w:left="320" w:top="269" w:right="319" w:bottom="1440" w:gutter="0" w:footer="0" w:header="0"/>
        </w:sectPr>
      </w:pPr>
    </w:p>
    <w:bookmarkStart w:id="333" w:name="page334"/>
    <w:bookmarkEnd w:id="33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LOAN NOTICE</w:t>
      </w:r>
    </w:p>
    <w:p>
      <w:pPr>
        <w:spacing w:after="0" w:line="229" w:lineRule="exact"/>
        <w:rPr>
          <w:sz w:val="20"/>
          <w:szCs w:val="20"/>
          <w:color w:val="auto"/>
        </w:rPr>
      </w:pPr>
    </w:p>
    <w:p>
      <w:pPr>
        <w:ind w:left="9640"/>
        <w:spacing w:after="0"/>
        <w:tabs>
          <w:tab w:leader="none" w:pos="109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Bank of America, N.A., as Administrative Agent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Reference is made to that certain Loan and Security Agreement, dated as of November 4, 2014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capitalized terms used herein shall, unless otherwise defined herein, have the meanings provided in the Agreement), among GREAT LAKES DREDGE &amp; DOCK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GREAT LAKES DREDGE &amp; DOCK COMPANY, LLC, a Delaware limited liability company, as Guarantor, the Lenders from time to time party thereto, and Bank of America, N.A., as Administrative Agent.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Borrower hereby requests the Borrowing of Loans: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3"/>
              </w:rPr>
              <w:t>1.</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 Business Day).</w:t>
            </w:r>
          </w:p>
        </w:tc>
      </w:tr>
      <w:tr>
        <w:trPr>
          <w:trHeight w:val="338"/>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3"/>
              </w:rPr>
              <w:t>2.</w:t>
            </w: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 the amount of $</w:t>
            </w:r>
          </w:p>
        </w:tc>
        <w:tc>
          <w:tcPr>
            <w:tcW w:w="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6479540</wp:posOffset>
            </wp:positionH>
            <wp:positionV relativeFrom="paragraph">
              <wp:posOffset>17145</wp:posOffset>
            </wp:positionV>
            <wp:extent cx="7715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17145</wp:posOffset>
            </wp:positionV>
            <wp:extent cx="24352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17145</wp:posOffset>
            </wp:positionV>
            <wp:extent cx="249555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34" w:name="page335"/>
    <w:bookmarkEnd w:id="334"/>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Administrative Questionnaire</w:t>
      </w:r>
    </w:p>
    <w:p>
      <w:pPr>
        <w:sectPr>
          <w:pgSz w:w="11900" w:h="16838" w:orient="portrait"/>
          <w:cols w:equalWidth="0" w:num="1">
            <w:col w:w="11260"/>
          </w:cols>
          <w:pgMar w:left="320" w:top="270" w:right="319" w:bottom="1440" w:gutter="0" w:footer="0" w:header="0"/>
        </w:sectPr>
      </w:pPr>
    </w:p>
    <w:bookmarkStart w:id="335" w:name="page336"/>
    <w:bookmarkEnd w:id="33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QUESTIONNAIRE – (US DOLLAR ONLY)</w:t>
      </w:r>
    </w:p>
    <w:p>
      <w:pPr>
        <w:spacing w:after="0" w:line="9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Borrower or Deal Name: Great Lakes Dredge &amp; Dock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this document with your commitment letter to: </w:t>
      </w:r>
      <w:r>
        <w:rPr>
          <w:rFonts w:ascii="Times New Roman" w:cs="Times New Roman" w:eastAsia="Times New Roman" w:hAnsi="Times New Roman"/>
          <w:sz w:val="18"/>
          <w:szCs w:val="18"/>
          <w:b w:val="1"/>
          <w:bCs w:val="1"/>
          <w:color w:val="auto"/>
        </w:rPr>
        <w:t>Bridgett J. Manduk Mowry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recipient: bridgett.manduk@baml.com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ind w:left="460" w:right="6900" w:hanging="452"/>
        <w:spacing w:after="0" w:line="378" w:lineRule="auto"/>
        <w:tabs>
          <w:tab w:leader="none" w:pos="449"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Name of Lender of Record for Signature Page: Markit Entity Identifier (MEI) #:</w:t>
      </w: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Fund Manager Name (if applicable):</w:t>
      </w:r>
    </w:p>
    <w:p>
      <w:pPr>
        <w:spacing w:after="0" w:line="117" w:lineRule="exact"/>
        <w:rPr>
          <w:rFonts w:ascii="Times New Roman" w:cs="Times New Roman" w:eastAsia="Times New Roman" w:hAnsi="Times New Roman"/>
          <w:sz w:val="18"/>
          <w:szCs w:val="18"/>
          <w:b w:val="1"/>
          <w:bCs w:val="1"/>
          <w:color w:val="auto"/>
        </w:rPr>
      </w:pPr>
    </w:p>
    <w:p>
      <w:pPr>
        <w:ind w:left="460" w:right="6840"/>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Legal Address from Tax Document of Lender of Record: Country: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Address:</w:t>
            </w:r>
          </w:p>
        </w:tc>
        <w:tc>
          <w:tcPr>
            <w:tcW w:w="2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City:</w:t>
            </w:r>
          </w:p>
        </w:tc>
        <w:tc>
          <w:tcPr>
            <w:tcW w:w="2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State/Province:</w:t>
            </w:r>
          </w:p>
        </w:tc>
        <w:tc>
          <w:tcPr>
            <w:tcW w:w="2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Postal Code:</w:t>
            </w:r>
          </w:p>
        </w:tc>
        <w:tc>
          <w:tcPr>
            <w:tcW w:w="10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35"/>
        </w:trPr>
        <w:tc>
          <w:tcPr>
            <w:tcW w:w="40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gridSpan w:val="2"/>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5200" w:type="dxa"/>
            <w:vAlign w:val="bottom"/>
            <w:tcBorders>
              <w:bottom w:val="single" w:sz="8" w:color="auto"/>
            </w:tcBorders>
            <w:gridSpan w:val="2"/>
          </w:tcPr>
          <w:p>
            <w:pPr>
              <w:spacing w:after="0"/>
              <w:rPr>
                <w:sz w:val="11"/>
                <w:szCs w:val="11"/>
                <w:color w:val="auto"/>
              </w:rPr>
            </w:pPr>
          </w:p>
        </w:tc>
      </w:tr>
      <w:tr>
        <w:trPr>
          <w:trHeight w:val="35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Funding Address:</w:t>
            </w:r>
          </w:p>
        </w:tc>
        <w:tc>
          <w:tcPr>
            <w:tcW w:w="248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4.</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Eurodollar Funding Address (</w:t>
            </w:r>
            <w:r>
              <w:rPr>
                <w:rFonts w:ascii="Times New Roman" w:cs="Times New Roman" w:eastAsia="Times New Roman" w:hAnsi="Times New Roman"/>
                <w:sz w:val="18"/>
                <w:szCs w:val="18"/>
                <w:b w:val="1"/>
                <w:bCs w:val="1"/>
                <w:i w:val="1"/>
                <w:iCs w:val="1"/>
                <w:color w:val="auto"/>
              </w:rPr>
              <w:t>if different than #3</w:t>
            </w:r>
            <w:r>
              <w:rPr>
                <w:rFonts w:ascii="Times New Roman" w:cs="Times New Roman" w:eastAsia="Times New Roman" w:hAnsi="Times New Roman"/>
                <w:sz w:val="18"/>
                <w:szCs w:val="18"/>
                <w:b w:val="1"/>
                <w:bCs w:val="1"/>
                <w:color w:val="auto"/>
              </w:rPr>
              <w:t>):</w:t>
            </w:r>
          </w:p>
        </w:tc>
      </w:tr>
      <w:tr>
        <w:trPr>
          <w:trHeight w:val="324"/>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Street Address:</w:t>
            </w:r>
          </w:p>
        </w:tc>
        <w:tc>
          <w:tcPr>
            <w:tcW w:w="2340" w:type="dxa"/>
            <w:vAlign w:val="bottom"/>
          </w:tcPr>
          <w:p>
            <w:pPr>
              <w:spacing w:after="0"/>
              <w:rPr>
                <w:sz w:val="24"/>
                <w:szCs w:val="24"/>
                <w:color w:val="auto"/>
              </w:rPr>
            </w:pPr>
          </w:p>
        </w:tc>
        <w:tc>
          <w:tcPr>
            <w:tcW w:w="34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Street Address:</w:t>
            </w:r>
          </w:p>
        </w:tc>
        <w:tc>
          <w:tcPr>
            <w:tcW w:w="4200" w:type="dxa"/>
            <w:vAlign w:val="bottom"/>
          </w:tcPr>
          <w:p>
            <w:pPr>
              <w:spacing w:after="0"/>
              <w:rPr>
                <w:sz w:val="24"/>
                <w:szCs w:val="24"/>
                <w:color w:val="auto"/>
              </w:rPr>
            </w:pPr>
          </w:p>
        </w:tc>
      </w:tr>
      <w:tr>
        <w:trPr>
          <w:trHeight w:val="324"/>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Suite/ Mail Code:</w:t>
            </w:r>
          </w:p>
        </w:tc>
        <w:tc>
          <w:tcPr>
            <w:tcW w:w="2340" w:type="dxa"/>
            <w:vAlign w:val="bottom"/>
          </w:tcPr>
          <w:p>
            <w:pPr>
              <w:spacing w:after="0"/>
              <w:rPr>
                <w:sz w:val="24"/>
                <w:szCs w:val="24"/>
                <w:color w:val="auto"/>
              </w:rPr>
            </w:pPr>
          </w:p>
        </w:tc>
        <w:tc>
          <w:tcPr>
            <w:tcW w:w="34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Suite/ Mail Code:</w:t>
            </w:r>
          </w:p>
        </w:tc>
        <w:tc>
          <w:tcPr>
            <w:tcW w:w="4200" w:type="dxa"/>
            <w:vAlign w:val="bottom"/>
          </w:tcPr>
          <w:p>
            <w:pPr>
              <w:spacing w:after="0"/>
              <w:rPr>
                <w:sz w:val="24"/>
                <w:szCs w:val="24"/>
                <w:color w:val="auto"/>
              </w:rPr>
            </w:pP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City:</w:t>
            </w:r>
          </w:p>
        </w:tc>
        <w:tc>
          <w:tcPr>
            <w:tcW w:w="1000" w:type="dxa"/>
            <w:vAlign w:val="bottom"/>
          </w:tcPr>
          <w:p>
            <w:pPr>
              <w:spacing w:after="0"/>
              <w:rPr>
                <w:sz w:val="24"/>
                <w:szCs w:val="2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48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9"/>
              </w:rPr>
              <w:t>City:</w:t>
            </w:r>
          </w:p>
        </w:tc>
        <w:tc>
          <w:tcPr>
            <w:tcW w:w="1000" w:type="dxa"/>
            <w:vAlign w:val="bottom"/>
          </w:tcPr>
          <w:p>
            <w:pPr>
              <w:spacing w:after="0"/>
              <w:rPr>
                <w:sz w:val="24"/>
                <w:szCs w:val="24"/>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r>
      <w:tr>
        <w:trPr>
          <w:trHeight w:val="324"/>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Postal Code:</w:t>
            </w:r>
          </w:p>
        </w:tc>
        <w:tc>
          <w:tcPr>
            <w:tcW w:w="23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Country:</w:t>
            </w:r>
          </w:p>
        </w:tc>
        <w:tc>
          <w:tcPr>
            <w:tcW w:w="34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Postal Code:</w:t>
            </w:r>
          </w:p>
        </w:tc>
        <w:tc>
          <w:tcPr>
            <w:tcW w:w="4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Country: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460" w:hanging="452"/>
        <w:spacing w:after="0"/>
        <w:tabs>
          <w:tab w:leader="none" w:pos="46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Contact Information:</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Syndicate level information (which may contain material non-public information about the Borrower and its related parties or their respective securities will be made available to the Credit Contact(s). The Credit Contacts identified must be able to receive such information in accordance with his/her institution’s compliance procedures and applicable laws, including Federal and State securities laws.</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6"/>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Primary Credit Contact:</w:t>
            </w:r>
          </w:p>
        </w:tc>
        <w:tc>
          <w:tcPr>
            <w:tcW w:w="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Secondary Credit Contact:</w:t>
            </w:r>
          </w:p>
        </w:tc>
        <w:tc>
          <w:tcPr>
            <w:tcW w:w="0" w:type="dxa"/>
            <w:vAlign w:val="bottom"/>
          </w:tcPr>
          <w:p>
            <w:pPr>
              <w:spacing w:after="0" w:line="20" w:lineRule="exact"/>
              <w:rPr>
                <w:sz w:val="1"/>
                <w:szCs w:val="1"/>
                <w:color w:val="auto"/>
              </w:rPr>
            </w:pPr>
          </w:p>
        </w:tc>
      </w:tr>
      <w:tr>
        <w:trPr>
          <w:trHeight w:val="135"/>
        </w:trPr>
        <w:tc>
          <w:tcPr>
            <w:tcW w:w="566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20" w:type="dxa"/>
            <w:vAlign w:val="bottom"/>
            <w:vMerge w:val="continue"/>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Name:</w:t>
            </w:r>
          </w:p>
        </w:tc>
        <w:tc>
          <w:tcPr>
            <w:tcW w:w="42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 Name:</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Middle Name:</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Middle Name:</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Last Name:</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Last Name:</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Street Address:</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Street Address:</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Suite/Mail Code:</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Suite/Mail Code:</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Postal Code:</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Postal Code:</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Country:</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Country:</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Telephone #:</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Telephone #:</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Facsimile #:</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Facsimile #:</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E-Mail Address:</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E-Mail Address:</w:t>
            </w:r>
          </w:p>
        </w:tc>
        <w:tc>
          <w:tcPr>
            <w:tcW w:w="0" w:type="dxa"/>
            <w:vAlign w:val="bottom"/>
          </w:tcPr>
          <w:p>
            <w:pPr>
              <w:spacing w:after="0"/>
              <w:rPr>
                <w:sz w:val="1"/>
                <w:szCs w:val="1"/>
                <w:color w:val="auto"/>
              </w:rPr>
            </w:pPr>
          </w:p>
        </w:tc>
      </w:tr>
      <w:tr>
        <w:trPr>
          <w:trHeight w:val="32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SyndTrak E-Mail Address:</w:t>
            </w:r>
          </w:p>
        </w:tc>
        <w:tc>
          <w:tcPr>
            <w:tcW w:w="2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SyndTrak E-Mail Address:</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Additional Syndtrak User Access</w:t>
      </w:r>
      <w:r>
        <w:rPr>
          <w:rFonts w:ascii="Times New Roman" w:cs="Times New Roman" w:eastAsia="Times New Roman" w:hAnsi="Times New Roman"/>
          <w:sz w:val="14"/>
          <w:szCs w:val="14"/>
          <w:b w:val="1"/>
          <w:bCs w:val="1"/>
          <w:color w:val="auto"/>
        </w:rPr>
        <w: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 E-Mail Addresses of any respective contact who should have access to Syndtrak below.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SyndTrak E-Mail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94615</wp:posOffset>
            </wp:positionV>
            <wp:extent cx="6586220" cy="4286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586220" cy="42862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36" w:name="page337"/>
    <w:bookmarkEnd w:id="33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QUESTIONNAIRE – (US DOLLAR ONLY)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CONFIDENTIAL</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6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Primary Operations Contact:</w:t>
            </w:r>
          </w:p>
        </w:tc>
        <w:tc>
          <w:tcPr>
            <w:tcW w:w="2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Secondary Operations Contact:</w:t>
            </w:r>
          </w:p>
        </w:tc>
        <w:tc>
          <w:tcPr>
            <w:tcW w:w="2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gridSpan w:val="4"/>
            <w:vMerge w:val="continue"/>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7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w:t>
            </w: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6"/>
              </w:rPr>
              <w:t>MI:</w:t>
            </w:r>
          </w:p>
        </w:tc>
        <w:tc>
          <w:tcPr>
            <w:tcW w:w="220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Last:</w:t>
            </w:r>
          </w:p>
        </w:tc>
        <w:tc>
          <w:tcPr>
            <w:tcW w:w="30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w:t>
            </w:r>
          </w:p>
        </w:tc>
        <w:tc>
          <w:tcPr>
            <w:tcW w:w="560" w:type="dxa"/>
            <w:vAlign w:val="bottom"/>
            <w:tcBorders>
              <w:top w:val="single" w:sz="8" w:color="auto"/>
            </w:tcBorders>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w:t>
            </w:r>
          </w:p>
        </w:tc>
        <w:tc>
          <w:tcPr>
            <w:tcW w:w="220" w:type="dxa"/>
            <w:vAlign w:val="bottom"/>
          </w:tcPr>
          <w:p>
            <w:pPr>
              <w:spacing w:after="0"/>
              <w:rPr>
                <w:sz w:val="19"/>
                <w:szCs w:val="19"/>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Last:</w:t>
            </w:r>
          </w:p>
        </w:tc>
        <w:tc>
          <w:tcPr>
            <w:tcW w:w="0" w:type="dxa"/>
            <w:vAlign w:val="bottom"/>
          </w:tcPr>
          <w:p>
            <w:pPr>
              <w:spacing w:after="0"/>
              <w:rPr>
                <w:sz w:val="1"/>
                <w:szCs w:val="1"/>
                <w:color w:val="auto"/>
              </w:rPr>
            </w:pP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Street Address: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Street Address: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Suite/ Mail Code: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Suite/ Mail Code:</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City:</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City:</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Postal Code: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Country:</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Postal Code:</w:t>
            </w:r>
          </w:p>
        </w:tc>
        <w:tc>
          <w:tcPr>
            <w:tcW w:w="56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Country:</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Facsimile:</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Facsimile:</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SyndTrak E-Mail Address:</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SyndTrak E-Mail Address:</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60" w:type="dxa"/>
            <w:vAlign w:val="bottom"/>
            <w:gridSpan w:val="5"/>
          </w:tcPr>
          <w:p>
            <w:pPr>
              <w:ind w:left="2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 xml:space="preserve">Does Secondary Operations Contact need copy of notices?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b w:val="1"/>
                <w:bCs w:val="1"/>
                <w:i w:val="1"/>
                <w:iCs w:val="1"/>
                <w:color w:val="auto"/>
              </w:rPr>
              <w:t xml:space="preserve"> </w:t>
            </w:r>
            <w:r>
              <w:rPr>
                <w:rFonts w:ascii="MS PGothic" w:cs="MS PGothic" w:eastAsia="MS PGothic" w:hAnsi="MS PGothic"/>
                <w:sz w:val="18"/>
                <w:szCs w:val="18"/>
                <w:color w:val="auto"/>
              </w:rPr>
              <w:t>☐</w:t>
            </w:r>
          </w:p>
        </w:tc>
        <w:tc>
          <w:tcPr>
            <w:tcW w:w="338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Letter of Credit Contact:</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Draft Documentation Contact or Legal Counsel:</w:t>
            </w:r>
          </w:p>
        </w:tc>
        <w:tc>
          <w:tcPr>
            <w:tcW w:w="0" w:type="dxa"/>
            <w:vAlign w:val="bottom"/>
          </w:tcPr>
          <w:p>
            <w:pPr>
              <w:spacing w:after="0"/>
              <w:rPr>
                <w:sz w:val="1"/>
                <w:szCs w:val="1"/>
                <w:color w:val="auto"/>
              </w:rPr>
            </w:pPr>
          </w:p>
        </w:tc>
      </w:tr>
      <w:tr>
        <w:trPr>
          <w:trHeight w:val="149"/>
        </w:trPr>
        <w:tc>
          <w:tcPr>
            <w:tcW w:w="2780" w:type="dxa"/>
            <w:vAlign w:val="bottom"/>
            <w:gridSpan w:val="4"/>
            <w:vMerge w:val="continue"/>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1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w:t>
            </w:r>
          </w:p>
        </w:tc>
        <w:tc>
          <w:tcPr>
            <w:tcW w:w="1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6"/>
              </w:rPr>
              <w:t>MI:</w:t>
            </w:r>
          </w:p>
        </w:tc>
        <w:tc>
          <w:tcPr>
            <w:tcW w:w="220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Last:</w:t>
            </w:r>
          </w:p>
        </w:tc>
        <w:tc>
          <w:tcPr>
            <w:tcW w:w="30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w:t>
            </w:r>
          </w:p>
        </w:tc>
        <w:tc>
          <w:tcPr>
            <w:tcW w:w="5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w:t>
            </w:r>
          </w:p>
        </w:tc>
        <w:tc>
          <w:tcPr>
            <w:tcW w:w="220" w:type="dxa"/>
            <w:vAlign w:val="bottom"/>
            <w:tcBorders>
              <w:top w:val="single" w:sz="8" w:color="auto"/>
            </w:tcBorders>
          </w:tcPr>
          <w:p>
            <w:pPr>
              <w:spacing w:after="0"/>
              <w:rPr>
                <w:sz w:val="19"/>
                <w:szCs w:val="19"/>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Last:</w:t>
            </w:r>
          </w:p>
        </w:tc>
        <w:tc>
          <w:tcPr>
            <w:tcW w:w="0" w:type="dxa"/>
            <w:vAlign w:val="bottom"/>
          </w:tcPr>
          <w:p>
            <w:pPr>
              <w:spacing w:after="0"/>
              <w:rPr>
                <w:sz w:val="1"/>
                <w:szCs w:val="1"/>
                <w:color w:val="auto"/>
              </w:rPr>
            </w:pPr>
          </w:p>
        </w:tc>
      </w:tr>
      <w:tr>
        <w:trPr>
          <w:trHeight w:val="30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Street Address: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Street Address: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Suite/ Mail Code: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Suite/ Mail Code:</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City:</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City:</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Postal Code: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Country:</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Postal Code:</w:t>
            </w:r>
          </w:p>
        </w:tc>
        <w:tc>
          <w:tcPr>
            <w:tcW w:w="56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Country:</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Facsimile:</w:t>
            </w: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Facsimile:</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60" w:hanging="452"/>
        <w:spacing w:after="0"/>
        <w:tabs>
          <w:tab w:leader="none" w:pos="46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Lender’s Fed Wire Payment Instructions: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to:</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Bank Name: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ABA #:</w:t>
      </w:r>
    </w:p>
    <w:p>
      <w:pPr>
        <w:spacing w:after="0" w:line="117" w:lineRule="exact"/>
        <w:rPr>
          <w:sz w:val="20"/>
          <w:szCs w:val="20"/>
          <w:color w:val="auto"/>
        </w:rPr>
      </w:pPr>
    </w:p>
    <w:p>
      <w:pPr>
        <w:ind w:left="460"/>
        <w:spacing w:after="0"/>
        <w:tabs>
          <w:tab w:leader="none" w:pos="1920" w:val="left"/>
        </w:tabs>
        <w:rPr>
          <w:sz w:val="20"/>
          <w:szCs w:val="20"/>
          <w:color w:val="auto"/>
        </w:rPr>
      </w:pPr>
      <w:r>
        <w:rPr>
          <w:rFonts w:ascii="Times New Roman" w:cs="Times New Roman" w:eastAsia="Times New Roman" w:hAnsi="Times New Roman"/>
          <w:sz w:val="18"/>
          <w:szCs w:val="18"/>
          <w:color w:val="auto"/>
        </w:rPr>
        <w:t>City:</w:t>
      </w:r>
      <w:r>
        <w:rPr>
          <w:sz w:val="20"/>
          <w:szCs w:val="20"/>
          <w:color w:val="auto"/>
        </w:rPr>
        <w:tab/>
      </w:r>
      <w:r>
        <w:rPr>
          <w:rFonts w:ascii="Times New Roman" w:cs="Times New Roman" w:eastAsia="Times New Roman" w:hAnsi="Times New Roman"/>
          <w:sz w:val="18"/>
          <w:szCs w:val="18"/>
          <w:color w:val="auto"/>
        </w:rPr>
        <w:t>State: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 #:</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 Name: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ind w:left="460" w:hanging="452"/>
        <w:spacing w:after="0"/>
        <w:tabs>
          <w:tab w:leader="none" w:pos="46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Lender’s Standby Letter of Credit, Commercial Letter of Credit, and Bankers’ Acceptance Fed Wire Payment Instructions (if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to:</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Bank Name: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ABA #:</w:t>
      </w:r>
    </w:p>
    <w:p>
      <w:pPr>
        <w:spacing w:after="0" w:line="117" w:lineRule="exact"/>
        <w:rPr>
          <w:sz w:val="20"/>
          <w:szCs w:val="20"/>
          <w:color w:val="auto"/>
        </w:rPr>
      </w:pPr>
    </w:p>
    <w:p>
      <w:pPr>
        <w:ind w:left="460"/>
        <w:spacing w:after="0"/>
        <w:tabs>
          <w:tab w:leader="none" w:pos="1980" w:val="left"/>
        </w:tabs>
        <w:rPr>
          <w:sz w:val="20"/>
          <w:szCs w:val="20"/>
          <w:color w:val="auto"/>
        </w:rPr>
      </w:pPr>
      <w:r>
        <w:rPr>
          <w:rFonts w:ascii="Times New Roman" w:cs="Times New Roman" w:eastAsia="Times New Roman" w:hAnsi="Times New Roman"/>
          <w:sz w:val="18"/>
          <w:szCs w:val="18"/>
          <w:color w:val="auto"/>
        </w:rPr>
        <w:t>City:</w:t>
      </w:r>
      <w:r>
        <w:rPr>
          <w:sz w:val="20"/>
          <w:szCs w:val="20"/>
          <w:color w:val="auto"/>
        </w:rPr>
        <w:tab/>
      </w:r>
      <w:r>
        <w:rPr>
          <w:rFonts w:ascii="Times New Roman" w:cs="Times New Roman" w:eastAsia="Times New Roman" w:hAnsi="Times New Roman"/>
          <w:sz w:val="18"/>
          <w:szCs w:val="18"/>
          <w:color w:val="auto"/>
        </w:rPr>
        <w:t>State: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 #:</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 Name: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w:t>
      </w:r>
    </w:p>
    <w:p>
      <w:pPr>
        <w:spacing w:after="0" w:line="197" w:lineRule="exact"/>
        <w:rPr>
          <w:sz w:val="20"/>
          <w:szCs w:val="20"/>
          <w:color w:val="auto"/>
        </w:rPr>
      </w:pPr>
    </w:p>
    <w:p>
      <w:pPr>
        <w:jc w:val="center"/>
        <w:ind w:right="-19"/>
        <w:spacing w:after="0" w:line="207" w:lineRule="exact"/>
        <w:tabs>
          <w:tab w:leader="none" w:pos="160" w:val="left"/>
          <w:tab w:leader="none" w:pos="160" w:val="left"/>
        </w:tabs>
        <w:rPr>
          <w:sz w:val="20"/>
          <w:szCs w:val="20"/>
          <w:color w:val="auto"/>
        </w:rPr>
      </w:pPr>
      <w:r>
        <w:rPr>
          <w:rFonts w:ascii="Times New Roman" w:cs="Times New Roman" w:eastAsia="Times New Roman" w:hAnsi="Times New Roman"/>
          <w:sz w:val="18"/>
          <w:szCs w:val="18"/>
          <w:b w:val="1"/>
          <w:bCs w:val="1"/>
          <w:color w:val="auto"/>
        </w:rPr>
        <w:t>Use Lender’s Fed Wire Payment Instructions in Section #6 above?</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113030</wp:posOffset>
            </wp:positionV>
            <wp:extent cx="6586220" cy="4286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586220" cy="42862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37" w:name="page338"/>
    <w:bookmarkEnd w:id="33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QUESTIONNAIRE – (US DOLLAR ONLY)</w:t>
      </w:r>
    </w:p>
    <w:p>
      <w:pPr>
        <w:spacing w:after="0" w:line="9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Lender’s Organizational Structure and Tax Status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refer to the enclosed withholding tax instructions below and then complete this section accordingly:</w:t>
      </w:r>
    </w:p>
    <w:p>
      <w:pPr>
        <w:spacing w:after="0" w:line="121"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Lender Taxpayer Identification Number (TIN):</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2183765</wp:posOffset>
            </wp:positionH>
            <wp:positionV relativeFrom="paragraph">
              <wp:posOffset>-7620</wp:posOffset>
            </wp:positionV>
            <wp:extent cx="12668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Withholding Form Delivered to Bank of America (check applicable one):</w:t>
      </w:r>
    </w:p>
    <w:p>
      <w:pPr>
        <w:spacing w:after="0" w:line="88" w:lineRule="exact"/>
        <w:rPr>
          <w:sz w:val="20"/>
          <w:szCs w:val="20"/>
          <w:color w:val="auto"/>
        </w:rPr>
      </w:pPr>
    </w:p>
    <w:p>
      <w:pPr>
        <w:spacing w:after="0" w:line="207" w:lineRule="exact"/>
        <w:tabs>
          <w:tab w:leader="none" w:pos="1140" w:val="left"/>
          <w:tab w:leader="none" w:pos="2620" w:val="left"/>
          <w:tab w:leader="none" w:pos="4100" w:val="left"/>
          <w:tab w:leader="none" w:pos="5560" w:val="left"/>
        </w:tabs>
        <w:rPr>
          <w:sz w:val="20"/>
          <w:szCs w:val="20"/>
          <w:color w:val="auto"/>
        </w:rPr>
      </w:pPr>
      <w:r>
        <w:rPr>
          <w:rFonts w:ascii="Times New Roman" w:cs="Times New Roman" w:eastAsia="Times New Roman" w:hAnsi="Times New Roman"/>
          <w:sz w:val="18"/>
          <w:szCs w:val="18"/>
          <w:b w:val="1"/>
          <w:bCs w:val="1"/>
          <w:color w:val="auto"/>
        </w:rPr>
        <w:t xml:space="preserve">W-9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W-8BEN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W-8ECI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W-8EXP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W-8IMY </w:t>
      </w:r>
      <w:r>
        <w:rPr>
          <w:rFonts w:ascii="MS PGothic" w:cs="MS PGothic" w:eastAsia="MS PGothic" w:hAnsi="MS PGothic"/>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Contact:</w:t>
      </w:r>
    </w:p>
    <w:p>
      <w:pPr>
        <w:spacing w:after="0" w:line="31" w:lineRule="exact"/>
        <w:rPr>
          <w:sz w:val="20"/>
          <w:szCs w:val="20"/>
          <w:color w:val="auto"/>
        </w:rPr>
      </w:pPr>
    </w:p>
    <w:p>
      <w:pPr>
        <w:spacing w:after="0"/>
        <w:tabs>
          <w:tab w:leader="none" w:pos="1500" w:val="left"/>
          <w:tab w:leader="none" w:pos="2880" w:val="left"/>
        </w:tabs>
        <w:rPr>
          <w:sz w:val="20"/>
          <w:szCs w:val="20"/>
          <w:color w:val="auto"/>
        </w:rPr>
      </w:pPr>
      <w:r>
        <w:rPr>
          <w:rFonts w:ascii="Times New Roman" w:cs="Times New Roman" w:eastAsia="Times New Roman" w:hAnsi="Times New Roman"/>
          <w:sz w:val="18"/>
          <w:szCs w:val="18"/>
          <w:color w:val="auto"/>
        </w:rPr>
        <w:t>First:</w:t>
      </w:r>
      <w:r>
        <w:rPr>
          <w:sz w:val="20"/>
          <w:szCs w:val="20"/>
          <w:color w:val="auto"/>
        </w:rPr>
        <w:tab/>
      </w:r>
      <w:r>
        <w:rPr>
          <w:rFonts w:ascii="Times New Roman" w:cs="Times New Roman" w:eastAsia="Times New Roman" w:hAnsi="Times New Roman"/>
          <w:sz w:val="18"/>
          <w:szCs w:val="18"/>
          <w:color w:val="auto"/>
        </w:rPr>
        <w:t>MI:</w:t>
      </w:r>
      <w:r>
        <w:rPr>
          <w:sz w:val="20"/>
          <w:szCs w:val="20"/>
          <w:color w:val="auto"/>
        </w:rPr>
        <w:tab/>
      </w:r>
      <w:r>
        <w:rPr>
          <w:rFonts w:ascii="Times New Roman" w:cs="Times New Roman" w:eastAsia="Times New Roman" w:hAnsi="Times New Roman"/>
          <w:sz w:val="18"/>
          <w:szCs w:val="18"/>
          <w:color w:val="auto"/>
        </w:rPr>
        <w:t>Last: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Mail Code:</w:t>
      </w:r>
    </w:p>
    <w:p>
      <w:pPr>
        <w:spacing w:after="0" w:line="11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City:</w:t>
      </w:r>
      <w:r>
        <w:rPr>
          <w:sz w:val="20"/>
          <w:szCs w:val="20"/>
          <w:color w:val="auto"/>
        </w:rPr>
        <w:tab/>
      </w:r>
      <w:r>
        <w:rPr>
          <w:rFonts w:ascii="Times New Roman" w:cs="Times New Roman" w:eastAsia="Times New Roman" w:hAnsi="Times New Roman"/>
          <w:sz w:val="18"/>
          <w:szCs w:val="18"/>
          <w:color w:val="auto"/>
        </w:rPr>
        <w:t>State:</w:t>
      </w:r>
    </w:p>
    <w:p>
      <w:pPr>
        <w:spacing w:after="0" w:line="1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8"/>
          <w:szCs w:val="18"/>
          <w:color w:val="auto"/>
        </w:rPr>
        <w:t>Postal Code:</w:t>
      </w:r>
      <w:r>
        <w:rPr>
          <w:sz w:val="20"/>
          <w:szCs w:val="20"/>
          <w:color w:val="auto"/>
        </w:rPr>
        <w:tab/>
      </w:r>
      <w:r>
        <w:rPr>
          <w:rFonts w:ascii="Times New Roman" w:cs="Times New Roman" w:eastAsia="Times New Roman" w:hAnsi="Times New Roman"/>
          <w:sz w:val="17"/>
          <w:szCs w:val="17"/>
          <w:color w:val="auto"/>
        </w:rPr>
        <w:t>Country:</w:t>
      </w:r>
    </w:p>
    <w:p>
      <w:pPr>
        <w:spacing w:after="0" w:line="117"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Facsimile: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SyndTrak E-Mail Address: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LENDER INSTITUTIONS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Corporations: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your institution is incorporated outside of the United States for U.S. federal income tax purposes, and is the beneficial owner of the interest and other income it receives, you must complete one of the following three tax forms, as applicable to your institution: a.) Form W-8BEN (Certificate of Foreign Status of Beneficial Owner), b.) Form W-8ECI (Income Effectively Connected to a U.S. Trade or Business), or c.) Form W-8EXP (Certificate of Foreign Government or Governmental Agency).</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A U.S. taxpayer identification number is required for any institution submitting a Form W-8 ECI. It is also required on Form W-8BEN for certain institutions claiming the benefits of a tax treaty with the U.S. Please refer to the instructions when completing the form applicable to your institution. In addition, please be advised that U.S. tax regulations do not permit the acceptance of faxed forms. </w:t>
      </w:r>
      <w:r>
        <w:rPr>
          <w:rFonts w:ascii="Times New Roman" w:cs="Times New Roman" w:eastAsia="Times New Roman" w:hAnsi="Times New Roman"/>
          <w:sz w:val="18"/>
          <w:szCs w:val="18"/>
          <w:b w:val="1"/>
          <w:bCs w:val="1"/>
          <w:color w:val="auto"/>
        </w:rPr>
        <w:t>An original tax form must be submitted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Flow-Through Entities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your institution is organized outside the U.S., and is classified for U.S. federal income tax purposes as either a Partnership, Trust, Qualified or Non-Qualified Intermediary, or other non-U.S. flow-through entity, an original Form W-8IMY (Certificate of Foreign Intermediary, Foreign Flow-Through Entity, or Certain U.S. branches for United States Tax Withholding) must be completed by the intermediary together with a withholding statement. Flow-through entities other than Qualified Intermediaries are required to include tax forms for each of the underlying beneficial owners.</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Please refer to the instructions when completing this form. In addition, please be advised that U.S. tax regulations do not permit the acceptance of faxed forms. </w:t>
      </w:r>
      <w:r>
        <w:rPr>
          <w:rFonts w:ascii="Times New Roman" w:cs="Times New Roman" w:eastAsia="Times New Roman" w:hAnsi="Times New Roman"/>
          <w:sz w:val="18"/>
          <w:szCs w:val="18"/>
          <w:b w:val="1"/>
          <w:bCs w:val="1"/>
          <w:color w:val="auto"/>
        </w:rPr>
        <w:t>Original tax form(s) must be submitted.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LENDER INSTITUTIONS: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If your institution is incorporated or organized within the United States, you must complete and return Form W-9 (Request for Taxpayer Identification Number and Certification). </w:t>
      </w:r>
      <w:r>
        <w:rPr>
          <w:rFonts w:ascii="Times New Roman" w:cs="Times New Roman" w:eastAsia="Times New Roman" w:hAnsi="Times New Roman"/>
          <w:sz w:val="18"/>
          <w:szCs w:val="18"/>
          <w:b w:val="1"/>
          <w:bCs w:val="1"/>
          <w:color w:val="auto"/>
        </w:rPr>
        <w:t>Please be advised that we require an original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54610</wp:posOffset>
            </wp:positionV>
            <wp:extent cx="6586220" cy="4286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586220" cy="42862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38" w:name="page339"/>
    <w:bookmarkEnd w:id="33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QUESTIONNAIRE – (US DOLLAR ONLY)</w:t>
      </w:r>
    </w:p>
    <w:p>
      <w:pPr>
        <w:spacing w:after="0" w:line="9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*Additionalguidance and instructions as to where to submit this documentation can be found at this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428625" cy="2743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2862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hanging="452"/>
        <w:spacing w:after="0"/>
        <w:tabs>
          <w:tab w:leader="none" w:pos="46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of America’s Payment Instructions:</w:t>
      </w:r>
    </w:p>
    <w:p>
      <w:pPr>
        <w:spacing w:after="0" w:line="1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Pay to:</w:t>
      </w:r>
      <w:r>
        <w:rPr>
          <w:sz w:val="20"/>
          <w:szCs w:val="20"/>
          <w:color w:val="auto"/>
        </w:rPr>
        <w:tab/>
      </w:r>
      <w:r>
        <w:rPr>
          <w:rFonts w:ascii="Times New Roman" w:cs="Times New Roman" w:eastAsia="Times New Roman" w:hAnsi="Times New Roman"/>
          <w:sz w:val="17"/>
          <w:szCs w:val="17"/>
          <w:color w:val="auto"/>
        </w:rPr>
        <w:t>Bank of America, N.A.</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XXXXXXX</w:t>
      </w:r>
    </w:p>
    <w:p>
      <w:pPr>
        <w:spacing w:after="0" w:line="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XXXX: XXXXXX</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Attn: Corporate Credit Services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Ref: Great Lakes Dredge &amp; Dock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83185</wp:posOffset>
            </wp:positionV>
            <wp:extent cx="6586220" cy="4286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586220" cy="42862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39" w:name="page340"/>
    <w:bookmarkEnd w:id="339"/>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 and Assumption</w:t>
      </w:r>
    </w:p>
    <w:p>
      <w:pPr>
        <w:sectPr>
          <w:pgSz w:w="11900" w:h="16838" w:orient="portrait"/>
          <w:cols w:equalWidth="0" w:num="1">
            <w:col w:w="11260"/>
          </w:cols>
          <w:pgMar w:left="320" w:top="270" w:right="319" w:bottom="1440" w:gutter="0" w:footer="0" w:header="0"/>
        </w:sectPr>
      </w:pPr>
    </w:p>
    <w:bookmarkStart w:id="340" w:name="page341"/>
    <w:bookmarkEnd w:id="34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2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This Assignment and Assumption (this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[the][each] Assignor identified in item 1 below ([the][each, an]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[the][each] Assignee identified in item 2 below ([the][each,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[It is understood and agreed that the rights and obligations of [the Assignors][the Assignees] hereunder are several and not joint.] Capitalized terms used but not defined herein shall have the meanings given to them in the Loan and Security Agreement identified below (as amended, restated, extended, supplemented or otherwise modified in writing,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xml:space="preserve">”), receipt of a copy of which is hereby acknowledged by [the][each] Assignee. The Standard Terms and Conditions set forth in </w:t>
      </w:r>
      <w:r>
        <w:rPr>
          <w:rFonts w:ascii="Times New Roman" w:cs="Times New Roman" w:eastAsia="Times New Roman" w:hAnsi="Times New Roman"/>
          <w:sz w:val="18"/>
          <w:szCs w:val="18"/>
          <w:u w:val="single" w:color="auto"/>
          <w:color w:val="auto"/>
        </w:rPr>
        <w:t>Annex 1</w:t>
      </w:r>
      <w:r>
        <w:rPr>
          <w:rFonts w:ascii="Times New Roman" w:cs="Times New Roman" w:eastAsia="Times New Roman" w:hAnsi="Times New Roman"/>
          <w:sz w:val="18"/>
          <w:szCs w:val="18"/>
          <w:color w:val="auto"/>
        </w:rPr>
        <w:t xml:space="preserve"> attached hereto are hereby agreed to and incorporated herein by reference and made a part of this Assignment and Assumption as if set forth herein in full.</w:t>
      </w:r>
    </w:p>
    <w:p>
      <w:pPr>
        <w:spacing w:after="0" w:line="18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Loan Agreement, as of the Effective Date inserted by the Administrative Agent as contemplated below (i) all of [the Assignor’s][the respective Assignors’] rights and obligations in [its capacity as a Lender][their respective capacities as Lenders] under the Loan Agreement and any other documents or instruments delivered pursuant thereto to the extent related to the amount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and the percentage interest[s] identified below of all the outstanding rights and obligations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Loan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Each such sale and assignment is without recourse to [the][any] Assignor and, except as expressly provided in this Assignment and Assumption, without representation or warranty by [the][any] Assignor.</w:t>
      </w:r>
    </w:p>
    <w:p>
      <w:pPr>
        <w:spacing w:after="0" w:line="243" w:lineRule="exact"/>
        <w:rPr>
          <w:sz w:val="20"/>
          <w:szCs w:val="20"/>
          <w:color w:val="auto"/>
        </w:rPr>
      </w:pPr>
    </w:p>
    <w:p>
      <w:pPr>
        <w:ind w:left="480" w:hanging="472"/>
        <w:spacing w:after="0"/>
        <w:tabs>
          <w:tab w:leader="none" w:pos="4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Assignor[s]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374"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Assignee, indicate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Great Lakes Dredge &amp; Dock Corporation</w:t>
      </w:r>
    </w:p>
    <w:p>
      <w:pPr>
        <w:spacing w:after="0" w:line="117" w:lineRule="exact"/>
        <w:rPr>
          <w:rFonts w:ascii="Times New Roman" w:cs="Times New Roman" w:eastAsia="Times New Roman" w:hAnsi="Times New Roman"/>
          <w:sz w:val="18"/>
          <w:szCs w:val="18"/>
          <w:color w:val="auto"/>
        </w:rPr>
      </w:pPr>
    </w:p>
    <w:p>
      <w:pPr>
        <w:ind w:left="480" w:hanging="418"/>
        <w:spacing w:after="0"/>
        <w:tabs>
          <w:tab w:leader="none" w:pos="48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Bank of America, N.A., as the administrative agent under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-1473835</wp:posOffset>
            </wp:positionV>
            <wp:extent cx="26498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-1182370</wp:posOffset>
            </wp:positionV>
            <wp:extent cx="26498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-890905</wp:posOffset>
            </wp:positionV>
            <wp:extent cx="26498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-633730</wp:posOffset>
            </wp:positionV>
            <wp:extent cx="264985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41" w:name="page342"/>
    <w:bookmarkEnd w:id="341"/>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520" w:right="20" w:hanging="512"/>
        <w:spacing w:after="0" w:line="266" w:lineRule="auto"/>
        <w:tabs>
          <w:tab w:leader="none" w:pos="52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Loan and Security Agreement, dated as of November 4, 2014, among Great Lakes Dredge &amp; Dock Corporation, as Borrower, Great Lakes Dredge &amp; Dock Company, LLC, as Guarantor, the Lenders from time to time party thereto, and Bank of America, N.A., as Administrative Agent.</w:t>
      </w:r>
    </w:p>
    <w:p>
      <w:pPr>
        <w:spacing w:after="0" w:line="6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Assigned Interest[s]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Aggregate</w:t>
            </w:r>
          </w:p>
        </w:tc>
        <w:tc>
          <w:tcPr>
            <w:tcW w:w="184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Amount of</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w:t>
            </w: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0" w:type="dxa"/>
            <w:vAlign w:val="bottom"/>
            <w:gridSpan w:val="2"/>
          </w:tcPr>
          <w:p>
            <w:pPr>
              <w:jc w:val="center"/>
              <w:ind w:right="1060"/>
              <w:spacing w:after="0" w:line="149" w:lineRule="exact"/>
              <w:rPr>
                <w:sz w:val="20"/>
                <w:szCs w:val="20"/>
                <w:color w:val="auto"/>
              </w:rPr>
            </w:pPr>
            <w:r>
              <w:rPr>
                <w:rFonts w:ascii="Times New Roman" w:cs="Times New Roman" w:eastAsia="Times New Roman" w:hAnsi="Times New Roman"/>
                <w:sz w:val="14"/>
                <w:szCs w:val="14"/>
                <w:color w:val="auto"/>
              </w:rPr>
              <w:t>Amount of</w:t>
            </w:r>
          </w:p>
        </w:tc>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Commitment/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Assigned of</w:t>
            </w:r>
          </w:p>
        </w:tc>
        <w:tc>
          <w:tcPr>
            <w:tcW w:w="1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CUSIP</w:t>
            </w:r>
          </w:p>
        </w:tc>
        <w:tc>
          <w:tcPr>
            <w:tcW w:w="0" w:type="dxa"/>
            <w:vAlign w:val="bottom"/>
          </w:tcPr>
          <w:p>
            <w:pPr>
              <w:spacing w:after="0"/>
              <w:rPr>
                <w:sz w:val="1"/>
                <w:szCs w:val="1"/>
                <w:color w:val="auto"/>
              </w:rPr>
            </w:pPr>
          </w:p>
        </w:tc>
      </w:tr>
      <w:tr>
        <w:trPr>
          <w:trHeight w:val="149"/>
        </w:trPr>
        <w:tc>
          <w:tcPr>
            <w:tcW w:w="24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color w:val="auto"/>
              </w:rPr>
              <w:t>Assignor[s]</w:t>
            </w: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Assignee[s]</w:t>
            </w:r>
          </w:p>
        </w:tc>
        <w:tc>
          <w:tcPr>
            <w:tcW w:w="2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Commitment/Loans</w:t>
            </w:r>
          </w:p>
        </w:tc>
        <w:tc>
          <w:tcPr>
            <w:tcW w:w="184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Commitment/</w:t>
            </w:r>
          </w:p>
        </w:tc>
        <w:tc>
          <w:tcPr>
            <w:tcW w:w="1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20" w:type="dxa"/>
            <w:vAlign w:val="bottom"/>
            <w:gridSpan w:val="3"/>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200" w:type="dxa"/>
            <w:vAlign w:val="bottom"/>
            <w:gridSpan w:val="2"/>
          </w:tcPr>
          <w:p>
            <w:pPr>
              <w:jc w:val="center"/>
              <w:ind w:right="1060"/>
              <w:spacing w:after="0" w:line="158" w:lineRule="exact"/>
              <w:rPr>
                <w:sz w:val="20"/>
                <w:szCs w:val="20"/>
                <w:color w:val="auto"/>
              </w:rPr>
            </w:pPr>
            <w:r>
              <w:rPr>
                <w:rFonts w:ascii="Times New Roman" w:cs="Times New Roman" w:eastAsia="Times New Roman" w:hAnsi="Times New Roman"/>
                <w:sz w:val="14"/>
                <w:szCs w:val="14"/>
                <w:color w:val="auto"/>
              </w:rPr>
              <w:t>for all Lenders</w:t>
            </w:r>
            <w:r>
              <w:rPr>
                <w:rFonts w:ascii="Times New Roman" w:cs="Times New Roman" w:eastAsia="Times New Roman" w:hAnsi="Times New Roman"/>
                <w:sz w:val="12"/>
                <w:szCs w:val="12"/>
                <w:color w:val="auto"/>
              </w:rPr>
              <w:t>1</w:t>
            </w:r>
          </w:p>
        </w:tc>
        <w:tc>
          <w:tcPr>
            <w:tcW w:w="1840" w:type="dxa"/>
            <w:vAlign w:val="bottom"/>
            <w:gridSpan w:val="2"/>
          </w:tcPr>
          <w:p>
            <w:pPr>
              <w:jc w:val="center"/>
              <w:ind w:right="1040"/>
              <w:spacing w:after="0" w:line="158" w:lineRule="exact"/>
              <w:rPr>
                <w:sz w:val="20"/>
                <w:szCs w:val="20"/>
                <w:color w:val="auto"/>
              </w:rPr>
            </w:pPr>
            <w:r>
              <w:rPr>
                <w:rFonts w:ascii="Times New Roman" w:cs="Times New Roman" w:eastAsia="Times New Roman" w:hAnsi="Times New Roman"/>
                <w:sz w:val="14"/>
                <w:szCs w:val="14"/>
                <w:color w:val="auto"/>
                <w:w w:val="99"/>
              </w:rPr>
              <w:t>Assigned</w:t>
            </w: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2"/>
                <w:szCs w:val="12"/>
                <w:color w:val="auto"/>
              </w:rPr>
              <w:t>2</w:t>
            </w:r>
          </w:p>
        </w:tc>
        <w:tc>
          <w:tcPr>
            <w:tcW w:w="1120" w:type="dxa"/>
            <w:vAlign w:val="bottom"/>
          </w:tcPr>
          <w:p>
            <w:pPr>
              <w:spacing w:after="0"/>
              <w:rPr>
                <w:sz w:val="14"/>
                <w:szCs w:val="14"/>
                <w:color w:val="auto"/>
              </w:rPr>
            </w:pPr>
          </w:p>
        </w:tc>
        <w:tc>
          <w:tcPr>
            <w:tcW w:w="4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216"/>
        </w:trPr>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[7.Trade Date:</w:t>
            </w:r>
          </w:p>
        </w:tc>
        <w:tc>
          <w:tcPr>
            <w:tcW w:w="8960" w:type="dxa"/>
            <w:vAlign w:val="bottom"/>
          </w:tcPr>
          <w:p>
            <w:pPr>
              <w:jc w:val="right"/>
              <w:ind w:right="81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p>
        </w:tc>
      </w:tr>
      <w:tr>
        <w:trPr>
          <w:trHeight w:val="20"/>
        </w:trPr>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453"/>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8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[TO BE INSERTED BY ADMINISTRATIVE AGENT AND WHICH SHALL BE THE EFFECTIVE DATE OF</w:t>
            </w:r>
          </w:p>
        </w:tc>
      </w:tr>
    </w:tbl>
    <w:p>
      <w:pPr>
        <w:spacing w:after="0"/>
        <w:rPr>
          <w:sz w:val="20"/>
          <w:szCs w:val="20"/>
          <w:color w:val="auto"/>
        </w:rPr>
      </w:pPr>
      <w:r>
        <w:rPr>
          <w:rFonts w:ascii="Times New Roman" w:cs="Times New Roman" w:eastAsia="Times New Roman" w:hAnsi="Times New Roman"/>
          <w:sz w:val="18"/>
          <w:szCs w:val="18"/>
          <w:color w:val="auto"/>
        </w:rPr>
        <w:t>RECORDATION OF TRANSFER IN THE REGISTER THEREFOR.]</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ASSIGNOR[S]</w:t>
      </w:r>
      <w:r>
        <w:rPr>
          <w:rFonts w:ascii="Times New Roman" w:cs="Times New Roman" w:eastAsia="Times New Roman" w:hAnsi="Times New Roman"/>
          <w:sz w:val="15"/>
          <w:szCs w:val="15"/>
          <w:u w:val="single" w:color="auto"/>
          <w:color w:val="auto"/>
        </w:rPr>
        <w:t>4</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0326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0326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5"/>
          <w:szCs w:val="15"/>
          <w:u w:val="single" w:color="auto"/>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line="260" w:lineRule="auto"/>
        <w:tabs>
          <w:tab w:leader="none" w:pos="220" w:val="left"/>
        </w:tabs>
        <w:numPr>
          <w:ilvl w:val="0"/>
          <w:numId w:val="25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Amounts in this column and in the column immediately to the right to be adjusted by the counterparties to take into account any payments or prepayments made between the Trade Date and the Effective Date.</w:t>
      </w:r>
    </w:p>
    <w:p>
      <w:pPr>
        <w:spacing w:after="0" w:line="1" w:lineRule="exact"/>
        <w:rPr>
          <w:sz w:val="20"/>
          <w:szCs w:val="20"/>
          <w:color w:val="auto"/>
        </w:rPr>
      </w:pPr>
    </w:p>
    <w:p>
      <w:pPr>
        <w:ind w:left="220" w:hanging="212"/>
        <w:spacing w:after="0"/>
        <w:tabs>
          <w:tab w:leader="none" w:pos="220"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Set forth, to at least 9 decimals, as a percentage of the Commitment/Loans of all Lenders thereunder.</w:t>
      </w:r>
    </w:p>
    <w:p>
      <w:pPr>
        <w:spacing w:after="0" w:line="9" w:lineRule="exact"/>
        <w:rPr>
          <w:sz w:val="20"/>
          <w:szCs w:val="20"/>
          <w:color w:val="auto"/>
        </w:rPr>
      </w:pPr>
    </w:p>
    <w:p>
      <w:pPr>
        <w:ind w:left="220" w:hanging="212"/>
        <w:spacing w:after="0"/>
        <w:tabs>
          <w:tab w:leader="none" w:pos="220" w:val="left"/>
        </w:tabs>
        <w:numPr>
          <w:ilvl w:val="0"/>
          <w:numId w:val="25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completed if the Assignor and the Assignee intend that the minimum assignment amount is to be determined as of the Trade Date.</w:t>
      </w:r>
    </w:p>
    <w:p>
      <w:pPr>
        <w:spacing w:after="0" w:line="9" w:lineRule="exact"/>
        <w:rPr>
          <w:sz w:val="20"/>
          <w:szCs w:val="20"/>
          <w:color w:val="auto"/>
        </w:rPr>
      </w:pPr>
    </w:p>
    <w:p>
      <w:pPr>
        <w:ind w:left="220" w:hanging="212"/>
        <w:spacing w:after="0"/>
        <w:tabs>
          <w:tab w:leader="none" w:pos="220" w:val="left"/>
        </w:tabs>
        <w:numPr>
          <w:ilvl w:val="0"/>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Add additional signature blocks as needed. Include both Fund/Pension Plan and manager making the trade (if applicable).</w:t>
      </w:r>
    </w:p>
    <w:p>
      <w:pPr>
        <w:spacing w:after="0" w:line="9" w:lineRule="exact"/>
        <w:rPr>
          <w:sz w:val="20"/>
          <w:szCs w:val="20"/>
          <w:color w:val="auto"/>
        </w:rPr>
      </w:pPr>
    </w:p>
    <w:p>
      <w:pPr>
        <w:ind w:left="220" w:hanging="212"/>
        <w:spacing w:after="0"/>
        <w:tabs>
          <w:tab w:leader="none" w:pos="220"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Add additional signature blocks as needed. Include both Fund/Pension Plan and manager making the trade (if applicable).</w:t>
      </w:r>
    </w:p>
    <w:p>
      <w:pPr>
        <w:sectPr>
          <w:pgSz w:w="11900" w:h="16838" w:orient="portrait"/>
          <w:cols w:equalWidth="0" w:num="1">
            <w:col w:w="11340"/>
          </w:cols>
          <w:pgMar w:left="240" w:top="270" w:right="319" w:bottom="1440" w:gutter="0" w:footer="0" w:header="0"/>
        </w:sectPr>
      </w:pPr>
    </w:p>
    <w:bookmarkStart w:id="342" w:name="page343"/>
    <w:bookmarkEnd w:id="342"/>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17145</wp:posOffset>
            </wp:positionV>
            <wp:extent cx="218694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17145</wp:posOffset>
            </wp:positionV>
            <wp:extent cx="218694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 as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216090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15"/>
          <w:szCs w:val="15"/>
          <w:color w:val="auto"/>
        </w:rPr>
        <w:t>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216090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20" w:hanging="212"/>
        <w:spacing w:after="0"/>
        <w:tabs>
          <w:tab w:leader="none" w:pos="220"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added only if the consent of the Administrative Agent is required by the terms of the Loan Agreement.</w:t>
      </w:r>
    </w:p>
    <w:p>
      <w:pPr>
        <w:spacing w:after="0" w:line="26" w:lineRule="exact"/>
        <w:rPr>
          <w:sz w:val="20"/>
          <w:szCs w:val="20"/>
          <w:color w:val="auto"/>
        </w:rPr>
      </w:pPr>
    </w:p>
    <w:p>
      <w:pPr>
        <w:ind w:left="220" w:hanging="212"/>
        <w:spacing w:after="0"/>
        <w:tabs>
          <w:tab w:leader="none" w:pos="220" w:val="left"/>
        </w:tabs>
        <w:numPr>
          <w:ilvl w:val="0"/>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added only if the consent of the Borrower is required by the terms of the Loan Agreement.</w:t>
      </w:r>
    </w:p>
    <w:p>
      <w:pPr>
        <w:sectPr>
          <w:pgSz w:w="11900" w:h="16838" w:orient="portrait"/>
          <w:cols w:equalWidth="0" w:num="1">
            <w:col w:w="11340"/>
          </w:cols>
          <w:pgMar w:left="240" w:top="269" w:right="319" w:bottom="1440" w:gutter="0" w:footer="0" w:header="0"/>
        </w:sectPr>
      </w:pPr>
    </w:p>
    <w:bookmarkStart w:id="343" w:name="page344"/>
    <w:bookmarkEnd w:id="34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b w:val="1"/>
          <w:bCs w:val="1"/>
          <w:i w:val="1"/>
          <w:iCs w:val="1"/>
          <w:color w:val="auto"/>
        </w:rPr>
        <w:t>ANNEX 1 TO ASSIGNMENT AND ASSUMPTION</w:t>
      </w:r>
    </w:p>
    <w:p>
      <w:pPr>
        <w:spacing w:after="0" w:line="24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Loan and Security Agreement, dated as of November 4, 2014, among Great Lakes Dredge &amp; Dock Corporation, as Borrower, Great Lakes Dredge &amp; Dock Company, LLC, as Guarantor, the Lenders from time to time party thereto, and Bank of America, N.A., as Administrative Agent.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ind w:left="640" w:hanging="176"/>
        <w:spacing w:after="0"/>
        <w:tabs>
          <w:tab w:leader="none" w:pos="6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[The][Each] Assignor (a) represents and warrants that (i) it is the legal and beneficial owner of [the][[the relevant] Assigned Interest,</w:t>
      </w:r>
    </w:p>
    <w:p>
      <w:pPr>
        <w:spacing w:after="0" w:line="27" w:lineRule="exact"/>
        <w:rPr>
          <w:sz w:val="20"/>
          <w:szCs w:val="20"/>
          <w:color w:val="auto"/>
        </w:rPr>
      </w:pPr>
    </w:p>
    <w:p>
      <w:pPr>
        <w:ind w:right="140" w:firstLine="8"/>
        <w:spacing w:after="0" w:line="252" w:lineRule="auto"/>
        <w:tabs>
          <w:tab w:leader="none" w:pos="26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Loan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89" w:lineRule="exact"/>
        <w:rPr>
          <w:sz w:val="20"/>
          <w:szCs w:val="20"/>
          <w:color w:val="auto"/>
        </w:rPr>
      </w:pPr>
    </w:p>
    <w:p>
      <w:pPr>
        <w:jc w:val="both"/>
        <w:ind w:right="2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Loan Agreement,</w:t>
      </w:r>
    </w:p>
    <w:p>
      <w:pPr>
        <w:ind w:right="20" w:firstLine="8"/>
        <w:spacing w:after="0" w:line="251" w:lineRule="auto"/>
        <w:tabs>
          <w:tab w:leader="none" w:pos="26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meets all the requirements to be an assignee under </w:t>
      </w:r>
      <w:r>
        <w:rPr>
          <w:rFonts w:ascii="Times New Roman" w:cs="Times New Roman" w:eastAsia="Times New Roman" w:hAnsi="Times New Roman"/>
          <w:sz w:val="18"/>
          <w:szCs w:val="18"/>
          <w:u w:val="single" w:color="auto"/>
          <w:color w:val="auto"/>
        </w:rPr>
        <w:t>Section 9.13(b)(iii)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the Loan Agreement (subject to such consents, if any, as may be required under </w:t>
      </w:r>
      <w:r>
        <w:rPr>
          <w:rFonts w:ascii="Times New Roman" w:cs="Times New Roman" w:eastAsia="Times New Roman" w:hAnsi="Times New Roman"/>
          <w:sz w:val="18"/>
          <w:szCs w:val="18"/>
          <w:u w:val="single" w:color="auto"/>
          <w:color w:val="auto"/>
        </w:rPr>
        <w:t>Section 9.13(b)(iii)</w:t>
      </w:r>
      <w:r>
        <w:rPr>
          <w:rFonts w:ascii="Times New Roman" w:cs="Times New Roman" w:eastAsia="Times New Roman" w:hAnsi="Times New Roman"/>
          <w:sz w:val="18"/>
          <w:szCs w:val="18"/>
          <w:color w:val="auto"/>
        </w:rPr>
        <w:t xml:space="preserve"> of the Loan Agreement), (iii) from and after the Effective Date, it shall be bound by the provisions of the Loan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Loan Agreement, and has received or has been accorded the opportunity to receive copies of the most recent financial statements delivered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Loan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ectPr>
          <w:pgSz w:w="11900" w:h="16838" w:orient="portrait"/>
          <w:cols w:equalWidth="0" w:num="1">
            <w:col w:w="11420"/>
          </w:cols>
          <w:pgMar w:left="240" w:top="269" w:right="239" w:bottom="1440" w:gutter="0" w:footer="0" w:header="0"/>
        </w:sectPr>
      </w:pPr>
    </w:p>
    <w:bookmarkStart w:id="344" w:name="page345"/>
    <w:bookmarkEnd w:id="34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ind w:left="-20" w:firstLine="464"/>
        <w:spacing w:after="0" w:line="281" w:lineRule="auto"/>
        <w:tabs>
          <w:tab w:leader="none" w:pos="616"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pacing w:after="0" w:line="164" w:lineRule="exact"/>
        <w:rPr>
          <w:rFonts w:ascii="Times New Roman" w:cs="Times New Roman" w:eastAsia="Times New Roman" w:hAnsi="Times New Roman"/>
          <w:sz w:val="17"/>
          <w:szCs w:val="17"/>
          <w:color w:val="auto"/>
        </w:rPr>
      </w:pPr>
    </w:p>
    <w:p>
      <w:pPr>
        <w:ind w:left="-20" w:right="100" w:firstLine="464"/>
        <w:spacing w:after="0" w:line="258" w:lineRule="auto"/>
        <w:tabs>
          <w:tab w:leader="none" w:pos="61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permitted by the terms of the Loan Agreement. This Assignment and Assumption may be executed in any number of counterparts, which together shall constitute one instrument. Delivery of an executed counterpart of a signature page of this Assignment and Assumption by telecopy or in electronic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“pdf” or “tif”) format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380"/>
          </w:cols>
          <w:pgMar w:left="260" w:top="270" w:right="259" w:bottom="1440" w:gutter="0" w:footer="0" w:header="0"/>
        </w:sectPr>
      </w:pPr>
    </w:p>
    <w:bookmarkStart w:id="345" w:name="page346"/>
    <w:bookmarkEnd w:id="345"/>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U.S. Tax Compliance Certificate</w:t>
      </w:r>
    </w:p>
    <w:p>
      <w:pPr>
        <w:sectPr>
          <w:pgSz w:w="11900" w:h="16838" w:orient="portrait"/>
          <w:cols w:equalWidth="0" w:num="1">
            <w:col w:w="11260"/>
          </w:cols>
          <w:pgMar w:left="320" w:top="270" w:right="319" w:bottom="1440" w:gutter="0" w:footer="0" w:header="0"/>
        </w:sectPr>
      </w:pPr>
    </w:p>
    <w:bookmarkStart w:id="346" w:name="page347"/>
    <w:bookmarkEnd w:id="34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80" w:right="24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EXHIBIT G-1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07"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Reference is hereby made to the Loan and Security Agreement dated as of November 4, 2014 (as amended, supplemented or otherwise modified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among Great Lakes Dredge &amp; Dock Corporation, as borrower, Great Lakes Dredge &amp; Dock Company, LLC, as guarantor, each lender from time to time party thereto and Bank of America, N.A., as Administrative Agent.</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10.01 of the Loan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a certificate of its non-U.S. Person status on IRS Form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otherwise defined herein, terms defined in the Loan Agreement and used herein shall have the meanings given to them in the Loan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27101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w:t>
            </w:r>
          </w:p>
        </w:tc>
      </w:tr>
    </w:tbl>
    <w:p>
      <w:pPr>
        <w:sectPr>
          <w:pgSz w:w="11900" w:h="16838" w:orient="portrait"/>
          <w:cols w:equalWidth="0" w:num="1">
            <w:col w:w="11380"/>
          </w:cols>
          <w:pgMar w:left="240" w:top="270" w:right="279" w:bottom="1440" w:gutter="0" w:footer="0" w:header="0"/>
        </w:sectPr>
      </w:pPr>
    </w:p>
    <w:bookmarkStart w:id="347" w:name="page348"/>
    <w:bookmarkEnd w:id="347"/>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ind w:left="280" w:right="24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G-2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07"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Reference is hereby made to the Loan and Security Agreement dated as of November 4, 2014 (as amended, supplemented or otherwise modified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among Great Lakes Dredge &amp; Dock Corporation, as borrower, Great Lakes Dredge &amp; Dock Company, LLC, as guarantor, each lender from time to time party thereto and Bank of America, N.A., as Administrative Agent.</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10.01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0"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otherwise defined herein, terms defined in the Loan Agreement and used herein shall have the meanings given to them in the Loan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27101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w:t>
            </w:r>
          </w:p>
        </w:tc>
      </w:tr>
    </w:tbl>
    <w:p>
      <w:pPr>
        <w:sectPr>
          <w:pgSz w:w="11900" w:h="16838" w:orient="portrait"/>
          <w:cols w:equalWidth="0" w:num="1">
            <w:col w:w="11380"/>
          </w:cols>
          <w:pgMar w:left="240" w:top="269" w:right="279" w:bottom="1440" w:gutter="0" w:footer="0" w:header="0"/>
        </w:sectPr>
      </w:pPr>
    </w:p>
    <w:bookmarkStart w:id="348" w:name="page349"/>
    <w:bookmarkEnd w:id="34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G-3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07"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Reference is hereby made to the Loan and Security Agreement dated as of November 4, 2014 (as amended, supplemented or otherwise modified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among Great Lakes Dredge &amp; Dock Corporation, as borrower, Great Lakes Dredge &amp; Dock Company, LLC, as guarantor, each lender from time to time party thereto and Bank of America, N.A., as Administrative Agent.</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10.01 of the Loan Agreement, the undersigned hereby certifies that (i) it is the sole record owner of the participation in respect of which it is providing this certificate, (ii) its direct or indirect partners/members are the sole beneficial owners of such participation,</w:t>
      </w:r>
    </w:p>
    <w:p>
      <w:pPr>
        <w:ind w:left="320" w:hanging="312"/>
        <w:spacing w:after="0"/>
        <w:tabs>
          <w:tab w:leader="none" w:pos="32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such participation, neither the undersigned nor any of its direct or indirect partners/members is a bank extending credit pursuant to a loan</w:t>
      </w:r>
    </w:p>
    <w:p>
      <w:pPr>
        <w:spacing w:after="0" w:line="9"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6"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W-8BEN-E or (ii) an IRS Form W-8IMY accompanied by an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otherwise defined herein, terms defined in the Loan Agreement and used herein shall have the meanings given to them in the Loan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27101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w:t>
            </w:r>
          </w:p>
        </w:tc>
      </w:tr>
    </w:tbl>
    <w:p>
      <w:pPr>
        <w:sectPr>
          <w:pgSz w:w="11900" w:h="16838" w:orient="portrait"/>
          <w:cols w:equalWidth="0" w:num="1">
            <w:col w:w="11420"/>
          </w:cols>
          <w:pgMar w:left="240" w:top="270" w:right="239" w:bottom="1440" w:gutter="0" w:footer="0" w:header="0"/>
        </w:sectPr>
      </w:pPr>
    </w:p>
    <w:bookmarkStart w:id="349" w:name="page350"/>
    <w:bookmarkEnd w:id="349"/>
    <w:p>
      <w:pPr>
        <w:jc w:val="center"/>
        <w:ind w:right="-7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ind w:left="320" w:right="200"/>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EXHIBIT G-4</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07"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Reference is hereby made to the Loan and Security Agreement dated as of November 4, 2014 (as amended, supplemented or otherwise modified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among Great Lakes Dredge &amp; Dock Corporation, as borrower, Great Lakes Dredge &amp; Dock Company, LLC, as guarantor, each lender from time to time party thereto and Bank of America, N.A., as Administrative Agent.</w:t>
      </w:r>
    </w:p>
    <w:p>
      <w:pPr>
        <w:spacing w:after="0" w:line="176"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Pursuant to the provisions of Section 10.01 of the Loan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W-8BEN-E or (ii) an IRS Form W-8IMY accompanied by an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otherwise defined herein, terms defined in the Loan Agreement and used herein shall have the meanings given to them in the Loan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27101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w:t>
            </w:r>
          </w:p>
        </w:tc>
      </w:tr>
    </w:tbl>
    <w:p>
      <w:pPr>
        <w:sectPr>
          <w:pgSz w:w="11900" w:h="16838" w:orient="portrait"/>
          <w:cols w:equalWidth="0" w:num="1">
            <w:col w:w="11340"/>
          </w:cols>
          <w:pgMar w:left="240" w:top="270" w:right="319" w:bottom="1440" w:gutter="0" w:footer="0" w:header="0"/>
        </w:sectPr>
      </w:pPr>
    </w:p>
    <w:bookmarkStart w:id="350" w:name="page351"/>
    <w:bookmarkEnd w:id="350"/>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3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Loan Prepayment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270" w:right="319" w:bottom="1440" w:gutter="0" w:footer="0" w:header="0"/>
        </w:sectPr>
      </w:pPr>
    </w:p>
    <w:bookmarkStart w:id="351" w:name="page352"/>
    <w:bookmarkEnd w:id="35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REDACTED PURSUANT TO A REQUEST FOR CONFIDENTIAL TREATMENT UNDER RULE 24B-2</w:t>
      </w:r>
    </w:p>
    <w:p>
      <w:pPr>
        <w:spacing w:after="0" w:line="27"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7"/>
          <w:szCs w:val="17"/>
          <w:color w:val="auto"/>
        </w:rPr>
        <w:t>OF THE SECURITIES EXCHANGE ACT OF 1934, AS AMENDED. INFORMATION FOR WHICH CONFIDENTIAL TREATMENT HAS BEEN REQUESTED IS OMITTED, MARKED WITH “[*]” AND FILED SEPARATELY WITH THE SECURITIES AND EXCHANGE COMMISSION.</w:t>
      </w:r>
    </w:p>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NOTICE OF LOAN PREPAYMENT</w:t>
      </w:r>
    </w:p>
    <w:p>
      <w:pPr>
        <w:spacing w:after="0" w:line="229" w:lineRule="exact"/>
        <w:rPr>
          <w:sz w:val="20"/>
          <w:szCs w:val="20"/>
          <w:color w:val="auto"/>
        </w:rPr>
      </w:pPr>
    </w:p>
    <w:p>
      <w:pPr>
        <w:ind w:left="9640"/>
        <w:spacing w:after="0"/>
        <w:tabs>
          <w:tab w:leader="none" w:pos="109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6394450</wp:posOffset>
            </wp:positionH>
            <wp:positionV relativeFrom="paragraph">
              <wp:posOffset>-7620</wp:posOffset>
            </wp:positionV>
            <wp:extent cx="85725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Bank of America, N.A.,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Reference is made to that certain Loan and Security Agreement, dated as of November 4, 2014 (as amended, restated, extended, supplemented or otherwise modified in writing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capitalized terms used herein shall, unless otherwise defined herein, have the meanings provided in the Agreement), among GREAT LAKES DREDGE &amp; DOCK CORPORATION,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GREAT LAKES DREDGE &amp; DOCK COMPANY, LLC, a Delaware limited liability company, as Guarantor, the Lenders from time to time party thereto, and Bank of America, N.A., as Administrative Agent.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Borrower hereby notifies the Administrative Agent and the Lenders that the Borrower intends to prepay the Loans:</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3"/>
              </w:rPr>
              <w:t>1.</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w:t>
            </w:r>
          </w:p>
        </w:tc>
        <w:tc>
          <w:tcPr>
            <w:tcW w:w="900" w:type="dxa"/>
            <w:vAlign w:val="bottom"/>
            <w:tcBorders>
              <w:bottom w:val="single" w:sz="8" w:color="auto"/>
            </w:tcBorders>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 Business Day).</w:t>
            </w:r>
          </w:p>
        </w:tc>
      </w:tr>
      <w:tr>
        <w:trPr>
          <w:trHeight w:val="318"/>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3"/>
              </w:rPr>
              <w:t>2.</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7"/>
              </w:rPr>
              <w:t>In the amount of $</w:t>
            </w:r>
          </w:p>
        </w:tc>
        <w:tc>
          <w:tcPr>
            <w:tcW w:w="360" w:type="dxa"/>
            <w:vAlign w:val="bottom"/>
            <w:tcBorders>
              <w:bottom w:val="single" w:sz="8" w:color="auto"/>
            </w:tcBorders>
          </w:tcPr>
          <w:p>
            <w:pPr>
              <w:spacing w:after="0"/>
              <w:rPr>
                <w:sz w:val="24"/>
                <w:szCs w:val="24"/>
                <w:color w:val="auto"/>
              </w:rPr>
            </w:pPr>
          </w:p>
        </w:tc>
        <w:tc>
          <w:tcPr>
            <w:tcW w:w="8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7"/>
              </w:rPr>
              <w:t>.</w:t>
            </w:r>
          </w:p>
        </w:tc>
      </w:tr>
    </w:tbl>
    <w:p>
      <w:pPr>
        <w:spacing w:after="0" w:line="24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w:t>
      </w:r>
    </w:p>
    <w:p>
      <w:pPr>
        <w:spacing w:after="0" w:line="22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17145</wp:posOffset>
            </wp:positionV>
            <wp:extent cx="302704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17145</wp:posOffset>
            </wp:positionV>
            <wp:extent cx="283019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52" w:name="page353"/>
    <w:bookmarkEnd w:id="352"/>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Exhibit 12.1</w:t>
            </w:r>
          </w:p>
        </w:tc>
        <w:tc>
          <w:tcPr>
            <w:tcW w:w="0" w:type="dxa"/>
            <w:vAlign w:val="bottom"/>
          </w:tcPr>
          <w:p>
            <w:pPr>
              <w:spacing w:after="0"/>
              <w:rPr>
                <w:sz w:val="1"/>
                <w:szCs w:val="1"/>
                <w:color w:val="auto"/>
              </w:rPr>
            </w:pPr>
          </w:p>
        </w:tc>
      </w:tr>
      <w:tr>
        <w:trPr>
          <w:trHeight w:val="410"/>
        </w:trPr>
        <w:tc>
          <w:tcPr>
            <w:tcW w:w="4060" w:type="dxa"/>
            <w:vAlign w:val="bottom"/>
          </w:tcPr>
          <w:p>
            <w:pPr>
              <w:spacing w:after="0"/>
              <w:rPr>
                <w:sz w:val="24"/>
                <w:szCs w:val="24"/>
                <w:color w:val="auto"/>
              </w:rPr>
            </w:pPr>
          </w:p>
        </w:tc>
        <w:tc>
          <w:tcPr>
            <w:tcW w:w="38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8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Great Lakes Dredge &amp; Dock Corporation</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38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060" w:type="dxa"/>
            <w:vAlign w:val="bottom"/>
          </w:tcPr>
          <w:p>
            <w:pPr>
              <w:spacing w:after="0"/>
              <w:rPr>
                <w:sz w:val="24"/>
                <w:szCs w:val="24"/>
                <w:color w:val="auto"/>
              </w:rPr>
            </w:pPr>
          </w:p>
        </w:tc>
        <w:tc>
          <w:tcPr>
            <w:tcW w:w="36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Pr>
          <w:p>
            <w:pPr>
              <w:spacing w:after="0"/>
              <w:rPr>
                <w:sz w:val="24"/>
                <w:szCs w:val="24"/>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24"/>
                <w:szCs w:val="24"/>
                <w:color w:val="auto"/>
              </w:rPr>
            </w:pPr>
          </w:p>
        </w:tc>
        <w:tc>
          <w:tcPr>
            <w:tcW w:w="740" w:type="dxa"/>
            <w:vAlign w:val="bottom"/>
            <w:gridSpan w:val="2"/>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 (loss) from continuing operations(1)</w:t>
            </w:r>
          </w:p>
        </w:tc>
        <w:tc>
          <w:tcPr>
            <w:tcW w:w="30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$57,138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$26,679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$11,590</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$29,109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3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21,046</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28,795</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27,594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27,766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3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Distributed income of equity investees</w:t>
            </w:r>
          </w:p>
        </w:tc>
        <w:tc>
          <w:tcPr>
            <w:tcW w:w="30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3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78,150</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55,474</w:t>
            </w: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39,184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57,143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32,658</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3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amortized deferred financing costs</w:t>
            </w:r>
          </w:p>
        </w:tc>
        <w:tc>
          <w:tcPr>
            <w:tcW w:w="3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$13,559</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$21,374</w:t>
            </w: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$20,920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$21,941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19,967</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Estimated interest expense in operating leases</w:t>
            </w:r>
          </w:p>
        </w:tc>
        <w:tc>
          <w:tcPr>
            <w:tcW w:w="3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7,487</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7,421</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6,674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security dividend requirements</w:t>
            </w:r>
          </w:p>
        </w:tc>
        <w:tc>
          <w:tcPr>
            <w:tcW w:w="3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30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21,046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28,795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27,594</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28,556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3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adjustment for noncontrolling interests in consolidated subsidiaries and income (loss) from equity investees.</w:t>
      </w:r>
    </w:p>
    <w:p>
      <w:pPr>
        <w:sectPr>
          <w:pgSz w:w="11900" w:h="16838" w:orient="portrait"/>
          <w:cols w:equalWidth="0" w:num="1">
            <w:col w:w="11420"/>
          </w:cols>
          <w:pgMar w:left="240" w:top="117" w:right="239" w:bottom="1440" w:gutter="0" w:footer="0" w:header="0"/>
        </w:sectPr>
      </w:pPr>
    </w:p>
    <w:bookmarkStart w:id="353" w:name="page354"/>
    <w:bookmarkEnd w:id="353"/>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18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432"/>
        </w:trPr>
        <w:tc>
          <w:tcPr>
            <w:tcW w:w="380" w:type="dxa"/>
            <w:vAlign w:val="bottom"/>
          </w:tcPr>
          <w:p>
            <w:pPr>
              <w:spacing w:after="0"/>
              <w:rPr>
                <w:sz w:val="24"/>
                <w:szCs w:val="24"/>
                <w:color w:val="auto"/>
              </w:rPr>
            </w:pPr>
          </w:p>
        </w:tc>
        <w:tc>
          <w:tcPr>
            <w:tcW w:w="924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800" w:type="dxa"/>
            <w:vAlign w:val="bottom"/>
          </w:tcPr>
          <w:p>
            <w:pPr>
              <w:spacing w:after="0"/>
              <w:rPr>
                <w:sz w:val="24"/>
                <w:szCs w:val="24"/>
                <w:color w:val="auto"/>
              </w:rPr>
            </w:pPr>
          </w:p>
        </w:tc>
      </w:tr>
      <w:tr>
        <w:trPr>
          <w:trHeight w:val="41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4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03"/>
        </w:trPr>
        <w:tc>
          <w:tcPr>
            <w:tcW w:w="9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Great Lakes Dredge &amp; Dock Company, LLC</w:t>
            </w:r>
          </w:p>
        </w:tc>
        <w:tc>
          <w:tcPr>
            <w:tcW w:w="18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Dawson Marine Services Company</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 Lakes Dredge &amp; Dock Environmental, Inc.</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Fifty-Three Dredging Corporation</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 Lakes Dredge &amp; Dock Australia Pty Ltd.</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Lakes Dredge &amp; Dock Co Brasil Ltda.</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 Lakes Dredge &amp; Dock India Private Ltd.</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Lydon Dredging &amp; Construction Co. Ltd.</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 Lakes Dredge &amp; Dock (Bahamas) Ltd.</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Bahamas</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GLDD Mexicana, S. de R.L. de C.V.</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NASDI Holdings, LLC</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 Contracting Services, LLC</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Magnus Pacific Corporation</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34"/>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Lakes Environmental &amp; Infrastructure Solutions, LLC</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420"/>
          </w:cols>
          <w:pgMar w:left="240" w:top="117" w:right="239"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333-153207 on Form S-3 and Registration Statement Nos. 333-150067 and 333-185350 on Form S-8 of our reports dated March 6, 2015, relating to the consolidated financial statements and financial statement schedule of Great Lakes Dredge &amp; Dock Corporation and subsidiaries (the “Company”), and the effectiveness of the Company’s internal control over financial reporting, appearing in the Annual Report on Form 10-K of Great Lakes Dredge &amp; Dock Corporation for the year ended December 31, 2014.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2015</w:t>
      </w:r>
    </w:p>
    <w:p>
      <w:pPr>
        <w:sectPr>
          <w:pgSz w:w="11900" w:h="16838" w:orient="portrait"/>
          <w:cols w:equalWidth="0" w:num="1">
            <w:col w:w="11420"/>
          </w:cols>
          <w:pgMar w:left="240" w:top="117" w:right="239" w:bottom="1440" w:gutter="0" w:footer="0" w:header="0"/>
        </w:sectPr>
      </w:pPr>
    </w:p>
    <w:bookmarkStart w:id="355" w:name="page356"/>
    <w:bookmarkEnd w:id="3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W. Berger, certify that:</w:t>
      </w:r>
    </w:p>
    <w:p>
      <w:pPr>
        <w:spacing w:after="0" w:line="131" w:lineRule="exact"/>
        <w:rPr>
          <w:sz w:val="20"/>
          <w:szCs w:val="20"/>
          <w:color w:val="auto"/>
        </w:rPr>
      </w:pPr>
    </w:p>
    <w:p>
      <w:pPr>
        <w:ind w:left="460" w:hanging="452"/>
        <w:spacing w:after="0"/>
        <w:tabs>
          <w:tab w:leader="none" w:pos="4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Great Lakes Dredge &amp; Dock Corporation;</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2015</w:t>
      </w:r>
    </w:p>
    <w:p>
      <w:pPr>
        <w:spacing w:after="0" w:line="1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Jonathan W. Berger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Marinko, certify that:</w:t>
      </w:r>
    </w:p>
    <w:p>
      <w:pPr>
        <w:spacing w:after="0" w:line="131" w:lineRule="exact"/>
        <w:rPr>
          <w:sz w:val="20"/>
          <w:szCs w:val="20"/>
          <w:color w:val="auto"/>
        </w:rPr>
      </w:pPr>
    </w:p>
    <w:p>
      <w:pPr>
        <w:ind w:left="460" w:hanging="452"/>
        <w:spacing w:after="0"/>
        <w:tabs>
          <w:tab w:leader="none" w:pos="4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Great Lakes Dredge &amp; Dock Corporation;</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Mark W. Marinko</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420"/>
          </w:cols>
          <w:pgMar w:left="240" w:top="117" w:right="239" w:bottom="1440" w:gutter="0" w:footer="0" w:header="0"/>
        </w:sectPr>
      </w:pPr>
    </w:p>
    <w:bookmarkStart w:id="357" w:name="page358"/>
    <w:bookmarkEnd w:id="3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Great Lakes Dredge &amp; Dock Corporation (the “Company”) on Form 10-K for the year ended December 31, 2014, as filed with the Securities and Exchange Commission on the date hereof (the “Report”), I, Jonathan W. Berger, Chief Executive Officer of the Company, certify pursuant to 18 U.S.C. Section 1350, as adopted pursuant to Section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W. Berger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2015</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Great Lakes Dredge &amp; Dock Corporation (the “Company”) on Form 10-K for the year ended December 31, 2014, as filed with the Securities and Exchange Commission on the date hereof (the “Report”), I, Mark W. Marinko, Senior Vice President and Chief Financial Officer of the Company, certify pursuant to 18 U.S.C. Section 1350, as adopted pursuant to Section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W. Marinko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2015</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4E1DD5"/>
    <w:multiLevelType w:val="hybridMultilevel"/>
    <w:lvl w:ilvl="0">
      <w:lvlJc w:val="left"/>
      <w:lvlText w:val="☒"/>
      <w:numFmt w:val="bullet"/>
      <w:start w:val="1"/>
    </w:lvl>
  </w:abstractNum>
  <w:abstractNum w:abstractNumId="1">
    <w:nsid w:val="57D2F10E"/>
    <w:multiLevelType w:val="hybridMultilevel"/>
    <w:lvl w:ilvl="0">
      <w:lvlJc w:val="left"/>
      <w:lvlText w:val="☐"/>
      <w:numFmt w:val="bullet"/>
      <w:start w:val="1"/>
    </w:lvl>
  </w:abstractNum>
  <w:abstractNum w:abstractNumId="2">
    <w:nsid w:val="BFFAE18"/>
    <w:multiLevelType w:val="hybridMultilevel"/>
    <w:lvl w:ilvl="0">
      <w:lvlJc w:val="left"/>
      <w:lvlText w:val="•"/>
      <w:numFmt w:val="bullet"/>
      <w:start w:val="1"/>
    </w:lvl>
  </w:abstractNum>
  <w:abstractNum w:abstractNumId="3">
    <w:nsid w:val="E3E47A8"/>
    <w:multiLevelType w:val="hybridMultilevel"/>
    <w:lvl w:ilvl="0">
      <w:lvlJc w:val="left"/>
      <w:lvlText w:val="•"/>
      <w:numFmt w:val="bullet"/>
      <w:start w:val="1"/>
    </w:lvl>
  </w:abstractNum>
  <w:abstractNum w:abstractNumId="4">
    <w:nsid w:val="2E48F044"/>
    <w:multiLevelType w:val="hybridMultilevel"/>
    <w:lvl w:ilvl="0">
      <w:lvlJc w:val="left"/>
      <w:lvlText w:val="•"/>
      <w:numFmt w:val="bullet"/>
      <w:start w:val="1"/>
    </w:lvl>
  </w:abstractNum>
  <w:abstractNum w:abstractNumId="5">
    <w:nsid w:val="49D0FEAC"/>
    <w:multiLevelType w:val="hybridMultilevel"/>
    <w:lvl w:ilvl="0">
      <w:lvlJc w:val="left"/>
      <w:lvlText w:val="•"/>
      <w:numFmt w:val="bullet"/>
      <w:start w:val="1"/>
    </w:lvl>
  </w:abstractNum>
  <w:abstractNum w:abstractNumId="6">
    <w:nsid w:val="4BEE5A5B"/>
    <w:multiLevelType w:val="hybridMultilevel"/>
    <w:lvl w:ilvl="0">
      <w:lvlJc w:val="left"/>
      <w:lvlText w:val="•"/>
      <w:numFmt w:val="bullet"/>
      <w:start w:val="1"/>
    </w:lvl>
  </w:abstractNum>
  <w:abstractNum w:abstractNumId="7">
    <w:nsid w:val="5551B9F3"/>
    <w:multiLevelType w:val="hybridMultilevel"/>
    <w:lvl w:ilvl="0">
      <w:lvlJc w:val="left"/>
      <w:lvlText w:val="•"/>
      <w:numFmt w:val="bullet"/>
      <w:start w:val="1"/>
    </w:lvl>
  </w:abstractNum>
  <w:abstractNum w:abstractNumId="8">
    <w:nsid w:val="24F6AB8E"/>
    <w:multiLevelType w:val="hybridMultilevel"/>
    <w:lvl w:ilvl="0">
      <w:lvlJc w:val="left"/>
      <w:lvlText w:val="•"/>
      <w:numFmt w:val="bullet"/>
      <w:start w:val="1"/>
    </w:lvl>
  </w:abstractNum>
  <w:abstractNum w:abstractNumId="9">
    <w:nsid w:val="634C574C"/>
    <w:multiLevelType w:val="hybridMultilevel"/>
    <w:lvl w:ilvl="0">
      <w:lvlJc w:val="left"/>
      <w:lvlText w:val="•"/>
      <w:numFmt w:val="bullet"/>
      <w:start w:val="1"/>
    </w:lvl>
  </w:abstractNum>
  <w:abstractNum w:abstractNumId="10">
    <w:nsid w:val="24E99DD7"/>
    <w:multiLevelType w:val="hybridMultilevel"/>
    <w:lvl w:ilvl="0">
      <w:lvlJc w:val="left"/>
      <w:lvlText w:val="•"/>
      <w:numFmt w:val="bullet"/>
      <w:start w:val="1"/>
    </w:lvl>
  </w:abstractNum>
  <w:abstractNum w:abstractNumId="11">
    <w:nsid w:val="2A31B62D"/>
    <w:multiLevelType w:val="hybridMultilevel"/>
    <w:lvl w:ilvl="0">
      <w:lvlJc w:val="left"/>
      <w:lvlText w:val="•"/>
      <w:numFmt w:val="bullet"/>
      <w:start w:val="1"/>
    </w:lvl>
  </w:abstractNum>
  <w:abstractNum w:abstractNumId="12">
    <w:nsid w:val="1849C29B"/>
    <w:multiLevelType w:val="hybridMultilevel"/>
    <w:lvl w:ilvl="0">
      <w:lvlJc w:val="left"/>
      <w:lvlText w:val="•"/>
      <w:numFmt w:val="bullet"/>
      <w:start w:val="1"/>
    </w:lvl>
  </w:abstractNum>
  <w:abstractNum w:abstractNumId="13">
    <w:nsid w:val="7DFF9D09"/>
    <w:multiLevelType w:val="hybridMultilevel"/>
    <w:lvl w:ilvl="0">
      <w:lvlJc w:val="left"/>
      <w:lvlText w:val="•"/>
      <w:numFmt w:val="bullet"/>
      <w:start w:val="1"/>
    </w:lvl>
  </w:abstractNum>
  <w:abstractNum w:abstractNumId="14">
    <w:nsid w:val="754342"/>
    <w:multiLevelType w:val="hybridMultilevel"/>
    <w:lvl w:ilvl="0">
      <w:lvlJc w:val="left"/>
      <w:lvlText w:val="•"/>
      <w:numFmt w:val="bullet"/>
      <w:start w:val="1"/>
    </w:lvl>
  </w:abstractNum>
  <w:abstractNum w:abstractNumId="15">
    <w:nsid w:val="69E7F3E5"/>
    <w:multiLevelType w:val="hybridMultilevel"/>
    <w:lvl w:ilvl="0">
      <w:lvlJc w:val="left"/>
      <w:lvlText w:val="•"/>
      <w:numFmt w:val="bullet"/>
      <w:start w:val="1"/>
    </w:lvl>
  </w:abstractNum>
  <w:abstractNum w:abstractNumId="16">
    <w:nsid w:val="2A6DE806"/>
    <w:multiLevelType w:val="hybridMultilevel"/>
    <w:lvl w:ilvl="0">
      <w:lvlJc w:val="left"/>
      <w:lvlText w:val="•"/>
      <w:numFmt w:val="bullet"/>
      <w:start w:val="1"/>
    </w:lvl>
  </w:abstractNum>
  <w:abstractNum w:abstractNumId="17">
    <w:nsid w:val="1816F8C4"/>
    <w:multiLevelType w:val="hybridMultilevel"/>
    <w:lvl w:ilvl="0">
      <w:lvlJc w:val="left"/>
      <w:lvlText w:val="*"/>
      <w:numFmt w:val="bullet"/>
      <w:start w:val="1"/>
    </w:lvl>
  </w:abstractNum>
  <w:abstractNum w:abstractNumId="18">
    <w:nsid w:val="37DF2233"/>
    <w:multiLevelType w:val="hybridMultilevel"/>
    <w:lvl w:ilvl="0">
      <w:lvlJc w:val="left"/>
      <w:lvlText w:val="†"/>
      <w:numFmt w:val="bullet"/>
      <w:start w:val="1"/>
    </w:lvl>
  </w:abstractNum>
  <w:abstractNum w:abstractNumId="19">
    <w:nsid w:val="7AB49DAF"/>
    <w:multiLevelType w:val="hybridMultilevel"/>
    <w:lvl w:ilvl="0">
      <w:lvlJc w:val="left"/>
      <w:lvlText w:val="(%1)"/>
      <w:numFmt w:val="decimal"/>
      <w:start w:val="1"/>
    </w:lvl>
  </w:abstractNum>
  <w:abstractNum w:abstractNumId="20">
    <w:nsid w:val="759F82CD"/>
    <w:multiLevelType w:val="hybridMultilevel"/>
    <w:lvl w:ilvl="0">
      <w:lvlJc w:val="left"/>
      <w:lvlText w:val="•"/>
      <w:numFmt w:val="bullet"/>
      <w:start w:val="1"/>
    </w:lvl>
  </w:abstractNum>
  <w:abstractNum w:abstractNumId="21">
    <w:nsid w:val="61E74EA3"/>
    <w:multiLevelType w:val="hybridMultilevel"/>
    <w:lvl w:ilvl="0">
      <w:lvlJc w:val="left"/>
      <w:lvlText w:val="•"/>
      <w:numFmt w:val="bullet"/>
      <w:start w:val="1"/>
    </w:lvl>
  </w:abstractNum>
  <w:abstractNum w:abstractNumId="22">
    <w:nsid w:val="597B4D84"/>
    <w:multiLevelType w:val="hybridMultilevel"/>
    <w:lvl w:ilvl="0">
      <w:lvlJc w:val="left"/>
      <w:lvlText w:val="•"/>
      <w:numFmt w:val="bullet"/>
      <w:start w:val="1"/>
    </w:lvl>
  </w:abstractNum>
  <w:abstractNum w:abstractNumId="23">
    <w:nsid w:val="F819E7F"/>
    <w:multiLevelType w:val="hybridMultilevel"/>
    <w:lvl w:ilvl="0">
      <w:lvlJc w:val="left"/>
      <w:lvlText w:val="*"/>
      <w:numFmt w:val="bullet"/>
      <w:start w:val="1"/>
    </w:lvl>
  </w:abstractNum>
  <w:abstractNum w:abstractNumId="24">
    <w:nsid w:val="57C7D42D"/>
    <w:multiLevelType w:val="hybridMultilevel"/>
    <w:lvl w:ilvl="0">
      <w:lvlJc w:val="left"/>
      <w:lvlText w:val="*"/>
      <w:numFmt w:val="bullet"/>
      <w:start w:val="1"/>
    </w:lvl>
  </w:abstractNum>
  <w:abstractNum w:abstractNumId="25">
    <w:nsid w:val="312167AD"/>
    <w:multiLevelType w:val="hybridMultilevel"/>
    <w:lvl w:ilvl="0">
      <w:lvlJc w:val="left"/>
      <w:lvlText w:val="†"/>
      <w:numFmt w:val="bullet"/>
      <w:start w:val="1"/>
    </w:lvl>
  </w:abstractNum>
  <w:abstractNum w:abstractNumId="26">
    <w:nsid w:val="631B64D4"/>
    <w:multiLevelType w:val="hybridMultilevel"/>
    <w:lvl w:ilvl="0">
      <w:lvlJc w:val="left"/>
      <w:lvlText w:val="(%1)"/>
      <w:numFmt w:val="lowerRoman"/>
      <w:start w:val="1"/>
    </w:lvl>
  </w:abstractNum>
  <w:abstractNum w:abstractNumId="27">
    <w:nsid w:val="78B5E776"/>
    <w:multiLevelType w:val="hybridMultilevel"/>
    <w:lvl w:ilvl="0">
      <w:lvlJc w:val="left"/>
      <w:lvlText w:val="(%1)"/>
      <w:numFmt w:val="decimal"/>
      <w:start w:val="1"/>
    </w:lvl>
  </w:abstractNum>
  <w:abstractNum w:abstractNumId="28">
    <w:nsid w:val="75486E47"/>
    <w:multiLevelType w:val="hybridMultilevel"/>
    <w:lvl w:ilvl="0">
      <w:lvlJc w:val="left"/>
      <w:lvlText w:val="•"/>
      <w:numFmt w:val="bullet"/>
      <w:start w:val="1"/>
    </w:lvl>
  </w:abstractNum>
  <w:abstractNum w:abstractNumId="29">
    <w:nsid w:val="6E534CDE"/>
    <w:multiLevelType w:val="hybridMultilevel"/>
    <w:lvl w:ilvl="0">
      <w:lvlJc w:val="left"/>
      <w:lvlText w:val="•"/>
      <w:numFmt w:val="bullet"/>
      <w:start w:val="1"/>
    </w:lvl>
  </w:abstractNum>
  <w:abstractNum w:abstractNumId="30">
    <w:nsid w:val="1A0DDE32"/>
    <w:multiLevelType w:val="hybridMultilevel"/>
    <w:lvl w:ilvl="0">
      <w:lvlJc w:val="left"/>
      <w:lvlText w:val="(%1)"/>
      <w:numFmt w:val="decimal"/>
      <w:start w:val="1"/>
    </w:lvl>
  </w:abstractNum>
  <w:abstractNum w:abstractNumId="31">
    <w:nsid w:val="65968C1C"/>
    <w:multiLevelType w:val="hybridMultilevel"/>
    <w:lvl w:ilvl="0">
      <w:lvlJc w:val="left"/>
      <w:lvlText w:val="(%1)"/>
      <w:numFmt w:val="lowerRoman"/>
      <w:start w:val="1"/>
    </w:lvl>
  </w:abstractNum>
  <w:abstractNum w:abstractNumId="32">
    <w:nsid w:val="46263DEC"/>
    <w:multiLevelType w:val="hybridMultilevel"/>
    <w:lvl w:ilvl="0">
      <w:lvlJc w:val="left"/>
      <w:lvlText w:val="(%1)"/>
      <w:numFmt w:val="decimal"/>
      <w:start w:val="1"/>
    </w:lvl>
  </w:abstractNum>
  <w:abstractNum w:abstractNumId="33">
    <w:nsid w:val="260D8C4A"/>
    <w:multiLevelType w:val="hybridMultilevel"/>
    <w:lvl w:ilvl="0">
      <w:lvlJc w:val="left"/>
      <w:lvlText w:val="(%1)"/>
      <w:numFmt w:val="lowerRoman"/>
      <w:start w:val="1"/>
    </w:lvl>
  </w:abstractNum>
  <w:abstractNum w:abstractNumId="34">
    <w:nsid w:val="73D4D3C4"/>
    <w:multiLevelType w:val="hybridMultilevel"/>
    <w:lvl w:ilvl="0">
      <w:lvlJc w:val="left"/>
      <w:lvlText w:val="(%1)"/>
      <w:numFmt w:val="decimal"/>
      <w:start w:val="1"/>
    </w:lvl>
  </w:abstractNum>
  <w:abstractNum w:abstractNumId="35">
    <w:nsid w:val="746F2E30"/>
    <w:multiLevelType w:val="hybridMultilevel"/>
    <w:lvl w:ilvl="0">
      <w:lvlJc w:val="left"/>
      <w:lvlText w:val="(%1)"/>
      <w:numFmt w:val="decimal"/>
      <w:start w:val="21"/>
    </w:lvl>
  </w:abstractNum>
  <w:abstractNum w:abstractNumId="36">
    <w:nsid w:val="6FDE8AF6"/>
    <w:multiLevelType w:val="hybridMultilevel"/>
    <w:lvl w:ilvl="0">
      <w:lvlJc w:val="left"/>
      <w:lvlText w:val="*"/>
      <w:numFmt w:val="bullet"/>
      <w:start w:val="1"/>
    </w:lvl>
  </w:abstractNum>
  <w:abstractNum w:abstractNumId="37">
    <w:nsid w:val="3FC32E20"/>
    <w:multiLevelType w:val="hybridMultilevel"/>
    <w:lvl w:ilvl="0">
      <w:lvlJc w:val="left"/>
      <w:lvlText w:val="†"/>
      <w:numFmt w:val="bullet"/>
      <w:start w:val="1"/>
    </w:lvl>
  </w:abstractNum>
  <w:abstractNum w:abstractNumId="38">
    <w:nsid w:val="49C0E823"/>
    <w:multiLevelType w:val="hybridMultilevel"/>
    <w:lvl w:ilvl="0">
      <w:lvlJc w:val="left"/>
      <w:lvlText w:val="#"/>
      <w:numFmt w:val="bullet"/>
      <w:start w:val="1"/>
    </w:lvl>
  </w:abstractNum>
  <w:abstractNum w:abstractNumId="39">
    <w:nsid w:val="14D53685"/>
    <w:multiLevelType w:val="hybridMultilevel"/>
    <w:lvl w:ilvl="0">
      <w:lvlJc w:val="left"/>
      <w:lvlText w:val="##"/>
      <w:numFmt w:val="bullet"/>
      <w:start w:val="1"/>
    </w:lvl>
  </w:abstractNum>
  <w:abstractNum w:abstractNumId="40">
    <w:nsid w:val="230F856C"/>
    <w:multiLevelType w:val="hybridMultilevel"/>
    <w:lvl w:ilvl="0">
      <w:lvlJc w:val="left"/>
      <w:lvlText w:val="(%1)"/>
      <w:numFmt w:val="lowerLetter"/>
      <w:start w:val="1"/>
    </w:lvl>
  </w:abstractNum>
  <w:abstractNum w:abstractNumId="41">
    <w:nsid w:val="6EAA85FB"/>
    <w:multiLevelType w:val="hybridMultilevel"/>
    <w:lvl w:ilvl="0">
      <w:lvlJc w:val="left"/>
      <w:lvlText w:val="(%1)"/>
      <w:numFmt w:val="lowerLetter"/>
      <w:start w:val="1"/>
    </w:lvl>
    <w:lvl w:ilvl="1">
      <w:lvlJc w:val="left"/>
      <w:lvlText w:val="-"/>
      <w:numFmt w:val="bullet"/>
      <w:start w:val="1"/>
    </w:lvl>
  </w:abstractNum>
  <w:abstractNum w:abstractNumId="42">
    <w:nsid w:val="3F06ECB2"/>
    <w:multiLevelType w:val="hybridMultilevel"/>
    <w:lvl w:ilvl="0">
      <w:lvlJc w:val="left"/>
      <w:lvlText w:val="(%1)"/>
      <w:numFmt w:val="lowerLetter"/>
      <w:start w:val="4"/>
    </w:lvl>
  </w:abstractNum>
  <w:abstractNum w:abstractNumId="43">
    <w:nsid w:val="3B594807"/>
    <w:multiLevelType w:val="hybridMultilevel"/>
    <w:lvl w:ilvl="0">
      <w:lvlJc w:val="left"/>
      <w:lvlText w:val="(%1)"/>
      <w:numFmt w:val="lowerLetter"/>
      <w:start w:val="1"/>
    </w:lvl>
  </w:abstractNum>
  <w:abstractNum w:abstractNumId="44">
    <w:nsid w:val="6CAA2304"/>
    <w:multiLevelType w:val="hybridMultilevel"/>
    <w:lvl w:ilvl="0">
      <w:lvlJc w:val="left"/>
      <w:lvlText w:val="(%1)"/>
      <w:numFmt w:val="lowerLetter"/>
      <w:start w:val="1"/>
    </w:lvl>
    <w:lvl w:ilvl="1">
      <w:lvlJc w:val="left"/>
      <w:lvlText w:val="-"/>
      <w:numFmt w:val="bullet"/>
      <w:start w:val="1"/>
    </w:lvl>
  </w:abstractNum>
  <w:abstractNum w:abstractNumId="45">
    <w:nsid w:val="3F7C2FF4"/>
    <w:multiLevelType w:val="hybridMultilevel"/>
    <w:lvl w:ilvl="0">
      <w:lvlJc w:val="left"/>
      <w:lvlText w:val="(%1)"/>
      <w:numFmt w:val="lowerLetter"/>
      <w:start w:val="3"/>
    </w:lvl>
  </w:abstractNum>
  <w:abstractNum w:abstractNumId="46">
    <w:nsid w:val="25413BEC"/>
    <w:multiLevelType w:val="hybridMultilevel"/>
    <w:lvl w:ilvl="0">
      <w:lvlJc w:val="left"/>
      <w:lvlText w:val="(%1)"/>
      <w:numFmt w:val="lowerLetter"/>
      <w:start w:val="1"/>
    </w:lvl>
    <w:lvl w:ilvl="1">
      <w:lvlJc w:val="left"/>
      <w:lvlText w:val="-"/>
      <w:numFmt w:val="bullet"/>
      <w:start w:val="1"/>
    </w:lvl>
  </w:abstractNum>
  <w:abstractNum w:abstractNumId="47">
    <w:nsid w:val="17180B0B"/>
    <w:multiLevelType w:val="hybridMultilevel"/>
    <w:lvl w:ilvl="0">
      <w:lvlJc w:val="left"/>
      <w:lvlText w:val="(%1)"/>
      <w:numFmt w:val="lowerLetter"/>
      <w:start w:val="2"/>
    </w:lvl>
  </w:abstractNum>
  <w:abstractNum w:abstractNumId="48">
    <w:nsid w:val="579328B9"/>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9">
    <w:nsid w:val="5D205E20"/>
    <w:multiLevelType w:val="hybridMultilevel"/>
    <w:lvl w:ilvl="0">
      <w:lvlJc w:val="left"/>
      <w:lvlText w:val="(%1)"/>
      <w:numFmt w:val="decimal"/>
      <w:start w:val="30"/>
    </w:lvl>
    <w:lvl w:ilvl="1">
      <w:lvlJc w:val="left"/>
      <w:lvlText w:val="(%2)"/>
      <w:numFmt w:val="lowerLetter"/>
      <w:start w:val="4"/>
    </w:lvl>
    <w:lvl w:ilvl="2">
      <w:lvlJc w:val="left"/>
      <w:lvlText w:val="-"/>
      <w:numFmt w:val="bullet"/>
      <w:start w:val="1"/>
    </w:lvl>
  </w:abstractNum>
  <w:abstractNum w:abstractNumId="50">
    <w:nsid w:val="11CCA8BA"/>
    <w:multiLevelType w:val="hybridMultilevel"/>
    <w:lvl w:ilvl="0">
      <w:lvlJc w:val="left"/>
      <w:lvlText w:val="(%1)"/>
      <w:numFmt w:val="lowerLetter"/>
      <w:start w:val="7"/>
    </w:lvl>
  </w:abstractNum>
  <w:abstractNum w:abstractNumId="51">
    <w:nsid w:val="4D32AB86"/>
    <w:multiLevelType w:val="hybridMultilevel"/>
    <w:lvl w:ilvl="0">
      <w:lvlJc w:val="left"/>
      <w:lvlText w:val="(%1)"/>
      <w:numFmt w:val="lowerLetter"/>
      <w:start w:val="1"/>
    </w:lvl>
    <w:lvl w:ilvl="1">
      <w:lvlJc w:val="left"/>
      <w:lvlText w:val="-"/>
      <w:numFmt w:val="bullet"/>
      <w:start w:val="1"/>
    </w:lvl>
  </w:abstractNum>
  <w:abstractNum w:abstractNumId="52">
    <w:nsid w:val="3F07ACC3"/>
    <w:multiLevelType w:val="hybridMultilevel"/>
    <w:lvl w:ilvl="0">
      <w:lvlJc w:val="left"/>
      <w:lvlText w:val="(%1)"/>
      <w:numFmt w:val="lowerLetter"/>
      <w:start w:val="5"/>
    </w:lvl>
  </w:abstractNum>
  <w:abstractNum w:abstractNumId="53">
    <w:nsid w:val="6B47F63E"/>
    <w:multiLevelType w:val="hybridMultilevel"/>
    <w:lvl w:ilvl="0">
      <w:lvlJc w:val="left"/>
      <w:lvlText w:val="(%1)"/>
      <w:numFmt w:val="lowerLetter"/>
      <w:start w:val="1"/>
    </w:lvl>
  </w:abstractNum>
  <w:abstractNum w:abstractNumId="54">
    <w:nsid w:val="5CB44A05"/>
    <w:multiLevelType w:val="hybridMultilevel"/>
    <w:lvl w:ilvl="0">
      <w:lvlJc w:val="left"/>
      <w:lvlText w:val="(%1)"/>
      <w:numFmt w:val="lowerLetter"/>
      <w:start w:val="1"/>
    </w:lvl>
    <w:lvl w:ilvl="1">
      <w:lvlJc w:val="left"/>
      <w:lvlText w:val="-"/>
      <w:numFmt w:val="bullet"/>
      <w:start w:val="1"/>
    </w:lvl>
  </w:abstractNum>
  <w:abstractNum w:abstractNumId="55">
    <w:nsid w:val="16CF80F1"/>
    <w:multiLevelType w:val="hybridMultilevel"/>
    <w:lvl w:ilvl="0">
      <w:lvlJc w:val="left"/>
      <w:lvlText w:val="(%1)"/>
      <w:numFmt w:val="lowerLetter"/>
      <w:start w:val="1"/>
    </w:lvl>
    <w:lvl w:ilvl="1">
      <w:lvlJc w:val="left"/>
      <w:lvlText w:val="-"/>
      <w:numFmt w:val="bullet"/>
      <w:start w:val="1"/>
    </w:lvl>
  </w:abstractNum>
  <w:abstractNum w:abstractNumId="56">
    <w:nsid w:val="1C695DEC"/>
    <w:multiLevelType w:val="hybridMultilevel"/>
    <w:lvl w:ilvl="0">
      <w:lvlJc w:val="left"/>
      <w:lvlText w:val="(%1)"/>
      <w:numFmt w:val="lowerLetter"/>
      <w:start w:val="2"/>
    </w:lvl>
  </w:abstractNum>
  <w:abstractNum w:abstractNumId="57">
    <w:nsid w:val="3FCFAED9"/>
    <w:multiLevelType w:val="hybridMultilevel"/>
    <w:lvl w:ilvl="0">
      <w:lvlJc w:val="left"/>
      <w:lvlText w:val="(%1)"/>
      <w:numFmt w:val="lowerLetter"/>
      <w:start w:val="1"/>
    </w:lvl>
    <w:lvl w:ilvl="1">
      <w:lvlJc w:val="left"/>
      <w:lvlText w:val="-"/>
      <w:numFmt w:val="bullet"/>
      <w:start w:val="1"/>
    </w:lvl>
  </w:abstractNum>
  <w:abstractNum w:abstractNumId="58">
    <w:nsid w:val="F856867"/>
    <w:multiLevelType w:val="hybridMultilevel"/>
    <w:lvl w:ilvl="0">
      <w:lvlJc w:val="left"/>
      <w:lvlText w:val="(%1)"/>
      <w:numFmt w:val="lowerLetter"/>
      <w:start w:val="2"/>
    </w:lvl>
    <w:lvl w:ilvl="1">
      <w:lvlJc w:val="left"/>
      <w:lvlText w:val="-"/>
      <w:numFmt w:val="bullet"/>
      <w:start w:val="1"/>
    </w:lvl>
  </w:abstractNum>
  <w:abstractNum w:abstractNumId="59">
    <w:nsid w:val="11B1CC33"/>
    <w:multiLevelType w:val="hybridMultilevel"/>
    <w:lvl w:ilvl="0">
      <w:lvlJc w:val="left"/>
      <w:lvlText w:val="(%1)"/>
      <w:numFmt w:val="lowerLetter"/>
      <w:start w:val="1"/>
    </w:lvl>
    <w:lvl w:ilvl="1">
      <w:lvlJc w:val="left"/>
      <w:lvlText w:val="-"/>
      <w:numFmt w:val="bullet"/>
      <w:start w:val="1"/>
    </w:lvl>
  </w:abstractNum>
  <w:abstractNum w:abstractNumId="60">
    <w:nsid w:val="2E22FBB7"/>
    <w:multiLevelType w:val="hybridMultilevel"/>
    <w:lvl w:ilvl="0">
      <w:lvlJc w:val="left"/>
      <w:lvlText w:val="(%1)"/>
      <w:numFmt w:val="lowerLetter"/>
      <w:start w:val="11"/>
    </w:lvl>
    <w:lvl w:ilvl="1">
      <w:lvlJc w:val="left"/>
      <w:lvlText w:val="-"/>
      <w:numFmt w:val="bullet"/>
      <w:start w:val="1"/>
    </w:lvl>
  </w:abstractNum>
  <w:abstractNum w:abstractNumId="61">
    <w:nsid w:val="29934699"/>
    <w:multiLevelType w:val="hybridMultilevel"/>
    <w:lvl w:ilvl="0">
      <w:lvlJc w:val="left"/>
      <w:lvlText w:val="(%1)"/>
      <w:numFmt w:val="lowerLetter"/>
      <w:start w:val="24"/>
    </w:lvl>
  </w:abstractNum>
  <w:abstractNum w:abstractNumId="62">
    <w:nsid w:val="77485850"/>
    <w:multiLevelType w:val="hybridMultilevel"/>
    <w:lvl w:ilvl="0">
      <w:lvlJc w:val="left"/>
      <w:lvlText w:val="(%1)"/>
      <w:numFmt w:val="lowerLetter"/>
      <w:start w:val="1"/>
    </w:lvl>
    <w:lvl w:ilvl="1">
      <w:lvlJc w:val="left"/>
      <w:lvlText w:val="-"/>
      <w:numFmt w:val="bullet"/>
      <w:start w:val="1"/>
    </w:lvl>
  </w:abstractNum>
  <w:abstractNum w:abstractNumId="63">
    <w:nsid w:val="744939A3"/>
    <w:multiLevelType w:val="hybridMultilevel"/>
    <w:lvl w:ilvl="0">
      <w:lvlJc w:val="left"/>
      <w:lvlText w:val="(%1)"/>
      <w:numFmt w:val="lowerLetter"/>
      <w:start w:val="3"/>
    </w:lvl>
    <w:lvl w:ilvl="1">
      <w:lvlJc w:val="left"/>
      <w:lvlText w:val="-"/>
      <w:numFmt w:val="bullet"/>
      <w:start w:val="1"/>
    </w:lvl>
  </w:abstractNum>
  <w:abstractNum w:abstractNumId="64">
    <w:nsid w:val="4FA0D2E3"/>
    <w:multiLevelType w:val="hybridMultilevel"/>
    <w:lvl w:ilvl="0">
      <w:lvlJc w:val="left"/>
      <w:lvlText w:val="(%1)"/>
      <w:numFmt w:val="lowerLetter"/>
      <w:start w:val="9"/>
    </w:lvl>
  </w:abstractNum>
  <w:abstractNum w:abstractNumId="65">
    <w:nsid w:val="6B1D2C14"/>
    <w:multiLevelType w:val="hybridMultilevel"/>
    <w:lvl w:ilvl="0">
      <w:lvlJc w:val="left"/>
      <w:lvlText w:val="(%1)"/>
      <w:numFmt w:val="lowerLetter"/>
      <w:start w:val="1"/>
    </w:lvl>
    <w:lvl w:ilvl="1">
      <w:lvlJc w:val="left"/>
      <w:lvlText w:val="-"/>
      <w:numFmt w:val="bullet"/>
      <w:start w:val="1"/>
    </w:lvl>
  </w:abstractNum>
  <w:abstractNum w:abstractNumId="66">
    <w:nsid w:val="68B867D3"/>
    <w:multiLevelType w:val="hybridMultilevel"/>
    <w:lvl w:ilvl="0">
      <w:lvlJc w:val="left"/>
      <w:lvlText w:val="%1"/>
      <w:numFmt w:val="lowerLetter"/>
      <w:start w:val="1"/>
    </w:lvl>
    <w:lvl w:ilvl="1">
      <w:lvlJc w:val="left"/>
      <w:lvlText w:val="(%2)"/>
      <w:numFmt w:val="lowerLetter"/>
      <w:start w:val="2"/>
    </w:lvl>
  </w:abstractNum>
  <w:abstractNum w:abstractNumId="67">
    <w:nsid w:val="3F7F5DD9"/>
    <w:multiLevelType w:val="hybridMultilevel"/>
    <w:lvl w:ilvl="0">
      <w:lvlJc w:val="left"/>
      <w:lvlText w:val="(%1)"/>
      <w:numFmt w:val="lowerLetter"/>
      <w:start w:val="9"/>
    </w:lvl>
    <w:lvl w:ilvl="1">
      <w:lvlJc w:val="left"/>
      <w:lvlText w:val="%2"/>
      <w:numFmt w:val="lowerLetter"/>
      <w:start w:val="1"/>
    </w:lvl>
  </w:abstractNum>
  <w:abstractNum w:abstractNumId="68">
    <w:nsid w:val="2AE05A34"/>
    <w:multiLevelType w:val="hybridMultilevel"/>
    <w:lvl w:ilvl="0">
      <w:lvlJc w:val="left"/>
      <w:lvlText w:val="(%1)"/>
      <w:numFmt w:val="lowerLetter"/>
      <w:start w:val="1"/>
    </w:lvl>
  </w:abstractNum>
  <w:abstractNum w:abstractNumId="69">
    <w:nsid w:val="32794FF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0">
    <w:nsid w:val="5454945E"/>
    <w:multiLevelType w:val="hybridMultilevel"/>
    <w:lvl w:ilvl="0">
      <w:lvlJc w:val="left"/>
      <w:lvlText w:val="(%1)"/>
      <w:numFmt w:val="decimal"/>
      <w:start w:val="90"/>
    </w:lvl>
    <w:lvl w:ilvl="1">
      <w:lvlJc w:val="left"/>
      <w:lvlText w:val="(%2)"/>
      <w:numFmt w:val="lowerLetter"/>
      <w:start w:val="2"/>
    </w:lvl>
    <w:lvl w:ilvl="2">
      <w:lvlJc w:val="left"/>
      <w:lvlText w:val="-"/>
      <w:numFmt w:val="bullet"/>
      <w:start w:val="1"/>
    </w:lvl>
  </w:abstractNum>
  <w:abstractNum w:abstractNumId="71">
    <w:nsid w:val="4DEFDFA0"/>
    <w:multiLevelType w:val="hybridMultilevel"/>
    <w:lvl w:ilvl="0">
      <w:lvlJc w:val="left"/>
      <w:lvlText w:val="(%1)"/>
      <w:numFmt w:val="lowerLetter"/>
      <w:start w:val="1"/>
    </w:lvl>
  </w:abstractNum>
  <w:abstractNum w:abstractNumId="72">
    <w:nsid w:val="2123D5F2"/>
    <w:multiLevelType w:val="hybridMultilevel"/>
    <w:lvl w:ilvl="0">
      <w:lvlJc w:val="left"/>
      <w:lvlText w:val="(%1)"/>
      <w:numFmt w:val="lowerLetter"/>
      <w:start w:val="1"/>
    </w:lvl>
    <w:lvl w:ilvl="1">
      <w:lvlJc w:val="left"/>
      <w:lvlText w:val="-"/>
      <w:numFmt w:val="bullet"/>
      <w:start w:val="1"/>
    </w:lvl>
  </w:abstractNum>
  <w:abstractNum w:abstractNumId="73">
    <w:nsid w:val="135B8110"/>
    <w:multiLevelType w:val="hybridMultilevel"/>
    <w:lvl w:ilvl="0">
      <w:lvlJc w:val="left"/>
      <w:lvlText w:val="(%1)"/>
      <w:numFmt w:val="lowerLetter"/>
      <w:start w:val="3"/>
    </w:lvl>
    <w:lvl w:ilvl="1">
      <w:lvlJc w:val="left"/>
      <w:lvlText w:val="-"/>
      <w:numFmt w:val="bullet"/>
      <w:start w:val="1"/>
    </w:lvl>
  </w:abstractNum>
  <w:abstractNum w:abstractNumId="74">
    <w:nsid w:val="94927A8"/>
    <w:multiLevelType w:val="hybridMultilevel"/>
    <w:lvl w:ilvl="0">
      <w:lvlJc w:val="left"/>
      <w:lvlText w:val="(%1)"/>
      <w:numFmt w:val="lowerLetter"/>
      <w:start w:val="1"/>
    </w:lvl>
    <w:lvl w:ilvl="1">
      <w:lvlJc w:val="left"/>
      <w:lvlText w:val="-"/>
      <w:numFmt w:val="bullet"/>
      <w:start w:val="1"/>
    </w:lvl>
  </w:abstractNum>
  <w:abstractNum w:abstractNumId="75">
    <w:nsid w:val="DCDF8F6"/>
    <w:multiLevelType w:val="hybridMultilevel"/>
    <w:lvl w:ilvl="0">
      <w:lvlJc w:val="left"/>
      <w:lvlText w:val="%1"/>
      <w:numFmt w:val="lowerLetter"/>
      <w:start w:val="1"/>
    </w:lvl>
    <w:lvl w:ilvl="1">
      <w:lvlJc w:val="left"/>
      <w:lvlText w:val="(%2)"/>
      <w:numFmt w:val="lowerLetter"/>
      <w:start w:val="7"/>
    </w:lvl>
    <w:lvl w:ilvl="2">
      <w:lvlJc w:val="left"/>
      <w:lvlText w:val="-"/>
      <w:numFmt w:val="bullet"/>
      <w:start w:val="1"/>
    </w:lvl>
  </w:abstractNum>
  <w:abstractNum w:abstractNumId="76">
    <w:nsid w:val="52D7B105"/>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77">
    <w:nsid w:val="2E8A6394"/>
    <w:multiLevelType w:val="hybridMultilevel"/>
    <w:lvl w:ilvl="0">
      <w:lvlJc w:val="left"/>
      <w:lvlText w:val="(%1)"/>
      <w:numFmt w:val="lowerLetter"/>
      <w:start w:val="14"/>
    </w:lvl>
  </w:abstractNum>
  <w:abstractNum w:abstractNumId="78">
    <w:nsid w:val="24E60401"/>
    <w:multiLevelType w:val="hybridMultilevel"/>
    <w:lvl w:ilvl="0">
      <w:lvlJc w:val="left"/>
      <w:lvlText w:val="(%1)"/>
      <w:numFmt w:val="lowerLetter"/>
      <w:start w:val="1"/>
    </w:lvl>
    <w:lvl w:ilvl="1">
      <w:lvlJc w:val="left"/>
      <w:lvlText w:val="-"/>
      <w:numFmt w:val="bullet"/>
      <w:start w:val="1"/>
    </w:lvl>
  </w:abstractNum>
  <w:abstractNum w:abstractNumId="79">
    <w:nsid w:val="2A6AD9BE"/>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80">
    <w:nsid w:val="BAAC1B4"/>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81">
    <w:nsid w:val="36B2ACBC"/>
    <w:multiLevelType w:val="hybridMultilevel"/>
    <w:lvl w:ilvl="0">
      <w:lvlJc w:val="left"/>
      <w:lvlText w:val="(%1)"/>
      <w:numFmt w:val="lowerLetter"/>
      <w:start w:val="5"/>
    </w:lvl>
  </w:abstractNum>
  <w:abstractNum w:abstractNumId="82">
    <w:nsid w:val="779D8544"/>
    <w:multiLevelType w:val="hybridMultilevel"/>
    <w:lvl w:ilvl="0">
      <w:lvlJc w:val="left"/>
      <w:lvlText w:val="(%1)"/>
      <w:numFmt w:val="lowerLetter"/>
      <w:start w:val="1"/>
    </w:lvl>
    <w:lvl w:ilvl="1">
      <w:lvlJc w:val="left"/>
      <w:lvlText w:val="-"/>
      <w:numFmt w:val="bullet"/>
      <w:start w:val="1"/>
    </w:lvl>
  </w:abstractNum>
  <w:abstractNum w:abstractNumId="83">
    <w:nsid w:val="4AB26E78"/>
    <w:multiLevelType w:val="hybridMultilevel"/>
    <w:lvl w:ilvl="0">
      <w:lvlJc w:val="left"/>
      <w:lvlText w:val="(%1)"/>
      <w:numFmt w:val="lowerLetter"/>
      <w:start w:val="2"/>
    </w:lvl>
  </w:abstractNum>
  <w:abstractNum w:abstractNumId="84">
    <w:nsid w:val="21FAA2FA"/>
    <w:multiLevelType w:val="hybridMultilevel"/>
    <w:lvl w:ilvl="0">
      <w:lvlJc w:val="left"/>
      <w:lvlText w:val="(%1)"/>
      <w:numFmt w:val="lowerLetter"/>
      <w:start w:val="1"/>
    </w:lvl>
  </w:abstractNum>
  <w:abstractNum w:abstractNumId="85">
    <w:nsid w:val="5451CF49"/>
    <w:multiLevelType w:val="hybridMultilevel"/>
    <w:lvl w:ilvl="0">
      <w:lvlJc w:val="left"/>
      <w:lvlText w:val="(%1)"/>
      <w:numFmt w:val="lowerLetter"/>
      <w:start w:val="1"/>
    </w:lvl>
    <w:lvl w:ilvl="1">
      <w:lvlJc w:val="left"/>
      <w:lvlText w:val="-"/>
      <w:numFmt w:val="bullet"/>
      <w:start w:val="1"/>
    </w:lvl>
  </w:abstractNum>
  <w:abstractNum w:abstractNumId="86">
    <w:nsid w:val="6181EF69"/>
    <w:multiLevelType w:val="hybridMultilevel"/>
    <w:lvl w:ilvl="0">
      <w:lvlJc w:val="left"/>
      <w:lvlText w:val="(%1)"/>
      <w:numFmt w:val="lowerLetter"/>
      <w:start w:val="2"/>
    </w:lvl>
  </w:abstractNum>
  <w:abstractNum w:abstractNumId="87">
    <w:nsid w:val="3E6400E6"/>
    <w:multiLevelType w:val="hybridMultilevel"/>
    <w:lvl w:ilvl="0">
      <w:lvlJc w:val="left"/>
      <w:lvlText w:val="(%1)"/>
      <w:numFmt w:val="lowerLetter"/>
      <w:start w:val="2"/>
    </w:lvl>
  </w:abstractNum>
  <w:abstractNum w:abstractNumId="88">
    <w:nsid w:val="14217E23"/>
    <w:multiLevelType w:val="hybridMultilevel"/>
    <w:lvl w:ilvl="0">
      <w:lvlJc w:val="left"/>
      <w:lvlText w:val="(%1)"/>
      <w:numFmt w:val="lowerLetter"/>
      <w:start w:val="1"/>
    </w:lvl>
    <w:lvl w:ilvl="1">
      <w:lvlJc w:val="left"/>
      <w:lvlText w:val="-"/>
      <w:numFmt w:val="bullet"/>
      <w:start w:val="1"/>
    </w:lvl>
  </w:abstractNum>
  <w:abstractNum w:abstractNumId="89">
    <w:nsid w:val="710757D0"/>
    <w:multiLevelType w:val="hybridMultilevel"/>
    <w:lvl w:ilvl="0">
      <w:lvlJc w:val="left"/>
      <w:lvlText w:val="(%1)"/>
      <w:numFmt w:val="lowerLetter"/>
      <w:start w:val="3"/>
    </w:lvl>
  </w:abstractNum>
  <w:abstractNum w:abstractNumId="90">
    <w:nsid w:val="5015CD1A"/>
    <w:multiLevelType w:val="hybridMultilevel"/>
    <w:lvl w:ilvl="0">
      <w:lvlJc w:val="left"/>
      <w:lvlText w:val="(%1)"/>
      <w:numFmt w:val="lowerLetter"/>
      <w:start w:val="1"/>
    </w:lvl>
    <w:lvl w:ilvl="1">
      <w:lvlJc w:val="left"/>
      <w:lvlText w:val="-"/>
      <w:numFmt w:val="bullet"/>
      <w:start w:val="1"/>
    </w:lvl>
  </w:abstractNum>
  <w:abstractNum w:abstractNumId="91">
    <w:nsid w:val="424479DA"/>
    <w:multiLevelType w:val="hybridMultilevel"/>
    <w:lvl w:ilvl="0">
      <w:lvlJc w:val="left"/>
      <w:lvlText w:val="(%1)"/>
      <w:numFmt w:val="lowerLetter"/>
      <w:start w:val="1"/>
    </w:lvl>
  </w:abstractNum>
  <w:abstractNum w:abstractNumId="92">
    <w:nsid w:val="1A9A9E6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3">
    <w:nsid w:val="475E256A"/>
    <w:multiLevelType w:val="hybridMultilevel"/>
    <w:lvl w:ilvl="0">
      <w:lvlJc w:val="left"/>
      <w:lvlText w:val="%1"/>
      <w:numFmt w:val="lowerLetter"/>
      <w:start w:val="1"/>
    </w:lvl>
    <w:lvl w:ilvl="1">
      <w:lvlJc w:val="left"/>
      <w:lvlText w:val="(%2)"/>
      <w:numFmt w:val="lowerLetter"/>
      <w:start w:val="35"/>
    </w:lvl>
  </w:abstractNum>
  <w:abstractNum w:abstractNumId="94">
    <w:nsid w:val="368DB37E"/>
    <w:multiLevelType w:val="hybridMultilevel"/>
    <w:lvl w:ilvl="0">
      <w:lvlJc w:val="left"/>
      <w:lvlText w:val="(%1)"/>
      <w:numFmt w:val="lowerLetter"/>
      <w:start w:val="2"/>
    </w:lvl>
    <w:lvl w:ilvl="1">
      <w:lvlJc w:val="left"/>
      <w:lvlText w:val="%2"/>
      <w:numFmt w:val="lowerLetter"/>
      <w:start w:val="1"/>
    </w:lvl>
  </w:abstractNum>
  <w:abstractNum w:abstractNumId="95">
    <w:nsid w:val="6A3B714C"/>
    <w:multiLevelType w:val="hybridMultilevel"/>
    <w:lvl w:ilvl="0">
      <w:lvlJc w:val="left"/>
      <w:lvlText w:val="(%1)"/>
      <w:numFmt w:val="lowerLetter"/>
      <w:start w:val="2"/>
    </w:lvl>
  </w:abstractNum>
  <w:abstractNum w:abstractNumId="96">
    <w:nsid w:val="327B517E"/>
    <w:multiLevelType w:val="hybridMultilevel"/>
    <w:lvl w:ilvl="0">
      <w:lvlJc w:val="left"/>
      <w:lvlText w:val="(%1)"/>
      <w:numFmt w:val="lowerLetter"/>
      <w:start w:val="1"/>
    </w:lvl>
    <w:lvl w:ilvl="1">
      <w:lvlJc w:val="left"/>
      <w:lvlText w:val="-"/>
      <w:numFmt w:val="bullet"/>
      <w:start w:val="1"/>
    </w:lvl>
  </w:abstractNum>
  <w:abstractNum w:abstractNumId="97">
    <w:nsid w:val="1F461B51"/>
    <w:multiLevelType w:val="hybridMultilevel"/>
    <w:lvl w:ilvl="0">
      <w:lvlJc w:val="left"/>
      <w:lvlText w:val="(%1)"/>
      <w:numFmt w:val="lowerLetter"/>
      <w:start w:val="2"/>
    </w:lvl>
  </w:abstractNum>
  <w:abstractNum w:abstractNumId="98">
    <w:nsid w:val="29BACF25"/>
    <w:multiLevelType w:val="hybridMultilevel"/>
    <w:lvl w:ilvl="0">
      <w:lvlJc w:val="left"/>
      <w:lvlText w:val="(%1)"/>
      <w:numFmt w:val="lowerLetter"/>
      <w:start w:val="1"/>
    </w:lvl>
    <w:lvl w:ilvl="1">
      <w:lvlJc w:val="left"/>
      <w:lvlText w:val="-"/>
      <w:numFmt w:val="bullet"/>
      <w:start w:val="1"/>
    </w:lvl>
  </w:abstractNum>
  <w:abstractNum w:abstractNumId="99">
    <w:nsid w:val="5D5BABB3"/>
    <w:multiLevelType w:val="hybridMultilevel"/>
    <w:lvl w:ilvl="0">
      <w:lvlJc w:val="left"/>
      <w:lvlText w:val="(%1)"/>
      <w:numFmt w:val="lowerLetter"/>
      <w:start w:val="2"/>
    </w:lvl>
    <w:lvl w:ilvl="1">
      <w:lvlJc w:val="left"/>
      <w:lvlText w:val="(%2)"/>
      <w:numFmt w:val="upperLetter"/>
      <w:start w:val="1"/>
    </w:lvl>
    <w:lvl w:ilvl="2">
      <w:lvlJc w:val="left"/>
      <w:lvlText w:val="-"/>
      <w:numFmt w:val="bullet"/>
      <w:start w:val="1"/>
    </w:lvl>
  </w:abstractNum>
  <w:abstractNum w:abstractNumId="100">
    <w:nsid w:val="51BF6B48"/>
    <w:multiLevelType w:val="hybridMultilevel"/>
    <w:lvl w:ilvl="0">
      <w:lvlJc w:val="left"/>
      <w:lvlText w:val="%1"/>
      <w:numFmt w:val="lowerLetter"/>
      <w:start w:val="1"/>
    </w:lvl>
    <w:lvl w:ilvl="1">
      <w:lvlJc w:val="left"/>
      <w:lvlText w:val="(%2)"/>
      <w:numFmt w:val="upperLetter"/>
      <w:start w:val="7"/>
    </w:lvl>
  </w:abstractNum>
  <w:abstractNum w:abstractNumId="101">
    <w:nsid w:val="7E0F6384"/>
    <w:multiLevelType w:val="hybridMultilevel"/>
    <w:lvl w:ilvl="0">
      <w:lvlJc w:val="left"/>
      <w:lvlText w:val="(%1)"/>
      <w:numFmt w:val="lowerLetter"/>
      <w:start w:val="3"/>
    </w:lvl>
    <w:lvl w:ilvl="1">
      <w:lvlJc w:val="left"/>
      <w:lvlText w:val="%2"/>
      <w:numFmt w:val="upperLetter"/>
      <w:start w:val="1"/>
    </w:lvl>
  </w:abstractNum>
  <w:abstractNum w:abstractNumId="102">
    <w:nsid w:val="2B4B8B53"/>
    <w:multiLevelType w:val="hybridMultilevel"/>
    <w:lvl w:ilvl="0">
      <w:lvlJc w:val="left"/>
      <w:lvlText w:val="(%1)"/>
      <w:numFmt w:val="lowerLetter"/>
      <w:start w:val="1"/>
    </w:lvl>
    <w:lvl w:ilvl="1">
      <w:lvlJc w:val="left"/>
      <w:lvlText w:val="-"/>
      <w:numFmt w:val="bullet"/>
      <w:start w:val="1"/>
    </w:lvl>
  </w:abstractNum>
  <w:abstractNum w:abstractNumId="103">
    <w:nsid w:val="72E3413A"/>
    <w:multiLevelType w:val="hybridMultilevel"/>
    <w:lvl w:ilvl="0">
      <w:lvlJc w:val="left"/>
      <w:lvlText w:val="(%1)"/>
      <w:numFmt w:val="lowerLetter"/>
      <w:start w:val="2"/>
    </w:lvl>
  </w:abstractNum>
  <w:abstractNum w:abstractNumId="104">
    <w:nsid w:val="116AE494"/>
    <w:multiLevelType w:val="hybridMultilevel"/>
    <w:lvl w:ilvl="0">
      <w:lvlJc w:val="left"/>
      <w:lvlText w:val="(%1)"/>
      <w:numFmt w:val="lowerLetter"/>
      <w:start w:val="1"/>
    </w:lvl>
    <w:lvl w:ilvl="1">
      <w:lvlJc w:val="left"/>
      <w:lvlText w:val="-"/>
      <w:numFmt w:val="bullet"/>
      <w:start w:val="1"/>
    </w:lvl>
  </w:abstractNum>
  <w:abstractNum w:abstractNumId="105">
    <w:nsid w:val="3494B2FB"/>
    <w:multiLevelType w:val="hybridMultilevel"/>
    <w:lvl w:ilvl="0">
      <w:lvlJc w:val="left"/>
      <w:lvlText w:val="(%1)"/>
      <w:numFmt w:val="lowerLetter"/>
      <w:start w:val="3"/>
    </w:lvl>
  </w:abstractNum>
  <w:abstractNum w:abstractNumId="106">
    <w:nsid w:val="B13A31"/>
    <w:multiLevelType w:val="hybridMultilevel"/>
    <w:lvl w:ilvl="0">
      <w:lvlJc w:val="left"/>
      <w:lvlText w:val="(%1)"/>
      <w:numFmt w:val="lowerLetter"/>
      <w:start w:val="1"/>
    </w:lvl>
    <w:lvl w:ilvl="1">
      <w:lvlJc w:val="left"/>
      <w:lvlText w:val="-"/>
      <w:numFmt w:val="bullet"/>
      <w:start w:val="1"/>
    </w:lvl>
  </w:abstractNum>
  <w:abstractNum w:abstractNumId="107">
    <w:nsid w:val="64429599"/>
    <w:multiLevelType w:val="hybridMultilevel"/>
    <w:lvl w:ilvl="0">
      <w:lvlJc w:val="left"/>
      <w:lvlText w:val="(%1)"/>
      <w:numFmt w:val="lowerLetter"/>
      <w:start w:val="2"/>
    </w:lvl>
  </w:abstractNum>
  <w:abstractNum w:abstractNumId="108">
    <w:nsid w:val="631F1690"/>
    <w:multiLevelType w:val="hybridMultilevel"/>
    <w:lvl w:ilvl="0">
      <w:lvlJc w:val="left"/>
      <w:lvlText w:val="(%1)"/>
      <w:numFmt w:val="lowerLetter"/>
      <w:start w:val="1"/>
    </w:lvl>
    <w:lvl w:ilvl="1">
      <w:lvlJc w:val="left"/>
      <w:lvlText w:val="-"/>
      <w:numFmt w:val="bullet"/>
      <w:start w:val="1"/>
    </w:lvl>
  </w:abstractNum>
  <w:abstractNum w:abstractNumId="109">
    <w:nsid w:val="25973E32"/>
    <w:multiLevelType w:val="hybridMultilevel"/>
    <w:lvl w:ilvl="0">
      <w:lvlJc w:val="left"/>
      <w:lvlText w:val="(%1)"/>
      <w:numFmt w:val="lowerLetter"/>
      <w:start w:val="2"/>
    </w:lvl>
  </w:abstractNum>
  <w:abstractNum w:abstractNumId="110">
    <w:nsid w:val="EAD6F57"/>
    <w:multiLevelType w:val="hybridMultilevel"/>
    <w:lvl w:ilvl="0">
      <w:lvlJc w:val="left"/>
      <w:lvlText w:val="(%1)"/>
      <w:numFmt w:val="lowerLetter"/>
      <w:start w:val="1"/>
    </w:lvl>
    <w:lvl w:ilvl="1">
      <w:lvlJc w:val="left"/>
      <w:lvlText w:val="-"/>
      <w:numFmt w:val="bullet"/>
      <w:start w:val="1"/>
    </w:lvl>
  </w:abstractNum>
  <w:abstractNum w:abstractNumId="111">
    <w:nsid w:val="6EC9D844"/>
    <w:multiLevelType w:val="hybridMultilevel"/>
    <w:lvl w:ilvl="0">
      <w:lvlJc w:val="left"/>
      <w:lvlText w:val="%1"/>
      <w:numFmt w:val="upperLetter"/>
      <w:start w:val="1"/>
    </w:lvl>
    <w:lvl w:ilvl="1">
      <w:lvlJc w:val="left"/>
      <w:lvlText w:val="(%2)"/>
      <w:numFmt w:val="lowerLetter"/>
      <w:start w:val="3"/>
    </w:lvl>
  </w:abstractNum>
  <w:abstractNum w:abstractNumId="112">
    <w:nsid w:val="5C49EAEE"/>
    <w:multiLevelType w:val="hybridMultilevel"/>
    <w:lvl w:ilvl="0">
      <w:lvlJc w:val="left"/>
      <w:lvlText w:val="(%1)"/>
      <w:numFmt w:val="upperLetter"/>
      <w:start w:val="2"/>
    </w:lvl>
    <w:lvl w:ilvl="1">
      <w:lvlJc w:val="left"/>
      <w:lvlText w:val="%2"/>
      <w:numFmt w:val="lowerLetter"/>
      <w:start w:val="1"/>
    </w:lvl>
  </w:abstractNum>
  <w:abstractNum w:abstractNumId="113">
    <w:nsid w:val="64AF49B"/>
    <w:multiLevelType w:val="hybridMultilevel"/>
    <w:lvl w:ilvl="0">
      <w:lvlJc w:val="left"/>
      <w:lvlText w:val="(%1)"/>
      <w:numFmt w:val="lowerLetter"/>
      <w:start w:val="1"/>
    </w:lvl>
    <w:lvl w:ilvl="1">
      <w:lvlJc w:val="left"/>
      <w:lvlText w:val="-"/>
      <w:numFmt w:val="bullet"/>
      <w:start w:val="1"/>
    </w:lvl>
  </w:abstractNum>
  <w:abstractNum w:abstractNumId="114">
    <w:nsid w:val="397C46BC"/>
    <w:multiLevelType w:val="hybridMultilevel"/>
    <w:lvl w:ilvl="0">
      <w:lvlJc w:val="left"/>
      <w:lvlText w:val="(%1)"/>
      <w:numFmt w:val="lowerLetter"/>
      <w:start w:val="2"/>
    </w:lvl>
  </w:abstractNum>
  <w:abstractNum w:abstractNumId="115">
    <w:nsid w:val="7E448DE9"/>
    <w:multiLevelType w:val="hybridMultilevel"/>
    <w:lvl w:ilvl="0">
      <w:lvlJc w:val="left"/>
      <w:lvlText w:val="(%1)"/>
      <w:numFmt w:val="lowerLetter"/>
      <w:start w:val="2"/>
    </w:lvl>
  </w:abstractNum>
  <w:abstractNum w:abstractNumId="116">
    <w:nsid w:val="5A9CC3E5"/>
    <w:multiLevelType w:val="hybridMultilevel"/>
    <w:lvl w:ilvl="0">
      <w:lvlJc w:val="left"/>
      <w:lvlText w:val="(%1)"/>
      <w:numFmt w:val="lowerLetter"/>
      <w:start w:val="7"/>
    </w:lvl>
  </w:abstractNum>
  <w:abstractNum w:abstractNumId="117">
    <w:nsid w:val="1AFE3625"/>
    <w:multiLevelType w:val="hybridMultilevel"/>
    <w:lvl w:ilvl="0">
      <w:lvlJc w:val="left"/>
      <w:lvlText w:val="(%1)"/>
      <w:numFmt w:val="lowerLetter"/>
      <w:start w:val="2"/>
    </w:lvl>
  </w:abstractNum>
  <w:abstractNum w:abstractNumId="118">
    <w:nsid w:val="3CA88ECF"/>
    <w:multiLevelType w:val="hybridMultilevel"/>
    <w:lvl w:ilvl="0">
      <w:lvlJc w:val="left"/>
      <w:lvlText w:val="(%1)"/>
      <w:numFmt w:val="lowerLetter"/>
      <w:start w:val="1"/>
    </w:lvl>
  </w:abstractNum>
  <w:abstractNum w:abstractNumId="119">
    <w:nsid w:val="6EBE4208"/>
    <w:multiLevelType w:val="hybridMultilevel"/>
    <w:lvl w:ilvl="0">
      <w:lvlJc w:val="left"/>
      <w:lvlText w:val="(%1)"/>
      <w:numFmt w:val="lowerLetter"/>
      <w:start w:val="1"/>
    </w:lvl>
  </w:abstractNum>
  <w:abstractNum w:abstractNumId="120">
    <w:nsid w:val="C058DF5"/>
    <w:multiLevelType w:val="hybridMultilevel"/>
    <w:lvl w:ilvl="0">
      <w:lvlJc w:val="left"/>
      <w:lvlText w:val="(%1)"/>
      <w:numFmt w:val="lowerLetter"/>
      <w:start w:val="1"/>
    </w:lvl>
    <w:lvl w:ilvl="1">
      <w:lvlJc w:val="left"/>
      <w:lvlText w:val="-"/>
      <w:numFmt w:val="bullet"/>
      <w:start w:val="1"/>
    </w:lvl>
  </w:abstractNum>
  <w:abstractNum w:abstractNumId="121">
    <w:nsid w:val="CBE5BE9"/>
    <w:multiLevelType w:val="hybridMultilevel"/>
    <w:lvl w:ilvl="0">
      <w:lvlJc w:val="left"/>
      <w:lvlText w:val="(%1)"/>
      <w:numFmt w:val="lowerLetter"/>
      <w:start w:val="4"/>
    </w:lvl>
  </w:abstractNum>
  <w:abstractNum w:abstractNumId="122">
    <w:nsid w:val="3102BBE2"/>
    <w:multiLevelType w:val="hybridMultilevel"/>
    <w:lvl w:ilvl="0">
      <w:lvlJc w:val="left"/>
      <w:lvlText w:val="(%1)"/>
      <w:numFmt w:val="lowerLetter"/>
      <w:start w:val="1"/>
    </w:lvl>
    <w:lvl w:ilvl="1">
      <w:lvlJc w:val="left"/>
      <w:lvlText w:val="-"/>
      <w:numFmt w:val="bullet"/>
      <w:start w:val="1"/>
    </w:lvl>
  </w:abstractNum>
  <w:abstractNum w:abstractNumId="123">
    <w:nsid w:val="26A02C5E"/>
    <w:multiLevelType w:val="hybridMultilevel"/>
    <w:lvl w:ilvl="0">
      <w:lvlJc w:val="left"/>
      <w:lvlText w:val="(%1)"/>
      <w:numFmt w:val="lowerLetter"/>
      <w:start w:val="1"/>
    </w:lvl>
  </w:abstractNum>
  <w:abstractNum w:abstractNumId="124">
    <w:nsid w:val="541C8153"/>
    <w:multiLevelType w:val="hybridMultilevel"/>
    <w:lvl w:ilvl="0">
      <w:lvlJc w:val="left"/>
      <w:lvlText w:val="%1."/>
      <w:numFmt w:val="decimal"/>
      <w:start w:val="1"/>
    </w:lvl>
  </w:abstractNum>
  <w:abstractNum w:abstractNumId="125">
    <w:nsid w:val="67906F60"/>
    <w:multiLevelType w:val="hybridMultilevel"/>
    <w:lvl w:ilvl="0">
      <w:lvlJc w:val="left"/>
      <w:lvlText w:val="%1."/>
      <w:numFmt w:val="decimal"/>
      <w:start w:val="5"/>
    </w:lvl>
  </w:abstractNum>
  <w:abstractNum w:abstractNumId="126">
    <w:nsid w:val="10DB9DAA"/>
    <w:multiLevelType w:val="hybridMultilevel"/>
    <w:lvl w:ilvl="0">
      <w:lvlJc w:val="left"/>
      <w:lvlText w:val="%1."/>
      <w:numFmt w:val="decimal"/>
      <w:start w:val="10"/>
    </w:lvl>
    <w:lvl w:ilvl="1">
      <w:lvlJc w:val="left"/>
      <w:lvlText w:val="(%2)"/>
      <w:numFmt w:val="lowerLetter"/>
      <w:start w:val="1"/>
    </w:lvl>
  </w:abstractNum>
  <w:abstractNum w:abstractNumId="127">
    <w:nsid w:val="697D2D2"/>
    <w:multiLevelType w:val="hybridMultilevel"/>
    <w:lvl w:ilvl="0">
      <w:lvlJc w:val="left"/>
      <w:lvlText w:val="%1."/>
      <w:numFmt w:val="decimal"/>
      <w:start w:val="11"/>
    </w:lvl>
  </w:abstractNum>
  <w:abstractNum w:abstractNumId="128">
    <w:nsid w:val="6D68AB2"/>
    <w:multiLevelType w:val="hybridMultilevel"/>
    <w:lvl w:ilvl="0">
      <w:lvlJc w:val="left"/>
      <w:lvlText w:val="%1."/>
      <w:numFmt w:val="decimal"/>
      <w:start w:val="17"/>
    </w:lvl>
  </w:abstractNum>
  <w:abstractNum w:abstractNumId="129">
    <w:nsid w:val="3A966CD0"/>
    <w:multiLevelType w:val="hybridMultilevel"/>
    <w:lvl w:ilvl="0">
      <w:lvlJc w:val="left"/>
      <w:lvlText w:val="(%1)"/>
      <w:numFmt w:val="lowerRoman"/>
      <w:start w:val="1"/>
    </w:lvl>
  </w:abstractNum>
  <w:abstractNum w:abstractNumId="130">
    <w:nsid w:val="63F37E85"/>
    <w:multiLevelType w:val="hybridMultilevel"/>
    <w:lvl w:ilvl="0">
      <w:lvlJc w:val="left"/>
      <w:lvlText w:val="%1"/>
      <w:numFmt w:val="lowerLetter"/>
      <w:start w:val="1"/>
    </w:lvl>
    <w:lvl w:ilvl="1">
      <w:lvlJc w:val="left"/>
      <w:lvlText w:val="(%2)"/>
      <w:numFmt w:val="lowerLetter"/>
      <w:start w:val="1"/>
    </w:lvl>
  </w:abstractNum>
  <w:abstractNum w:abstractNumId="131">
    <w:nsid w:val="5895F5FA"/>
    <w:multiLevelType w:val="hybridMultilevel"/>
    <w:lvl w:ilvl="0">
      <w:lvlJc w:val="left"/>
      <w:lvlText w:val="(%1)"/>
      <w:numFmt w:val="lowerLetter"/>
      <w:start w:val="35"/>
    </w:lvl>
    <w:lvl w:ilvl="1">
      <w:lvlJc w:val="left"/>
      <w:lvlText w:val="(%2)"/>
      <w:numFmt w:val="lowerLetter"/>
      <w:start w:val="4"/>
    </w:lvl>
  </w:abstractNum>
  <w:abstractNum w:abstractNumId="132">
    <w:nsid w:val="38A5D054"/>
    <w:multiLevelType w:val="hybridMultilevel"/>
    <w:lvl w:ilvl="0">
      <w:lvlJc w:val="left"/>
      <w:lvlText w:val="(%1)"/>
      <w:numFmt w:val="lowerLetter"/>
      <w:start w:val="7"/>
    </w:lvl>
  </w:abstractNum>
  <w:abstractNum w:abstractNumId="133">
    <w:nsid w:val="F3F09D8"/>
    <w:multiLevelType w:val="hybridMultilevel"/>
    <w:lvl w:ilvl="0">
      <w:lvlJc w:val="left"/>
      <w:lvlText w:val="%1"/>
      <w:numFmt w:val="decimal"/>
      <w:start w:val="1"/>
    </w:lvl>
    <w:lvl w:ilvl="1">
      <w:lvlJc w:val="left"/>
      <w:lvlText w:val="(%2)"/>
      <w:numFmt w:val="lowerRoman"/>
      <w:start w:val="1"/>
    </w:lvl>
  </w:abstractNum>
  <w:abstractNum w:abstractNumId="134">
    <w:nsid w:val="4B793735"/>
    <w:multiLevelType w:val="hybridMultilevel"/>
    <w:lvl w:ilvl="0">
      <w:lvlJc w:val="left"/>
      <w:lvlText w:val="(%1)"/>
      <w:numFmt w:val="decimal"/>
      <w:start w:val="90"/>
    </w:lvl>
    <w:lvl w:ilvl="1">
      <w:lvlJc w:val="left"/>
      <w:lvlText w:val="(%2)"/>
      <w:numFmt w:val="lowerRoman"/>
      <w:start w:val="4"/>
    </w:lvl>
  </w:abstractNum>
  <w:abstractNum w:abstractNumId="135">
    <w:nsid w:val="4A10B4E8"/>
    <w:multiLevelType w:val="hybridMultilevel"/>
    <w:lvl w:ilvl="0">
      <w:lvlJc w:val="left"/>
      <w:lvlText w:val="(%1)"/>
      <w:numFmt w:val="decimal"/>
      <w:start w:val="30"/>
    </w:lvl>
    <w:lvl w:ilvl="1">
      <w:lvlJc w:val="left"/>
      <w:lvlText w:val="%2"/>
      <w:numFmt w:val="lowerRoman"/>
      <w:start w:val="1"/>
    </w:lvl>
  </w:abstractNum>
  <w:abstractNum w:abstractNumId="136">
    <w:nsid w:val="43D3BCD4"/>
    <w:multiLevelType w:val="hybridMultilevel"/>
    <w:lvl w:ilvl="0">
      <w:lvlJc w:val="left"/>
      <w:lvlText w:val="(%1)"/>
      <w:numFmt w:val="upperLetter"/>
      <w:start w:val="2"/>
    </w:lvl>
    <w:lvl w:ilvl="1">
      <w:lvlJc w:val="left"/>
      <w:lvlText w:val="(%2)"/>
      <w:numFmt w:val="lowerRoman"/>
      <w:start w:val="1"/>
    </w:lvl>
  </w:abstractNum>
  <w:abstractNum w:abstractNumId="137">
    <w:nsid w:val="4C2A7166"/>
    <w:multiLevelType w:val="hybridMultilevel"/>
    <w:lvl w:ilvl="0">
      <w:lvlJc w:val="left"/>
      <w:lvlText w:val="(%1)"/>
      <w:numFmt w:val="lowerRoman"/>
      <w:start w:val="2"/>
    </w:lvl>
  </w:abstractNum>
  <w:abstractNum w:abstractNumId="138">
    <w:nsid w:val="2E534A82"/>
    <w:multiLevelType w:val="hybridMultilevel"/>
    <w:lvl w:ilvl="0">
      <w:lvlJc w:val="left"/>
      <w:lvlText w:val="(%1)"/>
      <w:numFmt w:val="lowerLetter"/>
      <w:start w:val="1"/>
    </w:lvl>
  </w:abstractNum>
  <w:abstractNum w:abstractNumId="139">
    <w:nsid w:val="26F2D364"/>
    <w:multiLevelType w:val="hybridMultilevel"/>
    <w:lvl w:ilvl="0">
      <w:lvlJc w:val="left"/>
      <w:lvlText w:val="(%1)"/>
      <w:numFmt w:val="lowerLetter"/>
      <w:start w:val="2"/>
    </w:lvl>
  </w:abstractNum>
  <w:abstractNum w:abstractNumId="140">
    <w:nsid w:val="71C1AF98"/>
    <w:multiLevelType w:val="hybridMultilevel"/>
    <w:lvl w:ilvl="0">
      <w:lvlJc w:val="left"/>
      <w:lvlText w:val="%1"/>
      <w:numFmt w:val="lowerLetter"/>
      <w:start w:val="1"/>
    </w:lvl>
    <w:lvl w:ilvl="1">
      <w:lvlJc w:val="left"/>
      <w:lvlText w:val="(%2)"/>
      <w:numFmt w:val="lowerLetter"/>
      <w:start w:val="4"/>
    </w:lvl>
  </w:abstractNum>
  <w:abstractNum w:abstractNumId="141">
    <w:nsid w:val="3D00B9D9"/>
    <w:multiLevelType w:val="hybridMultilevel"/>
    <w:lvl w:ilvl="0">
      <w:lvlJc w:val="left"/>
      <w:lvlText w:val="(%1)"/>
      <w:numFmt w:val="lowerLetter"/>
      <w:start w:val="61"/>
    </w:lvl>
    <w:lvl w:ilvl="1">
      <w:lvlJc w:val="left"/>
      <w:lvlText w:val="%2"/>
      <w:numFmt w:val="lowerLetter"/>
      <w:start w:val="1"/>
    </w:lvl>
  </w:abstractNum>
  <w:abstractNum w:abstractNumId="142">
    <w:nsid w:val="15BCABA8"/>
    <w:multiLevelType w:val="hybridMultilevel"/>
    <w:lvl w:ilvl="0">
      <w:lvlJc w:val="left"/>
      <w:lvlText w:val="(%1)"/>
      <w:numFmt w:val="lowerLetter"/>
      <w:start w:val="2"/>
    </w:lvl>
    <w:lvl w:ilvl="1">
      <w:lvlJc w:val="left"/>
      <w:lvlText w:val="(%2)"/>
      <w:numFmt w:val="lowerRoman"/>
      <w:start w:val="1"/>
    </w:lvl>
  </w:abstractNum>
  <w:abstractNum w:abstractNumId="143">
    <w:nsid w:val="4E0B9A87"/>
    <w:multiLevelType w:val="hybridMultilevel"/>
    <w:lvl w:ilvl="0">
      <w:lvlJc w:val="left"/>
      <w:lvlText w:val="[*]"/>
      <w:numFmt w:val="bullet"/>
      <w:start w:val="1"/>
    </w:lvl>
  </w:abstractNum>
  <w:abstractNum w:abstractNumId="144">
    <w:nsid w:val="434BAE75"/>
    <w:multiLevelType w:val="hybridMultilevel"/>
    <w:lvl w:ilvl="0">
      <w:lvlJc w:val="left"/>
      <w:lvlText w:val="(%1)"/>
      <w:numFmt w:val="lowerLetter"/>
      <w:start w:val="1"/>
    </w:lvl>
  </w:abstractNum>
  <w:abstractNum w:abstractNumId="145">
    <w:nsid w:val="4F38F26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6">
    <w:nsid w:val="4C502870"/>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3"/>
    </w:lvl>
  </w:abstractNum>
  <w:abstractNum w:abstractNumId="147">
    <w:nsid w:val="1DE8725A"/>
    <w:multiLevelType w:val="hybridMultilevel"/>
    <w:lvl w:ilvl="0">
      <w:lvlJc w:val="left"/>
      <w:lvlText w:val="(%1)"/>
      <w:numFmt w:val="lowerRoman"/>
      <w:start w:val="1"/>
    </w:lvl>
  </w:abstractNum>
  <w:abstractNum w:abstractNumId="148">
    <w:nsid w:val="6A37288A"/>
    <w:multiLevelType w:val="hybridMultilevel"/>
    <w:lvl w:ilvl="0">
      <w:lvlJc w:val="left"/>
      <w:lvlText w:val="(%1)"/>
      <w:numFmt w:val="lowerRoman"/>
      <w:start w:val="1"/>
    </w:lvl>
  </w:abstractNum>
  <w:abstractNum w:abstractNumId="149">
    <w:nsid w:val="8F8B73F"/>
    <w:multiLevelType w:val="hybridMultilevel"/>
    <w:lvl w:ilvl="0">
      <w:lvlJc w:val="left"/>
      <w:lvlText w:val="(%1)"/>
      <w:numFmt w:val="lowerRoman"/>
      <w:start w:val="10"/>
    </w:lvl>
    <w:lvl w:ilvl="1">
      <w:lvlJc w:val="left"/>
      <w:lvlText w:val="(%2)"/>
      <w:numFmt w:val="lowerRoman"/>
      <w:start w:val="1"/>
    </w:lvl>
  </w:abstractNum>
  <w:abstractNum w:abstractNumId="150">
    <w:nsid w:val="CA6B462"/>
    <w:multiLevelType w:val="hybridMultilevel"/>
    <w:lvl w:ilvl="0">
      <w:lvlJc w:val="left"/>
      <w:lvlText w:val="(%1)"/>
      <w:numFmt w:val="lowerLetter"/>
      <w:start w:val="1"/>
    </w:lvl>
    <w:lvl w:ilvl="1">
      <w:lvlJc w:val="left"/>
      <w:lvlText w:val="(%2)"/>
      <w:numFmt w:val="lowerRoman"/>
      <w:start w:val="1"/>
    </w:lvl>
  </w:abstractNum>
  <w:abstractNum w:abstractNumId="151">
    <w:nsid w:val="763CB680"/>
    <w:multiLevelType w:val="hybridMultilevel"/>
    <w:lvl w:ilvl="0">
      <w:lvlJc w:val="left"/>
      <w:lvlText w:val="(%1)"/>
      <w:numFmt w:val="lowerLetter"/>
      <w:start w:val="4"/>
    </w:lvl>
  </w:abstractNum>
  <w:abstractNum w:abstractNumId="152">
    <w:nsid w:val="15B71329"/>
    <w:multiLevelType w:val="hybridMultilevel"/>
    <w:lvl w:ilvl="0">
      <w:lvlJc w:val="left"/>
      <w:lvlText w:val="(%1)"/>
      <w:numFmt w:val="lowerLetter"/>
      <w:start w:val="1"/>
    </w:lvl>
  </w:abstractNum>
  <w:abstractNum w:abstractNumId="153">
    <w:nsid w:val="3DA97044"/>
    <w:multiLevelType w:val="hybridMultilevel"/>
    <w:lvl w:ilvl="0">
      <w:lvlJc w:val="left"/>
      <w:lvlText w:val="(%1)"/>
      <w:numFmt w:val="lowerLetter"/>
      <w:start w:val="5"/>
    </w:lvl>
  </w:abstractNum>
  <w:abstractNum w:abstractNumId="154">
    <w:nsid w:val="1CDCE2DE"/>
    <w:multiLevelType w:val="hybridMultilevel"/>
    <w:lvl w:ilvl="0">
      <w:lvlJc w:val="left"/>
      <w:lvlText w:val="(%1)"/>
      <w:numFmt w:val="lowerLetter"/>
      <w:start w:val="9"/>
    </w:lvl>
    <w:lvl w:ilvl="1">
      <w:lvlJc w:val="left"/>
      <w:lvlText w:val="(%2)"/>
      <w:numFmt w:val="lowerRoman"/>
      <w:start w:val="1"/>
    </w:lvl>
  </w:abstractNum>
  <w:abstractNum w:abstractNumId="155">
    <w:nsid w:val="69D3947C"/>
    <w:multiLevelType w:val="hybridMultilevel"/>
    <w:lvl w:ilvl="0">
      <w:lvlJc w:val="left"/>
      <w:lvlText w:val="%1"/>
      <w:numFmt w:val="decimal"/>
      <w:start w:val="1"/>
    </w:lvl>
    <w:lvl w:ilvl="1">
      <w:lvlJc w:val="left"/>
      <w:lvlText w:val="(%2)"/>
      <w:numFmt w:val="lowerLetter"/>
      <w:start w:val="1"/>
    </w:lvl>
  </w:abstractNum>
  <w:abstractNum w:abstractNumId="156">
    <w:nsid w:val="2539DFA5"/>
    <w:multiLevelType w:val="hybridMultilevel"/>
    <w:lvl w:ilvl="0">
      <w:lvlJc w:val="left"/>
      <w:lvlText w:val="(%1)"/>
      <w:numFmt w:val="decimal"/>
      <w:start w:val="120"/>
    </w:lvl>
    <w:lvl w:ilvl="1">
      <w:lvlJc w:val="left"/>
      <w:lvlText w:val="%2"/>
      <w:numFmt w:val="lowerLetter"/>
      <w:start w:val="1"/>
    </w:lvl>
  </w:abstractNum>
  <w:abstractNum w:abstractNumId="157">
    <w:nsid w:val="2DB88089"/>
    <w:multiLevelType w:val="hybridMultilevel"/>
    <w:lvl w:ilvl="0">
      <w:lvlJc w:val="left"/>
      <w:lvlText w:val="(%1)"/>
      <w:numFmt w:val="decimal"/>
      <w:start w:val="45"/>
    </w:lvl>
    <w:lvl w:ilvl="1">
      <w:lvlJc w:val="left"/>
      <w:lvlText w:val="%2"/>
      <w:numFmt w:val="lowerLetter"/>
      <w:start w:val="1"/>
    </w:lvl>
  </w:abstractNum>
  <w:abstractNum w:abstractNumId="158">
    <w:nsid w:val="706B674E"/>
    <w:multiLevelType w:val="hybridMultilevel"/>
    <w:lvl w:ilvl="0">
      <w:lvlJc w:val="left"/>
      <w:lvlText w:val="(%1)"/>
      <w:numFmt w:val="lowerLetter"/>
      <w:start w:val="2"/>
    </w:lvl>
  </w:abstractNum>
  <w:abstractNum w:abstractNumId="159">
    <w:nsid w:val="2C106A57"/>
    <w:multiLevelType w:val="hybridMultilevel"/>
    <w:lvl w:ilvl="0">
      <w:lvlJc w:val="left"/>
      <w:lvlText w:val="(%1)"/>
      <w:numFmt w:val="lowerLetter"/>
      <w:start w:val="7"/>
    </w:lvl>
  </w:abstractNum>
  <w:abstractNum w:abstractNumId="160">
    <w:nsid w:val="684EED59"/>
    <w:multiLevelType w:val="hybridMultilevel"/>
    <w:lvl w:ilvl="0">
      <w:lvlJc w:val="left"/>
      <w:lvlText w:val="(%1)"/>
      <w:numFmt w:val="lowerLetter"/>
      <w:start w:val="13"/>
    </w:lvl>
    <w:lvl w:ilvl="1">
      <w:lvlJc w:val="left"/>
      <w:lvlText w:val="(%2)"/>
      <w:numFmt w:val="lowerRoman"/>
      <w:start w:val="1"/>
    </w:lvl>
    <w:lvl w:ilvl="2">
      <w:lvlJc w:val="left"/>
      <w:lvlText w:val="(%3)"/>
      <w:numFmt w:val="upperLetter"/>
      <w:start w:val="1"/>
    </w:lvl>
  </w:abstractNum>
  <w:abstractNum w:abstractNumId="161">
    <w:nsid w:val="545EE5D3"/>
    <w:multiLevelType w:val="hybridMultilevel"/>
    <w:lvl w:ilvl="0">
      <w:lvlJc w:val="left"/>
      <w:lvlText w:val="(%1)"/>
      <w:numFmt w:val="upperLetter"/>
      <w:start w:val="3"/>
    </w:lvl>
  </w:abstractNum>
  <w:abstractNum w:abstractNumId="162">
    <w:nsid w:val="4A66051"/>
    <w:multiLevelType w:val="hybridMultilevel"/>
    <w:lvl w:ilvl="0">
      <w:lvlJc w:val="left"/>
      <w:lvlText w:val="%1"/>
      <w:numFmt w:val="lowerRoman"/>
      <w:start w:val="1"/>
    </w:lvl>
    <w:lvl w:ilvl="1">
      <w:lvlJc w:val="left"/>
      <w:lvlText w:val="(%2)"/>
      <w:numFmt w:val="upperLetter"/>
      <w:start w:val="8"/>
    </w:lvl>
  </w:abstractNum>
  <w:abstractNum w:abstractNumId="163">
    <w:nsid w:val="20F4BDAD"/>
    <w:multiLevelType w:val="hybridMultilevel"/>
    <w:lvl w:ilvl="0">
      <w:lvlJc w:val="left"/>
      <w:lvlText w:val="(%1)"/>
      <w:numFmt w:val="lowerRoman"/>
      <w:start w:val="2"/>
    </w:lvl>
    <w:lvl w:ilvl="1">
      <w:lvlJc w:val="left"/>
      <w:lvlText w:val="%2"/>
      <w:numFmt w:val="upperLetter"/>
      <w:start w:val="1"/>
    </w:lvl>
  </w:abstractNum>
  <w:abstractNum w:abstractNumId="164">
    <w:nsid w:val="639DEFAC"/>
    <w:multiLevelType w:val="hybridMultilevel"/>
    <w:lvl w:ilvl="0">
      <w:lvlJc w:val="left"/>
      <w:lvlText w:val="(%1)"/>
      <w:numFmt w:val="upperLetter"/>
      <w:start w:val="1"/>
    </w:lvl>
    <w:lvl w:ilvl="1">
      <w:lvlJc w:val="left"/>
      <w:lvlText w:val="(%2)"/>
      <w:numFmt w:val="decimal"/>
      <w:start w:val="1"/>
    </w:lvl>
  </w:abstractNum>
  <w:abstractNum w:abstractNumId="165">
    <w:nsid w:val="501F9786"/>
    <w:multiLevelType w:val="hybridMultilevel"/>
    <w:lvl w:ilvl="0">
      <w:lvlJc w:val="left"/>
      <w:lvlText w:val="(%1)"/>
      <w:numFmt w:val="decimal"/>
      <w:start w:val="1"/>
    </w:lvl>
  </w:abstractNum>
  <w:abstractNum w:abstractNumId="166">
    <w:nsid w:val="6B057295"/>
    <w:multiLevelType w:val="hybridMultilevel"/>
    <w:lvl w:ilvl="0">
      <w:lvlJc w:val="left"/>
      <w:lvlText w:val="(%1)"/>
      <w:numFmt w:val="decimal"/>
      <w:start w:val="2"/>
    </w:lvl>
  </w:abstractNum>
  <w:abstractNum w:abstractNumId="167">
    <w:nsid w:val="2771AC80"/>
    <w:multiLevelType w:val="hybridMultilevel"/>
    <w:lvl w:ilvl="0">
      <w:lvlJc w:val="left"/>
      <w:lvlText w:val="%1"/>
      <w:numFmt w:val="lowerLetter"/>
      <w:start w:val="1"/>
    </w:lvl>
    <w:lvl w:ilvl="1">
      <w:lvlJc w:val="left"/>
      <w:lvlText w:val="(%2)"/>
      <w:numFmt w:val="lowerLetter"/>
      <w:start w:val="61"/>
    </w:lvl>
  </w:abstractNum>
  <w:abstractNum w:abstractNumId="168">
    <w:nsid w:val="1C4A08EC"/>
    <w:multiLevelType w:val="hybridMultilevel"/>
    <w:lvl w:ilvl="0">
      <w:lvlJc w:val="left"/>
      <w:lvlText w:val="(%1)"/>
      <w:numFmt w:val="lowerLetter"/>
      <w:start w:val="16"/>
    </w:lvl>
    <w:lvl w:ilvl="1">
      <w:lvlJc w:val="left"/>
      <w:lvlText w:val="(%2)"/>
      <w:numFmt w:val="lowerLetter"/>
      <w:start w:val="9"/>
    </w:lvl>
  </w:abstractNum>
  <w:abstractNum w:abstractNumId="169">
    <w:nsid w:val="1958BD17"/>
    <w:multiLevelType w:val="hybridMultilevel"/>
    <w:lvl w:ilvl="0">
      <w:lvlJc w:val="left"/>
      <w:lvlText w:val="%1"/>
      <w:numFmt w:val="lowerLetter"/>
      <w:start w:val="1"/>
    </w:lvl>
    <w:lvl w:ilvl="1">
      <w:lvlJc w:val="left"/>
      <w:lvlText w:val="(%2)"/>
      <w:numFmt w:val="lowerRoman"/>
      <w:start w:val="2"/>
    </w:lvl>
  </w:abstractNum>
  <w:abstractNum w:abstractNumId="170">
    <w:nsid w:val="4E647FE4"/>
    <w:multiLevelType w:val="hybridMultilevel"/>
    <w:lvl w:ilvl="0">
      <w:lvlJc w:val="left"/>
      <w:lvlText w:val="(%1)"/>
      <w:numFmt w:val="lowerLetter"/>
      <w:start w:val="25"/>
    </w:lvl>
    <w:lvl w:ilvl="1">
      <w:lvlJc w:val="left"/>
      <w:lvlText w:val="(%2)"/>
      <w:numFmt w:val="lowerRoman"/>
      <w:start w:val="5"/>
    </w:lvl>
  </w:abstractNum>
  <w:abstractNum w:abstractNumId="171">
    <w:nsid w:val="E0BB885"/>
    <w:multiLevelType w:val="hybridMultilevel"/>
    <w:lvl w:ilvl="0">
      <w:lvlJc w:val="left"/>
      <w:lvlText w:val="(%1)"/>
      <w:numFmt w:val="lowerRoman"/>
      <w:start w:val="6"/>
    </w:lvl>
  </w:abstractNum>
  <w:abstractNum w:abstractNumId="172">
    <w:nsid w:val="565976F1"/>
    <w:multiLevelType w:val="hybridMultilevel"/>
    <w:lvl w:ilvl="0">
      <w:lvlJc w:val="left"/>
      <w:lvlText w:val="(%1)"/>
      <w:numFmt w:val="lowerRoman"/>
      <w:start w:val="9"/>
    </w:lvl>
  </w:abstractNum>
  <w:abstractNum w:abstractNumId="173">
    <w:nsid w:val="64212B8C"/>
    <w:multiLevelType w:val="hybridMultilevel"/>
    <w:lvl w:ilvl="0">
      <w:lvlJc w:val="left"/>
      <w:lvlText w:val="%1"/>
      <w:numFmt w:val="lowerLetter"/>
      <w:start w:val="1"/>
    </w:lvl>
    <w:lvl w:ilvl="1">
      <w:lvlJc w:val="left"/>
      <w:lvlText w:val="(%2)"/>
      <w:numFmt w:val="lowerRoman"/>
      <w:start w:val="10"/>
    </w:lvl>
  </w:abstractNum>
  <w:abstractNum w:abstractNumId="174">
    <w:nsid w:val="5C17530C"/>
    <w:multiLevelType w:val="hybridMultilevel"/>
    <w:lvl w:ilvl="0">
      <w:lvlJc w:val="left"/>
      <w:lvlText w:val="(%1)"/>
      <w:numFmt w:val="lowerLetter"/>
      <w:start w:val="17"/>
    </w:lvl>
    <w:lvl w:ilvl="1">
      <w:lvlJc w:val="left"/>
      <w:lvlText w:val="(%2)"/>
      <w:numFmt w:val="lowerRoman"/>
      <w:start w:val="1"/>
    </w:lvl>
  </w:abstractNum>
  <w:abstractNum w:abstractNumId="175">
    <w:nsid w:val="19A52566"/>
    <w:multiLevelType w:val="hybridMultilevel"/>
    <w:lvl w:ilvl="0">
      <w:lvlJc w:val="left"/>
      <w:lvlText w:val="%1"/>
      <w:numFmt w:val="lowerLetter"/>
      <w:start w:val="1"/>
    </w:lvl>
    <w:lvl w:ilvl="1">
      <w:lvlJc w:val="left"/>
      <w:lvlText w:val="(%2)"/>
      <w:numFmt w:val="lowerRoman"/>
      <w:start w:val="6"/>
    </w:lvl>
  </w:abstractNum>
  <w:abstractNum w:abstractNumId="176">
    <w:nsid w:val="335A1DF1"/>
    <w:multiLevelType w:val="hybridMultilevel"/>
    <w:lvl w:ilvl="0">
      <w:lvlJc w:val="left"/>
      <w:lvlText w:val="(%1)"/>
      <w:numFmt w:val="lowerLetter"/>
      <w:start w:val="18"/>
    </w:lvl>
    <w:lvl w:ilvl="1">
      <w:lvlJc w:val="left"/>
      <w:lvlText w:val="(%2)"/>
      <w:numFmt w:val="lowerRoman"/>
      <w:start w:val="1"/>
    </w:lvl>
  </w:abstractNum>
  <w:abstractNum w:abstractNumId="177">
    <w:nsid w:val="28677B7C"/>
    <w:multiLevelType w:val="hybridMultilevel"/>
    <w:lvl w:ilvl="0">
      <w:lvlJc w:val="left"/>
      <w:lvlText w:val="(%1)"/>
      <w:numFmt w:val="lowerLetter"/>
      <w:start w:val="1"/>
    </w:lvl>
  </w:abstractNum>
  <w:abstractNum w:abstractNumId="178">
    <w:nsid w:val="378D97C0"/>
    <w:multiLevelType w:val="hybridMultilevel"/>
    <w:lvl w:ilvl="0">
      <w:lvlJc w:val="left"/>
      <w:lvlText w:val="(%1)"/>
      <w:numFmt w:val="lowerLetter"/>
      <w:start w:val="1"/>
    </w:lvl>
  </w:abstractNum>
  <w:abstractNum w:abstractNumId="179">
    <w:nsid w:val="1D91467C"/>
    <w:multiLevelType w:val="hybridMultilevel"/>
    <w:lvl w:ilvl="0">
      <w:lvlJc w:val="left"/>
      <w:lvlText w:val="%1"/>
      <w:numFmt w:val="lowerLetter"/>
      <w:start w:val="1"/>
    </w:lvl>
    <w:lvl w:ilvl="1">
      <w:lvlJc w:val="left"/>
      <w:lvlText w:val="(%2)"/>
      <w:numFmt w:val="lowerLetter"/>
      <w:start w:val="2"/>
    </w:lvl>
  </w:abstractNum>
  <w:abstractNum w:abstractNumId="180">
    <w:nsid w:val="316032BB"/>
    <w:multiLevelType w:val="hybridMultilevel"/>
    <w:lvl w:ilvl="0">
      <w:lvlJc w:val="left"/>
      <w:lvlText w:val="(%1)"/>
      <w:numFmt w:val="lowerLetter"/>
      <w:start w:val="35"/>
    </w:lvl>
    <w:lvl w:ilvl="1">
      <w:lvlJc w:val="left"/>
      <w:lvlText w:val="(%2)"/>
      <w:numFmt w:val="lowerLetter"/>
      <w:start w:val="6"/>
    </w:lvl>
  </w:abstractNum>
  <w:abstractNum w:abstractNumId="181">
    <w:nsid w:val="44344C22"/>
    <w:multiLevelType w:val="hybridMultilevel"/>
    <w:lvl w:ilvl="0">
      <w:lvlJc w:val="left"/>
      <w:lvlText w:val="(%1)"/>
      <w:numFmt w:val="lowerLetter"/>
      <w:start w:val="9"/>
    </w:lvl>
  </w:abstractNum>
  <w:abstractNum w:abstractNumId="182">
    <w:nsid w:val="13CDFCFC"/>
    <w:multiLevelType w:val="hybridMultilevel"/>
    <w:lvl w:ilvl="0">
      <w:lvlJc w:val="left"/>
      <w:lvlText w:val="(%1)"/>
      <w:numFmt w:val="lowerLetter"/>
      <w:start w:val="13"/>
    </w:lvl>
  </w:abstractNum>
  <w:abstractNum w:abstractNumId="183">
    <w:nsid w:val="471745E4"/>
    <w:multiLevelType w:val="hybridMultilevel"/>
    <w:lvl w:ilvl="0">
      <w:lvlJc w:val="left"/>
      <w:lvlText w:val="(%1)"/>
      <w:numFmt w:val="upperLetter"/>
      <w:start w:val="4"/>
    </w:lvl>
  </w:abstractNum>
  <w:abstractNum w:abstractNumId="184">
    <w:nsid w:val="1DDBC66"/>
    <w:multiLevelType w:val="hybridMultilevel"/>
    <w:lvl w:ilvl="0">
      <w:lvlJc w:val="left"/>
      <w:lvlText w:val="(%1)"/>
      <w:numFmt w:val="lowerLetter"/>
      <w:start w:val="1"/>
    </w:lvl>
  </w:abstractNum>
  <w:abstractNum w:abstractNumId="185">
    <w:nsid w:val="30AADFDA"/>
    <w:multiLevelType w:val="hybridMultilevel"/>
    <w:lvl w:ilvl="0">
      <w:lvlJc w:val="left"/>
      <w:lvlText w:val="(%1)"/>
      <w:numFmt w:val="lowerLetter"/>
      <w:start w:val="3"/>
    </w:lvl>
    <w:lvl w:ilvl="1">
      <w:lvlJc w:val="left"/>
      <w:lvlText w:val="(%2)"/>
      <w:numFmt w:val="lowerRoman"/>
      <w:start w:val="1"/>
    </w:lvl>
  </w:abstractNum>
  <w:abstractNum w:abstractNumId="186">
    <w:nsid w:val="30EADA61"/>
    <w:multiLevelType w:val="hybridMultilevel"/>
    <w:lvl w:ilvl="0">
      <w:lvlJc w:val="left"/>
      <w:lvlText w:val="(%1)"/>
      <w:numFmt w:val="lowerLetter"/>
      <w:start w:val="9"/>
    </w:lvl>
  </w:abstractNum>
  <w:abstractNum w:abstractNumId="187">
    <w:nsid w:val="27179C0B"/>
    <w:multiLevelType w:val="hybridMultilevel"/>
    <w:lvl w:ilvl="0">
      <w:lvlJc w:val="left"/>
      <w:lvlText w:val="(%1)"/>
      <w:numFmt w:val="lowerLetter"/>
      <w:start w:val="1"/>
    </w:lvl>
  </w:abstractNum>
  <w:abstractNum w:abstractNumId="188">
    <w:nsid w:val="5E636063"/>
    <w:multiLevelType w:val="hybridMultilevel"/>
    <w:lvl w:ilvl="0">
      <w:lvlJc w:val="left"/>
      <w:lvlText w:val="(%1)"/>
      <w:numFmt w:val="lowerLetter"/>
      <w:start w:val="7"/>
    </w:lvl>
  </w:abstractNum>
  <w:abstractNum w:abstractNumId="189">
    <w:nsid w:val="215641AF"/>
    <w:multiLevelType w:val="hybridMultilevel"/>
    <w:lvl w:ilvl="0">
      <w:lvlJc w:val="left"/>
      <w:lvlText w:val="(%1)"/>
      <w:numFmt w:val="lowerLetter"/>
      <w:start w:val="1"/>
    </w:lvl>
    <w:lvl w:ilvl="1">
      <w:lvlJc w:val="left"/>
      <w:lvlText w:val="(%2)"/>
      <w:numFmt w:val="lowerLetter"/>
      <w:start w:val="9"/>
    </w:lvl>
  </w:abstractNum>
  <w:abstractNum w:abstractNumId="190">
    <w:nsid w:val="53280662"/>
    <w:multiLevelType w:val="hybridMultilevel"/>
    <w:lvl w:ilvl="0">
      <w:lvlJc w:val="left"/>
      <w:lvlText w:val="(%1)"/>
      <w:numFmt w:val="lowerRoman"/>
      <w:start w:val="2"/>
    </w:lvl>
  </w:abstractNum>
  <w:abstractNum w:abstractNumId="191">
    <w:nsid w:val="46B24DBC"/>
    <w:multiLevelType w:val="hybridMultilevel"/>
    <w:lvl w:ilvl="0">
      <w:lvlJc w:val="left"/>
      <w:lvlText w:val="(%1)"/>
      <w:numFmt w:val="lowerLetter"/>
      <w:start w:val="2"/>
    </w:lvl>
  </w:abstractNum>
  <w:abstractNum w:abstractNumId="192">
    <w:nsid w:val="75B52783"/>
    <w:multiLevelType w:val="hybridMultilevel"/>
    <w:lvl w:ilvl="0">
      <w:lvlJc w:val="left"/>
      <w:lvlText w:val="(%1)"/>
      <w:numFmt w:val="lowerLetter"/>
      <w:start w:val="3"/>
    </w:lvl>
  </w:abstractNum>
  <w:abstractNum w:abstractNumId="193">
    <w:nsid w:val="57CE66B4"/>
    <w:multiLevelType w:val="hybridMultilevel"/>
    <w:lvl w:ilvl="0">
      <w:lvlJc w:val="left"/>
      <w:lvlText w:val="(%1)"/>
      <w:numFmt w:val="lowerLetter"/>
      <w:start w:val="4"/>
    </w:lvl>
  </w:abstractNum>
  <w:abstractNum w:abstractNumId="194">
    <w:nsid w:val="67A70B69"/>
    <w:multiLevelType w:val="hybridMultilevel"/>
    <w:lvl w:ilvl="0">
      <w:lvlJc w:val="left"/>
      <w:lvlText w:val="(%1)"/>
      <w:numFmt w:val="lowerLetter"/>
      <w:start w:val="1"/>
    </w:lvl>
  </w:abstractNum>
  <w:abstractNum w:abstractNumId="195">
    <w:nsid w:val="5953172F"/>
    <w:multiLevelType w:val="hybridMultilevel"/>
    <w:lvl w:ilvl="0">
      <w:lvlJc w:val="left"/>
      <w:lvlText w:val="%1"/>
      <w:numFmt w:val="lowerLetter"/>
      <w:start w:val="1"/>
    </w:lvl>
    <w:lvl w:ilvl="1">
      <w:lvlJc w:val="left"/>
      <w:lvlText w:val="(%2)"/>
      <w:numFmt w:val="lowerLetter"/>
      <w:start w:val="3"/>
    </w:lvl>
  </w:abstractNum>
  <w:abstractNum w:abstractNumId="196">
    <w:nsid w:val="27EDFE3A"/>
    <w:multiLevelType w:val="hybridMultilevel"/>
    <w:lvl w:ilvl="0">
      <w:lvlJc w:val="left"/>
      <w:lvlText w:val="(%1)"/>
      <w:numFmt w:val="lowerLetter"/>
      <w:start w:val="2"/>
    </w:lvl>
    <w:lvl w:ilvl="1">
      <w:lvlJc w:val="left"/>
      <w:lvlText w:val="(%2)"/>
      <w:numFmt w:val="lowerLetter"/>
      <w:start w:val="4"/>
    </w:lvl>
  </w:abstractNum>
  <w:abstractNum w:abstractNumId="197">
    <w:nsid w:val="52AC7DF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8">
    <w:nsid w:val="C4C3AF"/>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199">
    <w:nsid w:val="44380727"/>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200">
    <w:nsid w:val="6C053B16"/>
    <w:multiLevelType w:val="hybridMultilevel"/>
    <w:lvl w:ilvl="0">
      <w:lvlJc w:val="left"/>
      <w:lvlText w:val="(%1)"/>
      <w:numFmt w:val="lowerLetter"/>
      <w:start w:val="3"/>
    </w:lvl>
  </w:abstractNum>
  <w:abstractNum w:abstractNumId="201">
    <w:nsid w:val="4F294393"/>
    <w:multiLevelType w:val="hybridMultilevel"/>
    <w:lvl w:ilvl="0">
      <w:lvlJc w:val="left"/>
      <w:lvlText w:val="(%1)"/>
      <w:numFmt w:val="lowerLetter"/>
      <w:start w:val="5"/>
    </w:lvl>
  </w:abstractNum>
  <w:abstractNum w:abstractNumId="202">
    <w:nsid w:val="5243BFAC"/>
    <w:multiLevelType w:val="hybridMultilevel"/>
    <w:lvl w:ilvl="0">
      <w:lvlJc w:val="left"/>
      <w:lvlText w:val="(%1)"/>
      <w:numFmt w:val="lowerLetter"/>
      <w:start w:val="1"/>
    </w:lvl>
  </w:abstractNum>
  <w:abstractNum w:abstractNumId="203">
    <w:nsid w:val="425EB207"/>
    <w:multiLevelType w:val="hybridMultilevel"/>
    <w:lvl w:ilvl="0">
      <w:lvlJc w:val="left"/>
      <w:lvlText w:val="(%1)"/>
      <w:numFmt w:val="lowerLetter"/>
      <w:start w:val="2"/>
    </w:lvl>
  </w:abstractNum>
  <w:abstractNum w:abstractNumId="204">
    <w:nsid w:val="334A6F1F"/>
    <w:multiLevelType w:val="hybridMultilevel"/>
    <w:lvl w:ilvl="0">
      <w:lvlJc w:val="left"/>
      <w:lvlText w:val="(%1)"/>
      <w:numFmt w:val="lowerLetter"/>
      <w:start w:val="1"/>
    </w:lvl>
    <w:lvl w:ilvl="1">
      <w:lvlJc w:val="left"/>
      <w:lvlText w:val="(%2)"/>
      <w:numFmt w:val="lowerLetter"/>
      <w:start w:val="9"/>
    </w:lvl>
  </w:abstractNum>
  <w:abstractNum w:abstractNumId="205">
    <w:nsid w:val="2E5B12B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06">
    <w:nsid w:val="5C03D76D"/>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61"/>
    </w:lvl>
  </w:abstractNum>
  <w:abstractNum w:abstractNumId="207">
    <w:nsid w:val="66A48D1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08">
    <w:nsid w:val="56C28E34"/>
    <w:multiLevelType w:val="hybridMultilevel"/>
    <w:lvl w:ilvl="0">
      <w:lvlJc w:val="left"/>
      <w:lvlText w:val="%1"/>
      <w:numFmt w:val="lowerLetter"/>
      <w:start w:val="1"/>
    </w:lvl>
    <w:lvl w:ilvl="1">
      <w:lvlJc w:val="left"/>
      <w:lvlText w:val="(%2)"/>
      <w:numFmt w:val="lowerLetter"/>
      <w:start w:val="35"/>
    </w:lvl>
  </w:abstractNum>
  <w:abstractNum w:abstractNumId="209">
    <w:nsid w:val="13916F2D"/>
    <w:multiLevelType w:val="hybridMultilevel"/>
    <w:lvl w:ilvl="0">
      <w:lvlJc w:val="left"/>
      <w:lvlText w:val="(%1)"/>
      <w:numFmt w:val="lowerLetter"/>
      <w:start w:val="4"/>
    </w:lvl>
    <w:lvl w:ilvl="1">
      <w:lvlJc w:val="left"/>
      <w:lvlText w:val="(%2)"/>
      <w:numFmt w:val="lowerLetter"/>
      <w:start w:val="9"/>
    </w:lvl>
  </w:abstractNum>
  <w:abstractNum w:abstractNumId="210">
    <w:nsid w:val="435D38D"/>
    <w:multiLevelType w:val="hybridMultilevel"/>
    <w:lvl w:ilvl="0">
      <w:lvlJc w:val="left"/>
      <w:lvlText w:val="(%1)"/>
      <w:numFmt w:val="upperLetter"/>
      <w:start w:val="1"/>
    </w:lvl>
    <w:lvl w:ilvl="1">
      <w:lvlJc w:val="left"/>
      <w:lvlText w:val="(%2)"/>
      <w:numFmt w:val="decimal"/>
      <w:start w:val="1"/>
    </w:lvl>
  </w:abstractNum>
  <w:abstractNum w:abstractNumId="211">
    <w:nsid w:val="822C0EF"/>
    <w:multiLevelType w:val="hybridMultilevel"/>
    <w:lvl w:ilvl="0">
      <w:lvlJc w:val="left"/>
      <w:lvlText w:val="%1"/>
      <w:numFmt w:val="lowerLetter"/>
      <w:start w:val="1"/>
    </w:lvl>
    <w:lvl w:ilvl="1">
      <w:lvlJc w:val="left"/>
      <w:lvlText w:val="(%2)"/>
      <w:numFmt w:val="upperLetter"/>
      <w:start w:val="3"/>
    </w:lvl>
    <w:lvl w:ilvl="2">
      <w:lvlJc w:val="left"/>
      <w:lvlText w:val="(%3)"/>
      <w:numFmt w:val="lowerLetter"/>
      <w:start w:val="61"/>
    </w:lvl>
  </w:abstractNum>
  <w:abstractNum w:abstractNumId="212">
    <w:nsid w:val="57C5BB4F"/>
    <w:multiLevelType w:val="hybridMultilevel"/>
    <w:lvl w:ilvl="0">
      <w:lvlJc w:val="left"/>
      <w:lvlText w:val="(%1)"/>
      <w:numFmt w:val="lowerLetter"/>
      <w:start w:val="6"/>
    </w:lvl>
    <w:lvl w:ilvl="1">
      <w:lvlJc w:val="left"/>
      <w:lvlText w:val="%2"/>
      <w:numFmt w:val="upperLetter"/>
      <w:start w:val="1"/>
    </w:lvl>
    <w:lvl w:ilvl="2">
      <w:lvlJc w:val="left"/>
      <w:lvlText w:val="%3"/>
      <w:numFmt w:val="lowerLetter"/>
      <w:start w:val="1"/>
    </w:lvl>
  </w:abstractNum>
  <w:abstractNum w:abstractNumId="213">
    <w:nsid w:val="1803D089"/>
    <w:multiLevelType w:val="hybridMultilevel"/>
    <w:lvl w:ilvl="0">
      <w:lvlJc w:val="left"/>
      <w:lvlText w:val="(%1)"/>
      <w:numFmt w:val="lowerLetter"/>
      <w:start w:val="7"/>
    </w:lvl>
  </w:abstractNum>
  <w:abstractNum w:abstractNumId="214">
    <w:nsid w:val="4F3A06D4"/>
    <w:multiLevelType w:val="hybridMultilevel"/>
    <w:lvl w:ilvl="0">
      <w:lvlJc w:val="left"/>
      <w:lvlText w:val="(%1)"/>
      <w:numFmt w:val="lowerLetter"/>
      <w:start w:val="1"/>
    </w:lvl>
    <w:lvl w:ilvl="1">
      <w:lvlJc w:val="left"/>
      <w:lvlText w:val="(%2)"/>
      <w:numFmt w:val="lowerRoman"/>
      <w:start w:val="1"/>
    </w:lvl>
  </w:abstractNum>
  <w:abstractNum w:abstractNumId="215">
    <w:nsid w:val="59A377B6"/>
    <w:multiLevelType w:val="hybridMultilevel"/>
    <w:lvl w:ilvl="0">
      <w:lvlJc w:val="left"/>
      <w:lvlText w:val="%1"/>
      <w:numFmt w:val="decimal"/>
      <w:start w:val="1"/>
    </w:lvl>
    <w:lvl w:ilvl="1">
      <w:lvlJc w:val="left"/>
      <w:lvlText w:val="(%2)"/>
      <w:numFmt w:val="lowerLetter"/>
      <w:start w:val="2"/>
    </w:lvl>
  </w:abstractNum>
  <w:abstractNum w:abstractNumId="216">
    <w:nsid w:val="48AEB063"/>
    <w:multiLevelType w:val="hybridMultilevel"/>
    <w:lvl w:ilvl="0">
      <w:lvlJc w:val="left"/>
      <w:lvlText w:val="(%1)"/>
      <w:numFmt w:val="decimal"/>
      <w:start w:val="15"/>
    </w:lvl>
    <w:lvl w:ilvl="1">
      <w:lvlJc w:val="left"/>
      <w:lvlText w:val="(%2)"/>
      <w:numFmt w:val="lowerLetter"/>
      <w:start w:val="4"/>
    </w:lvl>
  </w:abstractNum>
  <w:abstractNum w:abstractNumId="217">
    <w:nsid w:val="24E135"/>
    <w:multiLevelType w:val="hybridMultilevel"/>
    <w:lvl w:ilvl="0">
      <w:lvlJc w:val="left"/>
      <w:lvlText w:val="(%1)"/>
      <w:numFmt w:val="lowerLetter"/>
      <w:start w:val="1"/>
    </w:lvl>
  </w:abstractNum>
  <w:abstractNum w:abstractNumId="218">
    <w:nsid w:val="BB13C1"/>
    <w:multiLevelType w:val="hybridMultilevel"/>
    <w:lvl w:ilvl="0">
      <w:lvlJc w:val="left"/>
      <w:lvlText w:val="(%1)"/>
      <w:numFmt w:val="lowerLetter"/>
      <w:start w:val="2"/>
    </w:lvl>
  </w:abstractNum>
  <w:abstractNum w:abstractNumId="219">
    <w:nsid w:val="271210C7"/>
    <w:multiLevelType w:val="hybridMultilevel"/>
    <w:lvl w:ilvl="0">
      <w:lvlJc w:val="left"/>
      <w:lvlText w:val="(%1)"/>
      <w:numFmt w:val="lowerLetter"/>
      <w:start w:val="1"/>
    </w:lvl>
  </w:abstractNum>
  <w:abstractNum w:abstractNumId="220">
    <w:nsid w:val="217B22E4"/>
    <w:multiLevelType w:val="hybridMultilevel"/>
    <w:lvl w:ilvl="0">
      <w:lvlJc w:val="left"/>
      <w:lvlText w:val="(%1)"/>
      <w:numFmt w:val="lowerLetter"/>
      <w:start w:val="1"/>
    </w:lvl>
  </w:abstractNum>
  <w:abstractNum w:abstractNumId="221">
    <w:nsid w:val="53E31A24"/>
    <w:multiLevelType w:val="hybridMultilevel"/>
    <w:lvl w:ilvl="0">
      <w:lvlJc w:val="left"/>
      <w:lvlText w:val="(%1)"/>
      <w:numFmt w:val="lowerLetter"/>
      <w:start w:val="1"/>
    </w:lvl>
  </w:abstractNum>
  <w:abstractNum w:abstractNumId="222">
    <w:nsid w:val="6DC45E83"/>
    <w:multiLevelType w:val="hybridMultilevel"/>
    <w:lvl w:ilvl="0">
      <w:lvlJc w:val="left"/>
      <w:lvlText w:val="(%1)"/>
      <w:numFmt w:val="lowerLetter"/>
      <w:start w:val="1"/>
    </w:lvl>
  </w:abstractNum>
  <w:abstractNum w:abstractNumId="223">
    <w:nsid w:val="17304A67"/>
    <w:multiLevelType w:val="hybridMultilevel"/>
    <w:lvl w:ilvl="0">
      <w:lvlJc w:val="left"/>
      <w:lvlText w:val="(%1)"/>
      <w:numFmt w:val="lowerLetter"/>
      <w:start w:val="1"/>
    </w:lvl>
  </w:abstractNum>
  <w:abstractNum w:abstractNumId="224">
    <w:nsid w:val="2BB180D8"/>
    <w:multiLevelType w:val="hybridMultilevel"/>
    <w:lvl w:ilvl="0">
      <w:lvlJc w:val="left"/>
      <w:lvlText w:val="%1."/>
      <w:numFmt w:val="decimal"/>
      <w:start w:val="1"/>
    </w:lvl>
    <w:lvl w:ilvl="1">
      <w:lvlJc w:val="left"/>
      <w:lvlText w:val="%2."/>
      <w:numFmt w:val="lowerLetter"/>
      <w:start w:val="1"/>
    </w:lvl>
  </w:abstractNum>
  <w:abstractNum w:abstractNumId="225">
    <w:nsid w:val="556B69ED"/>
    <w:multiLevelType w:val="hybridMultilevel"/>
    <w:lvl w:ilvl="0">
      <w:lvlJc w:val="left"/>
      <w:lvlText w:val="%1."/>
      <w:numFmt w:val="decimal"/>
      <w:start w:val="1"/>
    </w:lvl>
  </w:abstractNum>
  <w:abstractNum w:abstractNumId="226">
    <w:nsid w:val="7083619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27">
    <w:nsid w:val="539F7F1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7"/>
    </w:lvl>
  </w:abstractNum>
  <w:abstractNum w:abstractNumId="228">
    <w:nsid w:val="2817E7EC"/>
    <w:multiLevelType w:val="hybridMultilevel"/>
    <w:lvl w:ilvl="0">
      <w:lvlJc w:val="left"/>
      <w:lvlText w:val="(%1)"/>
      <w:numFmt w:val="lowerLetter"/>
      <w:start w:val="8"/>
    </w:lvl>
  </w:abstractNum>
  <w:abstractNum w:abstractNumId="229">
    <w:nsid w:val="71482545"/>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30">
    <w:nsid w:val="17D7863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31">
    <w:nsid w:val="141D2302"/>
    <w:multiLevelType w:val="hybridMultilevel"/>
    <w:lvl w:ilvl="0">
      <w:lvlJc w:val="left"/>
      <w:lvlText w:val="%1."/>
      <w:numFmt w:val="decimal"/>
      <w:start w:val="5"/>
    </w:lvl>
    <w:lvl w:ilvl="1">
      <w:lvlJc w:val="left"/>
      <w:lvlText w:val="(%2)"/>
      <w:numFmt w:val="lowerLetter"/>
      <w:start w:val="1"/>
    </w:lvl>
  </w:abstractNum>
  <w:abstractNum w:abstractNumId="232">
    <w:nsid w:val="407168D8"/>
    <w:multiLevelType w:val="hybridMultilevel"/>
    <w:lvl w:ilvl="0">
      <w:lvlJc w:val="left"/>
      <w:lvlText w:val="(%1)"/>
      <w:numFmt w:val="lowerRoman"/>
      <w:start w:val="1"/>
    </w:lvl>
    <w:lvl w:ilvl="1">
      <w:lvlJc w:val="left"/>
      <w:lvlText w:val="(%2)"/>
      <w:numFmt w:val="lowerRoman"/>
      <w:start w:val="1"/>
    </w:lvl>
  </w:abstractNum>
  <w:abstractNum w:abstractNumId="233">
    <w:nsid w:val="6A1B45E5"/>
    <w:multiLevelType w:val="hybridMultilevel"/>
    <w:lvl w:ilvl="0">
      <w:lvlJc w:val="left"/>
      <w:lvlText w:val="(%1)"/>
      <w:numFmt w:val="lowerLetter"/>
      <w:start w:val="10"/>
    </w:lvl>
  </w:abstractNum>
  <w:abstractNum w:abstractNumId="234">
    <w:nsid w:val="567BD50A"/>
    <w:multiLevelType w:val="hybridMultilevel"/>
    <w:lvl w:ilvl="0">
      <w:lvlJc w:val="left"/>
      <w:lvlText w:val="%1."/>
      <w:numFmt w:val="decimal"/>
      <w:start w:val="6"/>
    </w:lvl>
  </w:abstractNum>
  <w:abstractNum w:abstractNumId="235">
    <w:nsid w:val="73BBD7F8"/>
    <w:multiLevelType w:val="hybridMultilevel"/>
    <w:lvl w:ilvl="0">
      <w:lvlJc w:val="left"/>
      <w:lvlText w:val="%1."/>
      <w:numFmt w:val="decimal"/>
      <w:start w:val="8"/>
    </w:lvl>
    <w:lvl w:ilvl="1">
      <w:lvlJc w:val="left"/>
      <w:lvlText w:val="(%2)"/>
      <w:numFmt w:val="lowerLetter"/>
      <w:start w:val="1"/>
    </w:lvl>
  </w:abstractNum>
  <w:abstractNum w:abstractNumId="236">
    <w:nsid w:val="1876589D"/>
    <w:multiLevelType w:val="hybridMultilevel"/>
    <w:lvl w:ilvl="0">
      <w:lvlJc w:val="left"/>
      <w:lvlText w:val="%1."/>
      <w:numFmt w:val="decimal"/>
      <w:start w:val="12"/>
    </w:lvl>
  </w:abstractNum>
  <w:abstractNum w:abstractNumId="237">
    <w:nsid w:val="327FAC77"/>
    <w:multiLevelType w:val="hybridMultilevel"/>
    <w:lvl w:ilvl="0">
      <w:lvlJc w:val="left"/>
      <w:lvlText w:val="%1."/>
      <w:numFmt w:val="decimal"/>
      <w:start w:val="18"/>
    </w:lvl>
  </w:abstractNum>
  <w:abstractNum w:abstractNumId="238">
    <w:nsid w:val="5A606509"/>
    <w:multiLevelType w:val="hybridMultilevel"/>
    <w:lvl w:ilvl="0">
      <w:lvlJc w:val="left"/>
      <w:lvlText w:val="%1."/>
      <w:numFmt w:val="decimal"/>
      <w:start w:val="19"/>
    </w:lvl>
  </w:abstractNum>
  <w:abstractNum w:abstractNumId="239">
    <w:nsid w:val="6F38E6D1"/>
    <w:multiLevelType w:val="hybridMultilevel"/>
    <w:lvl w:ilvl="0">
      <w:lvlJc w:val="left"/>
      <w:lvlText w:val="%1."/>
      <w:numFmt w:val="decimal"/>
      <w:start w:val="20"/>
    </w:lvl>
  </w:abstractNum>
  <w:abstractNum w:abstractNumId="240">
    <w:nsid w:val="46111BA5"/>
    <w:multiLevelType w:val="hybridMultilevel"/>
    <w:lvl w:ilvl="0">
      <w:lvlJc w:val="left"/>
      <w:lvlText w:val="(%1)"/>
      <w:numFmt w:val="lowerLetter"/>
      <w:start w:val="6"/>
    </w:lvl>
  </w:abstractNum>
  <w:abstractNum w:abstractNumId="241">
    <w:nsid w:val="5E963896"/>
    <w:multiLevelType w:val="hybridMultilevel"/>
    <w:lvl w:ilvl="0">
      <w:lvlJc w:val="left"/>
      <w:lvlText w:val="%1."/>
      <w:numFmt w:val="decimal"/>
      <w:start w:val="1"/>
    </w:lvl>
  </w:abstractNum>
  <w:abstractNum w:abstractNumId="242">
    <w:nsid w:val="775BA7C1"/>
    <w:multiLevelType w:val="hybridMultilevel"/>
    <w:lvl w:ilvl="0">
      <w:lvlJc w:val="left"/>
      <w:lvlText w:val="%1."/>
      <w:numFmt w:val="decimal"/>
      <w:start w:val="2"/>
    </w:lvl>
  </w:abstractNum>
  <w:abstractNum w:abstractNumId="243">
    <w:nsid w:val="1DD6D6F4"/>
    <w:multiLevelType w:val="hybridMultilevel"/>
    <w:lvl w:ilvl="0">
      <w:lvlJc w:val="left"/>
      <w:lvlText w:val="%1."/>
      <w:numFmt w:val="decimal"/>
      <w:start w:val="5"/>
    </w:lvl>
  </w:abstractNum>
  <w:abstractNum w:abstractNumId="244">
    <w:nsid w:val="769A091F"/>
    <w:multiLevelType w:val="hybridMultilevel"/>
    <w:lvl w:ilvl="0">
      <w:lvlJc w:val="left"/>
      <w:lvlText w:val="%1."/>
      <w:numFmt w:val="decimal"/>
      <w:start w:val="6"/>
    </w:lvl>
  </w:abstractNum>
  <w:abstractNum w:abstractNumId="245">
    <w:nsid w:val="4695AE95"/>
    <w:multiLevelType w:val="hybridMultilevel"/>
    <w:lvl w:ilvl="0">
      <w:lvlJc w:val="left"/>
      <w:lvlText w:val="%1."/>
      <w:numFmt w:val="decimal"/>
      <w:start w:val="7"/>
    </w:lvl>
  </w:abstractNum>
  <w:abstractNum w:abstractNumId="246">
    <w:nsid w:val="777A4EAA"/>
    <w:multiLevelType w:val="hybridMultilevel"/>
    <w:lvl w:ilvl="0">
      <w:lvlJc w:val="left"/>
      <w:lvlText w:val="%1."/>
      <w:numFmt w:val="decimal"/>
      <w:start w:val="8"/>
    </w:lvl>
  </w:abstractNum>
  <w:abstractNum w:abstractNumId="247">
    <w:nsid w:val="3F48B982"/>
    <w:multiLevelType w:val="hybridMultilevel"/>
    <w:lvl w:ilvl="0">
      <w:lvlJc w:val="left"/>
      <w:lvlText w:val="%1."/>
      <w:numFmt w:val="decimal"/>
      <w:start w:val="9"/>
    </w:lvl>
  </w:abstractNum>
  <w:abstractNum w:abstractNumId="248">
    <w:nsid w:val="46BA8FCA"/>
    <w:multiLevelType w:val="hybridMultilevel"/>
    <w:lvl w:ilvl="0">
      <w:lvlJc w:val="left"/>
      <w:lvlText w:val="%1."/>
      <w:numFmt w:val="decimal"/>
      <w:start w:val="1"/>
    </w:lvl>
    <w:lvl w:ilvl="1">
      <w:lvlJc w:val="left"/>
      <w:lvlText w:val="%2."/>
      <w:numFmt w:val="decimal"/>
      <w:start w:val="4"/>
    </w:lvl>
  </w:abstractNum>
  <w:abstractNum w:abstractNumId="249">
    <w:nsid w:val="7835626C"/>
    <w:multiLevelType w:val="hybridMultilevel"/>
    <w:lvl w:ilvl="0">
      <w:lvlJc w:val="left"/>
      <w:lvlText w:val="%1."/>
      <w:numFmt w:val="decimal"/>
      <w:start w:val="5"/>
    </w:lvl>
  </w:abstractNum>
  <w:abstractNum w:abstractNumId="250">
    <w:nsid w:val="665ACA49"/>
    <w:multiLevelType w:val="hybridMultilevel"/>
    <w:lvl w:ilvl="0">
      <w:lvlJc w:val="left"/>
      <w:lvlText w:val="1"/>
      <w:numFmt w:val="bullet"/>
      <w:start w:val="1"/>
    </w:lvl>
  </w:abstractNum>
  <w:abstractNum w:abstractNumId="251">
    <w:nsid w:val="6835B2AE"/>
    <w:multiLevelType w:val="hybridMultilevel"/>
    <w:lvl w:ilvl="0">
      <w:lvlJc w:val="left"/>
      <w:lvlText w:val="2"/>
      <w:numFmt w:val="bullet"/>
      <w:start w:val="1"/>
    </w:lvl>
  </w:abstractNum>
  <w:abstractNum w:abstractNumId="252">
    <w:nsid w:val="4C187C90"/>
    <w:multiLevelType w:val="hybridMultilevel"/>
    <w:lvl w:ilvl="0">
      <w:lvlJc w:val="left"/>
      <w:lvlText w:val="3"/>
      <w:numFmt w:val="bullet"/>
      <w:start w:val="1"/>
    </w:lvl>
  </w:abstractNum>
  <w:abstractNum w:abstractNumId="253">
    <w:nsid w:val="541F28CD"/>
    <w:multiLevelType w:val="hybridMultilevel"/>
    <w:lvl w:ilvl="0">
      <w:lvlJc w:val="left"/>
      <w:lvlText w:val="4"/>
      <w:numFmt w:val="bullet"/>
      <w:start w:val="1"/>
    </w:lvl>
  </w:abstractNum>
  <w:abstractNum w:abstractNumId="254">
    <w:nsid w:val="7F65FD16"/>
    <w:multiLevelType w:val="hybridMultilevel"/>
    <w:lvl w:ilvl="0">
      <w:lvlJc w:val="left"/>
      <w:lvlText w:val="5"/>
      <w:numFmt w:val="bullet"/>
      <w:start w:val="1"/>
    </w:lvl>
  </w:abstractNum>
  <w:abstractNum w:abstractNumId="255">
    <w:nsid w:val="77C9FD68"/>
    <w:multiLevelType w:val="hybridMultilevel"/>
    <w:lvl w:ilvl="0">
      <w:lvlJc w:val="left"/>
      <w:lvlText w:val="6"/>
      <w:numFmt w:val="bullet"/>
      <w:start w:val="1"/>
    </w:lvl>
  </w:abstractNum>
  <w:abstractNum w:abstractNumId="256">
    <w:nsid w:val="298A92BA"/>
    <w:multiLevelType w:val="hybridMultilevel"/>
    <w:lvl w:ilvl="0">
      <w:lvlJc w:val="left"/>
      <w:lvlText w:val="7"/>
      <w:numFmt w:val="bullet"/>
      <w:start w:val="1"/>
    </w:lvl>
  </w:abstractNum>
  <w:abstractNum w:abstractNumId="257">
    <w:nsid w:val="6FE95EAC"/>
    <w:multiLevelType w:val="hybridMultilevel"/>
    <w:lvl w:ilvl="0">
      <w:lvlJc w:val="left"/>
      <w:lvlText w:val="%1."/>
      <w:numFmt w:val="decimal"/>
      <w:start w:val="1"/>
    </w:lvl>
  </w:abstractNum>
  <w:abstractNum w:abstractNumId="258">
    <w:nsid w:val="4B697C7A"/>
    <w:multiLevelType w:val="hybridMultilevel"/>
    <w:lvl w:ilvl="0">
      <w:lvlJc w:val="left"/>
      <w:lvlText w:val="(%1)"/>
      <w:numFmt w:val="lowerRoman"/>
      <w:start w:val="2"/>
    </w:lvl>
  </w:abstractNum>
  <w:abstractNum w:abstractNumId="259">
    <w:nsid w:val="51A27AA6"/>
    <w:multiLevelType w:val="hybridMultilevel"/>
    <w:lvl w:ilvl="0">
      <w:lvlJc w:val="left"/>
      <w:lvlText w:val="(%1)"/>
      <w:numFmt w:val="lowerRoman"/>
      <w:start w:val="2"/>
    </w:lvl>
  </w:abstractNum>
  <w:abstractNum w:abstractNumId="260">
    <w:nsid w:val="613183F2"/>
    <w:multiLevelType w:val="hybridMultilevel"/>
    <w:lvl w:ilvl="0">
      <w:lvlJc w:val="left"/>
      <w:lvlText w:val="%1."/>
      <w:numFmt w:val="decimal"/>
      <w:start w:val="2"/>
    </w:lvl>
  </w:abstractNum>
  <w:abstractNum w:abstractNumId="261">
    <w:nsid w:val="634102B4"/>
    <w:multiLevelType w:val="hybridMultilevel"/>
    <w:lvl w:ilvl="0">
      <w:lvlJc w:val="left"/>
      <w:lvlText w:val="(%1)"/>
      <w:numFmt w:val="lowerRoman"/>
      <w:start w:val="3"/>
    </w:lvl>
  </w:abstractNum>
  <w:abstractNum w:abstractNumId="262">
    <w:nsid w:val="65BF9DA8"/>
    <w:multiLevelType w:val="hybridMultilevel"/>
    <w:lvl w:ilvl="0">
      <w:lvlJc w:val="left"/>
      <w:lvlText w:val="(%1)"/>
      <w:numFmt w:val="decimal"/>
      <w:start w:val="1"/>
    </w:lvl>
  </w:abstractNum>
  <w:abstractNum w:abstractNumId="263">
    <w:nsid w:val="21A2ECCA"/>
    <w:multiLevelType w:val="hybridMultilevel"/>
    <w:lvl w:ilvl="0">
      <w:lvlJc w:val="left"/>
      <w:lvlText w:val="%1."/>
      <w:numFmt w:val="decimal"/>
      <w:start w:val="1"/>
    </w:lvl>
    <w:lvl w:ilvl="1">
      <w:lvlJc w:val="left"/>
      <w:lvlText w:val="(%2)"/>
      <w:numFmt w:val="lowerLetter"/>
      <w:start w:val="1"/>
    </w:lvl>
  </w:abstractNum>
  <w:abstractNum w:abstractNumId="264">
    <w:nsid w:val="4D5C4899"/>
    <w:multiLevelType w:val="hybridMultilevel"/>
    <w:lvl w:ilvl="0">
      <w:lvlJc w:val="left"/>
      <w:lvlText w:val="%1."/>
      <w:numFmt w:val="decimal"/>
      <w:start w:val="1"/>
    </w:lvl>
    <w:lvl w:ilvl="1">
      <w:lvlJc w:val="left"/>
      <w:lvlText w:val="(%2)"/>
      <w:numFmt w:val="lowerLetter"/>
      <w:start w:val="1"/>
    </w:lvl>
  </w:abstractNum>
  <w:abstractNum w:abstractNumId="265">
    <w:nsid w:val="3C3B72B2"/>
    <w:multiLevelType w:val="hybridMultilevel"/>
    <w:lvl w:ilvl="0">
      <w:lvlJc w:val="left"/>
      <w:lvlText w:val="(%1)"/>
      <w:numFmt w:val="decimal"/>
      <w:start w:val="1"/>
    </w:lvl>
  </w:abstractNum>
  <w:abstractNum w:abstractNumId="266">
    <w:nsid w:val="155EC4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2019-12-29T18:29:41Z</dcterms:created>
  <dcterms:modified xsi:type="dcterms:W3CDTF">2019-12-29T18:29:41Z</dcterms:modified>
</cp:coreProperties>
</file>