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ind w:left="520" w:right="34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0"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8"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3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571" w:right="299" w:bottom="1440" w:gutter="0" w:footer="0" w:header="0"/>
        </w:sectPr>
      </w:pP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4">
            <w:col w:w="1700" w:space="600"/>
            <w:col w:w="5680" w:space="720"/>
            <w:col w:w="1780" w:space="720"/>
            <w:col w:w="160"/>
          </w:cols>
          <w:pgMar w:left="240" w:top="571"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20" w:space="680"/>
            <w:col w:w="160" w:space="100"/>
            <w:col w:w="5420" w:space="720"/>
            <w:col w:w="1980" w:space="520"/>
            <w:col w:w="160"/>
          </w:cols>
          <w:pgMar w:left="240" w:top="571" w:right="29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5" w:lineRule="exact"/>
        <w:rPr>
          <w:sz w:val="24"/>
          <w:szCs w:val="24"/>
          <w:color w:val="auto"/>
        </w:rPr>
      </w:pPr>
    </w:p>
    <w:p>
      <w:pPr>
        <w:sectPr>
          <w:pgSz w:w="11900" w:h="16838" w:orient="portrait"/>
          <w:cols w:equalWidth="0" w:num="4">
            <w:col w:w="8700" w:space="180"/>
            <w:col w:w="260" w:space="80"/>
            <w:col w:w="160" w:space="200"/>
            <w:col w:w="1780"/>
          </w:cols>
          <w:pgMar w:left="240" w:top="571" w:right="29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October 28, 2016, 60,940,829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3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2016 and December 31, 2015</w:t>
              </w:r>
            </w:hyperlink>
          </w:p>
        </w:tc>
        <w:tc>
          <w:tcPr>
            <w:tcW w:w="31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for the Three and Nine Months ended September 30, 2016 and 2015</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(Loss) for the Three and Nine Months ended September 30, 2016</w:t>
              </w:r>
            </w:hyperlink>
          </w:p>
        </w:tc>
        <w:tc>
          <w:tcPr>
            <w:tcW w:w="9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2015</w:t>
              </w:r>
            </w:hyperlink>
          </w:p>
        </w:tc>
        <w:tc>
          <w:tcPr>
            <w:tcW w:w="8440" w:type="dxa"/>
            <w:vAlign w:val="bottom"/>
            <w:tcBorders>
              <w:top w:val="single" w:sz="8" w:color="0000EE"/>
            </w:tcBorders>
            <w:gridSpan w:val="19"/>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5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Nine Months Ended September 30, 2016 and 2015</w:t>
              </w:r>
            </w:hyperlink>
          </w:p>
        </w:tc>
        <w:tc>
          <w:tcPr>
            <w:tcW w:w="19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79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2016 and 2015</w:t>
              </w:r>
            </w:hyperlink>
          </w:p>
        </w:tc>
        <w:tc>
          <w:tcPr>
            <w:tcW w:w="15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Signature</w:t>
              </w:r>
            </w:hyperlink>
          </w:p>
        </w:tc>
        <w:tc>
          <w:tcPr>
            <w:tcW w:w="8720" w:type="dxa"/>
            <w:vAlign w:val="bottom"/>
            <w:gridSpan w:val="2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4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Exhibit Index</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13,595</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319,266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436,691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904,134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57,365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248,042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7 3/8% SENIOR NOTES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272,748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649,557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61,215 and 60,709 shares issued; 60,937 and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60,431 shares outstanding at September 30, 2016 and December 31, 2015, respectively.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286,266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(28,858)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254,577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(4,819)</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(7,293)</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(2,850)</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4,560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(1,194)</w:t>
            </w: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(639)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4,582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$(25) and $422 for the three months ended September 30, 2016 and 2015, respectively and $(395) and $922 for the nine months ended September 30, 2016 and 2015, respectively.</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$11 for the three and nine months ended September 30, 2016,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2016</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0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2015</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0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right="660"/>
        <w:spacing w:after="0" w:line="231" w:lineRule="auto"/>
        <w:rPr>
          <w:sz w:val="20"/>
          <w:szCs w:val="20"/>
          <w:color w:val="auto"/>
        </w:rPr>
      </w:pPr>
      <w:r>
        <w:rPr>
          <w:rFonts w:ascii="Arial" w:cs="Arial" w:eastAsia="Arial" w:hAnsi="Arial"/>
          <w:sz w:val="14"/>
          <w:szCs w:val="14"/>
          <w:color w:val="auto"/>
        </w:rPr>
        <w:t>Excess income tax benefit from share-based compensation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Purchase of treasury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2015</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88"/>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gridSpan w:val="2"/>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60,709</w:t>
            </w:r>
          </w:p>
        </w:tc>
        <w:tc>
          <w:tcPr>
            <w:tcW w:w="34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(278)</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
              <w:spacing w:after="0"/>
              <w:rPr>
                <w:sz w:val="20"/>
                <w:szCs w:val="20"/>
                <w:color w:val="auto"/>
              </w:rPr>
            </w:pPr>
            <w:r>
              <w:rPr>
                <w:rFonts w:ascii="Arial" w:cs="Arial" w:eastAsia="Arial" w:hAnsi="Arial"/>
                <w:sz w:val="14"/>
                <w:szCs w:val="14"/>
                <w:color w:val="auto"/>
              </w:rPr>
              <w:t>(1,433)</w:t>
            </w:r>
          </w:p>
        </w:tc>
        <w:tc>
          <w:tcPr>
            <w:tcW w:w="2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283,247</w:t>
            </w:r>
          </w:p>
        </w:tc>
        <w:tc>
          <w:tcPr>
            <w:tcW w:w="2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(27,664)</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(1,983)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252,173</w:t>
            </w:r>
          </w:p>
        </w:tc>
        <w:tc>
          <w:tcPr>
            <w:tcW w:w="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2,276</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(162)</w:t>
            </w:r>
          </w:p>
        </w:tc>
      </w:tr>
      <w:tr>
        <w:trPr>
          <w:trHeight w:val="311"/>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(1,194)</w:t>
            </w:r>
          </w:p>
        </w:tc>
      </w:tr>
      <w:tr>
        <w:trPr>
          <w:trHeight w:val="167"/>
        </w:trPr>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579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61,215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(1,433</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286,266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(28,858)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(1,404)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254,577</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0"/>
              </w:rPr>
              <w:t>Shares 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Common</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8"/>
              </w:rPr>
              <w:t>Common</w:t>
            </w: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08"/>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Paid-In</w:t>
            </w:r>
          </w:p>
        </w:tc>
        <w:tc>
          <w:tcPr>
            <w:tcW w:w="20" w:type="dxa"/>
            <w:vAlign w:val="bottom"/>
          </w:tcPr>
          <w:p>
            <w:pPr>
              <w:spacing w:after="0"/>
              <w:rPr>
                <w:sz w:val="14"/>
                <w:szCs w:val="1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60" w:type="dxa"/>
            <w:vAlign w:val="bottom"/>
            <w:gridSpan w:val="2"/>
          </w:tcPr>
          <w:p>
            <w:pPr>
              <w:spacing w:after="0"/>
              <w:rPr>
                <w:sz w:val="14"/>
                <w:szCs w:val="14"/>
                <w:color w:val="auto"/>
              </w:rPr>
            </w:pPr>
          </w:p>
        </w:tc>
      </w:tr>
      <w:tr>
        <w:trPr>
          <w:trHeight w:val="307"/>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60,170</w:t>
            </w:r>
          </w:p>
        </w:tc>
        <w:tc>
          <w:tcPr>
            <w:tcW w:w="34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278,166</w:t>
            </w:r>
          </w:p>
        </w:tc>
        <w:tc>
          <w:tcPr>
            <w:tcW w:w="2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(21,475)</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(734)</w:t>
            </w:r>
          </w:p>
        </w:tc>
        <w:tc>
          <w:tcPr>
            <w:tcW w:w="16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255,963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(265)</w:t>
            </w:r>
          </w:p>
        </w:tc>
      </w:tr>
      <w:tr>
        <w:trPr>
          <w:trHeight w:val="311"/>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r>
      <w:tr>
        <w:trPr>
          <w:trHeight w:val="223"/>
        </w:trPr>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(1,107)</w:t>
            </w:r>
          </w:p>
        </w:tc>
      </w:tr>
      <w:tr>
        <w:trPr>
          <w:trHeight w:val="162"/>
        </w:trPr>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(5,354)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(5,354)</w:t>
            </w:r>
          </w:p>
        </w:tc>
      </w:tr>
      <w:tr>
        <w:trPr>
          <w:trHeight w:val="167"/>
        </w:trPr>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(1,394)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(1,394)</w:t>
            </w:r>
          </w:p>
        </w:tc>
      </w:tr>
      <w:tr>
        <w:trPr>
          <w:trHeight w:val="156"/>
        </w:trPr>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60,660</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w:t>
            </w: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(1,107</w:t>
            </w:r>
          </w:p>
        </w:tc>
        <w:tc>
          <w:tcPr>
            <w:tcW w:w="16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282,141</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(26,829)</w:t>
            </w: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(2,128)</w:t>
            </w:r>
          </w:p>
        </w:tc>
        <w:tc>
          <w:tcPr>
            <w:tcW w:w="240" w:type="dxa"/>
            <w:vAlign w:val="bottom"/>
            <w:gridSpan w:val="2"/>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-3138170</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-2829560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-2434590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-2228850</wp:posOffset>
            </wp:positionV>
            <wp:extent cx="72466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-1345565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-1036955</wp:posOffset>
            </wp:positionV>
            <wp:extent cx="72466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-642620</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-342265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-136525</wp:posOffset>
            </wp:positionV>
            <wp:extent cx="72466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300"/>
            <w:col w:w="7600"/>
          </w:cols>
          <w:pgMar w:left="240" w:top="337" w:right="2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w w:val="98"/>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(6,313)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(Gain) loss on sale of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Gain on adjustment of contingent consideration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Unrealized net gain from mark-to-market valuations of derivatives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income tax benefit from share-based compensation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(26,317)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(58,842)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(48,387)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300" w:type="dxa"/>
            <w:vAlign w:val="bottom"/>
            <w:gridSpan w:val="2"/>
          </w:tcPr>
          <w:p>
            <w:pPr>
              <w:jc w:val="right"/>
              <w:ind w:right="145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Repayments of long term note payable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Repayments of term loan facility</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Repayments of equipment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equipment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Treasury stock</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(93,000)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tcPr>
          <w:p>
            <w:pPr>
              <w:spacing w:after="0"/>
              <w:rPr>
                <w:sz w:val="22"/>
                <w:szCs w:val="22"/>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2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2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purchased on notes payable</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2015.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2016, and its results of operations for the three and nine months ended September 30, 2016 and 2015 and cash flows for the nine months ended September 30, 2016 and 2015 have been included.</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cost structure includes significant annual equipment-related costs, including depreciation, maintenance, insurance and long-term rentals. These costs have averaged approximately 21%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has two operating segments: dredging and environmental &amp; infrastructure, previously referred to as environmental &amp; remediation, which are also the Company’s two reportable segments. The Company has determined that dredging, Terra Contracting Services, LLC (“Terra”) and Great Lakes Environmental &amp; Infrastructure, LLC (“GLEI”) are the Company’s three reporting units.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performed its most recent annual test of impairment as of July 1, 2016 with no indication of impairment as of the test date. The Company will perform its next scheduled annual test of goodwill in the third quarter of 2017. Due to a decline in the overall financial performance and declining cash flows in the Terra reporting unit, the Company concluded there was a triggering event that required an interim impairment test for the reporting unit in the second quarter of 2015 and recorded a goodwill impairment charge of $2,750 during the quarter ended June 30, 2015. This impairment of goodwill is discussed in Note 6.</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August 2016, the Financial Accounting Standards Board (“FASB”) issued Accounting Standard Update No. 2016-15 (“ASU 2016-15”), </w:t>
      </w:r>
      <w:r>
        <w:rPr>
          <w:rFonts w:ascii="Arial" w:cs="Arial" w:eastAsia="Arial" w:hAnsi="Arial"/>
          <w:sz w:val="16"/>
          <w:szCs w:val="16"/>
          <w:i w:val="1"/>
          <w:iCs w:val="1"/>
          <w:color w:val="auto"/>
        </w:rPr>
        <w:t>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Cash Receipts and Cash Payments </w:t>
      </w:r>
      <w:r>
        <w:rPr>
          <w:rFonts w:ascii="Arial" w:cs="Arial" w:eastAsia="Arial" w:hAnsi="Arial"/>
          <w:sz w:val="16"/>
          <w:szCs w:val="16"/>
          <w:color w:val="auto"/>
        </w:rPr>
        <w:t>which amends FASB’s standards for reporting cash flows in general-purpose financial statements.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address the diversity in practice related to the classification of certain cash receipts and payments. The guidance is effective for fiscal years beginning after December 15, 2017. The Company is currently evaluating the impact of ASU 2016-15 on its consolidated financial statements.</w:t>
      </w:r>
    </w:p>
    <w:p>
      <w:pPr>
        <w:spacing w:after="0" w:line="15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In March 2016, the FASB issued Accounting Standards Update No. 2016-09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of cash flows. The guidance is effective for fiscal years beginning after December 15, 2016, and interim periods within those annual periods. The Company is currently evaluating the impact of ASU 2016-09 on its consolidated financial statements.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Board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financial statements.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November 2015, the FASB issued Accounting Standard Update No. 2015-17 (“ASU 2015-17”), </w:t>
      </w:r>
      <w:r>
        <w:rPr>
          <w:rFonts w:ascii="Arial" w:cs="Arial" w:eastAsia="Arial" w:hAnsi="Arial"/>
          <w:sz w:val="17"/>
          <w:szCs w:val="17"/>
          <w:i w:val="1"/>
          <w:iCs w:val="1"/>
          <w:color w:val="auto"/>
        </w:rPr>
        <w:t>Income Taxes: Balance Sheet Classifications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(Topic 740) </w:t>
      </w:r>
      <w:r>
        <w:rPr>
          <w:rFonts w:ascii="Arial" w:cs="Arial" w:eastAsia="Arial" w:hAnsi="Arial"/>
          <w:sz w:val="17"/>
          <w:szCs w:val="17"/>
          <w:color w:val="auto"/>
        </w:rPr>
        <w:t>which simplifies the presentation of deferred income taxes by requiring that deferred tax liabilities and assets be classified as noncurrent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balance sheet. The update is effective for public companies for fiscal years beginning after December 15, 2016, including interim periods within that reporting period. The guidance may be adopted prospectively or retrospectively and early adoption is permitted. As of December 31, 2015, the Company elected to early adopt this ASU 2015-17 on a prospective basis and therefore, prior years were not retrospectively adjusted.</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April 2015, the FASB issued Accounting Standard Update No. 2015-03 (“ASU 2015-03”), </w:t>
      </w:r>
      <w:r>
        <w:rPr>
          <w:rFonts w:ascii="Arial" w:cs="Arial" w:eastAsia="Arial" w:hAnsi="Arial"/>
          <w:sz w:val="17"/>
          <w:szCs w:val="17"/>
          <w:i w:val="1"/>
          <w:iCs w:val="1"/>
          <w:color w:val="auto"/>
        </w:rPr>
        <w:t>Interest - Imputation of Interest: Simplifying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which requires that debt issuance costs related to a recognized debt liability be presented in the balance sheet as a direct deduction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carrying amount of that debt liability, consistent with debt discounts. This update is effective for fiscal years beginning after December 15, 2015, and is required to be applied retrospectively. The Company adopted this standard in the first quarter of 2016 on a retrospective basis. As a result, the Company presented $3,502 of unamortized debt issuance costs that had been included in other assets in the consolidated balance sheet as of December 31, 2015 as direct deductions from the carrying amounts of the related debt liabilities.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May 2014, the FASB issued Accounting Standard Update No. 2014-09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existing revenue recognition requirements. ASU 2014-09 is based on the principle that revenue is recognized to depict the transfer of goods or services to customers in an amount that reflects the consideration to which the entity expects to be entitled in exchange for those goods or services. ASU 2014-09 has been deferred to be effective for fiscal years beginning after December 15, 2017, including interim periods within that reporting period, which will be its first quarter of fiscal 2018. Although early adoption is permitted in fiscal 2017, the Company expects to adopt ASU 2014-09 in first quarter of 2018. The Company is currently evaluating the impact of ASU 2014-09 on its consolidated financial statements.</w:t>
      </w:r>
    </w:p>
    <w:p>
      <w:pPr>
        <w:spacing w:after="0" w:line="364"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nine months ended September 30, 2016 and 2015, the dilutive effect of 576 thousand and 462 thousand stock options and restricted stock units, respectively, were excluded from the diluted weighted-average common shares outstanding as the Company incurred a loss during these periods. For the three and nine months ended September 30, 2016, 1,594 thousand and 1,603 thousand stock options and restricted stock units were excluded from the calculation of diluted earnings per share based on the application of the treasury stock method, as such stock options and restricted stock units were determined to be anti-dilutive. Similarly, for the three months ended September 30, 2015, 1,170 thousand stock options and restricted stock units were excluded from the calculation of diluted earnings per share based on the application of the treasury stock method.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00" w:type="dxa"/>
            <w:vAlign w:val="bottom"/>
            <w:gridSpan w:val="4"/>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(1,194)</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365"/>
        </w:trPr>
        <w:tc>
          <w:tcPr>
            <w:tcW w:w="620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60,811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60,496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620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61,526</w:t>
            </w:r>
          </w:p>
        </w:tc>
        <w:tc>
          <w:tcPr>
            <w:tcW w:w="2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60,841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5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Earnings (loss) per share — basic</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Earnings (loss) per share — diluted</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620"/>
        </w:trPr>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w:t>
            </w:r>
          </w:p>
        </w:tc>
        <w:tc>
          <w:tcPr>
            <w:tcW w:w="5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4"/>
          </w:tcPr>
          <w:p>
            <w:pPr>
              <w:spacing w:after="0"/>
              <w:rPr>
                <w:sz w:val="20"/>
                <w:szCs w:val="20"/>
                <w:color w:val="auto"/>
              </w:rPr>
            </w:pPr>
            <w:r>
              <w:rPr>
                <w:rFonts w:ascii="Arial" w:cs="Arial" w:eastAsia="Arial" w:hAnsi="Arial"/>
                <w:sz w:val="18"/>
                <w:szCs w:val="18"/>
                <w:color w:val="auto"/>
                <w:w w:val="92"/>
              </w:rPr>
              <w:t>Accounts receivable at September 30, 2016 and December 31, 2015 are as follows: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12,379</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37,111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Contracts in progress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87,965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70,787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27,203</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120,684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135,101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ind w:left="880"/>
              <w:spacing w:after="0"/>
              <w:rPr>
                <w:sz w:val="20"/>
                <w:szCs w:val="20"/>
                <w:color w:val="auto"/>
              </w:rPr>
            </w:pPr>
            <w:r>
              <w:rPr>
                <w:rFonts w:ascii="Arial" w:cs="Arial" w:eastAsia="Arial" w:hAnsi="Arial"/>
                <w:sz w:val="18"/>
                <w:szCs w:val="18"/>
                <w:color w:val="auto"/>
              </w:rPr>
              <w:t>Total accounts receivable—net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120,215</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134,347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115,753</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3,570</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120,215</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134,347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2016 and December 31, 2015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404,541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(351,754)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(176,283)</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52,787</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75,843</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(270,274)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260,597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$17,910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the costs incurred related to this project. Additionally, the timing of realization may be impacted by the timing of a delay in the sale of these environmental credits, resulting in a longer period to recover 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2016 and December 31, 2015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57,365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$199,000,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September 30, 2016 of $132,178.</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Credit Agreement matures on June 2, 2017 and the Company is in discussions with lenders to finalize a successor credit facility with substantially similar terms as the current Credit Agreement.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June 24, 2016, the Company entered into the seventh amendment to the Credit Agreement which modified the Credit Agreement to allow for the sale of the vessel known as the </w:t>
      </w:r>
      <w:r>
        <w:rPr>
          <w:rFonts w:ascii="Arial" w:cs="Arial" w:eastAsia="Arial" w:hAnsi="Arial"/>
          <w:sz w:val="18"/>
          <w:szCs w:val="18"/>
          <w:i w:val="1"/>
          <w:iCs w:val="1"/>
          <w:color w:val="auto"/>
        </w:rPr>
        <w:t>Reem Island</w:t>
      </w:r>
      <w:r>
        <w:rPr>
          <w:rFonts w:ascii="Arial" w:cs="Arial" w:eastAsia="Arial" w:hAnsi="Arial"/>
          <w:sz w:val="18"/>
          <w:szCs w:val="18"/>
          <w:color w:val="auto"/>
        </w:rPr>
        <w:t xml:space="preserve"> and provided for the collateral release to effect the sale. The reduction in the collateral pool resulted in a reduction in the size of the Credit Facility, from $210,000 to $199,000. In addition, the net cash proceeds of the sale of the </w:t>
      </w:r>
      <w:r>
        <w:rPr>
          <w:rFonts w:ascii="Arial" w:cs="Arial" w:eastAsia="Arial" w:hAnsi="Arial"/>
          <w:sz w:val="18"/>
          <w:szCs w:val="18"/>
          <w:i w:val="1"/>
          <w:iCs w:val="1"/>
          <w:color w:val="auto"/>
        </w:rPr>
        <w:t>Reem Island</w:t>
      </w:r>
      <w:r>
        <w:rPr>
          <w:rFonts w:ascii="Arial" w:cs="Arial" w:eastAsia="Arial" w:hAnsi="Arial"/>
          <w:sz w:val="18"/>
          <w:szCs w:val="18"/>
          <w:color w:val="auto"/>
        </w:rPr>
        <w:t>, $10,000, were applied to the revolving loans outstanding.</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June 30, 2016 the Company entered into the eighth amendment (the “Eighth Amendment”) to the Credit Agreement which increased the margin applicable to interest rates, letters of credit and commitment fees thereunder. Depending on the Company’s consolidated total leverage ratio (as defined in the Credit Agreement and further described below), borrowings under the revolving credit facility will bear interest at the option of the Company at either the LIBOR rate plus a margin between 1.50% and 3.50% or a base rate plus a margin between 0.50% and 2.50%.</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Eighth Amendment modifies the consolidated total leverage covenant contained in the Credit Agreement and adds a maximum capital expenditures covenant. The Company may not permit the consolidated total leverage ratio to be greater than (i) 5.00 to 1.00 for the fiscal quarter ending June 30, 2016, (ii) 4.75 to 1.00 for the fiscal quarter ending September 30, 2016 and (iii) 4.50 to 1.00 for any fiscal quarter ending thereafter. Further, the Company and its subsidiaries may not allow its aggregate capital expenditures to exceed (i) $105,000 for the fiscal year ending December 31, 2016 and (ii) $45,000 during any fiscal year thereafter.</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Last, the Eighth Amendment requires the Company and its subsidiaries party to the Credit Agreement to pledge their respective inventory as security for the revolving credit facility.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42" w:right="279" w:bottom="1440" w:gutter="0" w:footer="0" w:header="0"/>
        </w:sectPr>
      </w:pPr>
    </w:p>
    <w:bookmarkStart w:id="12" w:name="page13"/>
    <w:bookmarkEnd w:id="12"/>
    <w:p>
      <w:pPr>
        <w:jc w:val="both"/>
        <w:ind w:right="460"/>
        <w:spacing w:after="0" w:line="259"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minimum fixed charge coverage ratio of 1.25 to 1.00.</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2016, the Company had $60,000 of borrowings on the revolver and $68,893 of letters of credit outstanding, resulting in $70,107 of availability under the Credit Agreement. At September 30, 2016, the Company was in compliance with its various financial covenants under the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4, 2014, the Company entered into a senior secured term loan facility consisting of a term loan in an aggregate principal amount of $50,000 (the “Term Loan Facility”) pursuant to a Loan and Security Agreement, as subsequently amended, (the “Loan Agreement”) by and among the lenders party thereto from time to time and Bank of America, N.A., as administrative agent. The Company borrowed an aggregate principal amount of $47,360 in 2014 and an additional $2,640 in 2015.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 (the “ATB”).</w:t>
      </w:r>
    </w:p>
    <w:p>
      <w:pPr>
        <w:spacing w:after="0" w:line="19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Term Loan Facility provides for monthly amortization payments, payable in arrears, which commenced on December 4, 2014, at an annual amount of (i) 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Loan Agreement includes representations, affirmative and negative covenants and events of default customary for financings of this type and includes the same financial covenants that are currently set forth in the Credit Agreement. The Term Loan Facility is collateralized by a portion of the Company’s operating equipment with a net book value at September 30, 2016 of $47,975.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 The current portion of all equipment notes is $2,442. The long term portion is $15,275 and is included in notes payable or other long term liabilities.</w:t>
      </w:r>
    </w:p>
    <w:p>
      <w:pPr>
        <w:spacing w:after="0" w:line="351"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performed its most recent annual test of impairment as of July 1, 2016 with no indication of impairment as of the test date. The Company will perform its next scheduled annual test of goodwill in the third quarter of 2017.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Due to a decline in the overall financial performance and declining cash flows in the Terra reporting unit, the Company concluded there was a triggering event that required an interim impairment test for the reporting unit in the second quarter of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40"/>
        <w:spacing w:after="0" w:line="293" w:lineRule="auto"/>
        <w:rPr>
          <w:sz w:val="20"/>
          <w:szCs w:val="20"/>
          <w:color w:val="auto"/>
        </w:rPr>
      </w:pPr>
      <w:r>
        <w:rPr>
          <w:rFonts w:ascii="Arial" w:cs="Arial" w:eastAsia="Arial" w:hAnsi="Arial"/>
          <w:sz w:val="16"/>
          <w:szCs w:val="16"/>
          <w:color w:val="auto"/>
        </w:rPr>
        <w:t>The Company performed step one of the goodwill impairment test as of June 30, 2015, which compared the fair value of the Terra reporting unit against its carrying amount, including goodwill. In deriving the fair value of the Terra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from continuing operations. Based on the first step analysis, management concluded that the fair value of the Terra reporting unit was less than its carrying value; therefore, the Company performed step two of the goodwill impairment analysis.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Management determined that the Terra reporting unit’s implied fair value of goodwill was below the carrying value as of June 30, 2015. As a result, the Company recorded an impairment charge of $2,750 in the second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value of goodwill for the period ended September 30, 2015 is as follows: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Environmental &amp;</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94"/>
              </w:rPr>
              <w:t>Dredging Segment</w:t>
            </w:r>
          </w:p>
        </w:tc>
        <w:tc>
          <w:tcPr>
            <w:tcW w:w="2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Infrastructure Segment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2014</w:t>
            </w:r>
          </w:p>
        </w:tc>
        <w:tc>
          <w:tcPr>
            <w:tcW w:w="1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78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BALANCE—September 30, 2015</w:t>
            </w:r>
          </w:p>
        </w:tc>
        <w:tc>
          <w:tcPr>
            <w:tcW w:w="164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At September 30, 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Fuel hedge contracts</w:t>
            </w: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869</w:t>
            </w:r>
          </w:p>
        </w:tc>
        <w:tc>
          <w:tcPr>
            <w:tcW w:w="12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040" w:type="dxa"/>
            <w:vAlign w:val="bottom"/>
            <w:vMerge w:val="restart"/>
          </w:tcPr>
          <w:p>
            <w:pPr>
              <w:jc w:val="center"/>
              <w:ind w:left="147"/>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At December 31, 2015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24"/>
                <w:szCs w:val="24"/>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2016, the Company was party to various swap arrangements to hedge the price of a portion of its diesel fuel purchase requirements for work in its backlog to be performed through June 2017. As of September 30, 2016, there were 8.6 million gallons remaining on these contracts which represent approximately 80% of the Company’s forecasted domestic fuel purchases through June 2017. Under these swap agreements, the Company will pay fixed prices ranging from $1.02 to $1.70 per gallon.</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At September 30, 2016 the fair value asset of the fuel hedge contracts was estimated to be $869 and is recorded in prepaid expenses and other current assets. At December 31, 2015, the fair value liability of the fuel hedge contracts was estimated to be $4,388 and is recorded in accrued expenses. For fuel hedge contracts considered to be highly effective, the losses reclassified to earnings from changes in fair value of derivatives, net of cash settlements and taxes, for the nine months ended September 30, 2016 were $46. The remaining gains and losses included in accumulated other comprehensive loss at September 30, 2016 will be reclassified into earnings over the next nine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September 30, 2016 and December 31, 2015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236"/>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80" w:type="dxa"/>
            <w:vAlign w:val="bottom"/>
            <w:gridSpan w:val="2"/>
          </w:tcPr>
          <w:p>
            <w:pPr>
              <w:ind w:left="320"/>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FF0FC"/>
          </w:tcPr>
          <w:p>
            <w:pPr>
              <w:jc w:val="right"/>
              <w:ind w:right="100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(28)</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tcBorders>
              <w:bottom w:val="single" w:sz="8" w:color="CFF0FC"/>
            </w:tcBorders>
            <w:shd w:val="clear" w:color="auto" w:fill="CFF0FC"/>
          </w:tcPr>
          <w:p>
            <w:pPr>
              <w:spacing w:after="0"/>
              <w:rPr>
                <w:sz w:val="20"/>
                <w:szCs w:val="20"/>
                <w:color w:val="auto"/>
              </w:rPr>
            </w:pPr>
          </w:p>
        </w:tc>
        <w:tc>
          <w:tcPr>
            <w:tcW w:w="2380" w:type="dxa"/>
            <w:vAlign w:val="bottom"/>
            <w:tcBorders>
              <w:bottom w:val="single" w:sz="8" w:color="CFF0FC"/>
            </w:tcBorders>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897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asset derivatives</w:t>
            </w: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869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Liability derivatives: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134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3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estimated the fair value of our Terra reporting unit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from continuing operations. The Company analyzed companies that performed similar services or are considered peers.</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 impairment of goodwill was recorded in the amount of $2,750 in the second quarter of 2015. The fair value of goodwill was determined using quantitative models that contained significant unobservable inputs. See Note 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Fair Value Measurements Using</w:t>
            </w: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Significant Unobservable Inputs (Level</w:t>
            </w: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1059"/>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Balance at January 1,</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(2,750)</w:t>
            </w:r>
          </w:p>
        </w:tc>
      </w:tr>
      <w:tr>
        <w:trPr>
          <w:trHeight w:val="223"/>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4"/>
          </w:tcPr>
          <w:p>
            <w:pPr>
              <w:jc w:val="right"/>
              <w:ind w:right="32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Cumulative translation adjustments—net of tax</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02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8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20"/>
                <w:szCs w:val="20"/>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220" w:type="dxa"/>
            <w:vAlign w:val="bottom"/>
          </w:tcPr>
          <w:p>
            <w:pPr>
              <w:ind w:left="240"/>
              <w:spacing w:after="0"/>
              <w:rPr>
                <w:sz w:val="20"/>
                <w:szCs w:val="20"/>
                <w:color w:val="auto"/>
              </w:rPr>
            </w:pPr>
            <w:r>
              <w:rPr>
                <w:rFonts w:ascii="Arial" w:cs="Arial" w:eastAsia="Arial" w:hAnsi="Arial"/>
                <w:sz w:val="18"/>
                <w:szCs w:val="18"/>
                <w:color w:val="auto"/>
                <w:w w:val="94"/>
              </w:rPr>
              <w:t>Reclassification of derivative losses to earnings—net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unrealized gain on derivatives—net of tax</w:t>
            </w:r>
          </w:p>
        </w:tc>
        <w:tc>
          <w:tcPr>
            <w:tcW w:w="16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jc w:val="center"/>
              <w:ind w:left="144"/>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Location</w:t>
            </w: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2020" w:type="dxa"/>
            <w:vAlign w:val="bottom"/>
            <w:gridSpan w:val="2"/>
          </w:tcPr>
          <w:p>
            <w:pPr>
              <w:spacing w:after="0"/>
              <w:rPr>
                <w:sz w:val="13"/>
                <w:szCs w:val="13"/>
                <w:color w:val="auto"/>
              </w:rPr>
            </w:pPr>
          </w:p>
        </w:tc>
        <w:tc>
          <w:tcPr>
            <w:tcW w:w="1560" w:type="dxa"/>
            <w:vAlign w:val="bottom"/>
            <w:tcBorders>
              <w:top w:val="single" w:sz="8" w:color="auto"/>
            </w:tcBorders>
          </w:tcPr>
          <w:p>
            <w:pPr>
              <w:jc w:val="center"/>
              <w:ind w:left="124"/>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440" w:type="dxa"/>
            <w:vAlign w:val="bottom"/>
            <w:tcBorders>
              <w:top w:val="single" w:sz="8" w:color="auto"/>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2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580" w:type="dxa"/>
            <w:vAlign w:val="bottom"/>
            <w:gridSpan w:val="3"/>
          </w:tcPr>
          <w:p>
            <w:pPr>
              <w:jc w:val="right"/>
              <w:ind w:right="138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76</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1384"/>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60" w:type="dxa"/>
            <w:vAlign w:val="bottom"/>
            <w:vMerge w:val="restart"/>
          </w:tcPr>
          <w:p>
            <w:pPr>
              <w:jc w:val="right"/>
              <w:ind w:right="135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Term Loan Facility approximates fair value based upon stable market interest rates and Company credit ratings from inception to year end. In January 2011 and again in November 2014, the Company issued a total of $275,000 of 7.375% senior notes due February 1, 2019, which were outstanding at September 30, 2016 (See Note 5). The senior notes are senior unsecured obligations of the Company and its subsidiaries that guarantee the senior notes. The fair value of the senior notes was $269,500 at September 30, 2016,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64"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2016, the Company granted 716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$270 and $839 for the three months ended September 30, 2016 and 2015, respectively, and $2,276 and $2,897 for the nine months ended September 30, 2016 and 2015, respectively.</w:t>
      </w:r>
    </w:p>
    <w:p>
      <w:pPr>
        <w:spacing w:after="0" w:line="37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infrastructure projects.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bonding agreement with Zurich American Insurance Company (“Zurich”) under which the Company can obtain performance, bid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bonds (the “Zurich Bonding Agreement”). In April 2015, we entered into additional bonding agreements with ACE Holdings, Inc., Argonaut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Insurance Company, Berkley Insurance Company, and Liberty Mutual Insurance Company (collectively, the “Additional Sureties”). The bonding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Additional Sureties contain similar terms and conditions as the Zurich Bonding Agreement. The Company also has outstanding bonds with Travelers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Casualty and Surety Company of America. Bid bonds are generally obtained for a percentage of bid value and amounts outstanding typically range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to $10,000. At September 30, 2016, the Company had outstanding performance bonds with a notional amount of approximately $1,043,976, of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$41,082 relates to projects from the Company’s historical demolition business. The revenue value remaining in backlog related to these projects totaled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$422,956.</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420"/>
        <w:spacing w:after="0" w:line="277" w:lineRule="auto"/>
        <w:rPr>
          <w:sz w:val="20"/>
          <w:szCs w:val="20"/>
          <w:color w:val="auto"/>
        </w:rPr>
      </w:pPr>
      <w:r>
        <w:rPr>
          <w:rFonts w:ascii="Arial" w:cs="Arial" w:eastAsia="Arial" w:hAnsi="Arial"/>
          <w:sz w:val="18"/>
          <w:szCs w:val="18"/>
          <w:color w:val="auto"/>
        </w:rPr>
        <w:t>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On or about February 5, 2016, the parties agreed to a tentative settlement in the amount of $275, without any admission of liability and subject to final documentation. On June 3, 2016, a Consent Judgment was entered as a final judgment in Massachusetts Superior Court to implement that settlement.</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366"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September 30, 2016 and December 31, 2015, the Company had net advances to TerraSea of $24,898 and $27,592, respectively, which are recorded in other current assets. The Company has an accumulated deficit in joint ventures, which represents losses recognized to date in excess of our investment in TerraSea, of $14,359 and $14,271 at September 30, 2016 and December 31, 2015, respectively, which is presented in accrued expenses. The Company has commenced the wind down of TerraSea with its joint venture partner. The Company believes its net advances to TerraSea are ultimately recoverable either through the operations of the joint venture or as an obligation of our joint venture partner. The joint venture partner has notified the Company that it disagrees with the amount of net advances to TerraSea. The Company believes that its joint venture partner remains obligated for its share of net advances, and any future advances necessary to complete TerraSea’s remaining project. During July 2015, the Company proposed taking a larger percent of the loss on a TerraSea project. Based on this proposal, the Company accrued $1,506 at June 30, 2015 representing the estimated share of additional losses to be assumed. The joint venture partner and the Company are continuing discussions. If those discussions do not lead to a resolution satisfactory to both parties, the joint venture partner and the Company will go to binding arbitration as stipulated by the TerraSea operating agreement. To the extent that net advances are not fully recoverable, additional losses may result in future periods. The Company and its joint venture partner remained obligated to fund TerraSea through the completion of its remaining project. The remaining TerraSea project was substantially complete at September 30, 2016.</w:t>
      </w:r>
    </w:p>
    <w:p>
      <w:pPr>
        <w:spacing w:after="0" w:line="370"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4, 2014, the Company acquired Magnus Pacific Corporation (“Magnus”), a California corporation, for an aggregate purchase price of approximately $40 million. Under the terms of the acquisition, the aggregate purchase price is satisfied by payment of $25,000 paid at closing, the issuance of a promissory note and an earnout payment. In the event Magnus did not achieve minimum earnings before interest, taxes, depreciation and amortization, as adjusted in the 2015 fiscal year, the principal amount of the promissory note would be reduced. Magnus did not reach the minimum EBITDA threshold for 2015 designated in the secured promissory note; therefore, during the second quarter of 2015, the Company reduced the remaining fair value by $7,013 to zero and the corresponding change was reflected in general and administrative expenses.</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Under the terms of the acquisition, the maximum potential aggregate earnout (the “Earnout Payment”) will be determined based on the attainment of combined Adjusted EBITDA targets of Magnus and Terra for the year ending December 31, 2019. During the third quarter of 2016, the Company signed an amendment to the Magnus, now referred to as GLEI, share purchase agreement which modified the terms of the Earnout Payment. The Earnout Payment remains at $11,400 and will be determined based on the attainment of an average Adjusted EBITDA target of GLEI for the years ending December 31, 2017, December 31, 2018 and December 31, 2019. The Earnout Payment may be paid in cash or shares of the Company’s common stock, at the Company’s option.</w:t>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remeasures the fair value of the contingent Earnout Payment based on projections of the earnings target for the business. Based on the Company’s projections at September 30, 2016, GLEI is not expected to reach the minimum Adjusted EBITDA threshold designated in the amended share purchase agreement; therefore, during the third quarter of 2016, the Company reduced the remaining fair value of $8,940 to zero and the corresponding change is reflected in general and administrative expenses and interest expense.</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third quarter of 2016, the Company entered into a definitive agreement (“Services Asset Sale Agreement”) to sell the assets associated with certain services lines of the environmental &amp; infrastructure segment’s business, excluding the assets supporting the remediation service line. The Services Asset Sale Agreement was subject to customary closing conditions and financing approval. Subsequent to the end of the third quarter of 2016, the Company amended the terms of the Services Asset Sale Agreement to exclude certain assets thereby reducing the purchase price and extending the anticipated closing date to December 15, 2016. The Company completed the sale of a portion of these assets which were excluded from the Services Asset Sale Agreement to a separate party subsequent to the end of the third quarter of 2016.</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previously referred to as the environment &amp; remediation segment.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154,448</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162,526</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453,122</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506,700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103,437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(29,164)</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(2,379)</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554,180</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Foreign dredging revenue of $21,139 and $34,331 for the three and nine months ended September 30, 2016, respectively, was attributable to work done in the Middle East. Foreign dredging revenue for the three and nine months ended September 30, 2015 was $38,042 and $127,280, respectively.</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56"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long-term debt at September 30, 2016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 sheets as of September 30, 2016 and December 31, 2015;</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statements of operations and comprehensive income (loss) for the three and nine months ended September 30, 2016 and 2015; and</w:t>
      </w:r>
    </w:p>
    <w:p>
      <w:pPr>
        <w:spacing w:after="0" w:line="155"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2016 and 2015.</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 w:name="page21"/>
    <w:bookmarkEnd w:id="20"/>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SEPTEMBER 30,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Non-Guarantor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13,064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319,266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(102,946)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640,658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(644,209)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914,472</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726,962</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(747,155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904,134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2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108,883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248,042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272,936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472,385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641,536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254,577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(644,209)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254,577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914,472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726,962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(747,155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904,134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1" w:name="page22"/>
    <w:bookmarkEnd w:id="21"/>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Non-Guarantor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324,372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329,733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(95,073)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621,984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693,266</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(720,763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189,868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7 3/8% SENIOR 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271,998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NOTE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(95,073)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295,593</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441,093</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645,951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252,173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(720,763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(177,032)</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(178,824)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Gain on sale of assets—net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14,147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4,560</w:t>
            </w:r>
          </w:p>
        </w:tc>
        <w:tc>
          <w:tcPr>
            <w:tcW w:w="16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(13,038)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(13,060)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(193,955)</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(196,717)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Gain on sale of assets—net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subsidiaries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9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3920" w:type="dxa"/>
            <w:vAlign w:val="bottom"/>
            <w:tcBorders>
              <w:top w:val="single" w:sz="8" w:color="CFF0FC"/>
            </w:tcBorders>
            <w:shd w:val="clear" w:color="auto" w:fill="CFF0FC"/>
          </w:tcPr>
          <w:p>
            <w:pPr>
              <w:spacing w:after="0"/>
              <w:rPr>
                <w:sz w:val="5"/>
                <w:szCs w:val="5"/>
                <w:color w:val="auto"/>
              </w:rPr>
            </w:pPr>
          </w:p>
        </w:tc>
        <w:tc>
          <w:tcPr>
            <w:tcW w:w="102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auto"/>
            </w:tcBorders>
            <w:shd w:val="clear" w:color="auto" w:fill="CFF0FC"/>
          </w:tcPr>
          <w:p>
            <w:pPr>
              <w:spacing w:after="0"/>
              <w:rPr>
                <w:sz w:val="5"/>
                <w:szCs w:val="5"/>
                <w:color w:val="auto"/>
              </w:rPr>
            </w:pPr>
          </w:p>
        </w:tc>
        <w:tc>
          <w:tcPr>
            <w:tcW w:w="900" w:type="dxa"/>
            <w:vAlign w:val="bottom"/>
            <w:tcBorders>
              <w:top w:val="single" w:sz="8" w:color="auto"/>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auto"/>
            </w:tcBorders>
            <w:shd w:val="clear" w:color="auto" w:fill="CFF0FC"/>
          </w:tcPr>
          <w:p>
            <w:pPr>
              <w:spacing w:after="0"/>
              <w:rPr>
                <w:sz w:val="5"/>
                <w:szCs w:val="5"/>
                <w:color w:val="auto"/>
              </w:rPr>
            </w:pPr>
          </w:p>
        </w:tc>
        <w:tc>
          <w:tcPr>
            <w:tcW w:w="1200" w:type="dxa"/>
            <w:vAlign w:val="bottom"/>
            <w:tcBorders>
              <w:top w:val="single" w:sz="8" w:color="auto"/>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92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920" w:type="dxa"/>
            <w:vAlign w:val="bottom"/>
            <w:tcBorders>
              <w:top w:val="single" w:sz="8" w:color="auto"/>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940" w:type="dxa"/>
            <w:vAlign w:val="bottom"/>
            <w:tcBorders>
              <w:top w:val="single" w:sz="8" w:color="auto"/>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(7,507)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8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554,388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554,180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(486,220)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68,168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(14,901)</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18,859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(3,379)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(15,480)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(558,343)</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(11,013)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(567,182)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(5,765)</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(5,354)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(9,669)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(6,748)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6" w:name="page27"/>
    <w:bookmarkEnd w:id="26"/>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NINE MONTHS ENDED SEPTEMBER 30,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(58,842)</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(48,387)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(38,690)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Intercompany dividends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(23,000)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flows provided by financing activities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82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7" w:name="page28"/>
    <w:bookmarkEnd w:id="27"/>
    <w:p>
      <w:pPr>
        <w:ind w:right="538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NINE MONTHS ENDED SEPTEMBER 30,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6"/>
              </w:rPr>
              <w:t>Net cash flows provided by (used in) operating activities</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(17,602)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(53,394)</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(29,059)</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Deferred financing fees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contributions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Excess income tax benefit from share-based compensation</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provided by 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82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(32,910)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(32,968)</w:t>
            </w: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2015,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49% over the prior three years, including 66%, 44%, 32% and 58%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2016, the Company’s dredging revenues earned from contracts with federal government agencies, including the Corps as well as other federal entities such as the U.S. Coast Guard and the U.S. Navy were approximately 62% of dredging revenues, in line with the Company’s prior three year average of 62%.</w:t>
      </w:r>
    </w:p>
    <w:p>
      <w:pPr>
        <w:spacing w:after="0" w:line="18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Company’s environmental &amp; infrastructure segment, previously referred to as the environmental &amp; remediation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which is comprised of Great Lakes Environmental &amp; Infrastructure, LLC (“GLEI”), previously referred to as Magnus Pacific, LLC, and Terra Contracting Services, LLC (“Terra”), accounted for 19% of total revenues in the first nine months of 2016.</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right="60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The Company has determined that dredging, GLEI and Terra are the Company’s three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as defined below, as a percentage of contract revenues for the three and nine months ended September 30,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440" w:type="dxa"/>
            <w:vAlign w:val="bottom"/>
            <w:gridSpan w:val="3"/>
          </w:tcPr>
          <w:p>
            <w:pPr>
              <w:jc w:val="right"/>
              <w:ind w:right="260"/>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(89.4)</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112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120" w:type="dxa"/>
            <w:vAlign w:val="bottom"/>
          </w:tcPr>
          <w:p>
            <w:pPr>
              <w:spacing w:after="0"/>
              <w:rPr>
                <w:sz w:val="19"/>
                <w:szCs w:val="19"/>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expense—net</w:t>
            </w:r>
          </w:p>
        </w:tc>
        <w:tc>
          <w:tcPr>
            <w:tcW w:w="244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112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4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before income taxes</w:t>
            </w:r>
          </w:p>
        </w:tc>
        <w:tc>
          <w:tcPr>
            <w:tcW w:w="1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4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4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Adjusted EBITDA</w:t>
            </w:r>
          </w:p>
        </w:tc>
        <w:tc>
          <w:tcPr>
            <w:tcW w:w="2440" w:type="dxa"/>
            <w:vAlign w:val="bottom"/>
            <w:gridSpan w:val="3"/>
          </w:tcPr>
          <w:p>
            <w:pPr>
              <w:jc w:val="right"/>
              <w:ind w:right="16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40" w:type="dxa"/>
            <w:vAlign w:val="bottom"/>
            <w:gridSpan w:val="2"/>
          </w:tcPr>
          <w:p>
            <w:pPr>
              <w:jc w:val="right"/>
              <w:ind w:right="855"/>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0" w:name="page31"/>
    <w:bookmarkEnd w:id="30"/>
    <w:p>
      <w:pPr>
        <w:ind w:right="20"/>
        <w:spacing w:after="0" w:line="267" w:lineRule="auto"/>
        <w:rPr>
          <w:sz w:val="20"/>
          <w:szCs w:val="20"/>
          <w:color w:val="auto"/>
        </w:rPr>
      </w:pPr>
      <w:r>
        <w:rPr>
          <w:rFonts w:ascii="Arial" w:cs="Arial" w:eastAsia="Arial" w:hAnsi="Arial"/>
          <w:sz w:val="17"/>
          <w:szCs w:val="17"/>
          <w:color w:val="auto"/>
        </w:rPr>
        <w:t>Adjusted EBITDA,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the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(1,194)</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Adjusted for:</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Impairment of goodwill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59,811</w:t>
            </w:r>
          </w:p>
        </w:tc>
        <w:tc>
          <w:tcPr>
            <w:tcW w:w="12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43,963</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152,083</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149,062</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46,441</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118,089</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89,729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12,627</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22,540</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162,526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60,451</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131,929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(2,175)</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(2,379)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(4,393)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198,869</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220,802</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554,180</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634,236</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Total revenue for the 2016 third quarter was $198.9 million, a decrease of $21.9 million, or 10%, compared to revenue of $220.8 million in the third quarter of 2015. For the nine months ended September 30, 2016, total revenue was $554.2 million, down from $634.2 million for the same period in the prior year, representing a decrease of $80.1 million or 13%. For the nine months ended September 30, 2016, the Company experienced decreases in foreign capital, maintenance and environmental &amp; infrastructure revenues which were slightly offset by increases in coastal protection, domestic capital and rivers &amp; lakes revenues.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ind w:right="60"/>
        <w:spacing w:after="0" w:line="291" w:lineRule="auto"/>
        <w:rPr>
          <w:sz w:val="20"/>
          <w:szCs w:val="20"/>
          <w:color w:val="auto"/>
        </w:rPr>
      </w:pPr>
      <w:r>
        <w:rPr>
          <w:rFonts w:ascii="Arial" w:cs="Arial" w:eastAsia="Arial" w:hAnsi="Arial"/>
          <w:sz w:val="16"/>
          <w:szCs w:val="16"/>
          <w:color w:val="auto"/>
        </w:rPr>
        <w:t>related to the construction of breakwaters, jetties, canals and other marine structures. Domestic capital dredging revenue increased by $15.8 million, or 36%, to $59.8 million, in the 2016 third quarter compared to the same period in 2015. For the nine months ended September 30, 2016, domestic capital dredging was $152.1 million compared to $149.1 million for the same period in 2015. The slight increase in domestic capital dredging revenues for the nine months ended September 30, 2016 was largely attributable to revenue earned on coastal restoration projects in Louisiana and the Savannah Harbor deepening project. The increased revenue from these projects during the first three quarters of 2016 was mostly offset by revenue earned on the PortMiami deepening project during the same period of 2015 that did not repeat in the current year. Further, work on a deepening project on the Delaware River and a liquefied natural gas (“LNG”) project in Texas also contributed to revenue for the nine months ended September 30, 2016.</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third quarter of 2016, foreign dredging revenue was $21.1 million, a decrease of $16.9 million, or 44%, from the same quarter in the prior year. Foreign capital revenue for the first nine months of 2016 was $34.3 million, a decrease of $92.9 million, or 73%, as compared to the same period in the prior year. Revenue for the nine months ended September 30, 2016 was driven by a project in Saudi Arabia, two projects in Bahrain and the final stages of demobilization on the Suez Canal project. In comparison, revenue for the first nine months of 2015 was driven by a greater amount of revenue earned on the Suez Canal deepening project, in addition to several projects in Brazil that did not repeat in the current year period.</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Coastal protection projects generally involve moving sand from the ocean floor to shoreline locations where erosion threatens shoreline assets. Coastal protection revenue was $48.0 million in the third quarter of 2016, up $1.5 million or 3%, compared to the 2015 third quarter. For the nine months ended September 30, 2016, coastal protection was $152.6 million, up $34.5 million or 29%, from $118.1 million for the same period in 2015. The increase in coastal protection revenue for the first nine months of 2016 was attributable to a greater amount of revenue earned on large projects in New Jersey and New York for the repair of shorelines damaged as a result of Superstorm Sandy and recent winter storms. Further, three projects in Florida also contributed to coastal protection revenue in the first three quarters of 2016.</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Maintenance revenue for the third quarter of 2016 was $11.3 million, a decrease of $10.1 million, or 47%, compared to revenue of $21.5 million for the same period in 2015. For the nine months ended September 30, 2016, maintenance revenue was $77.5 million, down $12.2 million, or 14%, from $89.7 million for the same period in the prior year. The decrease in maintenance dredging revenues for the first nine months of 2016 was mostly attributable to revenue earned on several harbor projects in Florida during the prior year period that did not repeat in the first three quarters of 2016. This decrease was partially offset by revenue earned on a significant harbor project in Maryland and maintenance dredging work in Georgia and Massachusetts.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Rivers &amp; lakes dredging and related operations typically consist of lake and river dredging, inland levee and construction dredging, environmental restoration and habitat improvement and other marine construction projects. Rivers &amp; lakes revenue in the third quarter of 2016 was $14.2 million, an increase of $1.6 million, or 12%, compared to the third quarter of 2015. For the nine months ended September 30, 2016, rivers &amp; lakes revenue was $36.5 million, up $14.0 million, or 62%, from $22.5 million in the same prior year period. The increase in rivers &amp; lakes revenue for the first nine months of 2016 was driven by revenue earned on a reservoir project in Kansas. Further, work on a lake project in Illinois as well as on projects in Mississippi and New Jersey also contributed to revenue for the first three quarters of 2016.</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environmental &amp; infrastructure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recorded revenues of $44.6 million for the quarter ended September 30, 2016, down 26% compared to $60.5 million for the same period in 2015. For the nine months ended September 30, 2016, environmental &amp; infrastructure revenue was $103.4 million, a $28.5 million, or 22%, decrease from $131.9 million for the same prior year period. Environmental &amp; infrastructure revenue for the first nine months of 2016 included work on a large mine project in Washington as well as on remediation projects in Michigan and Indiana and a geotechnical project in California. The decrease in revenue during the first three quarters of 2016 was mostly attributable to a greater amount of revenue earned on remediation projects in the Midwest, California and New Jersey during the same period in the prior year.</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Consolidated gross profit for the 2016 third quarter decreased by $4.0 million, or 17%, to $20.0 million, from $24.1 million in the third quarter of 2015. Gross profit margin (gross profit divided by revenue) for the 2016 third quarter declined slightly to 10.1% from 10.9% for the three months ended September 30, 2015. For the nine months ended September 30, 2016, the Company had a consolidated gross profit of $64.3 million, down $2.8 million or 4%, compared to $67.1 million in the same period of the prior year. Gross profit margin for the nine months ended September 30, 2016 increased to 11.6% from 10.6% in the same prior year period. The decrease in gross profit for the nine months ended September 30, 2016 was driven by the absence of the strong contract margin on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8"/>
          <w:szCs w:val="18"/>
          <w:color w:val="auto"/>
        </w:rPr>
        <w:t>Suez Canal deepening project during the current year period. This decrease was partially offset by strong performance on several coastal protection, rivers &amp; lakes and maintenance projects which positively impacted margins. Improved project execution in the environmental &amp; infrastructure segment also contributed to gross profit for the first three quarters of 2016. In comparison, gross profit in the prior year period was negatively impacted by unforeseen circumstances that lead to project delays on two of the environmental &amp; infrastructure’s largest projects during the third quarter of 2015. Additionally, the environmental &amp; infrastructure segment experienced losses on several projects during the nine months ended September 30, 2016. These losses were partially offset by strong contract margin on our Suez Canal project.</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General and administrative expenses totaled $7.2 million for the quarter ended September 30, 2016, down from general and administrative expenses of $15.3 million in the third quarter of 2015. For the nine months ended September 30, 2016 and 2015, general and administrative expenses totaled $47.0 million and $48.8 million, respectively. A decrease in amortization expense of $4.9 million, mostly related to the Magnus acquisition, slightly offset by an increase of legal and professional fees of $2.8 million contributed to the decline in general and administrative expenses during the first nine months of 2016. Further, the Company reduced the remaining fair value of the GLEI contingent earnout by $8.0 million to zero during the third quarter of 2016. Similarly, general and administrative expenses for the first nine months of 2015 include a reduction in the value of the GLEI seller note payable of $7.0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for the three months ended September 30, 2016 was $12.9 million, an increase of $3.2 million, compared to operating income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$9.7 million for the same period of 2015. For the nine months ended September 30, 2016, the Company experienced operating income of $16.6 million, up $0.2 million, or 1%, from $16.4 million in the same prior year period. The change in the Company’s operating income for the first nine months of 2016 was attributable to a decrease in general and administrative expenses, offset by a decrease in gross profit, as described above, as well a $0.7 million loss related to the sale of an underutilized dredge during the current year period. Further, operating income for the nine months ended September 30, 2015 included a $2.8 million goodwill impairment charge at the Terra reporting unit.</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interest expense totaled $4.8 million for the three months ended September 30, 2016, a decrease from interest expense of $7.3 million from the same period of 2015. For the nine months ended September 30, 2016, interest expense was $16.4 million, down $2.0 million, or 11%, from interest expense of $18.5 million for the same period in the prior year. The decrease in interest expense was mostly attributable to lower interest expense associated with the Company’s revolving credit facility and the reversal of interest expense associated with the GLEI contingent earnout during the nine months ended September 30, 2016.</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income tax provision for the three months ended September 30, 2016 was $2.9 million compared to $0.7 million for the 2015 third quarter. For the nine months ended September 30, 2016 and 2015, the income tax benefit was $0.6 million and $2.8 million, respectively. The effective tax rate for the nine months ended September 30, 2016 was 31.9%, down slightly from the effective tax rate of 34.6% for the same period of 2015.</w:t>
      </w:r>
    </w:p>
    <w:p>
      <w:pPr>
        <w:spacing w:after="0" w:line="16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 experienced net income of $4.6 million and earnings per diluted share of $0.08 for the 2016 third quarter compared to net income of $0.3 million and no earnings per diluted share for the same period of 2015. For the nine months ended September 30, 2016, the Company had a net loss of $1.2 million and a loss per diluted share of $0.02 compared to a net loss of $5.4 million with a loss per diluted share of $0.09 for the same period of 2015. The change in net loss for the first nine months of 2016 was driven by losses at two of the Company’s joint ventures which resulted in equity in loss of joint ventures of $5.8 million during the same period in 2015. Additionally, lower interest expense and slightly higher operating income, as described above, positively impacted the change in net loss for the nine months ended September 30, 2016.</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Adjusted EBITDA (as defined on page 31) for the three months ended September 30, 2016 and 2015 was $29.1 million and $23.1 million, respectively. For the nine months ended September 30, 2016, Adjusted EBITDA was $60.4 million, in line with Adjusted EBITDA of $60.8 million for the same prior year period. The change in Adjusted EBITDA during the current year period was attributable to slightly higher operating income during the first nine months of 2016 as described above. This slight increase was offset by higher depreciation and amortization expense as compared to the current year period.</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Dredging segment revenues for the 2016 third quarter were $154.4 million, a decrease of $8.1 million, or 5%, compared to $162.5 million for the quarter ended September 30, 2015. For the nine months ended September 30, 2016, dredging segment revenues were $453.1 million, down $53.6 million, or 11%, compared to revenues of $506.7 million for the same prior year period. For the nine months ended September 30, 2016, the dredging segment experienced decreases in foreign capital and maintenance revenues which were partially offset by increases in coastal protection, domestic capital and rivers &amp; lakes revenues. Current year revenues were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right="180"/>
        <w:spacing w:after="0" w:line="264" w:lineRule="auto"/>
        <w:rPr>
          <w:sz w:val="20"/>
          <w:szCs w:val="20"/>
          <w:color w:val="auto"/>
        </w:rPr>
      </w:pPr>
      <w:r>
        <w:rPr>
          <w:rFonts w:ascii="Arial" w:cs="Arial" w:eastAsia="Arial" w:hAnsi="Arial"/>
          <w:sz w:val="18"/>
          <w:szCs w:val="18"/>
          <w:color w:val="auto"/>
        </w:rPr>
        <w:t>driven by large coastal protection projects in New Jersey and New York for the repair of shorelines damaged as a result of Superstorm Sandy and recent winter storm events, the Savannah Harbor deepening project, coastal restoration projects in Louisiana, a reservoir project in Kansas and harbor maintenance dredging work in Maryland.</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Dredging segment gross profit in the third quarter of 2016 decreased 44% to $16.5 million compared to $29.4 million in the same period of the prior year. Dredging segment gross profit margin for the three months ended September 30, 2016 decreased to 10.7% from 18.1% for the same prior year period. For the nine months ended September 30, 2016, the dredging segment gross profit was $63.9 million down from a gross profit of $78.1 million in the same period of 2015. Further, dredging segment gross profit margin for the nine months ended September 30, 2016 decreased to 14.1% from gross profit margin of 15.4% for the first three quarters of 2015. The decline in dredging segment gross profit for the nine months ended September 30, 2016 was driven by the absence of the strong contract margin on the Suez Canal deepening project during the current year period. This decrease was partially offset by strong performance on several coastal protection, rivers &amp; lakes and maintenance projects which positively impacted margins.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at the dredging segment for the three months ended September 30, 2016 decreased $14.0 million to $5.6 million from $19.6 million for the same period in 2015. For the nine months ended September 30, 2016, operating income was $26.8 million, an $18.8 million decline from $45.6 million in the first three quarters of 2015. The decrease in operating income for the first nine months of 2016 is the result of lower gross profit, described above, as well as an increase in general and administrative expenses, specifically related to a $3.9 million increase in legal and professional fees, partially offset by a $1.0 million decrease in payroll and benefits expenses. Further, dredging segment operating income for the nine months ended September 30, 2016 includes a $0.7 million loss related to the sale of an underutilized dredge.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Environmental &amp; infrastructure segment revenues for the quarter ended September 30, 2016 were $44.6 million, a decrease of $15.9 million, or 26%, compared to $60.5 million for the three months ended September 30, 2015. For the nine months ended September 30, 2016, environmental &amp; infrastructure segment revenues were $103.4 million, down $28.5 million, or 22%, from revenue of $131.9 million for the first nine months of 2015. Environmental &amp; infrastructure revenues for the first nine months of 2016 included work on a large mine project in Washington as well as on remediation projects in Michigan and Indiana and a geotechnical project in California. The decrease in revenue during the first nine months of 2016 was mostly attributable to a greater amount of revenue earned on remediation projects in the Midwest, California and New Jersey in the prior year period.</w:t>
      </w:r>
    </w:p>
    <w:p>
      <w:pPr>
        <w:spacing w:after="0" w:line="16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Environmental &amp; infrastructure segment gross profit in the third quarter of 2016 was $3.5 million compared to negative gross profit of $5.4 million in the third quarter of 2015. For the three months ended September 30, 2016 and 2015, the environmental &amp; infrastructure segment had a gross profit margin of</w:t>
      </w:r>
    </w:p>
    <w:p>
      <w:pPr>
        <w:ind w:right="20"/>
        <w:spacing w:after="0" w:line="269" w:lineRule="auto"/>
        <w:rPr>
          <w:sz w:val="20"/>
          <w:szCs w:val="20"/>
          <w:color w:val="auto"/>
        </w:rPr>
      </w:pPr>
      <w:r>
        <w:rPr>
          <w:rFonts w:ascii="Arial" w:cs="Arial" w:eastAsia="Arial" w:hAnsi="Arial"/>
          <w:sz w:val="17"/>
          <w:szCs w:val="17"/>
          <w:color w:val="auto"/>
        </w:rPr>
        <w:t>7.9% and negative gross profit margin of 8.9%, respectively. The environmental &amp; infrastructure segment experienced a gross profit of $0.3 million and a negative gross profit of $11.0 million for the nine months ended September 30, 2016 and 2015, respectively. For the first nine months of 2016, the environmental &amp; remediation segment experienced a gross profit margin of 0.3% compared to a negative gross profit margin of 8.4% for the same period of the prior year. For the nine months ended September 30, 2016, the environmental &amp; infrastructure segment’s gross profit increased compared to the same period in the prior year, mostly attributable to strong performance on the Company’s large mine project in Washington. In comparison, the environmental &amp; infrastructure segment’s gross profit in the first three quarters of 2015 was negatively impacted by unforeseen circumstances that lead to project delays on two of the segment’s largest projects during the third quarter of 2015.</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environmental &amp; infrastructure segment experienced an operating income of $7.3 million and an operating loss of $9.9 million for the three months ended September 30, 2016 and 2015, respectively. For the nine months ended September 30, 2016, the environmental &amp; infrastructure segment experienced an operating loss of $10.2 million, compared to $29.2 million for the same period of the prior year. The change in operating loss for the nine months ended September 30, 2016 is the result of the change in gross profit, as described above, and a decrease in general and administrative expenses, specifically, a decrease in amortization expense of $4.9 million, mostly related to the Magnus acquisition. During the third quarter of 2016, the Company reduced the remaining fair value of the GLEI contingent earnout by $8.0 million to zero. Similarly, general and administrative expenses for the first nine months of 2015 include a reduction in the value of the GLEI seller note payable of $7.0 million. Further, the Company recorded a $2.8 million goodwill impairment charge at the Terra reporting unit during the second quarter of 2015 which also impacted the change in operating loss.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285,907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411,506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363,633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137,677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570,220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602,750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751,047</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756,720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58% of the Company’s September 30, 2016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domestic dredging bid market for the 2016 quarter ended September 30, 2016 totaled $320.0 million, resulting in $668.1 million of work awarded in the first nine months of 2016. This represents a decrease of $369.3 million compared to the first nine months of 2015. Awards during the current year period include coastal protection projects in Virginia, New York and North Carolina, coastal restoration projects in Louisiana and Texas and maintenance projects in Texas, Louisiana, Maryland and Washington. The bid market for the nine months ended September 30, 2016 was down compared to the prior year primarily due to the award of the Savannah Harbor deepening project during the first quarter of 2015. For the contracts awarded in the current year, the Company won 80%, or $145.8 million of the coastal protection projects, 23%, or $27.2 million of the domestic capital projects, 14%, or $37.6 million of the maintenance projects and 16%, or $16.8 million of the rivers &amp; lakes projects through September 30, 2016. The Company won 34% of the overall domestic bid market for the first nine months of 2016, which is below the Company’s prior three year average of 49%. Variability in contract wins from quarter to quarter is not unusual and one quarter’s win rate is generally not indicative of the win rate the Company is likely to achieve for a full year.</w:t>
      </w:r>
    </w:p>
    <w:p>
      <w:pPr>
        <w:spacing w:after="0" w:line="16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Company’s contracted dredging backlog was $570.2 million at September 30, 2016 compared to $677.7 million of backlog at December 31, 2015. These amounts do not reflect approximately $30.1 million of domestic low bids pending formal award and additional phases (“options”) pending on projects currently in backlog at September 30, 2016. At December 31, 2015 the amount of domestic low bids and options pending award was $82.8 million.</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Domestic capital dredging backlog at September 30, 2016 was $125.6 million lower than at December 31, 2015. During the first nine months of 2016, the Company was awarded a coastal restoration project in Louisiana. Additionally, the Company continued to earn revenue on a deepening project on the Delaware River, an LNG project in Texas, coastal restoration projects in Louisiana and the Savannah Harbor deepening project during the first three quarters of 2016. The Panama Canal expansion was completed during the second quarter of 2016, which continues to put pressure on the ports on the East Coast to continue with their studies and plans to deepen and widen in anticipation of the post-Panamax vessels.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expects several coastal restoration projects envisioned by the States to come to fruition in the next couple of years providing a new source of domestic capital dredging projects on which the Company will bid.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Foreign capital dredging backlog at September 30, 2016 was $32.1 million higher than at December 31, 2015. During the first nine months of 2016, the Company was awarded two land reclamation and development projects in the Middle East and a port project in Brazil.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 Besides the Middle East, the Company is working on projects and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Coastal protection dredging backlog at September 30, 2016 was $33.3 million higher than at December 31, 2015. In the first nine months of 2016, the Company was awarded large coastal protection projects in Virginia and North Carolina as well as two projects in Florida and two Superstorm Sandy appropriated projects in New Jersey and New York. In the first nine months of 2016, the Company continued to earn revenue on several large coastal protection projects in New Jersey and New York as well as on projects in Florida that were in backlog at December 31, 2015. Funding related to Northeastern U.S. beach replenishment continues to be released and the Company is anticipating these new dredging projects along the coast to extend through 2017. Federal and state government actions continue to support the repair and improvement of America’s coastline through the completion of protective beaches and berms.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Maintenance dredging backlog was down $33.8 million from December 31, 2015. During the first nine months of 2016, the Company was awarded and completed a maintenance project in Louisiana. Projects in Maryland and Massachusetts were also awarded in the year with work expected to be started in 2017. During the first nine months of 2016, the Company continued to earn revenue on projects in Georgia, Maryland, Massachusetts, Pennsylvania and New York/New Jersey which were in backlog at December 31, 2015. The Water Resources Reform and Development Act (WRRDA) calls for full use of Harbor Maintenance Trust Fund (“HMTF”) within ten years for its intended purpose of maintaining future access to the waterways and ports that support our nation’s economy. Through the increased appropriation of HMTF monies, the Corps has substantially increased projects for maintenance dredging in the government’s fiscal year 2016. Despite the progress the House and Senate made on their budget bills, and the record level of funding provided to the Corps in both versions, including hitting the HMTF targets, it does not appear likely that a budget will be signed into law for fiscal year 2017. The Company expects the Corps’ funding to remain at the previous fiscal year’s level.</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Rivers &amp; lakes backlog at September 30, 2016 was down by $13.5 million from backlog at December 31, 2015. The Company was awarded projects in New Jersey and Mississippi during the first nine months of 2016. For the nine months ended September 30, 2016, the Company continued to earn revenue on a reservoir project in Kansas and a lake project in Illinois which were in backlog at December 31, 2015. The Corps’ work plan for fiscal year 2017 includes several upper Mississippi River projects to open channels that are often clogged by silt and sediment from upstream, in addition to planned levee repair along the Mississippi River. Additionally, the Company’s rivers &amp; lakes dredges are well suited for marsh projects in Louisiana that are expected to be let to bid through the Coastal Protection and Restoration Authority over the next year.</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Environmental &amp; infrastructure services backlog decreased $40.8 million from December 31, 2015. During the first nine months of 2016, the Company continued to earn revenue on a large mine project in Washington as well as on remediation projects in Michigan and Indiana and a geotechnical project in California which were in backlog at December 31, 2015. Significant projects awarded to the Company in the nine months ended September 30, 2016 included two remediation projects, four geotechnical projects and an underground infrastructure project. The Company anticipates selling the assets associated with certain services lines of the environmental &amp; infrastructure segment’s business, excluding the assets supporting the remediation service line including in progress contracts. As a result, backlog within these services lines of business is not expected to be converted into revenue. At September 30, 2016, backlog included $4.3 million of revenue remaining on projects within these services lines of business. As part of the environmental &amp; infrastructure segment’s initiatives, the Company intends to focus on geographical expansion in the geotechnical services business.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line="302" w:lineRule="auto"/>
        <w:rPr>
          <w:sz w:val="20"/>
          <w:szCs w:val="20"/>
          <w:color w:val="auto"/>
        </w:rPr>
      </w:pPr>
      <w:r>
        <w:rPr>
          <w:rFonts w:ascii="Arial" w:cs="Arial" w:eastAsia="Arial" w:hAnsi="Arial"/>
          <w:sz w:val="16"/>
          <w:szCs w:val="16"/>
          <w:color w:val="auto"/>
        </w:rPr>
        <w:t>The Company’s net cash provided by (used in) operating activities for the nine months ended September 30, 2016 and 2015 totaled $13.0 million and $(3.9) million, respectively. Normal increases or decreases in the level of working capital relative to the level of operational activity impact cash flow from operating activities. The increase in the first nine months of 2016 compared to the same period in the prior year was driven by the lower investment in working capital, specifically related to the final billings and collections on large projects completed late in 2015, during the current year period.</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net cash flows used in investing activities for the first nine months of 2016 and 2015 totaled $48.4 million and $52.2 million, respectively. Investing activities in both periods primarily relate to normal course upgrades and capital maintenance of the Company’s dredging fleet. During the nine months ended September 30, 2016, the Company spent $38.7 million on the construction of a dual mode articulated tug/barge trailing suction hopper dredge (“ATB”), compared to $24.3 million in the same period in the prior year. The Company received $10.0 million for the sale of an underutilized dredge during the current year period.</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net cash flows provided by financing activities for the nine months ended September 30, 2016 and 2015 totaled $34.8 million and $23.3 million, respectively. The increase in net cash flows provided by financing activities is primarily due to net borrowings on the Company’s revolver during the first nine months of 2016 of $40 million, compared to net borrowings of $28 million for the same period in the prior year.</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$199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Credit Agreement matures on June 2, 2017 and the Company is in discussions with lenders to finalize a successor credit facility with substantially similar terms as the current Credit Agreement. The Company believes that it will finalize a successor credit facility, which will be an asset-based loan facility, in the fourth quarter of 2016.</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June 24, 2016, the Company entered into the seventh amendment to the Credit Agreement which modified the Credit Agreement to allow for the sale of the vessel known as the </w:t>
      </w:r>
      <w:r>
        <w:rPr>
          <w:rFonts w:ascii="Arial" w:cs="Arial" w:eastAsia="Arial" w:hAnsi="Arial"/>
          <w:sz w:val="18"/>
          <w:szCs w:val="18"/>
          <w:i w:val="1"/>
          <w:iCs w:val="1"/>
          <w:color w:val="auto"/>
        </w:rPr>
        <w:t>Reem Island</w:t>
      </w:r>
      <w:r>
        <w:rPr>
          <w:rFonts w:ascii="Arial" w:cs="Arial" w:eastAsia="Arial" w:hAnsi="Arial"/>
          <w:sz w:val="18"/>
          <w:szCs w:val="18"/>
          <w:color w:val="auto"/>
        </w:rPr>
        <w:t xml:space="preserve"> and provided for the collateral release to affect the sale. The reduction in the collateral pool resulted in a reduction in the size of the Credit Facility, from $210 million to $199 million. In addition, the net cash proceeds of the sale of the </w:t>
      </w:r>
      <w:r>
        <w:rPr>
          <w:rFonts w:ascii="Arial" w:cs="Arial" w:eastAsia="Arial" w:hAnsi="Arial"/>
          <w:sz w:val="18"/>
          <w:szCs w:val="18"/>
          <w:i w:val="1"/>
          <w:iCs w:val="1"/>
          <w:color w:val="auto"/>
        </w:rPr>
        <w:t>Reem Island</w:t>
      </w:r>
      <w:r>
        <w:rPr>
          <w:rFonts w:ascii="Arial" w:cs="Arial" w:eastAsia="Arial" w:hAnsi="Arial"/>
          <w:sz w:val="18"/>
          <w:szCs w:val="18"/>
          <w:color w:val="auto"/>
        </w:rPr>
        <w:t>, $10 million, were applied to the revolving loans outstanding.</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June 30, 2016 the Company entered into the eighth amendment (the “Eighth Amendment”) to the Credit Agreement which increased the margin applicable to interest rates, letters of credit and commitment fees thereunder. Depending on the Company’s consolidated total leverage ratio (as defined in the Credit Agreement and further described below), borrowings under the revolving credit facility will bear interest at the option of the Company at either the LIBOR rate plus a margin between 1.50% and 3.50% or a base rate plus a margin between 0.50% and 2.50%.</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the Eighth Amendment modifies the consolidated total leverage covenant contained in the Credit Agreement and adds a maximum capital expenditures covenant. The Company may not permit the consolidated total leverage ratio to be greater than (i) 5.00 to 1.00 for the fiscal quarter ending June 30, 2016, (ii) 4.75 to 1.00 for the fiscal quarter ending September 30, 2016 and (iii) 4.50 to 1.00 for any fiscal quarter ending thereafter. Further, the Company and its subsidiaries may not allow its aggregate capital expenditures to exceed (i) $105 million for the fiscal year ending December 31, 2016 and (ii) $45 million during any fiscal year thereafter.</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Last, the Eighth Amendment requires the Company and its subsidiaries party to the Credit Agreement to pledge their respective inventory as security for the revolving credit facility.</w:t>
      </w:r>
    </w:p>
    <w:p>
      <w:pPr>
        <w:spacing w:after="0" w:line="17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minimum fixed charge coverage ratio of 1.25 to 1.00.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16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2016, the Company had $60.0 million of borrowings on the revolver and $68.9 million of letters of credit outstanding, resulting in $70.1 million of availability under the Credit Agreement. Borrowings under the line of credit may be limited based on the Company’s requirements to comply with its covenants. At September 30, 2016, the Company was in compliance with its various covenants under the Credit Agreement.</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November 4, 2014, the Company entered into a senior secured term loan facility consisting of a term loan in an aggregate principal amount of $50 million (the “Term Loan Facility”) pursuant to a Loan and Security Agreement, as subsequently amended, (the “Loan Agreement”) by and among, the lenders party thereto from time to time and Bank of America, N.A., as administrative agent. The Company borrowed an aggregate principal amount of $47.4 million in 2014 and an additional $2.6 million in 2015. The proceeds from the Term Loan Facility will be used for the working capital and general corporate purposes of the Company, including to repay borrowings under the Credit Agreement made to finance the construction of the Company’s ATB.</w:t>
      </w:r>
    </w:p>
    <w:p>
      <w:pPr>
        <w:spacing w:after="0" w:line="15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Term Loan Facility provides for monthly amortization payments, payable in arrears, which commenced on December 4, 2014, at an annual amount of (i) 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may optionally prepay the Term Loan Facility in whole or in part at any time, subject to a minimum prepayment amount.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 includes representations, affirmative and negative covenants and events of default customary for financings of this type and includes the same financial covenants that are currently set forth in the Credit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September 30, 2016, the Company had outstanding performance bonds totaling approximately $1,044.0 million, of which $41.1 million relates to projects from the Company’s historical demolition business. The revenue value remaining in backlog related to these projects totaled approximately $423.0 million.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were used to repay indebtedness incurred under our senior secured revolving credit facility in connection with the acquisition of Magnus Pacific Corporation,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to the Company’s December 31, 2015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2015.</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market risk of the Company’s financial instruments as of September 30, 2016 has not materially changed since December 31, 2015. The market risk profile of the Company on December 31, 2015 is disclosed in Item 7A. “Quantitative and Qualitative Disclosures about Market Risk” of the Company’s Annual Report on Form 10-K for the year ended December 31, 2015.</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2016.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reached a settlement with the Environmental Protection Agency (“EPA”) relating to a project we performed at the Mayport Naval Station from 2010-2012. The EPA is alleging violations of the Marine Protection, Research, and Sanctuaries Act (“MPRSA”). We have agreed with the EPA to settle the matter by paying a penalty of $450,000, without any admission of liability. The proposed penalty will not have a material effect on the Company’s operations, cash flows or financial condition.</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Item 1A. “Risk Factors” in the Company’s Annual Report on Form 10-K for the year ended December 31, 2015, we included a risk factor relating to risks associated with our then-pending review of strategic alternatives by our Board of Directors. As disclosed in our Current Report on Form 8-K filed on August 4, 2016, that review has now been concluded after a thorough and comprehensive review. As a result of such announcement, the market price and trading volume of our stock may fluctuate significantly.</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11, 2015, the Company announced a share repurchase program approved by the Board of Directors of the Company, authorizing, but not obligating, the repurchase of up to an aggregate amount of $15,000,000 of its common stock from time to time through December 31, 2016. No repurchases were made in the third quarter of 2016. As of September 30, 2016, the approximate dollar value of shares still available for repurchase under the authorization was $13,575,000.</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tcPr>
          <w:p>
            <w:pPr>
              <w:ind w:left="200"/>
              <w:spacing w:after="0"/>
              <w:rPr>
                <w:sz w:val="20"/>
                <w:szCs w:val="20"/>
                <w:color w:val="auto"/>
              </w:rPr>
            </w:pPr>
            <w:r>
              <w:rPr>
                <w:rFonts w:ascii="Arial" w:cs="Arial" w:eastAsia="Arial" w:hAnsi="Arial"/>
                <w:sz w:val="18"/>
                <w:szCs w:val="18"/>
                <w:color w:val="auto"/>
                <w:w w:val="89"/>
              </w:rPr>
              <w:t>Amendment to the Share Purchase Agreement, dated as of September 8, 2016, by and among Magnus Pacific Corporation, now known as</w:t>
            </w:r>
          </w:p>
        </w:tc>
      </w:tr>
      <w:tr>
        <w:trPr>
          <w:trHeight w:val="230"/>
        </w:trPr>
        <w:tc>
          <w:tcPr>
            <w:tcW w:w="9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Great Lakes Environmental and Infrastructure, LLC and Great Lakes Environmental and Infrastructure Solutions, LLC. #</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tcPr>
          <w:p>
            <w:pPr>
              <w:ind w:left="20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9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tcPr>
          <w:p>
            <w:pPr>
              <w:ind w:left="20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0"/>
        </w:trPr>
        <w:tc>
          <w:tcPr>
            <w:tcW w:w="9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Instance Document.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firstLine="8"/>
        <w:spacing w:after="0" w:line="276"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Portions of this exhibit have been omitted pending a determination by the Securities and Exchange Commission as to whether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337" w:right="5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513"/>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Number</w:t>
            </w:r>
          </w:p>
        </w:tc>
        <w:tc>
          <w:tcPr>
            <w:tcW w:w="380" w:type="dxa"/>
            <w:vAlign w:val="bottom"/>
          </w:tcPr>
          <w:p>
            <w:pPr>
              <w:spacing w:after="0"/>
              <w:rPr>
                <w:sz w:val="24"/>
                <w:szCs w:val="24"/>
                <w:color w:val="auto"/>
              </w:rPr>
            </w:pPr>
          </w:p>
        </w:tc>
        <w:tc>
          <w:tcPr>
            <w:tcW w:w="10340" w:type="dxa"/>
            <w:vAlign w:val="bottom"/>
            <w:tcBorders>
              <w:bottom w:val="single" w:sz="8" w:color="auto"/>
            </w:tcBorders>
          </w:tcPr>
          <w:p>
            <w:pPr>
              <w:ind w:left="4300"/>
              <w:spacing w:after="0"/>
              <w:rPr>
                <w:sz w:val="20"/>
                <w:szCs w:val="20"/>
                <w:color w:val="auto"/>
              </w:rPr>
            </w:pPr>
            <w:r>
              <w:rPr>
                <w:rFonts w:ascii="Arial" w:cs="Arial" w:eastAsia="Arial" w:hAnsi="Arial"/>
                <w:sz w:val="18"/>
                <w:szCs w:val="18"/>
                <w:b w:val="1"/>
                <w:bCs w:val="1"/>
                <w:color w:val="auto"/>
              </w:rPr>
              <w:t>Document Description</w:t>
            </w: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3"/>
              </w:rPr>
              <w:t>Amendment to the Share Purchase Agreement, dated as of September 8, 2016, by and among Magnus Pacific Corporation, now known as</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Great Lakes Environmental and Infrastructure, LLC and Great Lakes Environmental and Infrastructure Solutions, LLC. #</w:t>
            </w: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Sarbanes-Oxley Act of 2002. *</w:t>
            </w: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Sarbanes-Oxley Act of 2002.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rPr>
              <w:t>101.INS</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Instance Document.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3"/>
              </w:rPr>
              <w:t>101.SCH</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Schema.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7"/>
              </w:rPr>
              <w:t>101.CAL</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Calculation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5"/>
              </w:rPr>
              <w:t>101.DEF</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Definition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8"/>
              </w:rPr>
              <w:t>101.LAB</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Label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4"/>
              </w:rPr>
              <w:t>101.PRE</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4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right="280" w:firstLine="8"/>
        <w:spacing w:after="0" w:line="276"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Portions of this exhibit have been omitted pending a determination by the Securities and Exchange Commission as to whether these portions should be granted confidential treatment.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3" w:name="page44"/>
    <w:bookmarkEnd w:id="43"/>
    <w:p>
      <w:pPr>
        <w:jc w:val="both"/>
        <w:ind w:right="300"/>
        <w:spacing w:after="0" w:line="241" w:lineRule="auto"/>
        <w:rPr>
          <w:sz w:val="20"/>
          <w:szCs w:val="20"/>
          <w:color w:val="auto"/>
        </w:rPr>
      </w:pPr>
      <w:r>
        <w:rPr>
          <w:rFonts w:ascii="Arial" w:cs="Arial" w:eastAsia="Arial" w:hAnsi="Arial"/>
          <w:sz w:val="15"/>
          <w:szCs w:val="15"/>
          <w:color w:val="auto"/>
        </w:rPr>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To The Share Purchase Agreement</w:t>
      </w:r>
    </w:p>
    <w:p>
      <w:pPr>
        <w:spacing w:after="0" w:line="181" w:lineRule="exact"/>
        <w:rPr>
          <w:sz w:val="20"/>
          <w:szCs w:val="20"/>
          <w:color w:val="auto"/>
        </w:rPr>
      </w:pPr>
    </w:p>
    <w:p>
      <w:pPr>
        <w:ind w:right="1020"/>
        <w:spacing w:after="0" w:line="291" w:lineRule="auto"/>
        <w:rPr>
          <w:sz w:val="20"/>
          <w:szCs w:val="20"/>
          <w:color w:val="auto"/>
        </w:rPr>
      </w:pPr>
      <w:r>
        <w:rPr>
          <w:rFonts w:ascii="Arial" w:cs="Arial" w:eastAsia="Arial" w:hAnsi="Arial"/>
          <w:sz w:val="18"/>
          <w:szCs w:val="18"/>
          <w:color w:val="auto"/>
        </w:rPr>
        <w:t>This Amendment, made and entered into on September 8, 2016 is to the Share Purchase Agreement dated November 4, 2014 (the “Agreement”) which was entered into by and between Magnus Pacific Corporation, now known as Great Lakes Environmental and Infrastructure, LLC (the “Company”) and Great Lakes Environmental and Infrastructure Solutions, LLC (the “Purchaser”).</w:t>
      </w:r>
    </w:p>
    <w:p>
      <w:pPr>
        <w:spacing w:after="0" w:line="119"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have agreed to modify the Agreement pursuant to the terms of this Amendment; and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WHEREAS, the terms of this Amendment shall modify the related terms in the Agreement.</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NOW THEREFORE, in consideration of the obligations herein made and undertaken, the Parties, intending to be legally bound, covenant and agree as follows:</w:t>
      </w:r>
    </w:p>
    <w:p>
      <w:pPr>
        <w:spacing w:after="0" w:line="136"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1.05 of the Agreement is amended as follows:</w:t>
      </w:r>
    </w:p>
    <w:p>
      <w:pPr>
        <w:spacing w:after="0" w:line="175" w:lineRule="exact"/>
        <w:rPr>
          <w:rFonts w:ascii="Arial" w:cs="Arial" w:eastAsia="Arial" w:hAnsi="Arial"/>
          <w:sz w:val="20"/>
          <w:szCs w:val="20"/>
          <w:color w:val="auto"/>
        </w:rPr>
      </w:pPr>
    </w:p>
    <w:p>
      <w:pPr>
        <w:jc w:val="both"/>
        <w:ind w:left="880" w:right="880"/>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The first sentence is deleted in its entirety and replaced with the following, “For purposes of this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all EBITDA calculations shall be based on the Business and shall be calculated in accordance with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attached hereto.”</w:t>
      </w:r>
    </w:p>
    <w:p>
      <w:pPr>
        <w:spacing w:after="0" w:line="145" w:lineRule="exact"/>
        <w:rPr>
          <w:rFonts w:ascii="Arial" w:cs="Arial" w:eastAsia="Arial" w:hAnsi="Arial"/>
          <w:sz w:val="20"/>
          <w:szCs w:val="20"/>
          <w:color w:val="auto"/>
        </w:rPr>
      </w:pPr>
    </w:p>
    <w:p>
      <w:pPr>
        <w:jc w:val="both"/>
        <w:ind w:left="880" w:right="880"/>
        <w:spacing w:after="0" w:line="250" w:lineRule="auto"/>
        <w:rPr>
          <w:rFonts w:ascii="Arial" w:cs="Arial" w:eastAsia="Arial" w:hAnsi="Arial"/>
          <w:sz w:val="20"/>
          <w:szCs w:val="20"/>
          <w:color w:val="auto"/>
        </w:rPr>
      </w:pPr>
      <w:r>
        <w:rPr>
          <w:rFonts w:ascii="Arial" w:cs="Arial" w:eastAsia="Arial" w:hAnsi="Arial"/>
          <w:sz w:val="20"/>
          <w:szCs w:val="20"/>
          <w:color w:val="auto"/>
        </w:rPr>
        <w:t>The last sentence of Section 1.05(a) of the Agreement is deleted in its entirety and replaced with the following, “References to “EBITDA of Purchaser” shall mean the EBITDA from the Business and shall be calculated in accordance with Schedule B attached hereto.”</w:t>
      </w:r>
    </w:p>
    <w:p>
      <w:pPr>
        <w:spacing w:after="0" w:line="159"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Section 1.05(b) is deleted in its entirety and replaced with the following, “Any amounts received by Sellers pursuant to</w:t>
      </w:r>
    </w:p>
    <w:p>
      <w:pPr>
        <w:spacing w:after="0" w:line="15" w:lineRule="exact"/>
        <w:rPr>
          <w:rFonts w:ascii="Arial" w:cs="Arial" w:eastAsia="Arial" w:hAnsi="Arial"/>
          <w:sz w:val="20"/>
          <w:szCs w:val="20"/>
          <w:color w:val="auto"/>
        </w:rPr>
      </w:pPr>
    </w:p>
    <w:p>
      <w:pPr>
        <w:jc w:val="both"/>
        <w:ind w:left="880" w:right="880" w:firstLine="5"/>
        <w:spacing w:after="0" w:line="255" w:lineRule="auto"/>
        <w:tabs>
          <w:tab w:leader="none" w:pos="115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above will be adjusted based on the value of the 2017-2019 average EBITDA of Purchaser as of December 31, 2019 (the “2019 EBITDA of Purchaser”). Seller shall receive the full value of the Earnout Payment provided that the 2019 EBITDA of Purchaser meets or exceeds [*]Dollars ($[*]) (the “2019 EBITDA Target”). In the event the 2019 EBITDA of Purchaser does not meet the 2019 EBITDA Target, the Earnout Payment shall be reduced in the amount proportional to the amount by which the 2019 EBITDA of Purchaser was below the 2019 EBITDA Target; provided, however, there is no Earnout Payment if the 2019 EBITDA Target is below [*] Dollars ($[*]).</w:t>
      </w:r>
    </w:p>
    <w:p>
      <w:pPr>
        <w:spacing w:after="0" w:line="144" w:lineRule="exact"/>
        <w:rPr>
          <w:rFonts w:ascii="Arial" w:cs="Arial" w:eastAsia="Arial" w:hAnsi="Arial"/>
          <w:sz w:val="19"/>
          <w:szCs w:val="19"/>
          <w:color w:val="auto"/>
        </w:rPr>
      </w:pPr>
    </w:p>
    <w:p>
      <w:pPr>
        <w:ind w:left="880" w:right="20" w:hanging="872"/>
        <w:spacing w:after="0" w:line="260" w:lineRule="auto"/>
        <w:tabs>
          <w:tab w:leader="none" w:pos="8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the purpose of interpreting the modifications to Section 1.05 as made above, Schedule B of the Agreement and Schedule 1 of the Note are amended, with regards to Section 1.05 only, as follows: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jc w:val="both"/>
        <w:ind w:right="140"/>
        <w:spacing w:after="0" w:line="241" w:lineRule="auto"/>
        <w:rPr>
          <w:sz w:val="20"/>
          <w:szCs w:val="20"/>
          <w:color w:val="auto"/>
        </w:rPr>
      </w:pPr>
      <w:r>
        <w:rPr>
          <w:rFonts w:ascii="Arial" w:cs="Arial" w:eastAsia="Arial" w:hAnsi="Arial"/>
          <w:sz w:val="15"/>
          <w:szCs w:val="15"/>
          <w:color w:val="auto"/>
        </w:rPr>
        <w:t>PORTIONS OF THIS EXHIBIT HAVE BEEN REDACTED PURSUANT TO A REQUEST FOR CONFIDENTIAL TREATMENT UNDER RULE 24B-2 OF THE SECURITIES EXCHANGE ACT OF 1934, AS AMENDED. INFORMATION FOR WHICH CONFIDENTIAL TREATMENT HAS BEEN REQUESTED IS OMITTED, MARKED WITH “[*]” AND FILED SEPARATELY WITH THE SECURITIES AND EXCHANGE COMMISSION.</w:t>
      </w:r>
    </w:p>
    <w:p>
      <w:pPr>
        <w:spacing w:after="0" w:line="139" w:lineRule="exact"/>
        <w:rPr>
          <w:sz w:val="20"/>
          <w:szCs w:val="20"/>
          <w:color w:val="auto"/>
        </w:rPr>
      </w:pPr>
    </w:p>
    <w:p>
      <w:pPr>
        <w:jc w:val="both"/>
        <w:ind w:left="880" w:right="720"/>
        <w:spacing w:after="0" w:line="260" w:lineRule="auto"/>
        <w:rPr>
          <w:sz w:val="20"/>
          <w:szCs w:val="20"/>
          <w:color w:val="auto"/>
        </w:rPr>
      </w:pPr>
      <w:r>
        <w:rPr>
          <w:rFonts w:ascii="Arial" w:cs="Arial" w:eastAsia="Arial" w:hAnsi="Arial"/>
          <w:sz w:val="20"/>
          <w:szCs w:val="20"/>
          <w:color w:val="auto"/>
        </w:rPr>
        <w:t>The third sentence of the first paragraph is deleted in its entirety and replaced with the following, “The applicable Earnout Period for Section 1.05 of the Agreement shall be calendar years 2017-2019.”</w:t>
      </w:r>
    </w:p>
    <w:p>
      <w:pPr>
        <w:spacing w:after="0" w:line="150" w:lineRule="exact"/>
        <w:rPr>
          <w:sz w:val="20"/>
          <w:szCs w:val="20"/>
          <w:color w:val="auto"/>
        </w:rPr>
      </w:pPr>
    </w:p>
    <w:p>
      <w:pPr>
        <w:jc w:val="both"/>
        <w:ind w:left="880" w:right="720"/>
        <w:spacing w:after="0" w:line="244" w:lineRule="auto"/>
        <w:rPr>
          <w:sz w:val="20"/>
          <w:szCs w:val="20"/>
          <w:color w:val="auto"/>
        </w:rPr>
      </w:pPr>
      <w:r>
        <w:rPr>
          <w:rFonts w:ascii="Arial" w:cs="Arial" w:eastAsia="Arial" w:hAnsi="Arial"/>
          <w:sz w:val="20"/>
          <w:szCs w:val="20"/>
          <w:color w:val="auto"/>
        </w:rPr>
        <w:t>The definition of EBITDA of Purchaser is deleted and replaced with the following, “shall mean an amount equal to the sum of: (i) the EBITDA of Company for the respective time period as calculated in accordance with the provisions set forth above, and (ii) the EBITDA for the respective time period of (a) the business of Company if such business is operated by a separate entity or party of a separate entity and (b) adjusted to reflect the impact of a Business Addition and related Investor Return, as set out above.”</w:t>
      </w:r>
    </w:p>
    <w:p>
      <w:pPr>
        <w:spacing w:after="0" w:line="154" w:lineRule="exact"/>
        <w:rPr>
          <w:sz w:val="20"/>
          <w:szCs w:val="20"/>
          <w:color w:val="auto"/>
        </w:rPr>
      </w:pPr>
    </w:p>
    <w:p>
      <w:pPr>
        <w:ind w:left="880" w:hanging="872"/>
        <w:spacing w:after="0"/>
        <w:tabs>
          <w:tab w:leader="none" w:pos="8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Words not defined in this Amendment shall have the same meaning as ascribed to them in the Agreement.</w:t>
      </w:r>
    </w:p>
    <w:p>
      <w:pPr>
        <w:spacing w:after="0" w:line="175" w:lineRule="exact"/>
        <w:rPr>
          <w:rFonts w:ascii="Arial" w:cs="Arial" w:eastAsia="Arial" w:hAnsi="Arial"/>
          <w:sz w:val="20"/>
          <w:szCs w:val="20"/>
          <w:color w:val="auto"/>
        </w:rPr>
      </w:pPr>
    </w:p>
    <w:p>
      <w:pPr>
        <w:ind w:left="880" w:hanging="872"/>
        <w:spacing w:after="0" w:line="260" w:lineRule="auto"/>
        <w:tabs>
          <w:tab w:leader="none" w:pos="8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Other than as specifically modified by the terms of this Amendment, all other terms of the Agreement shall remain unmodified and in full force and effect.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execute this Amendment as of the date first written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3"/>
          </w:tcPr>
          <w:p>
            <w:pPr>
              <w:spacing w:after="0"/>
              <w:rPr>
                <w:sz w:val="20"/>
                <w:szCs w:val="20"/>
                <w:color w:val="auto"/>
              </w:rPr>
            </w:pPr>
            <w:r>
              <w:rPr>
                <w:rFonts w:ascii="Arial" w:cs="Arial" w:eastAsia="Arial" w:hAnsi="Arial"/>
                <w:sz w:val="20"/>
                <w:szCs w:val="20"/>
                <w:color w:val="auto"/>
                <w:w w:val="99"/>
              </w:rPr>
              <w:t>Great Lakes Environmental and</w:t>
            </w:r>
          </w:p>
        </w:tc>
        <w:tc>
          <w:tcPr>
            <w:tcW w:w="300" w:type="dxa"/>
            <w:vAlign w:val="bottom"/>
          </w:tcPr>
          <w:p>
            <w:pPr>
              <w:spacing w:after="0"/>
              <w:rPr>
                <w:sz w:val="19"/>
                <w:szCs w:val="19"/>
                <w:color w:val="auto"/>
              </w:rPr>
            </w:pPr>
          </w:p>
        </w:tc>
        <w:tc>
          <w:tcPr>
            <w:tcW w:w="3780" w:type="dxa"/>
            <w:vAlign w:val="bottom"/>
            <w:gridSpan w:val="3"/>
          </w:tcPr>
          <w:p>
            <w:pPr>
              <w:ind w:left="100"/>
              <w:spacing w:after="0"/>
              <w:rPr>
                <w:sz w:val="20"/>
                <w:szCs w:val="20"/>
                <w:color w:val="auto"/>
              </w:rPr>
            </w:pPr>
            <w:r>
              <w:rPr>
                <w:rFonts w:ascii="Arial" w:cs="Arial" w:eastAsia="Arial" w:hAnsi="Arial"/>
                <w:sz w:val="20"/>
                <w:szCs w:val="20"/>
                <w:color w:val="auto"/>
              </w:rPr>
              <w:t>[GLEI]</w:t>
            </w:r>
          </w:p>
        </w:tc>
      </w:tr>
      <w:tr>
        <w:trPr>
          <w:trHeight w:val="250"/>
        </w:trPr>
        <w:tc>
          <w:tcPr>
            <w:tcW w:w="2820" w:type="dxa"/>
            <w:vAlign w:val="bottom"/>
            <w:gridSpan w:val="3"/>
          </w:tcPr>
          <w:p>
            <w:pPr>
              <w:spacing w:after="0"/>
              <w:rPr>
                <w:sz w:val="20"/>
                <w:szCs w:val="20"/>
                <w:color w:val="auto"/>
              </w:rPr>
            </w:pPr>
            <w:r>
              <w:rPr>
                <w:rFonts w:ascii="Arial" w:cs="Arial" w:eastAsia="Arial" w:hAnsi="Arial"/>
                <w:sz w:val="20"/>
                <w:szCs w:val="20"/>
                <w:color w:val="auto"/>
              </w:rPr>
              <w:t>Infrastructure Solutions, LLC</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671"/>
        </w:trPr>
        <w:tc>
          <w:tcPr>
            <w:tcW w:w="3120" w:type="dxa"/>
            <w:vAlign w:val="bottom"/>
            <w:gridSpan w:val="4"/>
          </w:tcPr>
          <w:p>
            <w:pPr>
              <w:spacing w:after="0"/>
              <w:rPr>
                <w:sz w:val="20"/>
                <w:szCs w:val="20"/>
                <w:color w:val="auto"/>
              </w:rPr>
            </w:pPr>
            <w:r>
              <w:rPr>
                <w:rFonts w:ascii="Arial" w:cs="Arial" w:eastAsia="Arial" w:hAnsi="Arial"/>
                <w:sz w:val="20"/>
                <w:szCs w:val="20"/>
                <w:color w:val="auto"/>
                <w:w w:val="88"/>
              </w:rPr>
              <w:t>By:_/s/Jonathan W. Berger__________</w:t>
            </w:r>
          </w:p>
        </w:tc>
        <w:tc>
          <w:tcPr>
            <w:tcW w:w="3780" w:type="dxa"/>
            <w:vAlign w:val="bottom"/>
            <w:gridSpan w:val="3"/>
          </w:tcPr>
          <w:p>
            <w:pPr>
              <w:ind w:left="660"/>
              <w:spacing w:after="0"/>
              <w:rPr>
                <w:sz w:val="20"/>
                <w:szCs w:val="20"/>
                <w:color w:val="auto"/>
              </w:rPr>
            </w:pPr>
            <w:r>
              <w:rPr>
                <w:rFonts w:ascii="Arial" w:cs="Arial" w:eastAsia="Arial" w:hAnsi="Arial"/>
                <w:sz w:val="20"/>
                <w:szCs w:val="20"/>
                <w:color w:val="auto"/>
                <w:w w:val="89"/>
              </w:rPr>
              <w:t>By:_/s/ Louay Owaidat_____________</w:t>
            </w:r>
          </w:p>
        </w:tc>
      </w:tr>
      <w:tr>
        <w:trPr>
          <w:trHeight w:val="20"/>
        </w:trPr>
        <w:tc>
          <w:tcPr>
            <w:tcW w:w="240" w:type="dxa"/>
            <w:vAlign w:val="bottom"/>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3"/>
        </w:trPr>
        <w:tc>
          <w:tcPr>
            <w:tcW w:w="240" w:type="dxa"/>
            <w:vAlign w:val="bottom"/>
          </w:tcPr>
          <w:p>
            <w:pPr>
              <w:spacing w:after="0"/>
              <w:rPr>
                <w:sz w:val="20"/>
                <w:szCs w:val="20"/>
                <w:color w:val="auto"/>
              </w:rPr>
            </w:pPr>
          </w:p>
        </w:tc>
        <w:tc>
          <w:tcPr>
            <w:tcW w:w="2580" w:type="dxa"/>
            <w:vAlign w:val="bottom"/>
            <w:gridSpan w:val="2"/>
          </w:tcPr>
          <w:p>
            <w:pPr>
              <w:ind w:left="640"/>
              <w:spacing w:after="0"/>
              <w:rPr>
                <w:sz w:val="20"/>
                <w:szCs w:val="20"/>
                <w:color w:val="auto"/>
              </w:rPr>
            </w:pPr>
            <w:r>
              <w:rPr>
                <w:rFonts w:ascii="Arial" w:cs="Arial" w:eastAsia="Arial" w:hAnsi="Arial"/>
                <w:sz w:val="20"/>
                <w:szCs w:val="20"/>
                <w:color w:val="auto"/>
              </w:rPr>
              <w:t>Jonathan W. Berger</w:t>
            </w:r>
          </w:p>
        </w:tc>
        <w:tc>
          <w:tcPr>
            <w:tcW w:w="4080" w:type="dxa"/>
            <w:vAlign w:val="bottom"/>
            <w:gridSpan w:val="4"/>
          </w:tcPr>
          <w:p>
            <w:pPr>
              <w:ind w:left="260"/>
              <w:spacing w:after="0"/>
              <w:rPr>
                <w:sz w:val="20"/>
                <w:szCs w:val="20"/>
                <w:color w:val="auto"/>
              </w:rPr>
            </w:pPr>
            <w:r>
              <w:rPr>
                <w:rFonts w:ascii="Arial" w:cs="Arial" w:eastAsia="Arial" w:hAnsi="Arial"/>
                <w:sz w:val="20"/>
                <w:szCs w:val="20"/>
                <w:color w:val="auto"/>
              </w:rPr>
              <w:t>Louay Owaidat</w:t>
            </w:r>
          </w:p>
        </w:tc>
      </w:tr>
      <w:tr>
        <w:trPr>
          <w:trHeight w:val="246"/>
        </w:trPr>
        <w:tc>
          <w:tcPr>
            <w:tcW w:w="240" w:type="dxa"/>
            <w:vAlign w:val="bottom"/>
          </w:tcPr>
          <w:p>
            <w:pPr>
              <w:spacing w:after="0"/>
              <w:rPr>
                <w:sz w:val="21"/>
                <w:szCs w:val="21"/>
                <w:color w:val="auto"/>
              </w:rPr>
            </w:pPr>
          </w:p>
        </w:tc>
        <w:tc>
          <w:tcPr>
            <w:tcW w:w="1680" w:type="dxa"/>
            <w:vAlign w:val="bottom"/>
          </w:tcPr>
          <w:p>
            <w:pPr>
              <w:ind w:left="640"/>
              <w:spacing w:after="0"/>
              <w:rPr>
                <w:sz w:val="20"/>
                <w:szCs w:val="20"/>
                <w:color w:val="auto"/>
              </w:rPr>
            </w:pPr>
            <w:r>
              <w:rPr>
                <w:rFonts w:ascii="Arial" w:cs="Arial" w:eastAsia="Arial" w:hAnsi="Arial"/>
                <w:sz w:val="20"/>
                <w:szCs w:val="20"/>
                <w:color w:val="auto"/>
              </w:rPr>
              <w:t>Manager</w:t>
            </w:r>
          </w:p>
        </w:tc>
        <w:tc>
          <w:tcPr>
            <w:tcW w:w="4980" w:type="dxa"/>
            <w:vAlign w:val="bottom"/>
            <w:gridSpan w:val="5"/>
          </w:tcPr>
          <w:p>
            <w:pPr>
              <w:ind w:left="320"/>
              <w:spacing w:after="0"/>
              <w:rPr>
                <w:sz w:val="20"/>
                <w:szCs w:val="20"/>
                <w:color w:val="auto"/>
              </w:rPr>
            </w:pPr>
            <w:r>
              <w:rPr>
                <w:rFonts w:ascii="Arial" w:cs="Arial" w:eastAsia="Arial" w:hAnsi="Arial"/>
                <w:sz w:val="20"/>
                <w:szCs w:val="20"/>
                <w:color w:val="auto"/>
              </w:rPr>
              <w:t>Seller Representative, as</w:t>
            </w:r>
          </w:p>
        </w:tc>
      </w:tr>
    </w:tbl>
    <w:p>
      <w:pPr>
        <w:ind w:left="7360"/>
        <w:spacing w:after="0"/>
        <w:rPr>
          <w:sz w:val="20"/>
          <w:szCs w:val="20"/>
          <w:color w:val="auto"/>
        </w:rPr>
      </w:pPr>
      <w:r>
        <w:rPr>
          <w:rFonts w:ascii="Arial" w:cs="Arial" w:eastAsia="Arial" w:hAnsi="Arial"/>
          <w:sz w:val="20"/>
          <w:szCs w:val="20"/>
          <w:color w:val="auto"/>
        </w:rPr>
        <w:t>authorized pursuant to Section</w:t>
      </w:r>
    </w:p>
    <w:p>
      <w:pPr>
        <w:ind w:left="7360"/>
        <w:spacing w:after="0"/>
        <w:rPr>
          <w:sz w:val="20"/>
          <w:szCs w:val="20"/>
          <w:color w:val="auto"/>
        </w:rPr>
      </w:pPr>
      <w:r>
        <w:rPr>
          <w:rFonts w:ascii="Arial" w:cs="Arial" w:eastAsia="Arial" w:hAnsi="Arial"/>
          <w:sz w:val="20"/>
          <w:szCs w:val="20"/>
          <w:color w:val="auto"/>
        </w:rPr>
        <w:t>10.16(c) of the Agreement</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Page 2 of 2</w:t>
      </w:r>
    </w:p>
    <w:p>
      <w:pPr>
        <w:sectPr>
          <w:pgSz w:w="11900" w:h="16838" w:orient="portrait"/>
          <w:cols w:equalWidth="0" w:num="1">
            <w:col w:w="11260"/>
          </w:cols>
          <w:pgMar w:left="240" w:top="125"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September 30, 2016,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September 30, 2016,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7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lowerRoman"/>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3"/>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2019-12-29T09:21:57Z</dcterms:created>
  <dcterms:modified xsi:type="dcterms:W3CDTF">2019-12-29T09:21:57Z</dcterms:modified>
</cp:coreProperties>
</file>