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001-33225</w:t>
        </w:r>
      </w:hyperlink>
    </w:p>
    <w:p>
      <w:pPr>
        <w:spacing w:after="0" w:line="136" w:lineRule="exact"/>
        <w:rPr>
          <w:sz w:val="24"/>
          <w:szCs w:val="24"/>
          <w:color w:val="auto"/>
        </w:rPr>
      </w:pPr>
    </w:p>
    <w:p>
      <w:pPr>
        <w:ind w:left="3020"/>
        <w:spacing w:after="0"/>
        <w:tabs>
          <w:tab w:leader="none" w:pos="38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Great Lakes Dredge &amp; Dock CORP</w:t>
        </w:r>
      </w:hyperlink>
    </w:p>
    <w:p>
      <w:pPr>
        <w:spacing w:after="0" w:line="57"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20"/>
        <w:spacing w:after="0"/>
        <w:tabs>
          <w:tab w:leader="none" w:pos="3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9811 Katy Freeway, Suite 1200</w:t>
      </w:r>
    </w:p>
    <w:p>
      <w:pPr>
        <w:spacing w:after="0" w:line="62" w:lineRule="exact"/>
        <w:rPr>
          <w:sz w:val="24"/>
          <w:szCs w:val="24"/>
          <w:color w:val="auto"/>
        </w:rPr>
      </w:pPr>
    </w:p>
    <w:p>
      <w:pPr>
        <w:jc w:val="center"/>
        <w:ind w:right="-19"/>
        <w:spacing w:after="0"/>
        <w:tabs>
          <w:tab w:leader="none" w:pos="220" w:val="left"/>
          <w:tab w:leader="none" w:pos="200" w:val="left"/>
        </w:tabs>
        <w:rPr>
          <w:sz w:val="20"/>
          <w:szCs w:val="20"/>
          <w:color w:val="auto"/>
        </w:rPr>
      </w:pPr>
      <w:r>
        <w:rPr>
          <w:rFonts w:ascii="Times New Roman" w:cs="Times New Roman" w:eastAsia="Times New Roman" w:hAnsi="Times New Roman"/>
          <w:sz w:val="18"/>
          <w:szCs w:val="18"/>
          <w:color w:val="0000FF"/>
        </w:rPr>
        <w:t>Houston</w:t>
        <w:tab/>
        <w:t>TEXAS</w:t>
      </w:r>
      <w:r>
        <w:rPr>
          <w:sz w:val="20"/>
          <w:szCs w:val="20"/>
          <w:color w:val="auto"/>
        </w:rPr>
        <w:tab/>
      </w:r>
      <w:r>
        <w:rPr>
          <w:rFonts w:ascii="Times New Roman" w:cs="Times New Roman" w:eastAsia="Times New Roman" w:hAnsi="Times New Roman"/>
          <w:sz w:val="16"/>
          <w:szCs w:val="16"/>
          <w:color w:val="0000FF"/>
        </w:rPr>
        <w:t>77024</w:t>
      </w:r>
    </w:p>
    <w:p>
      <w:pPr>
        <w:spacing w:after="0" w:line="63" w:lineRule="exact"/>
        <w:rPr>
          <w:sz w:val="24"/>
          <w:szCs w:val="24"/>
          <w:color w:val="auto"/>
        </w:rPr>
      </w:pPr>
    </w:p>
    <w:p>
      <w:pPr>
        <w:ind w:left="2420"/>
        <w:spacing w:after="0"/>
        <w:tabs>
          <w:tab w:leader="none" w:pos="624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+1 (346) 359-1010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2026-04-01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gldd-form25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3225" TargetMode="External"/><Relationship Id="rId11" Type="http://schemas.openxmlformats.org/officeDocument/2006/relationships/hyperlink" Target="http://www.sec.gov/cgi-bin/browse-edgar?action=getcompany&amp;CIK=00013720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2026-04-01T08:13:43Z</dcterms:created>
  <dcterms:modified xsi:type="dcterms:W3CDTF">2026-04-01T08:13:43Z</dcterms:modified>
</cp:coreProperties>
</file>