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ind w:left="520" w:right="34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94615</wp:posOffset>
            </wp:positionV>
            <wp:extent cx="848995" cy="84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8995"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0"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40"/>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20" w:type="dxa"/>
            <w:vAlign w:val="bottom"/>
          </w:tcPr>
          <w:p>
            <w:pPr>
              <w:jc w:val="center"/>
              <w:ind w:left="39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20" w:type="dxa"/>
            <w:vAlign w:val="bottom"/>
          </w:tcPr>
          <w:p>
            <w:pPr>
              <w:jc w:val="center"/>
              <w:ind w:left="3920"/>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2122 York Road, Oak Brook, IL</w:t>
            </w:r>
          </w:p>
        </w:tc>
        <w:tc>
          <w:tcPr>
            <w:tcW w:w="5120" w:type="dxa"/>
            <w:vAlign w:val="bottom"/>
          </w:tcPr>
          <w:p>
            <w:pPr>
              <w:jc w:val="right"/>
              <w:ind w:right="260"/>
              <w:spacing w:after="0"/>
              <w:rPr>
                <w:sz w:val="20"/>
                <w:szCs w:val="20"/>
                <w:color w:val="auto"/>
              </w:rPr>
            </w:pPr>
            <w:r>
              <w:rPr>
                <w:rFonts w:ascii="Arial" w:cs="Arial" w:eastAsia="Arial" w:hAnsi="Arial"/>
                <w:sz w:val="18"/>
                <w:szCs w:val="18"/>
                <w:b w:val="1"/>
                <w:bCs w:val="1"/>
                <w:color w:val="auto"/>
              </w:rPr>
              <w:t>60523</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20" w:type="dxa"/>
            <w:vAlign w:val="bottom"/>
          </w:tcPr>
          <w:p>
            <w:pPr>
              <w:jc w:val="center"/>
              <w:ind w:left="3940"/>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480" w:type="dxa"/>
            <w:vAlign w:val="bottom"/>
          </w:tcPr>
          <w:p>
            <w:pPr>
              <w:spacing w:after="0"/>
              <w:rPr>
                <w:sz w:val="24"/>
                <w:szCs w:val="24"/>
                <w:color w:val="auto"/>
              </w:rPr>
            </w:pPr>
          </w:p>
        </w:tc>
        <w:tc>
          <w:tcPr>
            <w:tcW w:w="5120" w:type="dxa"/>
            <w:vAlign w:val="bottom"/>
          </w:tcPr>
          <w:p>
            <w:pPr>
              <w:jc w:val="right"/>
              <w:ind w:right="2820"/>
              <w:spacing w:after="0"/>
              <w:rPr>
                <w:sz w:val="20"/>
                <w:szCs w:val="20"/>
                <w:color w:val="auto"/>
              </w:rPr>
            </w:pPr>
            <w:r>
              <w:rPr>
                <w:rFonts w:ascii="Arial" w:cs="Arial" w:eastAsia="Arial" w:hAnsi="Arial"/>
                <w:sz w:val="18"/>
                <w:szCs w:val="18"/>
                <w:b w:val="1"/>
                <w:bCs w:val="1"/>
                <w:color w:val="auto"/>
              </w:rPr>
              <w:t>(630) 574-3000</w:t>
            </w:r>
          </w:p>
        </w:tc>
      </w:tr>
      <w:tr>
        <w:trPr>
          <w:trHeight w:val="186"/>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8"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30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571" w:right="299" w:bottom="1440" w:gutter="0" w:footer="0" w:header="0"/>
        </w:sectPr>
      </w:pP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4">
            <w:col w:w="1700" w:space="600"/>
            <w:col w:w="5680" w:space="720"/>
            <w:col w:w="1780" w:space="720"/>
            <w:col w:w="160"/>
          </w:cols>
          <w:pgMar w:left="240" w:top="571"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620" w:space="680"/>
            <w:col w:w="160" w:space="100"/>
            <w:col w:w="5420" w:space="720"/>
            <w:col w:w="1980" w:space="520"/>
            <w:col w:w="160"/>
          </w:cols>
          <w:pgMar w:left="240" w:top="571" w:right="299" w:bottom="1440" w:gutter="0" w:footer="0" w:header="0"/>
          <w:type w:val="continuous"/>
        </w:sectPr>
      </w:pPr>
    </w:p>
    <w:p>
      <w:pPr>
        <w:spacing w:after="0" w:line="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5" w:lineRule="exact"/>
        <w:rPr>
          <w:sz w:val="24"/>
          <w:szCs w:val="24"/>
          <w:color w:val="auto"/>
        </w:rPr>
      </w:pPr>
    </w:p>
    <w:p>
      <w:pPr>
        <w:sectPr>
          <w:pgSz w:w="11900" w:h="16838" w:orient="portrait"/>
          <w:cols w:equalWidth="0" w:num="4">
            <w:col w:w="8700" w:space="180"/>
            <w:col w:w="260" w:space="80"/>
            <w:col w:w="160" w:space="200"/>
            <w:col w:w="1780"/>
          </w:cols>
          <w:pgMar w:left="240" w:top="571" w:right="29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April 29, 2016, 60,656,931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299720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60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2016 and December 31, 2015</w:t>
              </w:r>
            </w:hyperlink>
          </w:p>
        </w:tc>
        <w:tc>
          <w:tcPr>
            <w:tcW w:w="340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2016 and 2015</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 for the Three Months ended March 31, 2016 and 2015</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040" w:type="dxa"/>
            <w:vAlign w:val="bottom"/>
          </w:tcPr>
          <w:p>
            <w:pPr>
              <w:spacing w:after="0"/>
              <w:rPr>
                <w:sz w:val="24"/>
                <w:szCs w:val="24"/>
                <w:color w:val="auto"/>
              </w:rPr>
            </w:pPr>
          </w:p>
        </w:tc>
        <w:tc>
          <w:tcPr>
            <w:tcW w:w="8340" w:type="dxa"/>
            <w:vAlign w:val="bottom"/>
            <w:tcBorders>
              <w:top w:val="single" w:sz="8" w:color="0000EE"/>
            </w:tcBorders>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 for the Three Months Ended March 31, 2016 and 2015</w:t>
              </w:r>
            </w:hyperlink>
          </w:p>
        </w:tc>
        <w:tc>
          <w:tcPr>
            <w:tcW w:w="1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2016 and 2015</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40" w:type="dxa"/>
            <w:vAlign w:val="bottom"/>
          </w:tcPr>
          <w:p>
            <w:pPr>
              <w:spacing w:after="0"/>
              <w:rPr>
                <w:sz w:val="24"/>
                <w:szCs w:val="24"/>
                <w:color w:val="auto"/>
              </w:rPr>
            </w:pPr>
          </w:p>
        </w:tc>
        <w:tc>
          <w:tcPr>
            <w:tcW w:w="7700" w:type="dxa"/>
            <w:vAlign w:val="bottom"/>
            <w:tcBorders>
              <w:top w:val="single" w:sz="8" w:color="0000EE"/>
            </w:tcBorders>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7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1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20" w:type="dxa"/>
            <w:vAlign w:val="bottom"/>
            <w:gridSpan w:val="1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b w:val="1"/>
                <w:bCs w:val="1"/>
                <w:color w:val="0000EE"/>
                <w:w w:val="89"/>
              </w:rPr>
            </w:pPr>
            <w:hyperlink w:anchor="page36">
              <w:r>
                <w:rPr>
                  <w:rFonts w:ascii="Arial" w:cs="Arial" w:eastAsia="Arial" w:hAnsi="Arial"/>
                  <w:sz w:val="18"/>
                  <w:szCs w:val="18"/>
                  <w:b w:val="1"/>
                  <w:bCs w:val="1"/>
                  <w:color w:val="0000EE"/>
                  <w:w w:val="89"/>
                </w:rPr>
                <w:t>Signature</w:t>
              </w:r>
            </w:hyperlink>
          </w:p>
        </w:tc>
        <w:tc>
          <w:tcPr>
            <w:tcW w:w="8720" w:type="dxa"/>
            <w:vAlign w:val="bottom"/>
            <w:gridSpan w:val="2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Exhibit Index</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15,894</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298,497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432,749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430,210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INVENTORIES—Noncurrent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872,502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898,124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96,499</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61,596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 term debt</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71,624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Common stock—$.0001 par value; 90,000 authorized, 60,934 and 60,709 shares issued; 60,656 and</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60,431 shares outstanding at March 31, 2016 and December 31, 2015, respectively.</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Treasury stock, at cost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(31,699)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(27,664)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249,889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872,502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898,124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-3175</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35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163,119</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26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143,129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assets—net</w:t>
            </w:r>
          </w:p>
        </w:tc>
        <w:tc>
          <w:tcPr>
            <w:tcW w:w="2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26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(5,721)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26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6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w:t>
            </w:r>
          </w:p>
        </w:tc>
        <w:tc>
          <w:tcPr>
            <w:tcW w:w="26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Basic loss per share</w:t>
            </w:r>
          </w:p>
        </w:tc>
        <w:tc>
          <w:tcPr>
            <w:tcW w:w="35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2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Diluted loss per share</w:t>
            </w:r>
          </w:p>
        </w:tc>
        <w:tc>
          <w:tcPr>
            <w:tcW w:w="35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(0.07)</w:t>
            </w: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60,507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20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(4,035)</w:t>
            </w: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2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260" w:right="1920" w:hanging="3252"/>
        <w:spacing w:after="0" w:line="573" w:lineRule="auto"/>
        <w:tabs>
          <w:tab w:leader="none" w:pos="522"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(provision) benefit of $(271) and $536 for the three months ended March 31, 2016 and 2015, respectively. See notes to unaudited condensed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Great Lakes Dredge &amp; Dock Corporation and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78" w:lineRule="exact"/>
        <w:rPr>
          <w:sz w:val="20"/>
          <w:szCs w:val="20"/>
          <w:color w:val="auto"/>
        </w:rPr>
      </w:pPr>
    </w:p>
    <w:tbl>
      <w:tblPr>
        <w:tblLayout w:type="fixed"/>
        <w:tblInd w:w="3460" w:type="dxa"/>
        <w:tblCellMar>
          <w:top w:w="0" w:type="dxa"/>
          <w:left w:w="0" w:type="dxa"/>
          <w:bottom w:w="0" w:type="dxa"/>
          <w:right w:w="0" w:type="dxa"/>
        </w:tblCellMar>
      </w:tblPr>
      <w:tr>
        <w:trPr>
          <w:trHeight w:val="176"/>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spacing w:after="0"/>
              <w:rPr>
                <w:sz w:val="15"/>
                <w:szCs w:val="15"/>
                <w:color w:val="auto"/>
              </w:rPr>
            </w:pPr>
          </w:p>
        </w:tc>
      </w:tr>
      <w:tr>
        <w:trPr>
          <w:trHeight w:val="176"/>
        </w:trPr>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Shares of</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760" w:type="dxa"/>
            <w:vAlign w:val="bottom"/>
          </w:tcPr>
          <w:p>
            <w:pPr>
              <w:spacing w:after="0"/>
              <w:rPr>
                <w:sz w:val="15"/>
                <w:szCs w:val="15"/>
                <w:color w:val="auto"/>
              </w:rPr>
            </w:pPr>
          </w:p>
        </w:tc>
      </w:tr>
      <w:tr>
        <w:trPr>
          <w:trHeight w:val="176"/>
        </w:trPr>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Accumulated</w:t>
            </w: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760" w:type="dxa"/>
            <w:vAlign w:val="bottom"/>
          </w:tcPr>
          <w:p>
            <w:pPr>
              <w:spacing w:after="0"/>
              <w:rPr>
                <w:sz w:val="15"/>
                <w:szCs w:val="15"/>
                <w:color w:val="auto"/>
              </w:rPr>
            </w:pPr>
          </w:p>
        </w:tc>
      </w:tr>
      <w:tr>
        <w:trPr>
          <w:trHeight w:val="185"/>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r>
    </w:tbl>
    <w:p>
      <w:pPr>
        <w:spacing w:after="0" w:line="134" w:lineRule="exact"/>
        <w:rPr>
          <w:sz w:val="20"/>
          <w:szCs w:val="20"/>
          <w:color w:val="auto"/>
        </w:rPr>
      </w:pPr>
    </w:p>
    <w:p>
      <w:pPr>
        <w:sectPr>
          <w:pgSz w:w="11900" w:h="16838" w:orient="portrait"/>
          <w:cols w:equalWidth="0" w:num="1">
            <w:col w:w="11420"/>
          </w:cols>
          <w:pgMar w:left="240" w:top="337" w:right="239" w:bottom="1440" w:gutter="0" w:footer="0" w:header="0"/>
        </w:sectPr>
      </w:pPr>
    </w:p>
    <w:p>
      <w:pPr>
        <w:jc w:val="right"/>
        <w:ind w:right="1060"/>
        <w:spacing w:after="0" w:line="300" w:lineRule="auto"/>
        <w:rPr>
          <w:sz w:val="20"/>
          <w:szCs w:val="20"/>
          <w:color w:val="auto"/>
        </w:rPr>
      </w:pPr>
      <w:r>
        <w:rPr>
          <w:rFonts w:ascii="Arial" w:cs="Arial" w:eastAsia="Arial" w:hAnsi="Arial"/>
          <w:sz w:val="16"/>
          <w:szCs w:val="16"/>
          <w:color w:val="auto"/>
        </w:rPr>
        <w:t>BALANCE—January 1, 2016 Share-based compensation</w:t>
      </w:r>
    </w:p>
    <w:p>
      <w:pPr>
        <w:ind w:left="260" w:right="140"/>
        <w:spacing w:after="0" w:line="258" w:lineRule="auto"/>
        <w:rPr>
          <w:sz w:val="20"/>
          <w:szCs w:val="20"/>
          <w:color w:val="auto"/>
        </w:rPr>
      </w:pPr>
      <w:r>
        <w:rPr>
          <w:rFonts w:ascii="Arial" w:cs="Arial" w:eastAsia="Arial" w:hAnsi="Arial"/>
          <w:sz w:val="18"/>
          <w:szCs w:val="18"/>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firstLine="247"/>
        <w:spacing w:after="0" w:line="308" w:lineRule="auto"/>
        <w:rPr>
          <w:sz w:val="20"/>
          <w:szCs w:val="20"/>
          <w:color w:val="auto"/>
        </w:rPr>
      </w:pPr>
      <w:r>
        <w:rPr>
          <w:rFonts w:ascii="Arial" w:cs="Arial" w:eastAsia="Arial" w:hAnsi="Arial"/>
          <w:sz w:val="18"/>
          <w:szCs w:val="18"/>
          <w:color w:val="auto"/>
        </w:rPr>
        <w:t>Other comprehensive income—net of tax BALANCE—March 31, 2016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gridSpan w:val="2"/>
          </w:tcPr>
          <w:p>
            <w:pPr>
              <w:jc w:val="right"/>
              <w:spacing w:after="0"/>
              <w:rPr>
                <w:sz w:val="20"/>
                <w:szCs w:val="20"/>
                <w:color w:val="auto"/>
              </w:rPr>
            </w:pPr>
            <w:r>
              <w:rPr>
                <w:rFonts w:ascii="Arial" w:cs="Arial" w:eastAsia="Arial" w:hAnsi="Arial"/>
                <w:sz w:val="18"/>
                <w:szCs w:val="18"/>
                <w:color w:val="auto"/>
              </w:rPr>
              <w:t>60,709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(1,433)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2"/>
              </w:rPr>
              <w:t>$ 283,247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(27,664)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(1,983)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9"/>
              </w:rPr>
              <w:t>$ 252,173</w:t>
            </w:r>
          </w:p>
        </w:tc>
        <w:tc>
          <w:tcPr>
            <w:tcW w:w="60" w:type="dxa"/>
            <w:vAlign w:val="bottom"/>
          </w:tcPr>
          <w:p>
            <w:pPr>
              <w:spacing w:after="0"/>
              <w:rPr>
                <w:sz w:val="19"/>
                <w:szCs w:val="19"/>
                <w:color w:val="auto"/>
              </w:rPr>
            </w:pPr>
          </w:p>
        </w:tc>
      </w:tr>
      <w:tr>
        <w:trPr>
          <w:trHeight w:val="230"/>
        </w:trPr>
        <w:tc>
          <w:tcPr>
            <w:tcW w:w="7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60" w:type="dxa"/>
            <w:vAlign w:val="bottom"/>
          </w:tcPr>
          <w:p>
            <w:pPr>
              <w:spacing w:after="0"/>
              <w:rPr>
                <w:sz w:val="20"/>
                <w:szCs w:val="20"/>
                <w:color w:val="auto"/>
              </w:rPr>
            </w:pPr>
          </w:p>
        </w:tc>
      </w:tr>
      <w:tr>
        <w:trPr>
          <w:trHeight w:val="338"/>
        </w:trPr>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24"/>
                <w:szCs w:val="24"/>
                <w:color w:val="auto"/>
              </w:rPr>
            </w:pPr>
          </w:p>
        </w:tc>
      </w:tr>
      <w:tr>
        <w:trPr>
          <w:trHeight w:val="337"/>
        </w:trPr>
        <w:tc>
          <w:tcPr>
            <w:tcW w:w="4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(4,035)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(4,035)</w:t>
            </w:r>
          </w:p>
        </w:tc>
      </w:tr>
      <w:tr>
        <w:trPr>
          <w:trHeight w:val="230"/>
        </w:trPr>
        <w:tc>
          <w:tcPr>
            <w:tcW w:w="40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20"/>
                <w:szCs w:val="20"/>
                <w:color w:val="auto"/>
              </w:rPr>
            </w:pPr>
          </w:p>
        </w:tc>
      </w:tr>
      <w:tr>
        <w:trPr>
          <w:trHeight w:val="223"/>
        </w:trPr>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60,934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$ 284,589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$ 249,889</w:t>
            </w:r>
          </w:p>
        </w:tc>
        <w:tc>
          <w:tcPr>
            <w:tcW w:w="60" w:type="dxa"/>
            <w:vAlign w:val="bottom"/>
          </w:tcPr>
          <w:p>
            <w:pPr>
              <w:spacing w:after="0"/>
              <w:rPr>
                <w:sz w:val="19"/>
                <w:szCs w:val="19"/>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3"/>
        </w:trPr>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400" w:type="dxa"/>
            <w:vAlign w:val="bottom"/>
          </w:tcPr>
          <w:p>
            <w:pPr>
              <w:spacing w:after="0"/>
              <w:rPr>
                <w:sz w:val="15"/>
                <w:szCs w:val="15"/>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Shares of</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400" w:type="dxa"/>
            <w:vAlign w:val="bottom"/>
          </w:tcPr>
          <w:p>
            <w:pPr>
              <w:spacing w:after="0"/>
              <w:rPr>
                <w:sz w:val="15"/>
                <w:szCs w:val="15"/>
                <w:color w:val="auto"/>
              </w:rPr>
            </w:pPr>
          </w:p>
        </w:tc>
        <w:tc>
          <w:tcPr>
            <w:tcW w:w="9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5"/>
                <w:szCs w:val="15"/>
                <w:color w:val="auto"/>
              </w:rPr>
            </w:pPr>
          </w:p>
        </w:tc>
        <w:tc>
          <w:tcPr>
            <w:tcW w:w="1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400" w:type="dxa"/>
            <w:vAlign w:val="bottom"/>
          </w:tcPr>
          <w:p>
            <w:pPr>
              <w:spacing w:after="0"/>
              <w:rPr>
                <w:sz w:val="14"/>
                <w:szCs w:val="14"/>
                <w:color w:val="auto"/>
              </w:rPr>
            </w:pPr>
          </w:p>
        </w:tc>
        <w:tc>
          <w:tcPr>
            <w:tcW w:w="580" w:type="dxa"/>
            <w:vAlign w:val="bottom"/>
            <w:tcBorders>
              <w:bottom w:val="single" w:sz="8" w:color="auto"/>
            </w:tcBorders>
            <w:gridSpan w:val="2"/>
          </w:tcPr>
          <w:p>
            <w:pPr>
              <w:jc w:val="center"/>
              <w:ind w:left="41"/>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-1748790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-1457325</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-1028700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3240" w:space="220"/>
            <w:col w:w="796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BALANCE—January 1, 2015</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$ 278,166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(21,475)</w:t>
            </w: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(734)</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$ 255,963</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r>
      <w:tr>
        <w:trPr>
          <w:trHeight w:val="215"/>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units, including</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impact of shares withheld for taxes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15"/>
        </w:trPr>
        <w:tc>
          <w:tcPr>
            <w:tcW w:w="3860" w:type="dxa"/>
            <w:vAlign w:val="bottom"/>
          </w:tcPr>
          <w:p>
            <w:pPr>
              <w:ind w:left="260"/>
              <w:spacing w:after="0"/>
              <w:rPr>
                <w:sz w:val="20"/>
                <w:szCs w:val="20"/>
                <w:color w:val="auto"/>
              </w:rPr>
            </w:pPr>
            <w:r>
              <w:rPr>
                <w:rFonts w:ascii="Arial" w:cs="Arial" w:eastAsia="Arial" w:hAnsi="Arial"/>
                <w:sz w:val="18"/>
                <w:szCs w:val="18"/>
                <w:color w:val="auto"/>
              </w:rPr>
              <w:t>Exercise of options and purchases from</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employee stock plans</w:t>
            </w: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r>
      <w:tr>
        <w:trPr>
          <w:trHeight w:val="215"/>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Excess income tax benefit from share-based</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(8,390)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(8,390)</w:t>
            </w: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loss—net of tax</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(808)</w:t>
            </w: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(808)</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BALANCE—March 31, 2015</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60,379</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$ 279,954</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$ 248,553</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73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(4,035)</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(8,390)</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w w:val="99"/>
              </w:rPr>
              <w:t>Adjustments to reconcile net loss to net cash flows provided by (used in) 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13,153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loss of joint ventures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(6,045)</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Amortization of deferred financing fees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gain from mark-to-market valuations of derivatives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Unrealized foreign currency gain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Excess income tax benefit from share-based compensation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(20,160)</w:t>
            </w: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(33,322)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(24,463)</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(2,245)</w:t>
            </w: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(1,475)</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provided by (used in) operating activities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(14,917)</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(20,777)</w:t>
            </w:r>
          </w:p>
        </w:tc>
        <w:tc>
          <w:tcPr>
            <w:tcW w:w="20" w:type="dxa"/>
            <w:vAlign w:val="bottom"/>
          </w:tcPr>
          <w:p>
            <w:pPr>
              <w:spacing w:after="0"/>
              <w:rPr>
                <w:sz w:val="19"/>
                <w:szCs w:val="19"/>
                <w:color w:val="auto"/>
              </w:rPr>
            </w:pPr>
          </w:p>
        </w:tc>
      </w:tr>
      <w:tr>
        <w:trPr>
          <w:trHeight w:val="230"/>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5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(14,892)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7300" w:type="dxa"/>
            <w:vAlign w:val="bottom"/>
          </w:tcPr>
          <w:p>
            <w:pPr>
              <w:ind w:left="566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long term note payable</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(265)</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term loan facility</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(1,250)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Repayments of equipment debt</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(367)</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equipment debt</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38,000</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loans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(23,000)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3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3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15,894</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360" w:type="dxa"/>
            <w:vAlign w:val="bottom"/>
          </w:tcPr>
          <w:p>
            <w:pPr>
              <w:spacing w:after="0"/>
              <w:rPr>
                <w:sz w:val="21"/>
                <w:szCs w:val="21"/>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11,276</w:t>
            </w:r>
          </w:p>
        </w:tc>
        <w:tc>
          <w:tcPr>
            <w:tcW w:w="300" w:type="dxa"/>
            <w:vAlign w:val="bottom"/>
          </w:tcPr>
          <w:p>
            <w:pPr>
              <w:spacing w:after="0"/>
              <w:rPr>
                <w:sz w:val="21"/>
                <w:szCs w:val="21"/>
                <w:color w:val="auto"/>
              </w:rPr>
            </w:pPr>
          </w:p>
        </w:tc>
        <w:tc>
          <w:tcPr>
            <w:tcW w:w="560" w:type="dxa"/>
            <w:vAlign w:val="bottom"/>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Cash paid (refunded) for income taxes</w:t>
            </w:r>
          </w:p>
        </w:tc>
        <w:tc>
          <w:tcPr>
            <w:tcW w:w="1360" w:type="dxa"/>
            <w:vAlign w:val="bottom"/>
            <w:tcBorders>
              <w:top w:val="single" w:sz="8" w:color="CFF0FC"/>
            </w:tcBorders>
            <w:vMerge w:val="restart"/>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vMerge w:val="continue"/>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purchased but not yet paid</w:t>
            </w:r>
          </w:p>
        </w:tc>
        <w:tc>
          <w:tcPr>
            <w:tcW w:w="1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10,003</w:t>
            </w:r>
          </w:p>
        </w:tc>
        <w:tc>
          <w:tcPr>
            <w:tcW w:w="300" w:type="dxa"/>
            <w:vAlign w:val="bottom"/>
            <w:tcBorders>
              <w:right w:val="single" w:sz="8" w:color="CFF0FC"/>
            </w:tcBorders>
            <w:shd w:val="clear" w:color="auto" w:fill="CFF0FC"/>
          </w:tcPr>
          <w:p>
            <w:pPr>
              <w:spacing w:after="0"/>
              <w:rPr>
                <w:sz w:val="19"/>
                <w:szCs w:val="19"/>
                <w:color w:val="auto"/>
              </w:rPr>
            </w:pP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purchased on notes payable</w:t>
            </w:r>
          </w:p>
        </w:tc>
        <w:tc>
          <w:tcPr>
            <w:tcW w:w="23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2015.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2016, and its results of operations for the three months ended March 31, 2016 and 2015 and cash flows for the three months ended March 31, 2016 and 2015 have been included.</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cost structure includes significant annual equipment-related costs, including depreciation, maintenance, insurance and long-term rentals. These costs have averaged approximately 21%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three operating segments: dredging, Terra Contracting Services, LLC (“Terra”) and Great Lakes Environmental &amp; Infrastructure, LLC (“GLEI”), previously referred to as Magnus Pacific, LLC, which were aggregated into two reportable segments: dredging and environmental &amp; infrastructure, previously referred to as environmental &amp; remediation. As Terra and GLEI have similarity in economic margins, services, production processes, customer types, distribution methods and regulatory environment, they were aggregated into one reporting segment. There has been no change in the Company’s identification of operating segments and reportable segments. The Company has determined that the operating segments are the Company’s three reporting units. The Company will perform its next scheduled annual test of goodwill in the third quarter of 2016.</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No.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w:t>
      </w:r>
      <w:r>
        <w:rPr>
          <w:rFonts w:ascii="Arial" w:cs="Arial" w:eastAsia="Arial" w:hAnsi="Arial"/>
          <w:sz w:val="18"/>
          <w:szCs w:val="18"/>
          <w:color w:val="auto"/>
        </w:rPr>
        <w:t>(“ASU 2016-09”). ASU 2016-09 identifies areas for simplification involving several aspects of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Company is currently evaluating the impact of ASU 2016-09 on its consolidated financial statements.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February 2016, the FASB issued Accounting Standard Update No. 2016-02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Board issued this update to increase the transparency and comparability among organizations by recognizing lease assets and lease liabilities on the balance sheet and disclosing key information about leasing arrangements. The guidance is effective for fiscal years beginning after December 15, 2018, including interim periods within those annual periods. The Company is currently evaluating the impact of ASU 2016-02 on its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right="120"/>
        <w:spacing w:after="0" w:line="276" w:lineRule="auto"/>
        <w:rPr>
          <w:sz w:val="20"/>
          <w:szCs w:val="20"/>
          <w:color w:val="auto"/>
        </w:rPr>
      </w:pPr>
      <w:r>
        <w:rPr>
          <w:rFonts w:ascii="Arial" w:cs="Arial" w:eastAsia="Arial" w:hAnsi="Arial"/>
          <w:sz w:val="17"/>
          <w:szCs w:val="17"/>
          <w:color w:val="auto"/>
        </w:rPr>
        <w:t xml:space="preserve">In November 2015, the FASB issued Accounting Standard Update No. 2015-17 (“ASU 2015-17”), </w:t>
      </w:r>
      <w:r>
        <w:rPr>
          <w:rFonts w:ascii="Arial" w:cs="Arial" w:eastAsia="Arial" w:hAnsi="Arial"/>
          <w:sz w:val="17"/>
          <w:szCs w:val="17"/>
          <w:i w:val="1"/>
          <w:iCs w:val="1"/>
          <w:color w:val="auto"/>
        </w:rPr>
        <w:t>Income Taxes: Balance Sheet Classifications of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(Topic 740) </w:t>
      </w:r>
      <w:r>
        <w:rPr>
          <w:rFonts w:ascii="Arial" w:cs="Arial" w:eastAsia="Arial" w:hAnsi="Arial"/>
          <w:sz w:val="17"/>
          <w:szCs w:val="17"/>
          <w:color w:val="auto"/>
        </w:rPr>
        <w:t>which simplifies the presentation of deferred income taxes by requiring that deferred tax liabilities and assets be classified as noncurrent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balance sheet. The update is effective for public companies for fiscal years beginning after December 15, 2016, including interim periods within that reporting period. The guidance may be adopted prospectively or retrospectively and early adoption is permitted. As of December 31, 2015, the Company elected to early adopt this ASU 2015-17 on a prospective basis and therefore, prior years were not retrospectively adjusted.</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April 2015, the FASB issued Accounting Standard Update No. 2015-03 (“ASU 2015-03”), </w:t>
      </w:r>
      <w:r>
        <w:rPr>
          <w:rFonts w:ascii="Arial" w:cs="Arial" w:eastAsia="Arial" w:hAnsi="Arial"/>
          <w:sz w:val="17"/>
          <w:szCs w:val="17"/>
          <w:i w:val="1"/>
          <w:iCs w:val="1"/>
          <w:color w:val="auto"/>
        </w:rPr>
        <w:t>Interest - Imputation of Interest: Simplifying the 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w:t>
      </w:r>
      <w:r>
        <w:rPr>
          <w:rFonts w:ascii="Arial" w:cs="Arial" w:eastAsia="Arial" w:hAnsi="Arial"/>
          <w:sz w:val="17"/>
          <w:szCs w:val="17"/>
          <w:color w:val="auto"/>
        </w:rPr>
        <w:t>which requires that debt issuance costs related to a recognized debt liability be presented in the balance sheet as a direct deduction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carrying amount of that debt liability, consistent with debt discounts. This update is effective for fiscal years beginning after December 15, 2015, and is required to be applied retrospectively. The Company adopted this standard in the first quarter of 2016 on a retrospective basis. As a result, the Company presented $3,502 of unamortized debt issuance costs that had been included in other assets in the consolidated balance sheet as of December 31, 2015 as direct deductions from the carrying amounts of the related debt liabilities.</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May 2014, the FASB issued Accounting Standard Update No. 2014-09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supersedes the existing revenue recognition requirements. ASU 2014-09 is based on the principle that revenue is recognized to depict the transfer of goods or services to customers in an amount that reflects the consideration to which the entity expects to be entitled in exchange for those goods or services. ASU 2014-09 has been deferred to be effective for fiscal years beginning after December 15, 2017, including interim periods within that reporting period, which will be its first quarter of fiscal 2018. Early adoption is permitted in fiscal 2017. The Company is currently evaluating the impact of ASU 2014-09 on its consolidated financial statements.</w:t>
      </w:r>
    </w:p>
    <w:p>
      <w:pPr>
        <w:spacing w:after="0" w:line="378"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similarly to basic earnings per share except that it reflects the potential dilution that could occur if dilutive securities or other obligations to issue common stock were exercised or converted into common stock. For the three months ended March 31, 2016 and 2015, the dilutive effect of 359 thousand and 534 thousand stock options and restricted stock units, respectively, were excluded from the diluted weighted-average common shares outstanding as the Company incurred a loss during these periods. For the three months ended March 31, 2016, 1,812 thousand stock options and restricted stock units were excluded from the calculation of diluted earnings per share based on the application of the treasury stock method, as such stock options and restricted stock units were determined to be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for basic and diluted loss per share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 in thousands)</w:t>
            </w:r>
          </w:p>
        </w:tc>
        <w:tc>
          <w:tcPr>
            <w:tcW w:w="2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vMerge w:val="restart"/>
          </w:tcPr>
          <w:p>
            <w:pPr>
              <w:spacing w:after="0"/>
              <w:rPr>
                <w:sz w:val="13"/>
                <w:szCs w:val="13"/>
                <w:color w:val="auto"/>
              </w:rPr>
            </w:pPr>
          </w:p>
        </w:tc>
        <w:tc>
          <w:tcPr>
            <w:tcW w:w="49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(4,035)</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(8,390)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520" w:type="dxa"/>
            <w:vAlign w:val="bottom"/>
            <w:gridSpan w:val="2"/>
          </w:tcPr>
          <w:p>
            <w:pPr>
              <w:ind w:left="580"/>
              <w:spacing w:after="0"/>
              <w:rPr>
                <w:sz w:val="20"/>
                <w:szCs w:val="20"/>
                <w:color w:val="auto"/>
              </w:rPr>
            </w:pPr>
            <w:r>
              <w:rPr>
                <w:rFonts w:ascii="Arial" w:cs="Arial" w:eastAsia="Arial" w:hAnsi="Arial"/>
                <w:sz w:val="18"/>
                <w:szCs w:val="18"/>
                <w:color w:val="auto"/>
                <w:w w:val="90"/>
              </w:rPr>
              <w:t>Weighted-average common shares outstanding — basic and diluted</w:t>
            </w:r>
          </w:p>
        </w:tc>
        <w:tc>
          <w:tcPr>
            <w:tcW w:w="2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60,265</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49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 basic</w:t>
            </w:r>
          </w:p>
        </w:tc>
        <w:tc>
          <w:tcPr>
            <w:tcW w:w="2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(0.07)</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Loss per share — diluted</w:t>
            </w:r>
          </w:p>
        </w:tc>
        <w:tc>
          <w:tcPr>
            <w:tcW w:w="2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20" w:type="dxa"/>
            <w:vAlign w:val="bottom"/>
          </w:tcPr>
          <w:p>
            <w:pPr>
              <w:jc w:val="right"/>
              <w:ind w:right="205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0" w:name="page11"/>
    <w:bookmarkEnd w:id="10"/>
    <w:p>
      <w:pPr>
        <w:ind w:left="1040" w:hanging="519"/>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contracts in progress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March 31, 2016 and December 31, 2015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Contracts in progress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358"/>
        </w:trPr>
        <w:tc>
          <w:tcPr>
            <w:tcW w:w="5440" w:type="dxa"/>
            <w:vAlign w:val="bottom"/>
            <w:gridSpan w:val="2"/>
          </w:tcPr>
          <w:p>
            <w:pPr>
              <w:spacing w:after="0"/>
              <w:rPr>
                <w:sz w:val="20"/>
                <w:szCs w:val="20"/>
                <w:color w:val="auto"/>
              </w:rPr>
            </w:pPr>
            <w:r>
              <w:rPr>
                <w:rFonts w:ascii="Arial" w:cs="Arial" w:eastAsia="Arial" w:hAnsi="Arial"/>
                <w:sz w:val="18"/>
                <w:szCs w:val="18"/>
                <w:color w:val="auto"/>
              </w:rPr>
              <w:t>Total accounts receivable—net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104,642</w:t>
            </w:r>
          </w:p>
        </w:tc>
        <w:tc>
          <w:tcPr>
            <w:tcW w:w="2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134,347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accounts receivable and retainage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104,642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134,347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March 31, 2016 and December 31, 2015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375,747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(332,037)</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(176,283)</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43,710</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30,866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74,576</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Amounts billed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(176,226)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Costs and earnings for contracts in progress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170,068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200,489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billings in excess of contract revenues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(6,158)</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$17,910 included in costs in excess of billings that are dependent upon the sale of environmental credits earned for a wetland mitigation project. The sale of these credits is subject to market factors that could cause the amount of expected revenue to be higher or lower than currently estimated. If the amount of proceeds received from the sale of the environmental credits is lower than our expectations, we could sustain a loss of part or all of the costs incurred related to this project. Additionally, the timing of realization may be impacted by the timing of a delay in the sale of these environmental credits, resulting in a longer period to recover our investment.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1040" w:hanging="519"/>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March 31, 2016 and December 31, 2015 are as follows: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Accumulated deficit in joint ventures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 benefits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completion adjustment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Fuel hedge contracts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Income and other taxes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7,567</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61,596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72,277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$210,000, multicurrency borrowings up to a $50,000 sublimit and swingline loans up to a $10,000 sublimit. The Credit Agreement also includes an incremental loans feature that will allow the Company to increase the senior revolving credit facility by an aggregate principal amount of up to $15,000.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 The Credit Agreement is collateralized by a substantial portion of the Company’s operating equipment with a net book value at March 31, 2016 of $148,785.</w:t>
      </w:r>
    </w:p>
    <w:p>
      <w:pPr>
        <w:spacing w:after="0" w:line="16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at either a LIBOR rate plus a margin of between 1.50% to 2.50% per annum or a base rate plus a margin of between 0.50% to 1.50% per annum.</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Credit Agreement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March 31, 2016, the Company had $35,000 of borrowings on the revolver and $49,360 of letters of credit outstanding, resulting in $125,640 of availability under the Credit Agreement. At March 31, 2016, the Company was in compliance with its various financial covenants under the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4, 2014, the Company entered into a senior secured term loan facility consisting of a term loan in an aggregate principal amount of $50,000 (the “Term Loan Facility”) pursuant to a Loan and Security Agreement (the “Loan Agreement”) by and among the lenders party thereto from time to time and Bank of America, N.A., as administrative agent. The Company has borrowed an aggregate principal amount of $47,360 in 2014 and an additional $2,640 in 2015.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 (the “ATB”).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right="18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Term Loan Facility provides for monthly amortization payments, payable in arrears, which commenced on December 4, 2014, at an annual amount of (i) 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 The Term Loan Facility is collateralized by a portion of the Company’s operating equipment with a net book value at March 31, 2016 of $49,227.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outstanding $275,000 of 7.375% senior notes due February 2019. There is an optional redemption on all notes. The redemption prices are 103.7% in 2015, 101.8% in 2016 and 100% in any year following, until the notes mature in 2019. Interest is paid semi-annually and principal is due at maturity.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enters into note arrangements to finance certain vessels and ancillary equipment. During the first quarter of 2015, the Company financed the $15,569 acquisition of a vessel previously under an operating lease with a note bearing interest at 5.75% to maturity in 2023. The current portion of all equipment notes is $2,396. The long term portion is $16,488 and is included in notes payable or other long term liabilities.</w:t>
      </w:r>
    </w:p>
    <w:p>
      <w:pPr>
        <w:spacing w:after="0" w:line="351"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220" w:type="dxa"/>
            <w:vAlign w:val="bottom"/>
          </w:tcPr>
          <w:p>
            <w:pPr>
              <w:spacing w:after="0"/>
              <w:rPr>
                <w:sz w:val="11"/>
                <w:szCs w:val="11"/>
                <w:color w:val="auto"/>
              </w:rPr>
            </w:pPr>
          </w:p>
        </w:tc>
        <w:tc>
          <w:tcPr>
            <w:tcW w:w="10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9"/>
              </w:rPr>
              <w:t>At March 31, 2016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2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vMerge w:val="continue"/>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Fuel hedge contracts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3,056</w:t>
            </w:r>
          </w:p>
        </w:tc>
        <w:tc>
          <w:tcPr>
            <w:tcW w:w="126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436"/>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1040" w:type="dxa"/>
            <w:vAlign w:val="bottom"/>
            <w:vMerge w:val="restart"/>
          </w:tcPr>
          <w:p>
            <w:pPr>
              <w:jc w:val="center"/>
              <w:ind w:left="147"/>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At December 31, 2015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ind w:left="147"/>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4,388</w:t>
            </w:r>
          </w:p>
        </w:tc>
        <w:tc>
          <w:tcPr>
            <w:tcW w:w="220" w:type="dxa"/>
            <w:vAlign w:val="bottom"/>
          </w:tcPr>
          <w:p>
            <w:pPr>
              <w:spacing w:after="0"/>
              <w:rPr>
                <w:sz w:val="24"/>
                <w:szCs w:val="24"/>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2016, the Company was party to various swap arrangements to hedge the price of a portion of its diesel fuel purchase requirements for work in its backlog to be performed through March 2017. As of March 31, 2016, there were 12.0 million gallons remaining on these contracts which represent approximately 80% of the Company’s forecasted domestic fuel purchases through March 2017. Under these swap agreements, the Company will pay fixed prices ranging from $1.02 to $2.11 per gallon.</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March 31, 2016 and December 31, 2015, the fair value liability of the fuel hedge contracts was estimated to be $3,056 and $4,388, respectively, and is recorded in accrued expenses. Changes in the fair value of fuel hedge contracts being recorded in the Statement of Operations are recorded as cost of contract revenues. The fair values of fuel hedges are corroborated using inputs that are readily observable in public markets; therefore, the Company determines fair value of these fuel hedges using Level 2 inputs.</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March 31, 2016 and December 31, 2015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ind w:left="760"/>
              <w:spacing w:after="0"/>
              <w:rPr>
                <w:sz w:val="20"/>
                <w:szCs w:val="20"/>
                <w:color w:val="auto"/>
              </w:rPr>
            </w:pPr>
            <w:r>
              <w:rPr>
                <w:rFonts w:ascii="Arial" w:cs="Arial" w:eastAsia="Arial" w:hAnsi="Arial"/>
                <w:sz w:val="14"/>
                <w:szCs w:val="14"/>
                <w:b w:val="1"/>
                <w:bCs w:val="1"/>
                <w:color w:val="auto"/>
              </w:rPr>
              <w:t>Fair Value at</w:t>
            </w: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44"/>
              <w:spacing w:after="0" w:line="147"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82"/>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40" w:type="dxa"/>
            <w:vAlign w:val="bottom"/>
            <w:gridSpan w:val="2"/>
          </w:tcPr>
          <w:p>
            <w:pPr>
              <w:ind w:left="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42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derivatives:</w:t>
            </w:r>
          </w:p>
        </w:tc>
        <w:tc>
          <w:tcPr>
            <w:tcW w:w="400" w:type="dxa"/>
            <w:vAlign w:val="bottom"/>
            <w:tcBorders>
              <w:top w:val="single" w:sz="8" w:color="CFF0FC"/>
            </w:tcBorders>
            <w:shd w:val="clear" w:color="auto" w:fill="CFF0FC"/>
          </w:tcPr>
          <w:p>
            <w:pPr>
              <w:spacing w:after="0"/>
              <w:rPr>
                <w:sz w:val="19"/>
                <w:szCs w:val="19"/>
                <w:color w:val="auto"/>
              </w:rPr>
            </w:pPr>
          </w:p>
        </w:tc>
        <w:tc>
          <w:tcPr>
            <w:tcW w:w="3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2760" w:type="dxa"/>
            <w:vAlign w:val="bottom"/>
          </w:tcPr>
          <w:p>
            <w:pPr>
              <w:ind w:left="240"/>
              <w:spacing w:after="0"/>
              <w:rPr>
                <w:sz w:val="20"/>
                <w:szCs w:val="20"/>
                <w:color w:val="auto"/>
              </w:rPr>
            </w:pPr>
            <w:r>
              <w:rPr>
                <w:rFonts w:ascii="Arial" w:cs="Arial" w:eastAsia="Arial" w:hAnsi="Arial"/>
                <w:sz w:val="18"/>
                <w:szCs w:val="18"/>
                <w:color w:val="auto"/>
              </w:rPr>
              <w:t>Derivatives not designated as</w:t>
            </w: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380"/>
              <w:spacing w:after="0"/>
              <w:rPr>
                <w:sz w:val="20"/>
                <w:szCs w:val="20"/>
                <w:color w:val="auto"/>
              </w:rPr>
            </w:pPr>
            <w:r>
              <w:rPr>
                <w:rFonts w:ascii="Arial" w:cs="Arial" w:eastAsia="Arial" w:hAnsi="Arial"/>
                <w:sz w:val="18"/>
                <w:szCs w:val="18"/>
                <w:color w:val="auto"/>
              </w:rPr>
              <w:t>hedging instruments</w:t>
            </w:r>
          </w:p>
        </w:tc>
        <w:tc>
          <w:tcPr>
            <w:tcW w:w="4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344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Accrued expenses</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3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98"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6"/>
        </w:trPr>
        <w:tc>
          <w:tcPr>
            <w:tcW w:w="4700" w:type="dxa"/>
            <w:vAlign w:val="bottom"/>
            <w:vMerge w:val="restart"/>
          </w:tcPr>
          <w:p>
            <w:pPr>
              <w:spacing w:after="0"/>
              <w:rPr>
                <w:sz w:val="20"/>
                <w:szCs w:val="20"/>
                <w:color w:val="auto"/>
              </w:rPr>
            </w:pPr>
            <w:r>
              <w:rPr>
                <w:rFonts w:ascii="Arial" w:cs="Arial" w:eastAsia="Arial" w:hAnsi="Arial"/>
                <w:sz w:val="18"/>
                <w:szCs w:val="18"/>
                <w:color w:val="auto"/>
              </w:rPr>
              <w:t>Cumulative translation adjustments—net of tax</w:t>
            </w:r>
          </w:p>
        </w:tc>
        <w:tc>
          <w:tcPr>
            <w:tcW w:w="130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ind w:right="207"/>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59"/>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Borders>
              <w:bottom w:val="single" w:sz="8" w:color="auto"/>
            </w:tcBorders>
          </w:tcPr>
          <w:p>
            <w:pPr>
              <w:jc w:val="right"/>
              <w:ind w:right="12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The Term Loan Facility approximates fair value based upon stable market interest rates and Company credit ratings from inception to year end. In January 2011 and again in November 2014, the Company issued a total of $275,000 of 7.375% senior notes due February 1, 2019, which were outstanding at March 31, 2016 (See Note 5). The senior notes are senior unsecured obligations of the Company and its subsidiaries that guarantee the senior notes. The fair value of the senior notes was $260,563 at March 31, 2016, which is a Level 1 fair value measurement as the senior notes value was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color w:val="auto"/>
        </w:rPr>
        <w:t>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356"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March 2016, the Company granted 661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$927 and $1,057 for the three months ended March 31, 2016 and 2015, respectively.</w:t>
      </w:r>
    </w:p>
    <w:p>
      <w:pPr>
        <w:spacing w:after="0" w:line="351"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a bonding agreement with Zurich American Insurance Company (“Zurich”) under which the Company can obtain performance, bid and payment bonds (the “Zurich Bonding Agreement”).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$1,000 to $10,000. At March 31, 2016, the Company had outstanding performance bonds with a notional amount of approximately $1,093,262, of which $41,082 relates to projects from the Company’s historical demolition business. The revenue value remaining in backlog related to these projects totaled approximately $579,451.</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180"/>
        <w:spacing w:after="0" w:line="297" w:lineRule="auto"/>
        <w:rPr>
          <w:sz w:val="20"/>
          <w:szCs w:val="20"/>
          <w:color w:val="auto"/>
        </w:rPr>
      </w:pPr>
      <w:r>
        <w:rPr>
          <w:rFonts w:ascii="Arial" w:cs="Arial" w:eastAsia="Arial" w:hAnsi="Arial"/>
          <w:sz w:val="16"/>
          <w:szCs w:val="16"/>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On or about February 5, 2016, the parties agreed to a tentative settlement in the amount of $275, subject to final documentation.</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06"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owns 50% of TerraSea Environmental Solutions (“TerraSea”) as a joint venture. TerraSea is engaged in the environmental services business through its ability to remediate contaminated soil and dredged sediment treatment. At March 31, 2016 and December 31, 2015, the Company had net advances to TerraSea of $24,794 and $27,592, respectively, which are recorded in other current assets. The Company has an accumulated deficit in joint ventures, which represents losses recognized to date in excess of our investment in TerraSea, of $14,359 and $14,271 at March 31, 2016 and December 31, 2015, respectively, which is presented in accrued expenses. The Company has commenced the wind down of TerraSea with its joint venture partner. The Company believes its net advances to TerraSea are ultimately recoverable either through the operations of the joint venture or as an obligation of our joint venture partner. The joint venture partner has notified the Company that it disagrees with the amount of net advances to TerraSea. The Company believes that its joint venture partner remains obligated for its share of net advances, and any future advances necessary to complete TerraSea’s remaining project. During July 2015, the Company proposed taking a larger percent of the loss on a TerraSea project. Based on this proposal, the Company accrued $1,506 at June 30, 2015 representing the estimated share of additional losses to be assumed. The joint venture partner and the Company are continuing discussions. If those discussions do not lead to a resolution satisfactory to both parties, the joint venture partner and the Company will go to binding arbitration as stipulated by the TerraSea operating agreement. To the extent that net advances are not fully recoverable, additional losses may result in future periods. The Company and its joint venture partner remained obligated to fund TerraSea through the completion of its remaining project. The remaining TerraSea project was substantially complete at March 31, 2016.</w:t>
      </w:r>
    </w:p>
    <w:p>
      <w:pPr>
        <w:spacing w:after="0" w:line="370"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dispositions</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April 23, 2014, the Company entered into an agreement and completed the sale of NASDI and Yankee,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In the fourth quarter of 2013, the Company recorded a preliminary loss on disposal of assets held for sale in discontinued operations. The loss on disposal is subject to change based on the value of additional proceeds received on the working capital existing at the date of disposition. The amount and timing of the working capital settlement and the amount and timing of the realization of additional net proceeds may be impacted by the litigation with the buyer of the historical demolition business. However, management believes that the ultimate resolution of these matters will not be material to the Company’s consolidated financial position or results of operations.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ind w:left="1040" w:hanging="519"/>
        <w:spacing w:after="0"/>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infrastructure, previously referred to as the environment &amp; remediation segment.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Borders>
              <w:bottom w:val="single" w:sz="8" w:color="CFF0FC"/>
            </w:tcBorders>
          </w:tcPr>
          <w:p>
            <w:pPr>
              <w:spacing w:after="0"/>
              <w:rPr>
                <w:sz w:val="13"/>
                <w:szCs w:val="13"/>
                <w:color w:val="auto"/>
              </w:rPr>
            </w:pPr>
          </w:p>
        </w:tc>
        <w:tc>
          <w:tcPr>
            <w:tcW w:w="2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Dredging</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Contract revenues</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145,013</w:t>
            </w:r>
          </w:p>
        </w:tc>
        <w:tc>
          <w:tcPr>
            <w:tcW w:w="140" w:type="dxa"/>
            <w:vAlign w:val="bottom"/>
          </w:tcPr>
          <w:p>
            <w:pPr>
              <w:spacing w:after="0"/>
              <w:rPr>
                <w:sz w:val="19"/>
                <w:szCs w:val="19"/>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Environmental &amp; infrastructure</w:t>
            </w: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2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19,090</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(15,132)</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7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Intersegment revenues</w:t>
            </w:r>
          </w:p>
        </w:tc>
        <w:tc>
          <w:tcPr>
            <w:tcW w:w="2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w:t>
            </w:r>
          </w:p>
        </w:tc>
        <w:tc>
          <w:tcPr>
            <w:tcW w:w="2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163,119</w:t>
            </w:r>
          </w:p>
        </w:tc>
        <w:tc>
          <w:tcPr>
            <w:tcW w:w="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Foreign dredging revenue of $1,509 for the three months ended March 31, 2016, was attributable to work done in the Middle East. Foreign dredging revenue for the three months ended March 31, 2015 was $41,699.</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356"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121"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Company’s long-term debt at March 31, 2016 includes $275,000 of 7.375% senior notes due February 1, 2019. The Company’s obligations under these senior unsecured notes are guaranteed by the Company’s 100% owned domestic subsidiaries. Such guarantees are full, unconditional and joint and several.</w:t>
      </w:r>
    </w:p>
    <w:p>
      <w:pPr>
        <w:spacing w:after="0" w:line="12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38"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balance sheets as of March 31, 2016 and December 31, 2015;</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(loss) for the three months ended March 31, 2016 and 2015; and</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statements of cash flows for the three months ended March 31, 2016 and 2015.</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7" w:name="page18"/>
    <w:bookmarkEnd w:id="17"/>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MARCH 31, 2016</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Non-Guarantor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w w:val="97"/>
              </w:rPr>
              <w:t>Corporation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14,047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293,578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298,497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RECEIVABLES FROM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73,246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(98,583)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622,951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(626,602)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889,442</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10,347</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697,898</w:t>
            </w:r>
          </w:p>
        </w:tc>
        <w:tc>
          <w:tcPr>
            <w:tcW w:w="2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(725,185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872,502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62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2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96,359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96,499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160,346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10,578</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7 3/8% SENIOR NOTES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272,248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272,248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NOTES PAYABLE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PAYABLES TO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(98,583)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268,061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448,009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622,613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621,381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249,889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(626,602)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249,889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889,442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697,898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(725,185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872,502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18" w:name="page19"/>
    <w:bookmarkEnd w:id="18"/>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2015</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Non-Guarantor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11"/>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1"/>
              <w:spacing w:after="0"/>
              <w:rPr>
                <w:sz w:val="20"/>
                <w:szCs w:val="20"/>
                <w:color w:val="auto"/>
              </w:rPr>
            </w:pPr>
            <w:r>
              <w:rPr>
                <w:rFonts w:ascii="Arial" w:cs="Arial" w:eastAsia="Arial" w:hAnsi="Arial"/>
                <w:sz w:val="14"/>
                <w:szCs w:val="14"/>
                <w:b w:val="1"/>
                <w:bCs w:val="1"/>
                <w:color w:val="auto"/>
                <w:w w:val="97"/>
              </w:rPr>
              <w:t>Corporation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12,035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324,372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329,733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86,004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RECEIVABLES FROM AFFILIATES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(95,073)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621,984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(625,690)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914,709</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10,912</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693,266</w:t>
            </w:r>
          </w:p>
        </w:tc>
        <w:tc>
          <w:tcPr>
            <w:tcW w:w="2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(720,763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898,124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118,619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118,846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 term debt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189,868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7 3/8% SENIOR NOTES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271,998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NOTE PAYABLE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53,469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PAYABLES TO AFFILIATES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(95,073)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295,593</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441,093</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(95,073)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645,951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TOTAL EQUITY</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619,116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252,173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(625,690)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914,709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693,266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(720,763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898,124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MARCH 31,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(460)</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(142,183)</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(143,129)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Gain on sale of assets—net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Operating income</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subsidiaries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(1,149)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6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(1,418)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(4,035)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3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(3,626)</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ind w:right="3160"/>
        <w:spacing w:after="0" w:line="292"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MARCH 31,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780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172,354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(989)</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(161,204)</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(3,660)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(163,875)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(Gain) loss on sale of assets—net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76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(5,630)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(9,177)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(1,098)</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 acquisition</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w w:val="95"/>
              </w:rPr>
              <w:t>Income (loss) from continuing operations before income</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taxes</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(8,617)</w:t>
            </w: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(14,508)</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6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(8,617)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(8,390)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(9,198)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9,981</w:t>
            </w:r>
          </w:p>
        </w:tc>
        <w:tc>
          <w:tcPr>
            <w:tcW w:w="1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(9,198)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1" w:name="page22"/>
    <w:bookmarkEnd w:id="21"/>
    <w:p>
      <w:pPr>
        <w:ind w:right="540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2016</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Cash provided by (used in) operating activities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14,147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(787)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(14,917)</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(26,753)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w w:val="97"/>
              </w:rPr>
              <w:t>Net cash flows provided by (used in)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long term note payable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term loan facility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equipment debt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Intercompany dividends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(23,000)</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w w:val="91"/>
              </w:rPr>
              <w:t>Exercise of options and purchases from employee stock plans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Repayments of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7"/>
              </w:rPr>
              <w:t>Net cash flows provided by (used in) financing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(23,996)</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482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8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12,035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22" w:name="page23"/>
    <w:bookmarkEnd w:id="22"/>
    <w:p>
      <w:pPr>
        <w:ind w:right="5380"/>
        <w:spacing w:after="0" w:line="268"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2015</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Subsidiary</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GLDD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w w:val="96"/>
              </w:rPr>
              <w:t>Net cash flows provided by (used in) operating activities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(8,248)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(20,777)</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(5,821)</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(26,558)</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(20,737)</w:t>
            </w:r>
          </w:p>
        </w:tc>
        <w:tc>
          <w:tcPr>
            <w:tcW w:w="0" w:type="dxa"/>
            <w:vAlign w:val="bottom"/>
          </w:tcPr>
          <w:p>
            <w:pPr>
              <w:spacing w:after="0"/>
              <w:rPr>
                <w:sz w:val="1"/>
                <w:szCs w:val="1"/>
                <w:color w:val="auto"/>
              </w:rPr>
            </w:pPr>
          </w:p>
        </w:tc>
      </w:tr>
      <w:tr>
        <w:trPr>
          <w:trHeight w:val="365"/>
        </w:trPr>
        <w:tc>
          <w:tcPr>
            <w:tcW w:w="4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financing fees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Taxes paid on settlement of vested share awards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term loan facility</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Repayment of equipment debt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equipment debt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contributions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(16,800)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w w:val="91"/>
              </w:rPr>
              <w:t>Exercise of options and purchases from employee stock plans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6"/>
              </w:rPr>
              <w:t>Excess income tax benefit from share-based compensation</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revolving loans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20" w:type="dxa"/>
            <w:vAlign w:val="bottom"/>
            <w:gridSpan w:val="2"/>
          </w:tcPr>
          <w:p>
            <w:pPr>
              <w:spacing w:after="0"/>
              <w:rPr>
                <w:sz w:val="20"/>
                <w:szCs w:val="20"/>
                <w:color w:val="auto"/>
              </w:rPr>
            </w:pPr>
            <w:r>
              <w:rPr>
                <w:rFonts w:ascii="Arial" w:cs="Arial" w:eastAsia="Arial" w:hAnsi="Arial"/>
                <w:sz w:val="18"/>
                <w:szCs w:val="18"/>
                <w:color w:val="auto"/>
              </w:rPr>
              <w:t>Net cash flows provided by financing activities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16,586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equivalents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(12,456)</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(11,770)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41,724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29,268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3" w:name="page24"/>
    <w:bookmarkEnd w:id="2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2015, and in other securities filings by Great Lakes with the SEC.</w:t>
      </w:r>
    </w:p>
    <w:p>
      <w:pPr>
        <w:spacing w:after="0" w:line="17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infrastructure services. In addition, the Company is the only U.S. dredging service provider with significant international operations. The mobility of the Company’s fleet enables the Company to move equipment in response to changes in demand for dredging services.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49% over the prior three years, including 66%, 44%, 32% and 58% of the domestic capital, coastal protection, maintenance and rivers &amp; lakes sectors, respectively.</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three months of 2016, the Company’s dredging revenues earned from contracts with federal government agencies, including the Corps as well as other federal entities such as the U.S. Coast Guard and the U.S. Navy were approximately 74% of dredging revenues, above the Company’s prior three year average of 62%.</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Company’s environmental &amp; infrastructure segment, previously referred to as the environmental &amp; remediation segment, provides environmental and geotechnical construction as well as soil, water and sediment environmental remediation for the state, local and private party markets. Environmental and geotechnical construction includes the creation, repair or stabilization of environmental barriers including slurry walls, in-situ stabilization, coal combustion residuals pond cap and close, dam and levee rehabilitation and other specialty civil construction. Remediation involves the retrieval and removal of contamination from an environment through the use of separation techniques or disposal based on the quantity and severity of the contamination. In addition, the environmental &amp; infrastructure segment performs industrial cleaning, abatement services and hazardous waste removal. The environmental &amp; infrastructure segment, which is comprised of Great Lakes Environmental &amp; Infrastructure, LLC (“GLEI”), previously referred to as Magnus Pacific, LLC, and Terra Contracting Services, LLC (“Terra”), accounted for 12% of total revenues in the first three months of 2016.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The Company has in three operating segments: dredging, Terra and GLEI, which were aggregated into two reportable segments: dredging and environmental</w:t>
      </w:r>
    </w:p>
    <w:p>
      <w:pPr>
        <w:spacing w:after="0" w:line="46" w:lineRule="exact"/>
        <w:rPr>
          <w:sz w:val="20"/>
          <w:szCs w:val="20"/>
          <w:color w:val="auto"/>
        </w:rPr>
      </w:pPr>
    </w:p>
    <w:p>
      <w:pPr>
        <w:ind w:right="20" w:firstLine="8"/>
        <w:spacing w:after="0" w:line="277" w:lineRule="auto"/>
        <w:tabs>
          <w:tab w:leader="none" w:pos="18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infrastructure. As Terra and GLEI have similarity in economic margins, services, production processes, customer types, distribution methods and regulatory environment, they were aggregated into one reporting segment. There has been no change in the Company’s identification of operating segments and reportable segments. The Company has determined that the operating segments are the Company’s three reporting units.</w:t>
      </w:r>
    </w:p>
    <w:p>
      <w:pPr>
        <w:spacing w:after="0" w:line="3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set forth the components of net income (loss) and Adjusted EBITDA, as defined below, as a percentage of contract revenues for the three months ended March 31, 2016 and 2015:</w:t>
      </w:r>
    </w:p>
    <w:p>
      <w:pPr>
        <w:spacing w:after="0" w:line="243"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540" w:type="dxa"/>
            <w:vAlign w:val="bottom"/>
            <w:gridSpan w:val="2"/>
          </w:tcPr>
          <w:p>
            <w:pPr>
              <w:spacing w:after="0"/>
              <w:rPr>
                <w:sz w:val="13"/>
                <w:szCs w:val="13"/>
                <w:color w:val="auto"/>
              </w:rPr>
            </w:pPr>
          </w:p>
        </w:tc>
        <w:tc>
          <w:tcPr>
            <w:tcW w:w="9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80" w:type="dxa"/>
            <w:vAlign w:val="bottom"/>
            <w:vMerge w:val="restart"/>
          </w:tcPr>
          <w:p>
            <w:pPr>
              <w:spacing w:after="0"/>
              <w:rPr>
                <w:sz w:val="11"/>
                <w:szCs w:val="11"/>
                <w:color w:val="auto"/>
              </w:rPr>
            </w:pPr>
          </w:p>
        </w:tc>
        <w:tc>
          <w:tcPr>
            <w:tcW w:w="6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Costs of contract revenues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(87.7)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(93.9)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9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assets—net</w:t>
            </w:r>
          </w:p>
        </w:tc>
        <w:tc>
          <w:tcPr>
            <w:tcW w:w="9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9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(3.5)</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Equity in loss of joint ventures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(0.5)</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9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9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6960" w:type="dxa"/>
            <w:vAlign w:val="bottom"/>
            <w:tcBorders>
              <w:top w:val="single" w:sz="8" w:color="CFF0FC"/>
              <w:bottom w:val="single" w:sz="8" w:color="CFF0FC"/>
            </w:tcBorders>
            <w:vMerge w:val="restart"/>
          </w:tcPr>
          <w:p>
            <w:pPr>
              <w:ind w:left="5040"/>
              <w:spacing w:after="0"/>
              <w:rPr>
                <w:sz w:val="20"/>
                <w:szCs w:val="20"/>
                <w:color w:val="auto"/>
              </w:rPr>
            </w:pPr>
            <w:r>
              <w:rPr>
                <w:rFonts w:ascii="Arial" w:cs="Arial" w:eastAsia="Arial" w:hAnsi="Arial"/>
                <w:sz w:val="18"/>
                <w:szCs w:val="18"/>
                <w:color w:val="auto"/>
              </w:rPr>
              <w:t>25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vMerge w:val="continue"/>
          </w:tcPr>
          <w:p>
            <w:pPr>
              <w:spacing w:after="0"/>
              <w:rPr>
                <w:sz w:val="24"/>
                <w:szCs w:val="24"/>
                <w:color w:val="auto"/>
              </w:rPr>
            </w:pPr>
          </w:p>
        </w:tc>
        <w:tc>
          <w:tcPr>
            <w:tcW w:w="69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9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5" w:name="page26"/>
    <w:bookmarkEnd w:id="25"/>
    <w:p>
      <w:pPr>
        <w:ind w:right="20"/>
        <w:spacing w:after="0" w:line="267" w:lineRule="auto"/>
        <w:rPr>
          <w:sz w:val="20"/>
          <w:szCs w:val="20"/>
          <w:color w:val="auto"/>
        </w:rPr>
      </w:pPr>
      <w:r>
        <w:rPr>
          <w:rFonts w:ascii="Arial" w:cs="Arial" w:eastAsia="Arial" w:hAnsi="Arial"/>
          <w:sz w:val="17"/>
          <w:szCs w:val="17"/>
          <w:color w:val="auto"/>
        </w:rPr>
        <w:t>Adjusted EBITDA, as provided herein, represents net income,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the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(loss):</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ind w:right="49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760" w:type="dxa"/>
            <w:vAlign w:val="bottom"/>
            <w:vMerge w:val="continue"/>
          </w:tcPr>
          <w:p>
            <w:pPr>
              <w:spacing w:after="0"/>
              <w:rPr>
                <w:sz w:val="13"/>
                <w:szCs w:val="13"/>
                <w:color w:val="auto"/>
              </w:rPr>
            </w:pPr>
          </w:p>
        </w:tc>
        <w:tc>
          <w:tcPr>
            <w:tcW w:w="23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18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(4,035)</w:t>
            </w:r>
          </w:p>
        </w:tc>
        <w:tc>
          <w:tcPr>
            <w:tcW w:w="5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Adjusted for:</w:t>
            </w:r>
          </w:p>
        </w:tc>
        <w:tc>
          <w:tcPr>
            <w:tcW w:w="2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2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Income tax benefit</w:t>
            </w:r>
          </w:p>
        </w:tc>
        <w:tc>
          <w:tcPr>
            <w:tcW w:w="2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(2,653)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3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13,928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Adjusted EBITDA</w:t>
            </w:r>
          </w:p>
        </w:tc>
        <w:tc>
          <w:tcPr>
            <w:tcW w:w="2320" w:type="dxa"/>
            <w:vAlign w:val="bottom"/>
          </w:tcPr>
          <w:p>
            <w:pPr>
              <w:spacing w:after="0"/>
              <w:rPr>
                <w:sz w:val="19"/>
                <w:szCs w:val="19"/>
                <w:color w:val="auto"/>
              </w:rPr>
            </w:pP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12,961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1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00" w:type="dxa"/>
            <w:vAlign w:val="bottom"/>
            <w:tcBorders>
              <w:bottom w:val="single" w:sz="8" w:color="CFF0FC"/>
            </w:tcBorders>
            <w:vMerge w:val="continue"/>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Capital—U.S.</w:t>
            </w:r>
          </w:p>
        </w:tc>
        <w:tc>
          <w:tcPr>
            <w:tcW w:w="2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51,937</w:t>
            </w:r>
          </w:p>
        </w:tc>
        <w:tc>
          <w:tcPr>
            <w:tcW w:w="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47,357</w:t>
            </w:r>
          </w:p>
        </w:tc>
        <w:tc>
          <w:tcPr>
            <w:tcW w:w="2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Capital—foreign</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41,699</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Coastal protection</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20,072</w:t>
            </w:r>
          </w:p>
        </w:tc>
        <w:tc>
          <w:tcPr>
            <w:tcW w:w="2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Maintenance</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42,147</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4500" w:type="dxa"/>
            <w:vAlign w:val="bottom"/>
          </w:tcPr>
          <w:p>
            <w:pPr>
              <w:ind w:left="260"/>
              <w:spacing w:after="0"/>
              <w:rPr>
                <w:sz w:val="20"/>
                <w:szCs w:val="20"/>
                <w:color w:val="auto"/>
              </w:rPr>
            </w:pPr>
            <w:r>
              <w:rPr>
                <w:rFonts w:ascii="Arial" w:cs="Arial" w:eastAsia="Arial" w:hAnsi="Arial"/>
                <w:sz w:val="18"/>
                <w:szCs w:val="18"/>
                <w:color w:val="auto"/>
              </w:rPr>
              <w:t>Rivers &amp; lakes</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2,853</w:t>
            </w:r>
          </w:p>
        </w:tc>
        <w:tc>
          <w:tcPr>
            <w:tcW w:w="2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dredging revenues</w:t>
            </w:r>
          </w:p>
        </w:tc>
        <w:tc>
          <w:tcPr>
            <w:tcW w:w="2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154,128</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Environmental &amp; infrastructure</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21,552</w:t>
            </w: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2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(984)</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(1,123)</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163,119</w:t>
            </w:r>
          </w:p>
        </w:tc>
        <w:tc>
          <w:tcPr>
            <w:tcW w:w="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174,557</w:t>
            </w: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Total revenue for the 2016 first quarter was $163.1 million, a decrease compared to revenue of $174.6 million in the 2015 first quarter. For the three months ended March 31, 2016, decreases in foreign capital, maintenance and environmental &amp; infrastructure revenues were slightly offset by increases in coastal protection, domestic capital and rivers &amp; lakes revenues.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Domestic capital dredging revenue increased by $4.6 million, or 10%, to $51.9 million, in the 2016 first quarter compared to the same quarter in 2015. The increase in domestic capital dredging revenues for the three months ended March 31, 2016 was largely attributable to work on the Savannah Harbor deepening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 w:name="page27"/>
    <w:bookmarkEnd w:id="26"/>
    <w:p>
      <w:pPr>
        <w:jc w:val="both"/>
        <w:ind w:right="20"/>
        <w:spacing w:after="0" w:line="286" w:lineRule="auto"/>
        <w:rPr>
          <w:sz w:val="20"/>
          <w:szCs w:val="20"/>
          <w:color w:val="auto"/>
        </w:rPr>
      </w:pPr>
      <w:r>
        <w:rPr>
          <w:rFonts w:ascii="Arial" w:cs="Arial" w:eastAsia="Arial" w:hAnsi="Arial"/>
          <w:sz w:val="17"/>
          <w:szCs w:val="17"/>
          <w:color w:val="auto"/>
        </w:rPr>
        <w:t>project. Additional capital work during the first quarter of 2016 included a deepening project on the Delaware River, a liquefied natural gas (“LNG”) project in Texas and a coastal restoration project in Louisiana. The increase in capital dredging revenue for the current year was partially offset by revenue earned on the Port Miami deepening project in the 2015 first quarter that did not repeat in the first quarter of the current year.</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first quarter of 2016 foreign dredging revenue was $1.5 million, a decrease of $40.2 million, or 96%, from the same quarter in the prior year. Revenue for the three months ended March 31, 2016 was driven by the final stages of demobilization on the Suez Canal project and a project in Bahrain. In comparison, revenue for the first three months of 2015 was driven by greater amounts of revenue earned on the Suez Canal project and a project in Bahrain, in addition to several projects in Brazil that did not repeat in the first quarter of the current year.</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Coastal protection projects generally involve moving sand from the ocean floor to shoreline locations where erosion threatens shoreline assets. Coastal protection revenue was $47.2 million in the first quarter of 2016, up $27.1 million or 135%, compared to the 2015 first quarter. The significant increase in coastal protection revenue for the first three months of 2016 was attributable to a greater amount of revenue earned on large projects in New Jersey for the repair of shorelines damaged as a result of Superstorm Sandy. Additionally, two projects in Florida contributed to coastal protection revenue in the 2016 first quarter.</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Maintenance revenue in the first quarter of 2016 decreased by $4.6 million, or 11%, compared to the same period in 2015. The decrease in maintenance dredging revenues for the first three months of 2016 was driven by a large harbor project in North Carolina that did not repeat in the first quarter of the current year. Maintenance dredging work during the first quarter of 2016 included projects in Georgia, Louisiana, Maryland, New Jersey and Massachusetts.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first quarter of 2016 was $6.8 million, an increase of $3.9 million or 137% compared to the first quarter of 2015. The increase in rivers &amp; lakes revenue for the first three months of 2016, as compared to the prior year period, was driven by a reservoir project in Kansas. This increase was partially offset by revenue earned on a private company project in Florida during the 2015 first quarter that did not repeat in the first quarter of the current year.</w:t>
      </w:r>
    </w:p>
    <w:p>
      <w:pPr>
        <w:spacing w:after="0" w:line="1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environmental &amp; infrastructure segment’s services include environmental and geotechnical construction, specifically, slurry wall construction, in-situ stabilization, large scale reclamation, and habitat restoration. In addition, the segment provides remediation services which involve the containment, immobilization or removal of contamination from an environment through the use of any combination of isolation, treatment, or exhumation techniques including off-site disposal based on the quantity and severity of the contamination. The environmental &amp; infrastructure segment recorded revenues of $19.1 million for the three months ended March 31, 2016, down 11% compared to $21.6 million for the same period in 2015. Environmental &amp; infrastructure revenue for the first quarter of 2016 included work on a large mine project in Washington as well as on remediation projects in Washington and Indiana and a geotechnical project in California. The decrease in revenue during the first three months of 2016 was mostly attributable to a greater amount of revenue earned on a geotechnical slurry wall construction project in California in the prior year.</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Consolidated gross profit for the 2016 first quarter increased by $9.3 million, or 87% to $20.0 million, from $10.7 million in the first quarter of 2015. Gross profit margin (gross profit divided by revenue) for the 2016 first quarter increased to 12.3% from 6.1% for the three months ended March 31, 2015. The increase in gross profit for the three months ended March 31, 2016 was driven by strong performance on several domestic coastal protection and domestic capital projects which positively impacted margins in our dredging segment. During the first three months of 2016, the environmental &amp; infrastructure segment’s performance improved compared to the same period in the prior year, mostly attributable to the resolution of claims and change orders. However, the environmental &amp; infrastructure segment experienced business seasonality during the quarter, which contributed to its negative gross profit for the three months ended March 31, 2016. In comparison, gross profit in the first quarter of 2015 was mostly attributable to contract losses on a site development project and increased operating overhead costs, primarily due to increased personnel costs, in the environmental &amp; infrastructure segment. In the 2015 first quarter, the negative gross profit at the environmental &amp; infrastructure segment was partially offset by strong contract margin on our Suez Canal project.</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and administrative expenses totaled $20.1 million for the quarter ended March 31, 2016, up from general and administrative expenses of $17.9 million in the first quarter of 2015. Increased general and administrative expenses in the first three months of 2016 were driven by higher payroll and benefit expenses of $2.9 million.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7" w:name="page28"/>
    <w:bookmarkEnd w:id="27"/>
    <w:p>
      <w:pPr>
        <w:ind w:right="60"/>
        <w:spacing w:after="0" w:line="264" w:lineRule="auto"/>
        <w:rPr>
          <w:sz w:val="20"/>
          <w:szCs w:val="20"/>
          <w:color w:val="auto"/>
        </w:rPr>
      </w:pPr>
      <w:r>
        <w:rPr>
          <w:rFonts w:ascii="Arial" w:cs="Arial" w:eastAsia="Arial" w:hAnsi="Arial"/>
          <w:sz w:val="18"/>
          <w:szCs w:val="18"/>
          <w:color w:val="auto"/>
        </w:rPr>
        <w:t>Operating loss for the three months ended March 31, 2016 was $0.1 million, a change of $7.2 million, compared to operating loss of $7.3 million in the same period of 2015. The change in the Company’s operating loss for the first three months of 2016 was attributable to the increase in gross profit offset by an increase in general and administrative expenses described above.</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interest expense totaled $5.7 million for the three months ended March 31, 2016, in line with interest expense of $5.6 million from the same period of 2015.</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income tax benefit for the three months ended March 31, 2016 was $2.7 million compared to $6.0 million for the 2015 first quarter. The change in the income tax benefit for the first three months of 2016 was attributable to a larger operating loss in the first three months of 2015. The effective tax rate for the three months ended March 31, 2016 was 39.7% which is in line with the effective tax rate of 41.8% for the same period of 2015.</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loss was $4.0 million and loss per diluted share of $0.07 for the 2016 first quarter compared to net loss of $8.4 million and loss per diluted share of $0.14 for the same period of 2015. The change in net loss in the first three months of 2016 as compared to the same period in the prior year is due to the change in operating income as described above. Additionally, during the first three months of 2015, net loss included $1.1 million recorded to equity in loss of joint ventures.</w:t>
      </w:r>
    </w:p>
    <w:p>
      <w:pPr>
        <w:spacing w:after="0" w:line="18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Adjusted EBITDA (as defined on page 26) for the three months ended March 31, 2016 and 2015 was $13.0 million and $4.4 million, respectively. This increase in Adjusted EBITDA during the current year period was attributable to a higher net loss in the same period of the prior year as described above.</w:t>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Dredging segment revenues for the quarter ended March 31, 2016 were $145.0 million, a decrease of $9.1 million, or 6%, compared to $154.1 million for the quarter ended March 31, 2015. The dredging segment’s revenue for the three months ended March 31, 2016 experienced decreases in foreign capital and maintenance revenues which were partially offset by increases in coastal protection, domestic capital and rivers &amp; lakes revenues. Current year revenues were driven by large coastal protection projects in New Jersey for the repair of shorelines damaged as a result of Superstorm Sandy, the Savannah Harbor deepening project, a coastal restoration project in Louisiana, a reservoir project in Kansas and maintenance dredging work in Georgia.</w:t>
      </w:r>
    </w:p>
    <w:p>
      <w:pPr>
        <w:spacing w:after="0" w:line="158" w:lineRule="exact"/>
        <w:rPr>
          <w:sz w:val="20"/>
          <w:szCs w:val="20"/>
          <w:color w:val="auto"/>
        </w:rPr>
      </w:pPr>
    </w:p>
    <w:p>
      <w:pPr>
        <w:jc w:val="both"/>
        <w:ind w:right="380"/>
        <w:spacing w:after="0" w:line="291" w:lineRule="auto"/>
        <w:rPr>
          <w:sz w:val="20"/>
          <w:szCs w:val="20"/>
          <w:color w:val="auto"/>
        </w:rPr>
      </w:pPr>
      <w:r>
        <w:rPr>
          <w:rFonts w:ascii="Arial" w:cs="Arial" w:eastAsia="Arial" w:hAnsi="Arial"/>
          <w:sz w:val="16"/>
          <w:szCs w:val="16"/>
          <w:color w:val="auto"/>
        </w:rPr>
        <w:t>Dredging segment gross profit in the first quarter of 2016 increased 28% to $23.4 million compared to $18.3 million in the same period of the prior year. Dredging segment gross profit margin for the three months ended March 31, 2016 increased to 16.1% from 11.8% for the three months ended March 31,</w:t>
      </w:r>
    </w:p>
    <w:p>
      <w:pPr>
        <w:spacing w:after="0" w:line="302" w:lineRule="auto"/>
        <w:rPr>
          <w:sz w:val="20"/>
          <w:szCs w:val="20"/>
          <w:color w:val="auto"/>
        </w:rPr>
      </w:pPr>
      <w:r>
        <w:rPr>
          <w:rFonts w:ascii="Arial" w:cs="Arial" w:eastAsia="Arial" w:hAnsi="Arial"/>
          <w:sz w:val="16"/>
          <w:szCs w:val="16"/>
          <w:color w:val="auto"/>
        </w:rPr>
        <w:t>2015. Strong performance on several domestic coastal protection and domestic capital projects positively impacted gross profit for the first quarter of 2016. In comparison, during the three months ended March 31, 2015, the Company experienced high fleet utilization, resulting in greater fixed cost coverage, and strong contract margin on our Suez Canal project partially offset by the tightening of margin on some projects due to either mechanical downtime or weather.</w:t>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Operating income at the dredging segment for the three months ended March 31, 2016 increased $2.7 million, to $10.6 million from $7.9 million for the same period in the prior year. The increase in operating income is the result of higher gross profit, described above, slightly offset by an increase in general and administrative expenses, specifically related to higher payroll and benefits expense and legal and professional fees.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infrastructure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Environmental &amp; infrastructure segment revenues for the quarter ended March 31, 2016 were $19.1 million, a decrease of $2.5 million, or 11%, compared to $21.6 million for the three months ended March 31, 2015. Environmental &amp; infrastructure revenues for the first three months of 2016 included work on a large mine project in Washington as well as on remediation projects in Washington and Indiana and a geotechnical project in California. The decrease in revenue during the first three months of 2016 was mostly attributable to a greater amount of revenue earned on a geotechnical slurry wall construction project in California in the prior year period.</w:t>
      </w:r>
    </w:p>
    <w:p>
      <w:pPr>
        <w:spacing w:after="0" w:line="188"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Environmental &amp; infrastructure segment negative gross profit in the first quarter of 2016 was $3.4 million compared to $7.6 million in the first quarter of 2015. For the three months ended March 31, 2016 and 2015, the environmental &amp; infrastructure segment had a negative gross profit margin of 17.6% and</w:t>
      </w:r>
    </w:p>
    <w:p>
      <w:pPr>
        <w:ind w:right="60"/>
        <w:spacing w:after="0" w:line="254" w:lineRule="auto"/>
        <w:rPr>
          <w:sz w:val="20"/>
          <w:szCs w:val="20"/>
          <w:color w:val="auto"/>
        </w:rPr>
      </w:pPr>
      <w:r>
        <w:rPr>
          <w:rFonts w:ascii="Arial" w:cs="Arial" w:eastAsia="Arial" w:hAnsi="Arial"/>
          <w:sz w:val="18"/>
          <w:szCs w:val="18"/>
          <w:color w:val="auto"/>
        </w:rPr>
        <w:t>35.2%, respectively. For the three months ended March 31, 2016, the environmental &amp; infrastructure segment’s performance improved compared to the same period in the prior year, mostly attributable to the resolution of claims and change orders. However, the environmental &amp; infrastructure segment experienced business seasonality during the current year, which contributed to its negative gross profit for the three months ended March 31, 2016. In comparison, gross profit in the first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ind w:right="300"/>
        <w:spacing w:after="0" w:line="277" w:lineRule="auto"/>
        <w:rPr>
          <w:sz w:val="20"/>
          <w:szCs w:val="20"/>
          <w:color w:val="auto"/>
        </w:rPr>
      </w:pPr>
      <w:r>
        <w:rPr>
          <w:rFonts w:ascii="Arial" w:cs="Arial" w:eastAsia="Arial" w:hAnsi="Arial"/>
          <w:sz w:val="18"/>
          <w:szCs w:val="18"/>
          <w:color w:val="auto"/>
        </w:rPr>
        <w:t>quarter of 2015 was mostly attributable to contract losses on a site development project and increased operating overhead costs, primarily due to increased personnel costs.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environmental &amp; infrastructure segment experienced an operating loss of $10.7 million and $15.1 million for the three months ended March 31, 2016 and 2015, respectively. The change in operating loss for the three months ended March 31, 2016 is the result of the change in negative gross profit, as described above. Further, a decrease in amortization expense was mostly offset by an increase in general and administrative expenses, specifically related to higher payroll and benefits expense.</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Backlog (in thousands)</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386,638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411,506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212,662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85,851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124,949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218,552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Dredging Backlog</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633,166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636,954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Environmental &amp; infrastructure</w:t>
            </w:r>
          </w:p>
        </w:tc>
        <w:tc>
          <w:tcPr>
            <w:tcW w:w="1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104,235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710,432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751,047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741,189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infrastructure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52% of the Company’s March 31, 2016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domestic dredging bid market for the first three months of 2016 was $126.2 million. This represents a decrease of $122.4 million compared to the first three months of 2015. Awards during the current year include a coastal protection project in Virginia and a coastal restoration project in Louisiana. The bid market for the three months ended March 31, 2016 was down compared to the prior year primarily due to the award of the Savannah Harbor deepening project during the first quarter of 2015. For the contracts awarded in the current year, the Company won 100%, or $39.9 million of the coastal protection projects, 100%, or $27.2 million of the domestic capital projects, 17%, or $7.5 million of the maintenance projects and 57%, or $8.8 million of the rivers &amp; lakes projects through March 31, 2016. The Company won 66% of the overall domestic bid market for the first three months of 2016, which is above the Company’s prior three year average of 49%. Variability in contract wins from quarter to quarter is not unusual and one quarter’s win rate is generally not indicative of the win rate the Company is likely to achieve for a full year.</w:t>
      </w:r>
    </w:p>
    <w:p>
      <w:pPr>
        <w:spacing w:after="0" w:line="17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Company’s contracted dredging backlog was $633.2 million at March 31, 2016 compared to $677.7 million of backlog at December 31, 2015. These amounts do not reflect approximately $50.9 million of domestic low bids pending formal award and additional phases (“options”) pending on projects currently in backlog at March 31, 2016. At December 31, 2015 the amount of domestic low bids and options pending award was $82.8 million.</w:t>
      </w:r>
    </w:p>
    <w:p>
      <w:pPr>
        <w:spacing w:after="0" w:line="147"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Domestic capital dredging backlog at March 31, 2016 was $24.9 million lower than at December 31, 2015. During the first three months of 2016, the Company was awarded a coastal restoration project in Louisiana. Additionally, during the year, the Company continued to earn revenue on a deepening project on the Delaware River, an LNG project in Texas and a coastal restoration project in Louisiana. The Panama Canal expansion is on track to be completed this year, which continues to put pressure on the ports on the East Coast to continue with their studies and plans to deepen and widen in anticipation of the post-Panamax vessels. In April 2016,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spacing w:after="0" w:line="293" w:lineRule="auto"/>
        <w:rPr>
          <w:sz w:val="20"/>
          <w:szCs w:val="20"/>
          <w:color w:val="auto"/>
        </w:rPr>
      </w:pPr>
      <w:r>
        <w:rPr>
          <w:rFonts w:ascii="Arial" w:cs="Arial" w:eastAsia="Arial" w:hAnsi="Arial"/>
          <w:sz w:val="16"/>
          <w:szCs w:val="16"/>
          <w:color w:val="auto"/>
        </w:rPr>
        <w:t>federal court in New Orleans approved the October 2015 settlement, approximately $20 billion, between the United States, the five Gulf States and BP for damages from the Deepwater Horizon oil spill. Louisiana will receive a minimum of $6.8 billion for claims related to natural resource damages under the Oil Pollution Act, Clean Water Act civil penalties, and the State’s various economic claims. Many of the Gulf States previously committed to spending a portion of the fines received to repair the natural resources impacted by the oil spill including on coastal restoration projects that include dredging. Although the bulk of the fines are to be paid over the next 15 to 18 years, the Company expects several coastal restoration projects envisioned by the States to come to fruition in the next couple of years providing a new source of domestic capital dredging projects on which the Company will bid.</w:t>
      </w:r>
    </w:p>
    <w:p>
      <w:pPr>
        <w:spacing w:after="0" w:line="1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Foreign capital dredging backlog at March 31, 2016 was in line with backlog at December 31, 2015. Subsequent to the end of the quarter, the Company was awarded two land reclamation and development projects in the Middle East which will contribute to future backlog. Upcoming projects expected to be awarded are not being completed under the tight time constraints that were required on prior years’ large infrastructure projects. As a result, anticipated margins in the current year are expected to be lower than margins experienced internationally over the past several years. The world’s need for reclaimed land continues to expand to support global energy consumption, seaborne trade, population growth and tourism all of which are expected to add nearly 400 viable dredging projects over the next six years. Besides the Middle East, the Company continues to pursue ancillary work in South America where we have positioned a clamshell dredge and operate as a reputable regional provider. The Company expects the additional opportunities globally to provide a continued source of future international dredging revenue.</w:t>
      </w:r>
    </w:p>
    <w:p>
      <w:pPr>
        <w:spacing w:after="0" w:line="17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Coastal protection dredging backlog at March 31, 2016 was $6.1 million higher than at December 31, 2015. In the first three months of 2016, the Company was awarded a large coastal protection project in Virginia as well as a project in Florida. In the first three months of 2016, the Company earned revenue on several large coastal protection projects in New Jersey as well as on projects in Florida that were in backlog at December 31, 2015. Funding related to Northeastern U.S. beach replenishment continues to be released and the Company is anticipating these new dredging projects along the coast to extend through 2017. Federal and state government actions continue to support the repair and improvement of America’s coastline through the completion of protective beaches and berms.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Maintenance dredging backlog was down $34.1 million from December 31, 2015. During the first quarter of 2016, the Company was awarded a maintenance project in Louisiana which contributed to backlog at March 31, 2016. During the first three months of 2016, the Company continued to earn revenue on projects in Georgia, Louisiana, Maryland and Massachusetts which were in backlog at year end. The Water Resources Reform and Development Act (WRRDA) calls for full use of Harbor Maintenance Trust Fund (“HMTF”) within ten years for its intended purpose of maintaining future access to the waterways and ports that support our nation’s economy. Through the increased appropriation of HMTF monies, the Corps has substantially increased projects for maintenance dredging in 2016 and the Company anticipates an increase in harbor projects to be let to bid throughout the government’s current fiscal year and beyond. Further, the House and Senate Appropriations Committees are making progress on their fiscal year 2017 Energy &amp; Water Appropriations bills, which provide funding for the Corps. Funding levels for the Corps in both bills are positive and include hitting the Harbor Maintenance Tax (HMT) spending target.</w:t>
      </w:r>
    </w:p>
    <w:p>
      <w:pPr>
        <w:spacing w:after="0" w:line="19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Rivers &amp; lakes backlog is $8.3 million higher at March 31, 2016 than at December 31, 2015 as the Company was awarded a project in New Jersey during the first three months of 2016. During the first quarter of 2016, the Company continued to earn revenue on a reservoir project in Kansas. The Corps’ work plan for 2016 includes several upper Mississippi River projects to open channels that are often clogged by silt and sediment from upstream, in addition to planned levee repair along the Mississippi River. Additionally, the Company’s rivers &amp; lakes dredges are well suited for marsh projects in Louisiana that are expected to be let to bid through the Coastal Protection and Restoration Authority over the next year.</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Environmental &amp; infrastructure services backlog increased $3.9 million from December 31, 2015. The increase was attributable to the award of several projects, including two remediation projects, two geotechnical projects and an underground infrastructure project during the first three months of 2016. The Company continued to earn revenue on a large mine project in Washington as well as work on projects in Washington, Indiana and California. As part of the environmental &amp; infrastructure segment’s initiatives, the Company intends to focus on geographical expansion in the geotechnical services business. Additionally, the Company anticipates additional contracting opportunities arising from the transformation of the U.S. energy infrastructure, specifically related to the remediation requirements as mandated by the Environmental Protection Agency’s rule to regulate the disposal of coal combustion residuals from electric utilities promulgated in June 2015.</w:t>
      </w:r>
    </w:p>
    <w:p>
      <w:pPr>
        <w:spacing w:after="0" w:line="3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line="302" w:lineRule="auto"/>
        <w:rPr>
          <w:sz w:val="20"/>
          <w:szCs w:val="20"/>
          <w:color w:val="auto"/>
        </w:rPr>
      </w:pPr>
      <w:r>
        <w:rPr>
          <w:rFonts w:ascii="Arial" w:cs="Arial" w:eastAsia="Arial" w:hAnsi="Arial"/>
          <w:sz w:val="16"/>
          <w:szCs w:val="16"/>
          <w:color w:val="auto"/>
        </w:rPr>
        <w:t>The Company’s net cash provided by (used in) operating activities for the three months ended March 31, 2016 and 2015 totaled $3.0 million and $(10.6) million, respectively. Normal increases or decreases in the level of working capital relative to the level of operational activity impact cash flow from operating activities. The increase in the first three months of 2016 compared to the same period in the prior year was driven by the change in net income as well as a lower investment in working capital, specifically related to the final billings on large projects completed late in 2015, during the current year.</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net cash flows used in investing activities for the first three months of 2016 and 2015 totaled $14.9 million and $20.7 million, respectively. Investing activities in both periods primarily relate to normal course upgrades and capital maintenance of the Company’s dredging fleet. During the three months ended March 31, 2016, the Company spent $8.4 million on the construction of a dual mode articulated tug/barge trailing suction hopper dredge (“ATB”), compared to $6.8 million in the same period in the prior year. Spending on normal course upgrades and capital maintenance was lower for the 2016 first quarter compared to the 2015 first quarter.</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Company’s net cash flows provided by financing activities for the three months ended March 31, 2016 and 2015 totaled $13.5 million and $19.6 million, respectively. The decrease in net cash flows provided financing activities is primarily due to net borrowings on the Company’s revolver during the first three months of 2016 of $15 million, compared to net borrowings of $20 million for the same period in the prior year.</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$210 million,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$15 million.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Credit Agreement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March 31, 2016, the Company had $35.0 million of borrowings on the revolver and $49.4 million of letters of credit outstanding, resulting in $125.6 million of availability under the Credit Agreement. Borrowings under the line of credit may be limited based on the Company’s requirements to comply with its covenants. At March 31, 2016, the Company was in compliance with its various covenants under the Credit Agreement.</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November 4, 2014, the Company entered into a senior secured term loan facility consisting of a term loan in an aggregate principal amount of $50 million (the “Term Loan Facility”) pursuant to a Loan and Security Agreement (the “Loan Agreement”) by and among, the lenders party thereto from time to time and Bank of America, N.A., as administrative agent. The Company has borrowed an aggregate principal amount of $47.4 million in 2014 and an additional $2.6 million in 2015. The proceeds from the Term Loan Facility will be used for the working capital and general corporate purposes of the Company, including to repay borrowings under the Credit Agreement made to finance the construction of the Company’s ATB.</w:t>
      </w:r>
    </w:p>
    <w:p>
      <w:pPr>
        <w:spacing w:after="0" w:line="1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Term Loan Facility provides for monthly amortization payments, payable in arrears, which commenced on December 4, 2014, at an annual amount of (i) approximately 10% of the principal amount of the Term Loan Facility during the first two years of the 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right="320" w:firstLine="8"/>
        <w:spacing w:after="0" w:line="286"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may optionally prepay the Term Loan Facility in whole or in part at any time, subject to a minimum prepayment amount.</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infrastructure projects. The Company has a bonding agreement (the “Zurich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 million to $10 million. At March 31, 2016, the Company had outstanding performance bonds totaling approximately $1,093.3 million, of which $41.1 million relates to projects from the Company’s historical demolition business. The revenue value remaining in backlog related to these projects totaled approximately $579.5 million.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January 2011, the Company issued $250 million in aggregate principal amount of its 7.375% senior notes due February 1, 2019. Approximately $180 million of the net proceeds from the original issuance of the senior notes were used to prepay all of the Company’s 7.75% senior subordinated notes due December 2013, including prepayment premiums and accrued and unpaid interest. In November 2014, the Company issued an additional $25 million in aggregate principal amount of its 7.375% senior notes due February 1, 2019. The proceeds from this issuance were used to repay indebtedness incurred under our senior secured revolving credit facility in connection with the acquisition of Magnus Pacific Corporation, and for general corporate purposes.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preparing its consolidated financial statements, the Company follows GAAP, which is described in Note 1 to the Company’s December 31, 2015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2015.</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March 31, 2016 has not materially changed since December 31, 2015. The market risk profile of the Company on December 31, 2015 is disclosed in Item 7A. “Quantitative and Qualitative Disclosures about Market Risk” of the Company’s Annual Report on Form 10-K for the year ended December 31, 2015.</w:t>
      </w:r>
    </w:p>
    <w:p>
      <w:pPr>
        <w:spacing w:after="0" w:line="3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w:t>
      </w:r>
    </w:p>
    <w:p>
      <w:pPr>
        <w:ind w:right="160"/>
        <w:spacing w:after="0" w:line="254" w:lineRule="auto"/>
        <w:rPr>
          <w:sz w:val="20"/>
          <w:szCs w:val="20"/>
          <w:color w:val="auto"/>
        </w:rPr>
      </w:pPr>
      <w:r>
        <w:rPr>
          <w:rFonts w:ascii="Arial" w:cs="Arial" w:eastAsia="Arial" w:hAnsi="Arial"/>
          <w:sz w:val="18"/>
          <w:szCs w:val="18"/>
          <w:color w:val="auto"/>
        </w:rPr>
        <w:t>March 31, 2016.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a reasonable assurance.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March 31, 2016 that have materially affected, or are reasonably likely to materially affect, our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25" w:lineRule="exact"/>
        <w:rPr>
          <w:sz w:val="20"/>
          <w:szCs w:val="20"/>
          <w:color w:val="auto"/>
        </w:rPr>
      </w:pPr>
    </w:p>
    <w:p>
      <w:pPr>
        <w:ind w:right="260" w:firstLine="761"/>
        <w:spacing w:after="0" w:line="264" w:lineRule="auto"/>
        <w:rPr>
          <w:sz w:val="20"/>
          <w:szCs w:val="20"/>
          <w:color w:val="auto"/>
        </w:rPr>
      </w:pPr>
      <w:r>
        <w:rPr>
          <w:rFonts w:ascii="Arial" w:cs="Arial" w:eastAsia="Arial" w:hAnsi="Arial"/>
          <w:sz w:val="18"/>
          <w:szCs w:val="18"/>
          <w:color w:val="auto"/>
        </w:rPr>
        <w:t>In addition, we are in discussions with the Environmental Protection Agency (“EPA”) relating to a project we performed at the Mayport Naval Station from 2010-2012. The EPA is alleging violations of Section 105 of the Marine Protection, Research, and Sanctuaries Act (“MPRSA”) and failure to report violations of the MPRSA.</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380" w:firstLine="761"/>
        <w:spacing w:after="0" w:line="277" w:lineRule="auto"/>
        <w:rPr>
          <w:sz w:val="20"/>
          <w:szCs w:val="20"/>
          <w:color w:val="auto"/>
        </w:rPr>
      </w:pPr>
      <w:r>
        <w:rPr>
          <w:rFonts w:ascii="Arial" w:cs="Arial" w:eastAsia="Arial" w:hAnsi="Arial"/>
          <w:sz w:val="18"/>
          <w:szCs w:val="18"/>
          <w:color w:val="auto"/>
        </w:rPr>
        <w:t>There have been no material changes during the three months ended March 31, 2016 to the risk factors previously disclosed in Item 1A. “Risk Factors” in the Company’s Annual Report on Form 10-K for the year ended December 31, 2015.</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On September 11, 2015, the Company announced a share repurchase program approved by the Board of Directors of the Company, authorizing, but not obligating, the repurchase of up to an aggregate amount of $15,000,000 of its common stock from time to time through December 31, 2016. No repurchases were made in the first quarter of 2016. As of March 31, 2016, the approximate dollar value of shares still available for repurchase under the authorization was $13,575,000.</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431"/>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260"/>
              <w:spacing w:after="0"/>
              <w:rPr>
                <w:sz w:val="20"/>
                <w:szCs w:val="20"/>
                <w:color w:val="auto"/>
              </w:rPr>
            </w:pPr>
            <w:r>
              <w:rPr>
                <w:rFonts w:ascii="Arial" w:cs="Arial" w:eastAsia="Arial" w:hAnsi="Arial"/>
                <w:sz w:val="18"/>
                <w:szCs w:val="18"/>
                <w:color w:val="auto"/>
                <w:w w:val="94"/>
              </w:rPr>
              <w:t>Form of Great Lakes Dredge &amp; Dock Corporation Restricted Stock Unit Award Agreement pursuant to the Great Lakes Dredge &amp; Dock</w:t>
            </w:r>
          </w:p>
        </w:tc>
      </w:tr>
      <w:tr>
        <w:trPr>
          <w:trHeight w:val="230"/>
        </w:trPr>
        <w:tc>
          <w:tcPr>
            <w:tcW w:w="92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Corporation Long-Term Incentive Plan. †*</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ind w:left="260"/>
              <w:spacing w:after="0"/>
              <w:rPr>
                <w:sz w:val="20"/>
                <w:szCs w:val="20"/>
                <w:color w:val="auto"/>
              </w:rPr>
            </w:pPr>
            <w:r>
              <w:rPr>
                <w:rFonts w:ascii="Arial" w:cs="Arial" w:eastAsia="Arial" w:hAnsi="Arial"/>
                <w:sz w:val="18"/>
                <w:szCs w:val="18"/>
                <w:color w:val="auto"/>
                <w:w w:val="91"/>
              </w:rPr>
              <w:t>Form of Great Lakes Dredge &amp; Dock Corporation Performance Vesting RSU Award Agreement pursuant to the Great Lakes Dredge &amp; Dock</w:t>
            </w:r>
          </w:p>
        </w:tc>
      </w:tr>
      <w:tr>
        <w:trPr>
          <w:trHeight w:val="230"/>
        </w:trPr>
        <w:tc>
          <w:tcPr>
            <w:tcW w:w="92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Corporation Long-Term Incentive Plan. †*</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420" w:type="dxa"/>
            <w:vAlign w:val="bottom"/>
          </w:tcPr>
          <w:p>
            <w:pPr>
              <w:ind w:left="260"/>
              <w:spacing w:after="0"/>
              <w:rPr>
                <w:sz w:val="20"/>
                <w:szCs w:val="20"/>
                <w:color w:val="auto"/>
              </w:rPr>
            </w:pPr>
            <w:r>
              <w:rPr>
                <w:rFonts w:ascii="Arial" w:cs="Arial" w:eastAsia="Arial" w:hAnsi="Arial"/>
                <w:sz w:val="18"/>
                <w:szCs w:val="18"/>
                <w:color w:val="auto"/>
                <w:w w:val="96"/>
              </w:rPr>
              <w:t>Form of Great Lakes Dredge &amp; Dock Corporation Cash Performance Award Agreement pursuant to the Great Lakes Dredge &amp; Dock</w:t>
            </w:r>
          </w:p>
        </w:tc>
      </w:tr>
      <w:tr>
        <w:trPr>
          <w:trHeight w:val="230"/>
        </w:trPr>
        <w:tc>
          <w:tcPr>
            <w:tcW w:w="92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Corporation Long-Term Incentive Plan. †*</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420" w:type="dxa"/>
            <w:vAlign w:val="bottom"/>
          </w:tcPr>
          <w:p>
            <w:pPr>
              <w:ind w:left="260"/>
              <w:spacing w:after="0"/>
              <w:rPr>
                <w:sz w:val="20"/>
                <w:szCs w:val="20"/>
                <w:color w:val="auto"/>
              </w:rPr>
            </w:pPr>
            <w:r>
              <w:rPr>
                <w:rFonts w:ascii="Arial" w:cs="Arial" w:eastAsia="Arial" w:hAnsi="Arial"/>
                <w:sz w:val="18"/>
                <w:szCs w:val="18"/>
                <w:color w:val="auto"/>
                <w:w w:val="90"/>
              </w:rPr>
              <w:t>Restricted Stock Unit Award Agreement, dated as of March 9, 2016, by and between Great Lakes Dredge &amp; Dock Corporation and Jonathan</w:t>
            </w:r>
          </w:p>
        </w:tc>
      </w:tr>
      <w:tr>
        <w:trPr>
          <w:trHeight w:val="230"/>
        </w:trPr>
        <w:tc>
          <w:tcPr>
            <w:tcW w:w="92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W. Berger. †*</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420" w:type="dxa"/>
            <w:vAlign w:val="bottom"/>
          </w:tcPr>
          <w:p>
            <w:pPr>
              <w:ind w:left="260"/>
              <w:spacing w:after="0"/>
              <w:rPr>
                <w:sz w:val="20"/>
                <w:szCs w:val="20"/>
                <w:color w:val="auto"/>
              </w:rPr>
            </w:pPr>
            <w:r>
              <w:rPr>
                <w:rFonts w:ascii="Arial" w:cs="Arial" w:eastAsia="Arial" w:hAnsi="Arial"/>
                <w:sz w:val="18"/>
                <w:szCs w:val="18"/>
                <w:color w:val="auto"/>
                <w:w w:val="93"/>
              </w:rPr>
              <w:t>Performance Vesting RSU Award Agreement, dated as of March 9, 2016, by and between Great Lakes Dredge &amp; Dock Corporation and</w:t>
            </w:r>
          </w:p>
        </w:tc>
      </w:tr>
      <w:tr>
        <w:trPr>
          <w:trHeight w:val="230"/>
        </w:trPr>
        <w:tc>
          <w:tcPr>
            <w:tcW w:w="92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Jonathan W. Berger. †*</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420" w:type="dxa"/>
            <w:vAlign w:val="bottom"/>
          </w:tcPr>
          <w:p>
            <w:pPr>
              <w:ind w:left="260"/>
              <w:spacing w:after="0"/>
              <w:rPr>
                <w:sz w:val="20"/>
                <w:szCs w:val="20"/>
                <w:color w:val="auto"/>
              </w:rPr>
            </w:pPr>
            <w:r>
              <w:rPr>
                <w:rFonts w:ascii="Arial" w:cs="Arial" w:eastAsia="Arial" w:hAnsi="Arial"/>
                <w:sz w:val="18"/>
                <w:szCs w:val="18"/>
                <w:color w:val="auto"/>
                <w:w w:val="90"/>
              </w:rPr>
              <w:t>Cash Performance Award Agreement, dated as of March 9, 2016, by and between Great Lakes Dredge &amp; Dock Corporation and Jonathan W.</w:t>
            </w:r>
          </w:p>
        </w:tc>
      </w:tr>
      <w:tr>
        <w:trPr>
          <w:trHeight w:val="230"/>
        </w:trPr>
        <w:tc>
          <w:tcPr>
            <w:tcW w:w="92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Berger. †*</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260"/>
              <w:spacing w:after="0"/>
              <w:rPr>
                <w:sz w:val="20"/>
                <w:szCs w:val="20"/>
                <w:color w:val="auto"/>
              </w:rPr>
            </w:pPr>
            <w:r>
              <w:rPr>
                <w:rFonts w:ascii="Arial" w:cs="Arial" w:eastAsia="Arial" w:hAnsi="Arial"/>
                <w:sz w:val="18"/>
                <w:szCs w:val="18"/>
                <w:color w:val="auto"/>
                <w:w w:val="92"/>
              </w:rPr>
              <w:t>Certification Pursuant to Rules 13a-14 and 15d-14 under the Securities Exchange Act of 1934, as Adopted Pursuant to Section 302 of the</w:t>
            </w:r>
          </w:p>
        </w:tc>
      </w:tr>
      <w:tr>
        <w:trPr>
          <w:trHeight w:val="230"/>
        </w:trPr>
        <w:tc>
          <w:tcPr>
            <w:tcW w:w="92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Sarbanes-Oxley Act of 2002. *</w:t>
            </w: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260"/>
              <w:spacing w:after="0"/>
              <w:rPr>
                <w:sz w:val="20"/>
                <w:szCs w:val="20"/>
                <w:color w:val="auto"/>
              </w:rPr>
            </w:pPr>
            <w:r>
              <w:rPr>
                <w:rFonts w:ascii="Arial" w:cs="Arial" w:eastAsia="Arial" w:hAnsi="Arial"/>
                <w:sz w:val="18"/>
                <w:szCs w:val="18"/>
                <w:color w:val="auto"/>
                <w:w w:val="92"/>
              </w:rPr>
              <w:t>Certification Pursuant to Rules 13a-14 and 15d-14 under the Securities Exchange Act of 1934, as Adopted Pursuant to Section 302 of the</w:t>
            </w:r>
          </w:p>
        </w:tc>
      </w:tr>
      <w:tr>
        <w:trPr>
          <w:trHeight w:val="230"/>
        </w:trPr>
        <w:tc>
          <w:tcPr>
            <w:tcW w:w="92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Sarbanes-Oxley Act of 2002. *</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Instance Document. *</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Taxonomy Extension Schema. *</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84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Mark W. Marinko</w:t>
      </w:r>
    </w:p>
    <w:p>
      <w:pPr>
        <w:jc w:val="center"/>
        <w:ind w:left="71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tcPr>
          <w:p>
            <w:pPr>
              <w:ind w:left="3840"/>
              <w:spacing w:after="0"/>
              <w:rPr>
                <w:sz w:val="20"/>
                <w:szCs w:val="20"/>
                <w:color w:val="auto"/>
              </w:rPr>
            </w:pPr>
            <w:r>
              <w:rPr>
                <w:rFonts w:ascii="Arial" w:cs="Arial" w:eastAsia="Arial" w:hAnsi="Arial"/>
                <w:sz w:val="18"/>
                <w:szCs w:val="18"/>
                <w:b w:val="1"/>
                <w:bCs w:val="1"/>
                <w:color w:val="auto"/>
              </w:rPr>
              <w:t>EXHIBIT INDEX</w:t>
            </w:r>
          </w:p>
        </w:tc>
      </w:tr>
      <w:tr>
        <w:trPr>
          <w:trHeight w:val="513"/>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40" w:type="dxa"/>
            <w:vAlign w:val="bottom"/>
          </w:tcPr>
          <w:p>
            <w:pPr>
              <w:ind w:left="4260"/>
              <w:spacing w:after="0"/>
              <w:rPr>
                <w:sz w:val="20"/>
                <w:szCs w:val="20"/>
                <w:color w:val="auto"/>
              </w:rPr>
            </w:pPr>
            <w:r>
              <w:rPr>
                <w:rFonts w:ascii="Arial" w:cs="Arial" w:eastAsia="Arial" w:hAnsi="Arial"/>
                <w:sz w:val="18"/>
                <w:szCs w:val="18"/>
                <w:b w:val="1"/>
                <w:bCs w:val="1"/>
                <w:color w:val="auto"/>
              </w:rPr>
              <w:t>Document Description</w:t>
            </w:r>
          </w:p>
        </w:tc>
      </w:tr>
      <w:tr>
        <w:trPr>
          <w:trHeight w:val="438"/>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2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Form of Great Lakes Dredge &amp; Dock Corporation Restricted Stock Unit Award Agreement pursuant to the Great Lakes Dredge &amp; Dock</w:t>
            </w:r>
          </w:p>
        </w:tc>
      </w:tr>
      <w:tr>
        <w:trPr>
          <w:trHeight w:val="230"/>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Corporation Long-Term Incentive Plan. †*</w:t>
            </w:r>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Form of Great Lakes Dredge &amp; Dock Corporation Performance Vesting RSU Award Agreement pursuant to the Great Lakes Dredge &amp; Dock</w:t>
            </w:r>
          </w:p>
        </w:tc>
      </w:tr>
      <w:tr>
        <w:trPr>
          <w:trHeight w:val="230"/>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Corporation Long-Term Incentive Plan. †*</w:t>
            </w:r>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7"/>
              </w:rPr>
              <w:t>Form of Great Lakes Dredge &amp; Dock Corporation Cash Performance Award Agreement pursuant to the Great Lakes Dredge &amp; Dock</w:t>
            </w:r>
          </w:p>
        </w:tc>
      </w:tr>
      <w:tr>
        <w:trPr>
          <w:trHeight w:val="230"/>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Corporation Long-Term Incentive Plan. †*</w:t>
            </w:r>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Restricted Stock Unit Award Agreement, dated as of March 9, 2016, by and between Great Lakes Dredge &amp; Dock Corporation and Jonathan</w:t>
            </w:r>
          </w:p>
        </w:tc>
      </w:tr>
      <w:tr>
        <w:trPr>
          <w:trHeight w:val="230"/>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W. Berger. †*</w:t>
            </w:r>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Performance Vesting RSU Award Agreement, dated as of March 9, 2016, by and between Great Lakes Dredge &amp; Dock Corporation and</w:t>
            </w:r>
          </w:p>
        </w:tc>
      </w:tr>
      <w:tr>
        <w:trPr>
          <w:trHeight w:val="230"/>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Jonathan W. Berger. †*</w:t>
            </w:r>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0"/>
              </w:rPr>
              <w:t>Cash Performance Award Agreement, dated as of March 9, 2016, by and between Great Lakes Dredge &amp; Dock Corporation and Jonathan W.</w:t>
            </w:r>
          </w:p>
        </w:tc>
      </w:tr>
      <w:tr>
        <w:trPr>
          <w:trHeight w:val="230"/>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Berger. †*</w:t>
            </w:r>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Certification Pursuant to Rules 13a-14 and 15d-14 under the Securities Exchange Act of 1934, as Adopted Pursuant to Section 302 of the</w:t>
            </w:r>
          </w:p>
        </w:tc>
      </w:tr>
      <w:tr>
        <w:trPr>
          <w:trHeight w:val="230"/>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445"/>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Certification Pursuant to Rules 13a-14 and 15d-14 under the Securities Exchange Act of 1934, as Adopted Pursuant to Section 302 of the</w:t>
            </w:r>
          </w:p>
        </w:tc>
      </w:tr>
      <w:tr>
        <w:trPr>
          <w:trHeight w:val="230"/>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473"/>
        </w:trPr>
        <w:tc>
          <w:tcPr>
            <w:tcW w:w="11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spacing w:after="0"/>
              <w:rPr>
                <w:sz w:val="20"/>
                <w:szCs w:val="20"/>
                <w:color w:val="auto"/>
              </w:rPr>
            </w:pPr>
            <w:r>
              <w:rPr>
                <w:rFonts w:ascii="Arial" w:cs="Arial" w:eastAsia="Arial" w:hAnsi="Arial"/>
                <w:sz w:val="18"/>
                <w:szCs w:val="18"/>
                <w:color w:val="auto"/>
              </w:rPr>
              <w:t>XBRL Instance Document. *</w:t>
            </w:r>
          </w:p>
        </w:tc>
      </w:tr>
      <w:tr>
        <w:trPr>
          <w:trHeight w:val="473"/>
        </w:trPr>
        <w:tc>
          <w:tcPr>
            <w:tcW w:w="11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Schema. *</w:t>
            </w:r>
          </w:p>
        </w:tc>
      </w:tr>
      <w:tr>
        <w:trPr>
          <w:trHeight w:val="473"/>
        </w:trPr>
        <w:tc>
          <w:tcPr>
            <w:tcW w:w="11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Calculation Linkbase. *</w:t>
            </w:r>
          </w:p>
        </w:tc>
      </w:tr>
      <w:tr>
        <w:trPr>
          <w:trHeight w:val="473"/>
        </w:trPr>
        <w:tc>
          <w:tcPr>
            <w:tcW w:w="11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Definition Linkbase. *</w:t>
            </w:r>
          </w:p>
        </w:tc>
      </w:tr>
      <w:tr>
        <w:trPr>
          <w:trHeight w:val="473"/>
        </w:trPr>
        <w:tc>
          <w:tcPr>
            <w:tcW w:w="11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Label Linkbase. *</w:t>
            </w:r>
          </w:p>
        </w:tc>
      </w:tr>
      <w:tr>
        <w:trPr>
          <w:trHeight w:val="473"/>
        </w:trPr>
        <w:tc>
          <w:tcPr>
            <w:tcW w:w="11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4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RESTRICTED STOCK UNIT AWARD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pursuant to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LONG-TERM INCENTIVE PLAN</w:t>
      </w:r>
    </w:p>
    <w:p>
      <w:pPr>
        <w:spacing w:after="0" w:line="22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RESTRICTED STOCK UNIT AWARD AGREEMENT</w:t>
      </w:r>
      <w:r>
        <w:rPr>
          <w:rFonts w:ascii="Arial" w:cs="Arial" w:eastAsia="Arial" w:hAnsi="Arial"/>
          <w:sz w:val="18"/>
          <w:szCs w:val="18"/>
          <w:color w:val="auto"/>
        </w:rPr>
        <w:t xml:space="preserv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Great Lakes</w:t>
      </w:r>
      <w:r>
        <w:rPr>
          <w:rFonts w:ascii="Arial" w:cs="Arial" w:eastAsia="Arial" w:hAnsi="Arial"/>
          <w:sz w:val="18"/>
          <w:szCs w:val="18"/>
          <w:color w:val="auto"/>
        </w:rPr>
        <w:t xml:space="preserve"> </w:t>
      </w:r>
      <w:r>
        <w:rPr>
          <w:rFonts w:ascii="Arial" w:cs="Arial" w:eastAsia="Arial" w:hAnsi="Arial"/>
          <w:sz w:val="18"/>
          <w:szCs w:val="18"/>
          <w:b w:val="1"/>
          <w:bCs w:val="1"/>
          <w:color w:val="auto"/>
        </w:rPr>
        <w:t>Dredge &amp; Dock Corporation</w:t>
      </w:r>
      <w:r>
        <w:rPr>
          <w:rFonts w:ascii="Arial" w:cs="Arial" w:eastAsia="Arial" w:hAnsi="Arial"/>
          <w:sz w:val="18"/>
          <w:szCs w:val="18"/>
          <w:color w:val="auto"/>
        </w:rPr>
        <w:t>, a Delaware corporation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and [Participant Name] (the “</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effective as of March 9, 2016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Date</w:t>
      </w:r>
      <w:r>
        <w:rPr>
          <w:rFonts w:ascii="Arial" w:cs="Arial" w:eastAsia="Arial" w:hAnsi="Arial"/>
          <w:sz w:val="18"/>
          <w:szCs w:val="18"/>
          <w:color w:val="auto"/>
        </w:rPr>
        <w:t>”).</w:t>
      </w:r>
    </w:p>
    <w:p>
      <w:pPr>
        <w:spacing w:after="0" w:line="17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u w:val="single" w:color="auto"/>
          <w:color w:val="auto"/>
        </w:rPr>
        <w:t>Award of Restricted Stock Units</w:t>
      </w:r>
      <w:r>
        <w:rPr>
          <w:rFonts w:ascii="Arial" w:cs="Arial" w:eastAsia="Arial" w:hAnsi="Arial"/>
          <w:sz w:val="18"/>
          <w:szCs w:val="18"/>
          <w:color w:val="auto"/>
        </w:rPr>
        <w:t>. The Corporation hereby grants to the Participant and the Participant hereby accepts an Award of [Number of Shares Granted] Restricted Stock Units (the “</w:t>
      </w:r>
      <w:r>
        <w:rPr>
          <w:rFonts w:ascii="Arial" w:cs="Arial" w:eastAsia="Arial" w:hAnsi="Arial"/>
          <w:sz w:val="18"/>
          <w:szCs w:val="18"/>
          <w:b w:val="1"/>
          <w:bCs w:val="1"/>
          <w:u w:val="single" w:color="auto"/>
          <w:color w:val="auto"/>
        </w:rPr>
        <w:t>RSUs</w:t>
      </w:r>
      <w:r>
        <w:rPr>
          <w:rFonts w:ascii="Arial" w:cs="Arial" w:eastAsia="Arial" w:hAnsi="Arial"/>
          <w:sz w:val="18"/>
          <w:szCs w:val="18"/>
          <w:color w:val="auto"/>
        </w:rPr>
        <w:t>”), subject to the terms and conditions set forth in this Agreement. An RSU represents the Corporation’s unfunded and unsecured promise to issue one share of common stock of the Corporation (“</w:t>
      </w:r>
      <w:r>
        <w:rPr>
          <w:rFonts w:ascii="Arial" w:cs="Arial" w:eastAsia="Arial" w:hAnsi="Arial"/>
          <w:sz w:val="18"/>
          <w:szCs w:val="18"/>
          <w:b w:val="1"/>
          <w:bCs w:val="1"/>
          <w:u w:val="single" w:color="auto"/>
          <w:color w:val="auto"/>
        </w:rPr>
        <w:t>Stock</w:t>
      </w:r>
      <w:r>
        <w:rPr>
          <w:rFonts w:ascii="Arial" w:cs="Arial" w:eastAsia="Arial" w:hAnsi="Arial"/>
          <w:sz w:val="18"/>
          <w:szCs w:val="18"/>
          <w:color w:val="auto"/>
        </w:rPr>
        <w:t>”) at the dates set forth in this Agreement. The Participant’s rights with respect to the RSUs are governed by the Plan (as defined herein) and this Agreement and the Participant has no rights with respect to the RSUs other than the rights of a general creditor of the Corporation. The number of shares of Stock issuable in respect of an RSU is subject to adjustment in accordance with the Plan.</w:t>
      </w:r>
    </w:p>
    <w:p>
      <w:pPr>
        <w:spacing w:after="0" w:line="188" w:lineRule="exact"/>
        <w:rPr>
          <w:sz w:val="20"/>
          <w:szCs w:val="20"/>
          <w:color w:val="auto"/>
        </w:rPr>
      </w:pPr>
    </w:p>
    <w:p>
      <w:pPr>
        <w:jc w:val="both"/>
        <w:ind w:firstLine="885"/>
        <w:spacing w:after="0" w:line="261" w:lineRule="auto"/>
        <w:tabs>
          <w:tab w:leader="none" w:pos="1661"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w:t>
      </w:r>
      <w:r>
        <w:rPr>
          <w:rFonts w:ascii="Arial" w:cs="Arial" w:eastAsia="Arial" w:hAnsi="Arial"/>
          <w:sz w:val="18"/>
          <w:szCs w:val="18"/>
          <w:color w:val="auto"/>
        </w:rPr>
        <w:t>. This Award is granted pursuant to the Corporation’s 2007 Long-Term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for all purposes. Capitalized terms used but not otherwise defined herein have the meanings as set forth in the Plan. The Participant agrees to be bound by the terms and conditions of the Plan, which control in case of any conflict with this Agreement, except as otherwise specifically provided for in the Plan.</w:t>
      </w:r>
    </w:p>
    <w:p>
      <w:pPr>
        <w:spacing w:after="0" w:line="180" w:lineRule="exact"/>
        <w:rPr>
          <w:rFonts w:ascii="Arial" w:cs="Arial" w:eastAsia="Arial" w:hAnsi="Arial"/>
          <w:sz w:val="18"/>
          <w:szCs w:val="18"/>
          <w:color w:val="auto"/>
        </w:rPr>
      </w:pPr>
    </w:p>
    <w:p>
      <w:pPr>
        <w:jc w:val="both"/>
        <w:ind w:firstLine="885"/>
        <w:spacing w:after="0" w:line="274" w:lineRule="auto"/>
        <w:tabs>
          <w:tab w:leader="none" w:pos="1661"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In the event that the Corporation declares a dividend on its Stock prior to the Conversion Date (as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with respect to the RSUs that vest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the Corporation shall pay to the Participant, within thirty (30) days of the Conversion Date (subject to Section 17, if applicable), an amount in cash equal to the aggregate dividends that would have been paid on such RSUs during the period between the Award Date and the Conversion Date had they been converted into the same number of shares of Stock and held by the Participant on the record date of such dividend (the “</w:t>
      </w: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xml:space="preserve">”). No Dividend Equivalents shall be paid prior to the Conversion Date and no Dividend Equivalents shall be paid at any time with respect to RSUs that are forfeited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w:t>
      </w:r>
    </w:p>
    <w:p>
      <w:pPr>
        <w:spacing w:after="0" w:line="174"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 The RSUs may not be transferred, alienated, assigned, pledged, hypothecated or encumbered, in any way, whether voluntarily or involuntarily or by operation of law by judgment, levy, attachment, garnishment or any other legal or equitable proceeding (including bankruptcy), and any attempted disposition thereof shall be null and void and of no effect.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229" w:lineRule="exact"/>
        <w:rPr>
          <w:sz w:val="20"/>
          <w:szCs w:val="20"/>
          <w:color w:val="auto"/>
        </w:rPr>
      </w:pPr>
    </w:p>
    <w:p>
      <w:pPr>
        <w:jc w:val="both"/>
        <w:ind w:left="1740" w:hanging="868"/>
        <w:spacing w:after="0" w:line="259" w:lineRule="auto"/>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may be accelerated as set forth in the Plan or as set forth below, and except as may be accelerated as set forth in any employment or consulting agreement between the Participant and the Corporation or an Affiliated Entity, the RSUs shall vest in three equal portions, on the first, second and third anniversaries of the Award Date (the “</w:t>
      </w:r>
      <w:r>
        <w:rPr>
          <w:rFonts w:ascii="Arial" w:cs="Arial" w:eastAsia="Arial" w:hAnsi="Arial"/>
          <w:sz w:val="18"/>
          <w:szCs w:val="18"/>
          <w:b w:val="1"/>
          <w:bCs w:val="1"/>
          <w:u w:val="single" w:color="auto"/>
          <w:color w:val="auto"/>
        </w:rPr>
        <w:t>Vest Date</w:t>
      </w:r>
      <w:r>
        <w:rPr>
          <w:rFonts w:ascii="Arial" w:cs="Arial" w:eastAsia="Arial" w:hAnsi="Arial"/>
          <w:sz w:val="18"/>
          <w:szCs w:val="18"/>
          <w:color w:val="auto"/>
        </w:rPr>
        <w:t>”) if the Participant is continuously employed by the Corporation or an Affiliated Entity through such vesting date.</w:t>
      </w:r>
    </w:p>
    <w:p>
      <w:pPr>
        <w:spacing w:after="0" w:line="186" w:lineRule="exact"/>
        <w:rPr>
          <w:rFonts w:ascii="Arial" w:cs="Arial" w:eastAsia="Arial" w:hAnsi="Arial"/>
          <w:sz w:val="18"/>
          <w:szCs w:val="18"/>
          <w:color w:val="auto"/>
        </w:rPr>
      </w:pPr>
    </w:p>
    <w:p>
      <w:pPr>
        <w:ind w:left="1740" w:hanging="868"/>
        <w:spacing w:after="0" w:line="277" w:lineRule="auto"/>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Participant’s Termination due to death or Disability (as defined below), to the extent not previously forfeited, the RSUs shall be fully vested.</w:t>
      </w:r>
    </w:p>
    <w:p>
      <w:pPr>
        <w:spacing w:after="0" w:line="170" w:lineRule="exact"/>
        <w:rPr>
          <w:rFonts w:ascii="Arial" w:cs="Arial" w:eastAsia="Arial" w:hAnsi="Arial"/>
          <w:sz w:val="18"/>
          <w:szCs w:val="18"/>
          <w:color w:val="auto"/>
        </w:rPr>
      </w:pPr>
    </w:p>
    <w:p>
      <w:pPr>
        <w:jc w:val="both"/>
        <w:ind w:left="1740" w:hanging="868"/>
        <w:spacing w:after="0" w:line="259" w:lineRule="auto"/>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Upon the Participant’s Termination due to Retirement (as defined below), to the extent not previously forfeited, the RSUs shall vest on the date of Termination in an amount equal to the product of (i) the number of days beginning with the Award Date or, if applicable, the prior Vest Date (in the case of a Termination due to Retirement after the first Vest Date) and ending with the date of the Participant’s Termination due to Retirement divided by 365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left="1740"/>
        <w:spacing w:after="0" w:line="277" w:lineRule="auto"/>
        <w:rPr>
          <w:sz w:val="20"/>
          <w:szCs w:val="20"/>
          <w:color w:val="auto"/>
        </w:rPr>
      </w:pPr>
      <w:r>
        <w:rPr>
          <w:rFonts w:ascii="Arial" w:cs="Arial" w:eastAsia="Arial" w:hAnsi="Arial"/>
          <w:sz w:val="18"/>
          <w:szCs w:val="18"/>
          <w:color w:val="auto"/>
        </w:rPr>
        <w:t>RSUs that are scheduled to vest on the next Vest Date. Any RSUs which do not vest in accordance with the formula shall be forfeited. The Participant shall not be entitled to receive any Dividend Equivalents on forfeited RSUs.</w:t>
      </w:r>
    </w:p>
    <w:p>
      <w:pPr>
        <w:spacing w:after="0" w:line="166" w:lineRule="exact"/>
        <w:rPr>
          <w:sz w:val="20"/>
          <w:szCs w:val="20"/>
          <w:color w:val="auto"/>
        </w:rPr>
      </w:pPr>
    </w:p>
    <w:p>
      <w:pPr>
        <w:jc w:val="both"/>
        <w:ind w:left="1740" w:hanging="868"/>
        <w:spacing w:after="0" w:line="289" w:lineRule="auto"/>
        <w:tabs>
          <w:tab w:leader="none" w:pos="1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Upon a Change in Control, the Compensation Committee of the Board of Directors of the Corporation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Committee</w:t>
      </w:r>
      <w:r>
        <w:rPr>
          <w:rFonts w:ascii="Arial" w:cs="Arial" w:eastAsia="Arial" w:hAnsi="Arial"/>
          <w:sz w:val="17"/>
          <w:szCs w:val="17"/>
          <w:b w:val="1"/>
          <w:bCs w:val="1"/>
          <w:color w:val="auto"/>
        </w:rPr>
        <w:t>”</w:t>
      </w:r>
      <w:r>
        <w:rPr>
          <w:rFonts w:ascii="Arial" w:cs="Arial" w:eastAsia="Arial" w:hAnsi="Arial"/>
          <w:sz w:val="17"/>
          <w:szCs w:val="17"/>
          <w:color w:val="auto"/>
        </w:rPr>
        <w:t>) may elect, in its sole discretion, to accelerate the vesting of some or all of the RSUs in accordance with the terms of the Plan. No provision of this Agreement shall require the Committee to accelerate such vesting upon a Change in Control or any other event.</w:t>
      </w:r>
    </w:p>
    <w:p>
      <w:pPr>
        <w:spacing w:after="0" w:line="162" w:lineRule="exact"/>
        <w:rPr>
          <w:rFonts w:ascii="Arial" w:cs="Arial" w:eastAsia="Arial" w:hAnsi="Arial"/>
          <w:sz w:val="17"/>
          <w:szCs w:val="17"/>
          <w:color w:val="auto"/>
        </w:rPr>
      </w:pPr>
    </w:p>
    <w:p>
      <w:pPr>
        <w:jc w:val="both"/>
        <w:ind w:left="1740" w:hanging="868"/>
        <w:spacing w:after="0" w:line="287" w:lineRule="auto"/>
        <w:tabs>
          <w:tab w:leader="none" w:pos="1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the extent any RSUs have not vested upon the Participant’s Termination for any reason other than death, Disability or Retirement, those RSUs shall be immediately forfeited upon such Termination, except as may be otherwise provided in this Section 5(e), below. The Participant shall not be entitled to receive any Dividend Equivalents on forfeited RSUs, whether such forfeiture is immediate or as set forth below. If an employment or consulting agreement provides for some degree of accelerated vesting conditioned on the Participant signing a release, separation agreement or other post-Termination conduct, the forfeiture of the unvested portion of the RSUs will be held in abeyance until the period for signing the release or separation agreement (and not rescinding it) or such other post-Termination conduct expires, at which point a determination will be made by the Corporation or an Affiliated Entity as to whether the requirements for accelerated vesting have been met. If the criteria for accelerated vesting have been met, in the sole discretion of the Corporation or the Affiliated Entity, the Conversion Date for that portion of the RSUs shall be 60 days after the date of the Participant’s Termination</w:t>
      </w:r>
      <w:r>
        <w:rPr>
          <w:rFonts w:ascii="Arial" w:cs="Arial" w:eastAsia="Arial" w:hAnsi="Arial"/>
          <w:sz w:val="16"/>
          <w:szCs w:val="16"/>
          <w:u w:val="single" w:color="auto"/>
          <w:color w:val="auto"/>
        </w:rPr>
        <w:t>; provided, however, in the event the Participant satisfies the Rule of 75 at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time of such Termination, the Conversion Date shall be the next regularly scheduled Vest Date</w:t>
      </w:r>
      <w:r>
        <w:rPr>
          <w:rFonts w:ascii="Arial" w:cs="Arial" w:eastAsia="Arial" w:hAnsi="Arial"/>
          <w:sz w:val="16"/>
          <w:szCs w:val="16"/>
          <w:color w:val="auto"/>
        </w:rPr>
        <w:t>.</w:t>
      </w:r>
    </w:p>
    <w:p>
      <w:pPr>
        <w:spacing w:after="0" w:line="169" w:lineRule="exact"/>
        <w:rPr>
          <w:sz w:val="20"/>
          <w:szCs w:val="20"/>
          <w:color w:val="auto"/>
        </w:rPr>
      </w:pPr>
    </w:p>
    <w:p>
      <w:pPr>
        <w:ind w:left="1660" w:hanging="775"/>
        <w:spacing w:after="0"/>
        <w:tabs>
          <w:tab w:leader="none" w:pos="166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Affiliated Entity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with respect to any entity, any other entity directly or indirectly controlling, controlled by or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first entity. For these purposes, “control” (including the terms “controlled by” and “under common control with”) means the possession, direct or indirect, of the power to direct or cause the direction of the management policies of an entity by reason of ownership of voting securities, by contract or otherwise. A reference to an Affiliated Entity includes a reference to an Affiliate.</w:t>
      </w:r>
    </w:p>
    <w:p>
      <w:pPr>
        <w:spacing w:after="0" w:line="180"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the Participant becoming unable to engage in any substantial gainful activity by reason of any medically determinable physical or mental impairment that can be expected to result in death or that has lasted or can be expected to last for a continuous period of not less than twelve (12) months, within the meaning of Code Section 22(e)(3).</w:t>
      </w:r>
    </w:p>
    <w:p>
      <w:pPr>
        <w:spacing w:after="0" w:line="176" w:lineRule="exact"/>
        <w:rPr>
          <w:sz w:val="20"/>
          <w:szCs w:val="20"/>
          <w:color w:val="auto"/>
        </w:rPr>
      </w:pPr>
    </w:p>
    <w:p>
      <w:pPr>
        <w:jc w:val="both"/>
        <w:ind w:firstLine="87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Retirement</w:t>
      </w:r>
      <w:r>
        <w:rPr>
          <w:rFonts w:ascii="Arial" w:cs="Arial" w:eastAsia="Arial" w:hAnsi="Arial"/>
          <w:sz w:val="16"/>
          <w:szCs w:val="16"/>
          <w:color w:val="auto"/>
        </w:rPr>
        <w:t xml:space="preserve">” shall have the meaning set forth in any employment or consulting agreement between the Participant and the Corporation or an Affiliated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(i) a uniform definition of Retirement is not used either within a single agreement or across multiple employment or consulting agreements between the Participant and the Corporation or an Affiliated Entity, (ii) there is no such agreement, or (iii) such agreement does not define Retirement, Retirement shall mean a Participant’s Termination, other than for Cause, which meets all of the following criteria.</w:t>
      </w:r>
    </w:p>
    <w:p>
      <w:pPr>
        <w:spacing w:after="0" w:line="155" w:lineRule="exact"/>
        <w:rPr>
          <w:sz w:val="20"/>
          <w:szCs w:val="20"/>
          <w:color w:val="auto"/>
        </w:rPr>
      </w:pPr>
    </w:p>
    <w:p>
      <w:pPr>
        <w:jc w:val="both"/>
        <w:ind w:left="1300" w:hanging="428"/>
        <w:spacing w:after="0" w:line="293"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sum of (x) the continuous full years of Service by the Participant to the Corporation or an Affiliated Entity and (y) the attained age in full years of the Participant on the date of the Participant’s Termination total no less than 75 (the “Rule of 75”). A leave of absence which is agreed to between the Corporation and the Participant in writing for medical reasons or for military service shall not constitute a break in Service for this purpose. For example, a Participant was born on June 27, 1963, and started full-time employment with the Corporation on July 1, 1990, and works continuously as an Employee until a Termination on December 31, 2016. This Participant’s full years of Service are 26 years and his or her attained age on the date of Termination is 53 years. The total is 79, so the Participant satisfies the Rule of 75.</w:t>
      </w:r>
    </w:p>
    <w:p>
      <w:pPr>
        <w:spacing w:after="0" w:line="164" w:lineRule="exact"/>
        <w:rPr>
          <w:rFonts w:ascii="Arial" w:cs="Arial" w:eastAsia="Arial" w:hAnsi="Arial"/>
          <w:sz w:val="16"/>
          <w:szCs w:val="16"/>
          <w:color w:val="auto"/>
        </w:rPr>
      </w:pPr>
    </w:p>
    <w:p>
      <w:pPr>
        <w:ind w:left="1300" w:hanging="428"/>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Participant signs a Restrictive Covenant Agreement in anticipation of his Retirement, if the Corporation requests that he do so, within the timeframe given to the Participant to sign by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9" w:name="page40"/>
    <w:bookmarkEnd w:id="39"/>
    <w:p>
      <w:pPr>
        <w:ind w:left="1300" w:hanging="428"/>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Participant gives his direct supervisor, or in the case of the Chief Executive Officer, the Board of Directors, at least two months’ prior notice of his Retirement, or if the Participant is an officer of the Corporation, three months’ prior notice of his Retirement.</w:t>
      </w:r>
    </w:p>
    <w:p>
      <w:pPr>
        <w:spacing w:after="0" w:line="143"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Restrictive Covenant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 agreement between the Corporation or an Affiliated Entity and the Participant, in a form</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the Corporation or the Affiliated Entity,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extend beyond the three-year anniversary of the Participant’s Termination due to Retirement.</w:t>
      </w:r>
    </w:p>
    <w:p>
      <w:pPr>
        <w:spacing w:after="0" w:line="168" w:lineRule="exact"/>
        <w:rPr>
          <w:sz w:val="20"/>
          <w:szCs w:val="20"/>
          <w:color w:val="auto"/>
        </w:rPr>
      </w:pPr>
    </w:p>
    <w:p>
      <w:pPr>
        <w:jc w:val="both"/>
        <w:ind w:firstLine="885"/>
        <w:spacing w:after="0" w:line="281" w:lineRule="auto"/>
        <w:tabs>
          <w:tab w:leader="none" w:pos="1661"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 of RSUs into Stock</w:t>
      </w:r>
      <w:r>
        <w:rPr>
          <w:rFonts w:ascii="Arial" w:cs="Arial" w:eastAsia="Arial" w:hAnsi="Arial"/>
          <w:sz w:val="17"/>
          <w:szCs w:val="17"/>
          <w:color w:val="auto"/>
        </w:rPr>
        <w:t>. On the Conversion Date (as defined below), the vested RSUs shall be converted into an equivalent</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of Stock that will be issued to the Participant, or in the event of the Participant’s death, the Participant’s beneficiary. Within 30 days after the Conversion Date, the Company shall deliver the shares, as evidenced by the appropriate entry on the books of the Company or of a duly authorized transfer agent of the Company. Subject to Section 17, the “</w:t>
      </w:r>
      <w:r>
        <w:rPr>
          <w:rFonts w:ascii="Arial" w:cs="Arial" w:eastAsia="Arial" w:hAnsi="Arial"/>
          <w:sz w:val="17"/>
          <w:szCs w:val="17"/>
          <w:b w:val="1"/>
          <w:bCs w:val="1"/>
          <w:u w:val="single" w:color="auto"/>
          <w:color w:val="auto"/>
        </w:rPr>
        <w:t>Conversion Date</w:t>
      </w:r>
      <w:r>
        <w:rPr>
          <w:rFonts w:ascii="Arial" w:cs="Arial" w:eastAsia="Arial" w:hAnsi="Arial"/>
          <w:sz w:val="17"/>
          <w:szCs w:val="17"/>
          <w:color w:val="auto"/>
        </w:rPr>
        <w:t>” shall be determined in accordance with the following:</w:t>
      </w:r>
    </w:p>
    <w:p>
      <w:pPr>
        <w:spacing w:after="0" w:line="169" w:lineRule="exact"/>
        <w:rPr>
          <w:sz w:val="20"/>
          <w:szCs w:val="20"/>
          <w:color w:val="auto"/>
        </w:rPr>
      </w:pPr>
    </w:p>
    <w:p>
      <w:pPr>
        <w:jc w:val="both"/>
        <w:ind w:left="1740" w:hanging="868"/>
        <w:spacing w:after="0" w:line="286" w:lineRule="auto"/>
        <w:tabs>
          <w:tab w:leader="none" w:pos="1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the event of the Participant’s death or Disability prior to March 9, 2019, the Conversion Date shall be the date of the Participant’s Termination due to death or Disability, as applicable</w:t>
      </w:r>
      <w:r>
        <w:rPr>
          <w:rFonts w:ascii="Arial" w:cs="Arial" w:eastAsia="Arial" w:hAnsi="Arial"/>
          <w:sz w:val="17"/>
          <w:szCs w:val="17"/>
          <w:u w:val="single" w:color="auto"/>
          <w:color w:val="auto"/>
        </w:rPr>
        <w:t>; provided, however, in the event the Participant satisfies the Rule of 75 at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time of a Termination due to Disability, the Conversion Date shall be the next regularly scheduled Vest Date</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1740" w:hanging="868"/>
        <w:spacing w:after="0" w:line="257" w:lineRule="auto"/>
        <w:tabs>
          <w:tab w:leader="none" w:pos="1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a Change in Control prior to March 9, 2019 in which the Committee elects to accelerate the vesting of some or all of the RSUs, the Conversion Date with respect to such RSUs shall be, to the extent permitted under Section 409A of the Code, the date that a Change in Control occurs, if such Change in Control meets the requirements of the definition of a change in the ownership or effective control of a corporation, or a change in the ownership of a substantial portion of the assets of a corporation contained in the regulations promulgated under Code Section 409A;</w:t>
      </w:r>
    </w:p>
    <w:p>
      <w:pPr>
        <w:spacing w:after="0" w:line="188" w:lineRule="exact"/>
        <w:rPr>
          <w:rFonts w:ascii="Arial" w:cs="Arial" w:eastAsia="Arial" w:hAnsi="Arial"/>
          <w:sz w:val="18"/>
          <w:szCs w:val="18"/>
          <w:color w:val="auto"/>
        </w:rPr>
      </w:pPr>
    </w:p>
    <w:p>
      <w:pPr>
        <w:ind w:left="1740" w:right="20" w:hanging="868"/>
        <w:spacing w:after="0" w:line="277" w:lineRule="auto"/>
        <w:tabs>
          <w:tab w:leader="none" w:pos="1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the Participant’s Termination due to Retirement prior to March 9, 2019, the Conversion Date shall be the next Vest Date, but only to the extent the RSUs vest on such Vest Date in accordance with Section 5(c); and</w:t>
      </w:r>
    </w:p>
    <w:p>
      <w:pPr>
        <w:spacing w:after="0" w:line="170" w:lineRule="exact"/>
        <w:rPr>
          <w:rFonts w:ascii="Arial" w:cs="Arial" w:eastAsia="Arial" w:hAnsi="Arial"/>
          <w:sz w:val="18"/>
          <w:szCs w:val="18"/>
          <w:color w:val="auto"/>
        </w:rPr>
      </w:pPr>
    </w:p>
    <w:p>
      <w:pPr>
        <w:jc w:val="both"/>
        <w:ind w:left="1740" w:hanging="868"/>
        <w:spacing w:after="0" w:line="312" w:lineRule="auto"/>
        <w:tabs>
          <w:tab w:leader="none" w:pos="1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event that none of the events described in the foregoing clauses (a), (b) or (c) occur prior to March 9, 2019 or to the extent Section 409A prohibits the settlement of the RSUs under clause (b) and except to the extent provided in the last sentence of Section 5(e), above, the Conversion Date shall be the regularly scheduled Vest Dates, but only to the extent the RSUs vest on such Vest Date.</w:t>
      </w:r>
    </w:p>
    <w:p>
      <w:pPr>
        <w:spacing w:after="0" w:line="143" w:lineRule="exact"/>
        <w:rPr>
          <w:sz w:val="20"/>
          <w:szCs w:val="20"/>
          <w:color w:val="auto"/>
        </w:rPr>
      </w:pPr>
    </w:p>
    <w:p>
      <w:pPr>
        <w:jc w:val="both"/>
        <w:ind w:firstLine="885"/>
        <w:spacing w:after="0" w:line="271" w:lineRule="auto"/>
        <w:tabs>
          <w:tab w:leader="none" w:pos="1661" w:val="left"/>
        </w:tabs>
        <w:numPr>
          <w:ilvl w:val="0"/>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All deliveries and distributions under this Agreement are subject to withholding of all applicable taxes.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may either require the Participant to remit to the Corporation an amount sufficient to satisfy such tax withholding requirements or, in the discretion of the Committee, the Corporation may withhold the minimum number of shares of Stock sufficient to satisfy all or a portion of such tax withholding requirements. To the extent the Corporation does not elect to withhold shares of Stock sufficient to satisfy the tax withholding requirements, subject to the terms of Section 10.6 of the Plan, the Participant may satisfy such withholding obligations in shares of Stock; provided that the Participant will be deemed to have instructed and authorized the Corporation or its delegate for such purpose to sell on the Participant’s behalf a whole number of shares of Stock as the Corporation or its delegate determines to be appropriate to generate cash proceeds sufficient to satisfy the minimum tax withholding obligation. In such case, the Participant will be responsible for all brokerage fees and other costs of sale, and the Participant agrees to indemnify and hold the Corporation harmless from any losses, costs, damages or expenses relating to such sale.</w:t>
      </w:r>
    </w:p>
    <w:p>
      <w:pPr>
        <w:spacing w:after="0" w:line="174" w:lineRule="exact"/>
        <w:rPr>
          <w:rFonts w:ascii="Arial" w:cs="Arial" w:eastAsia="Arial" w:hAnsi="Arial"/>
          <w:sz w:val="17"/>
          <w:szCs w:val="17"/>
          <w:color w:val="auto"/>
        </w:rPr>
      </w:pPr>
    </w:p>
    <w:p>
      <w:pPr>
        <w:ind w:right="20" w:firstLine="885"/>
        <w:spacing w:after="0" w:line="282" w:lineRule="auto"/>
        <w:tabs>
          <w:tab w:leader="none" w:pos="1661"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 The Plan and this Agreement shall be administered and may be definitively interpreted by the Committee,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that the decisions of such Committee concerning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administration and interpretation of the Plan and this Agreement shall be final, binding and conclusive on all persons.</w:t>
      </w:r>
    </w:p>
    <w:p>
      <w:pPr>
        <w:spacing w:after="0" w:line="221" w:lineRule="exact"/>
        <w:rPr>
          <w:sz w:val="20"/>
          <w:szCs w:val="20"/>
          <w:color w:val="auto"/>
        </w:rPr>
      </w:pPr>
    </w:p>
    <w:p>
      <w:pPr>
        <w:jc w:val="both"/>
        <w:ind w:firstLine="885"/>
        <w:spacing w:after="0" w:line="256" w:lineRule="auto"/>
        <w:tabs>
          <w:tab w:leader="none" w:pos="1751"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required or permitted under the Plan must be in writing and must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personally, sent by certified, registered or express mail, or sent by overnight courier, at the sender’s expense. Notice will be deemed given (i) when delivered personally, or (ii) if mailed, three days after the date of deposit in the United States mail or (iii) if sent by overnight courier, on the regular business day following the date sent. Notice to the Participant should be sent to the address set forth on the Corporation’s records. Either party may change the address to which the other party must give notice under this Agreement by giving the other party written notice of this change in accordance with the procedures discussed in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885"/>
        <w:spacing w:after="0" w:line="266" w:lineRule="auto"/>
        <w:tabs>
          <w:tab w:leader="none" w:pos="1744"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An Employment Contract</w:t>
      </w:r>
      <w:r>
        <w:rPr>
          <w:rFonts w:ascii="Arial" w:cs="Arial" w:eastAsia="Arial" w:hAnsi="Arial"/>
          <w:sz w:val="18"/>
          <w:szCs w:val="18"/>
          <w:color w:val="auto"/>
        </w:rPr>
        <w:t>. This Award will not confer on the Participant any right with respect to continuance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Corporation or any Affiliated Entity, nor will it interfere in any way with any right the Corporation or any Affiliated Entity would otherwise have to terminate or modify the terms of such Participant’s employment at any time.</w:t>
      </w:r>
    </w:p>
    <w:p>
      <w:pPr>
        <w:spacing w:after="0" w:line="176" w:lineRule="exact"/>
        <w:rPr>
          <w:rFonts w:ascii="Arial" w:cs="Arial" w:eastAsia="Arial" w:hAnsi="Arial"/>
          <w:sz w:val="18"/>
          <w:szCs w:val="18"/>
          <w:color w:val="auto"/>
        </w:rPr>
      </w:pPr>
    </w:p>
    <w:p>
      <w:pPr>
        <w:jc w:val="both"/>
        <w:ind w:firstLine="885"/>
        <w:spacing w:after="0" w:line="261" w:lineRule="auto"/>
        <w:tabs>
          <w:tab w:leader="none" w:pos="1751"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Unfunded Status of the Plan</w:t>
      </w:r>
      <w:r>
        <w:rPr>
          <w:rFonts w:ascii="Arial" w:cs="Arial" w:eastAsia="Arial" w:hAnsi="Arial"/>
          <w:sz w:val="18"/>
          <w:szCs w:val="18"/>
          <w:color w:val="auto"/>
        </w:rPr>
        <w:t>. The Plan is unfunded. The Corporation is not required to establish any special or separate fund or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other segregation of assets to assure the payment of any benefits under the Plan. With respect to any payments not yet made to the Participant or shares of Stock not yet delivered to the Participant under this Agreement, the Participant shall have no rights greater than those of a general unsecured creditor of the Corporation.</w:t>
      </w:r>
    </w:p>
    <w:p>
      <w:pPr>
        <w:spacing w:after="0" w:line="180" w:lineRule="exact"/>
        <w:rPr>
          <w:rFonts w:ascii="Arial" w:cs="Arial" w:eastAsia="Arial" w:hAnsi="Arial"/>
          <w:sz w:val="18"/>
          <w:szCs w:val="18"/>
          <w:color w:val="auto"/>
        </w:rPr>
      </w:pPr>
    </w:p>
    <w:p>
      <w:pPr>
        <w:ind w:firstLine="885"/>
        <w:spacing w:after="0" w:line="282" w:lineRule="auto"/>
        <w:tabs>
          <w:tab w:leader="none" w:pos="1751"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in accordance with the provisions of the Plan, and may otherwise be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of the Participant and the Corporation without the consent of any other person.</w:t>
      </w:r>
    </w:p>
    <w:p>
      <w:pPr>
        <w:spacing w:after="0" w:line="161" w:lineRule="exact"/>
        <w:rPr>
          <w:rFonts w:ascii="Arial" w:cs="Arial" w:eastAsia="Arial" w:hAnsi="Arial"/>
          <w:sz w:val="18"/>
          <w:szCs w:val="18"/>
          <w:color w:val="auto"/>
        </w:rPr>
      </w:pPr>
    </w:p>
    <w:p>
      <w:pPr>
        <w:jc w:val="both"/>
        <w:ind w:firstLine="885"/>
        <w:spacing w:after="0" w:line="277" w:lineRule="auto"/>
        <w:tabs>
          <w:tab w:leader="none" w:pos="1751"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To the extent not preempted by Federal law, the Plan and this Agreement will be construed, administered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in all respects under and by the laws of the State of Delaware, without giving effect to its conflict of laws principles. If any provision of this Agreement will be held by a court of competent jurisdiction to be invalid or unenforceable, the remaining provisions hereof will continue to be fully effective. The jurisdiction and venue for any disputes arising under, or any action brought to enforce (or otherwise relating to) this Agreement will be exclusively in the courts in the State of Illinois, County of Cook, including the Federal courts located therein (should Federal jurisdiction exist).</w:t>
      </w:r>
    </w:p>
    <w:p>
      <w:pPr>
        <w:spacing w:after="0" w:line="168" w:lineRule="exact"/>
        <w:rPr>
          <w:rFonts w:ascii="Arial" w:cs="Arial" w:eastAsia="Arial" w:hAnsi="Arial"/>
          <w:sz w:val="17"/>
          <w:szCs w:val="17"/>
          <w:color w:val="auto"/>
        </w:rPr>
      </w:pPr>
    </w:p>
    <w:p>
      <w:pPr>
        <w:jc w:val="both"/>
        <w:ind w:firstLine="885"/>
        <w:spacing w:after="0" w:line="272" w:lineRule="auto"/>
        <w:tabs>
          <w:tab w:leader="none" w:pos="1751"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Securities Law Requirements</w:t>
      </w:r>
      <w:r>
        <w:rPr>
          <w:rFonts w:ascii="Arial" w:cs="Arial" w:eastAsia="Arial" w:hAnsi="Arial"/>
          <w:sz w:val="17"/>
          <w:szCs w:val="17"/>
          <w:color w:val="auto"/>
        </w:rPr>
        <w:t>. If at any time the Committee determines that issuing shares of Stock would violate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laws, the Corporation will not be required to issue shares of Stock. The Committee may declare any provision of this Agreement or action of its own null and void, if it determines the provision or action fails to comply with the short-swing trading rules. The Committee may require the Participant to make written representations it deems necessary to comply with applicable securities laws. No person who acquires shares of Stock under this Agreement may sell the shares of Stock, unless he or she makes an offer and sale pursuant to an effective registration statement under the Securities Act of 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which is current and includes the shares of Stock to be sold, or there is an exemption from the registration requirements of the Securities Act. The Participant’s right to resell the shares of Stock will be subject to all Federal and state securities laws, including SEC Rule 144, and subject to the Corporation’s policy on securities trading and disclosure of confidential information.</w:t>
      </w:r>
    </w:p>
    <w:p>
      <w:pPr>
        <w:spacing w:after="0" w:line="172" w:lineRule="exact"/>
        <w:rPr>
          <w:sz w:val="20"/>
          <w:szCs w:val="20"/>
          <w:color w:val="auto"/>
        </w:rPr>
      </w:pPr>
    </w:p>
    <w:p>
      <w:pPr>
        <w:jc w:val="both"/>
        <w:ind w:firstLine="877"/>
        <w:spacing w:after="0" w:line="281" w:lineRule="auto"/>
        <w:rPr>
          <w:sz w:val="20"/>
          <w:szCs w:val="20"/>
          <w:color w:val="auto"/>
        </w:rPr>
      </w:pPr>
      <w:r>
        <w:rPr>
          <w:rFonts w:ascii="Arial" w:cs="Arial" w:eastAsia="Arial" w:hAnsi="Arial"/>
          <w:sz w:val="17"/>
          <w:szCs w:val="17"/>
          <w:color w:val="auto"/>
        </w:rPr>
        <w:t>16.</w:t>
      </w:r>
      <w:r>
        <w:rPr>
          <w:rFonts w:ascii="Arial" w:cs="Arial" w:eastAsia="Arial" w:hAnsi="Arial"/>
          <w:sz w:val="17"/>
          <w:szCs w:val="17"/>
          <w:b w:val="1"/>
          <w:bCs w:val="1"/>
          <w:u w:val="single" w:color="auto"/>
          <w:color w:val="auto"/>
        </w:rPr>
        <w:t>Award Subject to Recoupment</w:t>
      </w:r>
      <w:r>
        <w:rPr>
          <w:rFonts w:ascii="Arial" w:cs="Arial" w:eastAsia="Arial" w:hAnsi="Arial"/>
          <w:sz w:val="17"/>
          <w:szCs w:val="17"/>
          <w:color w:val="auto"/>
        </w:rPr>
        <w:t>. This award and any payment or shares of Stock delivered pursuant to this award may be subject to forfeiture, recovery by the Corporation or other action pursuant to any clawback or recoupment policy which the Corporation may adopt from time to time, including without limitation any such policy which the Corporation may be required to adopt under Section 304 of the Sarbanes-Oxley Act of 2002, the Dodd-Frank Wall Street Reform and Consumer Protection Act and implementing rules and regulations thereunder, or as otherwise required by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jc w:val="both"/>
        <w:ind w:firstLine="877"/>
        <w:spacing w:after="0" w:line="314" w:lineRule="auto"/>
        <w:rPr>
          <w:sz w:val="20"/>
          <w:szCs w:val="20"/>
          <w:color w:val="auto"/>
        </w:rPr>
      </w:pPr>
      <w:r>
        <w:rPr>
          <w:rFonts w:ascii="Arial" w:cs="Arial" w:eastAsia="Arial" w:hAnsi="Arial"/>
          <w:sz w:val="16"/>
          <w:szCs w:val="16"/>
          <w:color w:val="auto"/>
        </w:rPr>
        <w:t>17.</w:t>
      </w: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Agreement is intended to be a “nonqualified deferred compensation arrangement” that complies with the provisions of Code Section 409A and the regulations thereunder and this Agreement shall be interpreted and operated consistent with such intent. Accordingly, all provisions of this Agreement shall be construed in a manner consistent with avoiding taxes or penalties under Code Section 409A, including:</w:t>
      </w:r>
    </w:p>
    <w:p>
      <w:pPr>
        <w:spacing w:after="0" w:line="146" w:lineRule="exact"/>
        <w:rPr>
          <w:sz w:val="20"/>
          <w:szCs w:val="20"/>
          <w:color w:val="auto"/>
        </w:rPr>
      </w:pPr>
    </w:p>
    <w:p>
      <w:pPr>
        <w:jc w:val="both"/>
        <w:ind w:left="1740" w:hanging="868"/>
        <w:spacing w:after="0" w:line="279" w:lineRule="auto"/>
        <w:tabs>
          <w:tab w:leader="none" w:pos="1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Termination shall not be deemed to have occurred for purposes of any provision of this Agreement providing for any payment or distribution upon or following a Termination unless such Termination is also a “separation from service” within the meaning of Code Section 409A and Treas. Reg. §1.409A-1(h) and, for purposes of any such provision of this Agreement, references therein to a “termination,” “termination of employment” or like terms shall mean “separation from service”; and</w:t>
      </w:r>
    </w:p>
    <w:p>
      <w:pPr>
        <w:spacing w:after="0" w:line="171" w:lineRule="exact"/>
        <w:rPr>
          <w:rFonts w:ascii="Arial" w:cs="Arial" w:eastAsia="Arial" w:hAnsi="Arial"/>
          <w:sz w:val="17"/>
          <w:szCs w:val="17"/>
          <w:color w:val="auto"/>
        </w:rPr>
      </w:pPr>
    </w:p>
    <w:p>
      <w:pPr>
        <w:jc w:val="both"/>
        <w:ind w:left="1740" w:hanging="868"/>
        <w:spacing w:after="0" w:line="257" w:lineRule="auto"/>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Participant is a “specified employee” (as described in Treas. Reg. §1.409A-1(i), with such classification to be determined in accordance with the methodology established by the Corporation), any payment or distribution made under this Agreement pursuant to the Participant’s “separation from service” shall be made on the date that is six months following the Participant’s “separation from service” to the extent required by Code Section 409A and the interpretive guidance thereunder or, if earlier, the date of the Participant’s death.</w:t>
      </w:r>
    </w:p>
    <w:p>
      <w:pPr>
        <w:spacing w:after="0" w:line="184" w:lineRule="exact"/>
        <w:rPr>
          <w:rFonts w:ascii="Arial" w:cs="Arial" w:eastAsia="Arial" w:hAnsi="Arial"/>
          <w:sz w:val="18"/>
          <w:szCs w:val="18"/>
          <w:color w:val="auto"/>
        </w:rPr>
      </w:pPr>
    </w:p>
    <w:p>
      <w:pPr>
        <w:jc w:val="both"/>
        <w:ind w:firstLine="885"/>
        <w:spacing w:after="0" w:line="256" w:lineRule="auto"/>
        <w:tabs>
          <w:tab w:leader="none" w:pos="1751" w:val="left"/>
        </w:tabs>
        <w:numPr>
          <w:ilvl w:val="1"/>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instrument. The exchange of copies of this Agreement and of signature pages by electronic mail in “portable document format” (“.pdf”) form, or by any other electronic means intended to preserve the original graphic and pictorial appearance of a document, or by combination of such means, shall constitute effective execution and delivery of this Agreement as to the parties and may be used in lieu of the original Agreement for all purposes. Signatures of the parties through electronic means or methods shall be deemed to be their original signatures for all purposes.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2" w:name="page43"/>
    <w:bookmarkEnd w:id="42"/>
    <w:p>
      <w:pPr>
        <w:jc w:val="both"/>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on behalf of the Corporation by its duly authorized officer, and by the Participant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above-mentioned Award, subject to the terms and conditions of the Plan and of this Agreement, all effective as of the day and year first above written.</w:t>
      </w:r>
    </w:p>
    <w:p>
      <w:pPr>
        <w:spacing w:after="0" w:line="176"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GREAT LAKES DREDGE &amp; DOCK CORPORATION</w:t>
      </w:r>
      <w:r>
        <w:rPr>
          <w:rFonts w:ascii="Arial" w:cs="Arial" w:eastAsia="Arial" w:hAnsi="Arial"/>
          <w:sz w:val="18"/>
          <w:szCs w:val="18"/>
          <w:color w:val="auto"/>
        </w:rPr>
        <w:t>,</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By:___ /s/ Jonathan W. Berger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-10160</wp:posOffset>
            </wp:positionV>
            <wp:extent cx="10922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92200"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Jonathan W. Berger</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[Participant Name]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VESTING RSU AWARD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pursuant to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LONG-TERM INCENTIVE PLAN</w:t>
      </w:r>
    </w:p>
    <w:p>
      <w:pPr>
        <w:spacing w:after="0" w:line="22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PERFORMANCE VESTING RSU AWARD AGREEMENT</w:t>
      </w:r>
      <w:r>
        <w:rPr>
          <w:rFonts w:ascii="Arial" w:cs="Arial" w:eastAsia="Arial" w:hAnsi="Arial"/>
          <w:sz w:val="18"/>
          <w:szCs w:val="18"/>
          <w:color w:val="auto"/>
        </w:rPr>
        <w:t xml:space="preserv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Great Lakes</w:t>
      </w:r>
      <w:r>
        <w:rPr>
          <w:rFonts w:ascii="Arial" w:cs="Arial" w:eastAsia="Arial" w:hAnsi="Arial"/>
          <w:sz w:val="18"/>
          <w:szCs w:val="18"/>
          <w:color w:val="auto"/>
        </w:rPr>
        <w:t xml:space="preserve"> </w:t>
      </w:r>
      <w:r>
        <w:rPr>
          <w:rFonts w:ascii="Arial" w:cs="Arial" w:eastAsia="Arial" w:hAnsi="Arial"/>
          <w:sz w:val="18"/>
          <w:szCs w:val="18"/>
          <w:b w:val="1"/>
          <w:bCs w:val="1"/>
          <w:color w:val="auto"/>
        </w:rPr>
        <w:t>Dredge &amp; Dock Corporation</w:t>
      </w:r>
      <w:r>
        <w:rPr>
          <w:rFonts w:ascii="Arial" w:cs="Arial" w:eastAsia="Arial" w:hAnsi="Arial"/>
          <w:sz w:val="18"/>
          <w:szCs w:val="18"/>
          <w:color w:val="auto"/>
        </w:rPr>
        <w:t>, a Delaware corporation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and [Participant Name] (the “</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effective as of March 9, 2016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Date</w:t>
      </w:r>
      <w:r>
        <w:rPr>
          <w:rFonts w:ascii="Arial" w:cs="Arial" w:eastAsia="Arial" w:hAnsi="Arial"/>
          <w:sz w:val="18"/>
          <w:szCs w:val="18"/>
          <w:color w:val="auto"/>
        </w:rPr>
        <w:t>”).</w:t>
      </w:r>
    </w:p>
    <w:p>
      <w:pPr>
        <w:spacing w:after="0" w:line="17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7"/>
          <w:szCs w:val="17"/>
          <w:color w:val="auto"/>
        </w:rPr>
        <w:t>1.</w:t>
      </w:r>
      <w:r>
        <w:rPr>
          <w:rFonts w:ascii="Arial" w:cs="Arial" w:eastAsia="Arial" w:hAnsi="Arial"/>
          <w:sz w:val="17"/>
          <w:szCs w:val="17"/>
          <w:b w:val="1"/>
          <w:bCs w:val="1"/>
          <w:u w:val="single" w:color="auto"/>
          <w:color w:val="auto"/>
        </w:rPr>
        <w:t>Award of Performance Vesting Restricted Stock Units</w:t>
      </w:r>
      <w:r>
        <w:rPr>
          <w:rFonts w:ascii="Arial" w:cs="Arial" w:eastAsia="Arial" w:hAnsi="Arial"/>
          <w:sz w:val="17"/>
          <w:szCs w:val="17"/>
          <w:color w:val="auto"/>
        </w:rPr>
        <w:t>. The Corporation hereby grants to the Participant and the Participant hereby accepts an Award of [Number of Shares Granted] Restricted Stock Units (the “</w:t>
      </w:r>
      <w:r>
        <w:rPr>
          <w:rFonts w:ascii="Arial" w:cs="Arial" w:eastAsia="Arial" w:hAnsi="Arial"/>
          <w:sz w:val="17"/>
          <w:szCs w:val="17"/>
          <w:b w:val="1"/>
          <w:bCs w:val="1"/>
          <w:u w:val="single" w:color="auto"/>
          <w:color w:val="auto"/>
        </w:rPr>
        <w:t>RSUs</w:t>
      </w:r>
      <w:r>
        <w:rPr>
          <w:rFonts w:ascii="Arial" w:cs="Arial" w:eastAsia="Arial" w:hAnsi="Arial"/>
          <w:sz w:val="17"/>
          <w:szCs w:val="17"/>
          <w:color w:val="auto"/>
        </w:rPr>
        <w:t>”), subject to the terms and conditions set forth in this Agreement. The number of RSUs specified in this Agreement reflects the maximum number of RSUs that may be earned by the Participant. An RSU represents the Corporation’s unfunded and unsecured promise to issue one share of common stock of the Corporation (“</w:t>
      </w:r>
      <w:r>
        <w:rPr>
          <w:rFonts w:ascii="Arial" w:cs="Arial" w:eastAsia="Arial" w:hAnsi="Arial"/>
          <w:sz w:val="17"/>
          <w:szCs w:val="17"/>
          <w:b w:val="1"/>
          <w:bCs w:val="1"/>
          <w:u w:val="single" w:color="auto"/>
          <w:color w:val="auto"/>
        </w:rPr>
        <w:t>Stock</w:t>
      </w:r>
      <w:r>
        <w:rPr>
          <w:rFonts w:ascii="Arial" w:cs="Arial" w:eastAsia="Arial" w:hAnsi="Arial"/>
          <w:sz w:val="17"/>
          <w:szCs w:val="17"/>
          <w:color w:val="auto"/>
        </w:rPr>
        <w:t>”) at the dates set forth in this Agreement, to the extent that the applicable eligibility and vesting requirements are satisfied. The Participant’s rights with respect to the RSUs are governed by the Plan (as defined herein) and this Agreement and the Participant has no rights with respect to the RSUs other than the rights of a general creditor of the Corporation. The number of shares of Stock issuable in respect of an RSU is subject to adjustment in accordance with the Plan.</w:t>
      </w:r>
    </w:p>
    <w:p>
      <w:pPr>
        <w:spacing w:after="0" w:line="172" w:lineRule="exact"/>
        <w:rPr>
          <w:sz w:val="20"/>
          <w:szCs w:val="20"/>
          <w:color w:val="auto"/>
        </w:rPr>
      </w:pPr>
    </w:p>
    <w:p>
      <w:pPr>
        <w:jc w:val="both"/>
        <w:ind w:firstLine="885"/>
        <w:spacing w:after="0" w:line="261" w:lineRule="auto"/>
        <w:tabs>
          <w:tab w:leader="none" w:pos="1661"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w:t>
      </w:r>
      <w:r>
        <w:rPr>
          <w:rFonts w:ascii="Arial" w:cs="Arial" w:eastAsia="Arial" w:hAnsi="Arial"/>
          <w:sz w:val="18"/>
          <w:szCs w:val="18"/>
          <w:color w:val="auto"/>
        </w:rPr>
        <w:t>. This Award is granted pursuant to the Corporation’s 2007 Long-Term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for all purposes. Capitalized terms used but not otherwise defined herein have the meanings as set forth in the Plan. The Participant agrees to be bound by the terms and conditions of the Plan, which control in case of any conflict with this Agreement, except as otherwise specifically provided for in the Plan.</w:t>
      </w:r>
    </w:p>
    <w:p>
      <w:pPr>
        <w:spacing w:after="0" w:line="180" w:lineRule="exact"/>
        <w:rPr>
          <w:rFonts w:ascii="Arial" w:cs="Arial" w:eastAsia="Arial" w:hAnsi="Arial"/>
          <w:sz w:val="18"/>
          <w:szCs w:val="18"/>
          <w:color w:val="auto"/>
        </w:rPr>
      </w:pPr>
    </w:p>
    <w:p>
      <w:pPr>
        <w:jc w:val="both"/>
        <w:ind w:firstLine="885"/>
        <w:spacing w:after="0" w:line="274" w:lineRule="auto"/>
        <w:tabs>
          <w:tab w:leader="none" w:pos="1661"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In the event that the Corporation declares a dividend on its Stock prior to the Conversion Date (as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with respect to the RSUs that vest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w:t>
      </w:r>
      <w:r>
        <w:rPr>
          <w:rFonts w:ascii="Arial" w:cs="Arial" w:eastAsia="Arial" w:hAnsi="Arial"/>
          <w:sz w:val="17"/>
          <w:szCs w:val="17"/>
          <w:color w:val="auto"/>
        </w:rPr>
        <w:t>, the Corporation shall pay to the Participant, within thirty (30) days of the Conversion Date (subject to Section 18, if applicable), an amount in cash equal to the aggregate dividends that would have been paid on such RSUs during the period between the Award Date and the Conversion Date had they been converted into the same number of shares of Stock and held by the Participant on the record date of such dividend (the “</w:t>
      </w: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xml:space="preserve">”). No Dividend Equivalents shall be paid prior to the Conversion Date and no Dividend Equivalents shall be paid at any time with respect to RSUs that are forfeited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w:t>
      </w:r>
    </w:p>
    <w:p>
      <w:pPr>
        <w:spacing w:after="0" w:line="174"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 The RSUs may not be transferred, alienated, assigned, pledged, hypothecated or encumbered, in any way, whether voluntarily or involuntarily or by operation of law by judgment, levy, attachment, garnishment or any other legal or equitable proceeding (including bankruptcy), and any attempted disposition thereof shall be null and void and of no effect.</w:t>
      </w:r>
    </w:p>
    <w:p>
      <w:pPr>
        <w:spacing w:after="0" w:line="176"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xml:space="preserve">. No RSUs will be eligible to vest before December 31, 2016 under any circumstances. The number of RSUs, if any, for which the Participant will remain eligible to vest after December 31, 2016 depends upon the Corporation’s Actual Free Cash Flow compared to Budgeted Free Cash Flow for fiscal year 2016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the terms of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0" w:lineRule="exact"/>
        <w:rPr>
          <w:sz w:val="20"/>
          <w:szCs w:val="20"/>
          <w:color w:val="auto"/>
        </w:rPr>
      </w:pPr>
    </w:p>
    <w:p>
      <w:pPr>
        <w:jc w:val="both"/>
        <w:ind w:left="1740" w:hanging="868"/>
        <w:spacing w:after="0" w:line="264" w:lineRule="auto"/>
        <w:tabs>
          <w:tab w:leader="none" w:pos="1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number of RSUs for which the Participant will remain eligible to vest after December 31, 2016 (subject to satisfaction of the vesting requirements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is the number of RSUs corresponding to the Actual Free Cash Flow compared to Budgeted Free Cash Flow for fiscal year 2016, as set forth in following 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tbl>
      <w:tblPr>
        <w:tblLayout w:type="fixed"/>
        <w:tblInd w:w="930" w:type="dxa"/>
        <w:tblCellMar>
          <w:top w:w="0" w:type="dxa"/>
          <w:left w:w="0" w:type="dxa"/>
          <w:bottom w:w="0" w:type="dxa"/>
          <w:right w:w="0" w:type="dxa"/>
        </w:tblCellMar>
      </w:tblPr>
      <w:tr>
        <w:trPr>
          <w:trHeight w:val="211"/>
        </w:trPr>
        <w:tc>
          <w:tcPr>
            <w:tcW w:w="2640" w:type="dxa"/>
            <w:vAlign w:val="bottom"/>
            <w:tcBorders>
              <w:top w:val="single" w:sz="8" w:color="auto"/>
              <w:left w:val="single" w:sz="8" w:color="auto"/>
              <w:right w:val="single" w:sz="8" w:color="auto"/>
            </w:tcBorders>
          </w:tcPr>
          <w:p>
            <w:pPr>
              <w:spacing w:after="0"/>
              <w:rPr>
                <w:sz w:val="18"/>
                <w:szCs w:val="18"/>
                <w:color w:val="auto"/>
              </w:rPr>
            </w:pPr>
          </w:p>
        </w:tc>
        <w:tc>
          <w:tcPr>
            <w:tcW w:w="3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Actual Free Cash Flow vs. Budgeted</w:t>
            </w:r>
          </w:p>
        </w:tc>
        <w:tc>
          <w:tcPr>
            <w:tcW w:w="3980" w:type="dxa"/>
            <w:vAlign w:val="bottom"/>
            <w:tcBorders>
              <w:top w:val="single" w:sz="8" w:color="auto"/>
              <w:right w:val="single" w:sz="8" w:color="auto"/>
            </w:tcBorders>
          </w:tcPr>
          <w:p>
            <w:pPr>
              <w:spacing w:after="0"/>
              <w:rPr>
                <w:sz w:val="18"/>
                <w:szCs w:val="18"/>
                <w:color w:val="auto"/>
              </w:rPr>
            </w:pPr>
          </w:p>
        </w:tc>
      </w:tr>
      <w:tr>
        <w:trPr>
          <w:trHeight w:val="234"/>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Level</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Free Cash Flow</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RSUs Remaining Eligible to Vest*</w:t>
            </w:r>
          </w:p>
        </w:tc>
      </w:tr>
      <w:tr>
        <w:trPr>
          <w:trHeight w:val="21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&lt;Threshold</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&lt;70% of target</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 of RSUs awarded in Section 1</w:t>
            </w:r>
          </w:p>
        </w:tc>
      </w:tr>
      <w:tr>
        <w:trPr>
          <w:trHeight w:val="21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Threshold</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70% of target</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 of RSUs awarded in Section 1</w:t>
            </w:r>
          </w:p>
        </w:tc>
      </w:tr>
      <w:tr>
        <w:trPr>
          <w:trHeight w:val="21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 of target</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 of RSUs awarded in Section 1</w:t>
            </w:r>
          </w:p>
        </w:tc>
      </w:tr>
      <w:tr>
        <w:trPr>
          <w:trHeight w:val="21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&gt;=Max</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130% of target</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 of RSUs awarded in Section 1</w:t>
            </w:r>
          </w:p>
        </w:tc>
      </w:tr>
    </w:tbl>
    <w:p>
      <w:pPr>
        <w:ind w:left="2100" w:right="1760" w:hanging="152"/>
        <w:spacing w:after="0" w:line="261" w:lineRule="auto"/>
        <w:tabs>
          <w:tab w:leader="none" w:pos="20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Payout for performance between threshold and target, and between target and max will be determined by linear interpolation (rounded to the nearest whole RSU).</w:t>
      </w:r>
    </w:p>
    <w:p>
      <w:pPr>
        <w:spacing w:after="0" w:line="75" w:lineRule="exact"/>
        <w:rPr>
          <w:rFonts w:ascii="Arial" w:cs="Arial" w:eastAsia="Arial" w:hAnsi="Arial"/>
          <w:sz w:val="18"/>
          <w:szCs w:val="18"/>
          <w:color w:val="auto"/>
        </w:rPr>
      </w:pPr>
    </w:p>
    <w:p>
      <w:pPr>
        <w:jc w:val="both"/>
        <w:ind w:left="1740" w:hanging="868"/>
        <w:spacing w:after="0" w:line="286" w:lineRule="auto"/>
        <w:tabs>
          <w:tab w:leader="none" w:pos="1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the extent any RSUs do not remain eligible to vest because the Threshold for Actual Free Cash Flow compared to Budgeted Free Cash Flow for fiscal year 2016 was not achieved, all RSUs shall be forfeited as of December 31, 2016. Upon such forfeiture, the Participant shall not be entitled to receive any Dividend Equivalents whatsoever on such forfeited RSUs.</w:t>
      </w:r>
    </w:p>
    <w:p>
      <w:pPr>
        <w:spacing w:after="0" w:line="162" w:lineRule="exact"/>
        <w:rPr>
          <w:sz w:val="20"/>
          <w:szCs w:val="20"/>
          <w:color w:val="auto"/>
        </w:rPr>
      </w:pPr>
    </w:p>
    <w:p>
      <w:pPr>
        <w:ind w:right="20" w:firstLine="877"/>
        <w:spacing w:after="0" w:line="282" w:lineRule="auto"/>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xml:space="preserve">. The vesting of the RSUs that remain eligible to vest after December 31, 2016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is conditioned upon the Participant’s satisfaction of the vesting requirements set forth in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66" w:lineRule="exact"/>
        <w:rPr>
          <w:sz w:val="20"/>
          <w:szCs w:val="20"/>
          <w:color w:val="auto"/>
        </w:rPr>
      </w:pPr>
    </w:p>
    <w:p>
      <w:pPr>
        <w:jc w:val="both"/>
        <w:ind w:left="1740" w:hanging="868"/>
        <w:spacing w:after="0" w:line="268" w:lineRule="auto"/>
        <w:tabs>
          <w:tab w:leader="none" w:pos="1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Except as may be accelerated as set forth in the Plan or as set forth below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except as may be accelerated as set forth in any employment or consulting agreement between the Participant and the Corporation or an Affiliated Entity (as that term is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the RSUs that remain eligible to vest after December 31, 2016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vest in three equal portions, on the first, second and third anniversaries of the Award Date (the “</w:t>
      </w:r>
      <w:r>
        <w:rPr>
          <w:rFonts w:ascii="Arial" w:cs="Arial" w:eastAsia="Arial" w:hAnsi="Arial"/>
          <w:sz w:val="17"/>
          <w:szCs w:val="17"/>
          <w:b w:val="1"/>
          <w:bCs w:val="1"/>
          <w:u w:val="single" w:color="auto"/>
          <w:color w:val="auto"/>
        </w:rPr>
        <w:t>Vest Date</w:t>
      </w:r>
      <w:r>
        <w:rPr>
          <w:rFonts w:ascii="Arial" w:cs="Arial" w:eastAsia="Arial" w:hAnsi="Arial"/>
          <w:sz w:val="17"/>
          <w:szCs w:val="17"/>
          <w:color w:val="auto"/>
        </w:rPr>
        <w:t xml:space="preserve">”), provided that the Participant has not incurred a Termination prior to such date. If an employment or consulting agreement provides for some degree of accelerated vesting conditioned on the Participant signing a release, separation agreement or other post-Termination conduct, the forfeiture of the RSUs that remain eligible to vest after December 31, 2016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will be held in abeyance until the period for signing the release or separation agreement (and not rescinding it) or such other post-Termination conduct expires, at which point a determination will be made by the Corporation or an Affiliated Entity as to whether the requirements for accelerated vesting have been met. If the criteria for accelerated vesting have been met, in the sole discretion of the Corporation or the Affiliated Entity, the Conversion Date for that portion of the RSUs shall be 60 days after the date of the Participant’s Termination; provided, however, in the event the Participant satisfies the Rule of 75 at the time of such Termination, the Conversion Date shall be the next regularly scheduled Vest Date.</w:t>
      </w:r>
    </w:p>
    <w:p>
      <w:pPr>
        <w:spacing w:after="0" w:line="187" w:lineRule="exact"/>
        <w:rPr>
          <w:rFonts w:ascii="Arial" w:cs="Arial" w:eastAsia="Arial" w:hAnsi="Arial"/>
          <w:sz w:val="17"/>
          <w:szCs w:val="17"/>
          <w:color w:val="auto"/>
        </w:rPr>
      </w:pPr>
    </w:p>
    <w:p>
      <w:pPr>
        <w:jc w:val="both"/>
        <w:ind w:left="1740" w:hanging="868"/>
        <w:spacing w:after="0" w:line="259" w:lineRule="auto"/>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Upon the Participant’s Termination due to death or Disability (as that term is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prior to the third anniversary of the Award Date, the RSUs that remain eligible to vest after December 31, 2016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fully vested as of the last to occur of (i) the date that the number of units eligible to vest is determined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or (ii) the Participant’s Termination due to death or Disability.</w:t>
      </w:r>
    </w:p>
    <w:p>
      <w:pPr>
        <w:spacing w:after="0" w:line="186" w:lineRule="exact"/>
        <w:rPr>
          <w:rFonts w:ascii="Arial" w:cs="Arial" w:eastAsia="Arial" w:hAnsi="Arial"/>
          <w:sz w:val="18"/>
          <w:szCs w:val="18"/>
          <w:color w:val="auto"/>
        </w:rPr>
      </w:pPr>
    </w:p>
    <w:p>
      <w:pPr>
        <w:jc w:val="both"/>
        <w:ind w:left="1740" w:hanging="868"/>
        <w:spacing w:after="0" w:line="271" w:lineRule="auto"/>
        <w:tabs>
          <w:tab w:leader="none" w:pos="1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Upon the Participant’s Termination due to Retirement (as that term is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prior to the third anniversary of the Award Date, the RSUs that remain eligible to vest after December 31, 2016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vest on the last to occur of (i) the date that the number of units eligible to vest is determined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(ii) the date of the Participant’s Termination due to Retirement in an amount, in either case, equal to the product of (A) the number of days beginning with the Award Date or, if applicable, the prior Vest Date (in the case of a Termination due to Retirement after the first Vest Date) and ending with the date of the Participant’s Termination due to Retirement divided by 365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(B) the number of RSUs eligible to vest pursuant to </w:t>
      </w:r>
      <w:r>
        <w:rPr>
          <w:rFonts w:ascii="Arial" w:cs="Arial" w:eastAsia="Arial" w:hAnsi="Arial"/>
          <w:sz w:val="17"/>
          <w:szCs w:val="17"/>
          <w:u w:val="single" w:color="auto"/>
          <w:color w:val="auto"/>
        </w:rPr>
        <w:t>Section 5 and</w:t>
      </w:r>
      <w:r>
        <w:rPr>
          <w:rFonts w:ascii="Arial" w:cs="Arial" w:eastAsia="Arial" w:hAnsi="Arial"/>
          <w:sz w:val="17"/>
          <w:szCs w:val="17"/>
          <w:color w:val="auto"/>
        </w:rPr>
        <w:t xml:space="preserve"> that are scheduled to vest on the next Vest Date. Any RSUs which do not vest in accordance with the formula shall be forfeited. The Participant shall not be entitled to receive any Dividend Equivalents on forfeited RSUs.</w:t>
      </w:r>
    </w:p>
    <w:p>
      <w:pPr>
        <w:spacing w:after="0" w:line="178" w:lineRule="exact"/>
        <w:rPr>
          <w:rFonts w:ascii="Arial" w:cs="Arial" w:eastAsia="Arial" w:hAnsi="Arial"/>
          <w:sz w:val="17"/>
          <w:szCs w:val="17"/>
          <w:color w:val="auto"/>
        </w:rPr>
      </w:pPr>
    </w:p>
    <w:p>
      <w:pPr>
        <w:ind w:left="1740" w:hanging="868"/>
        <w:spacing w:after="0" w:line="277" w:lineRule="auto"/>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Upon a Change in Control prior to the third anniversary of the Award Date, the Compensation Committee of the Board of Directors of the Corporation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w:t>
      </w:r>
      <w:r>
        <w:rPr>
          <w:rFonts w:ascii="Arial" w:cs="Arial" w:eastAsia="Arial" w:hAnsi="Arial"/>
          <w:sz w:val="18"/>
          <w:szCs w:val="18"/>
          <w:color w:val="auto"/>
        </w:rPr>
        <w:t>) may elect, in its sole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5" w:name="page46"/>
    <w:bookmarkEnd w:id="45"/>
    <w:p>
      <w:pPr>
        <w:jc w:val="both"/>
        <w:ind w:left="868"/>
        <w:spacing w:after="0" w:line="264" w:lineRule="auto"/>
        <w:rPr>
          <w:sz w:val="20"/>
          <w:szCs w:val="20"/>
          <w:color w:val="auto"/>
        </w:rPr>
      </w:pPr>
      <w:r>
        <w:rPr>
          <w:rFonts w:ascii="Arial" w:cs="Arial" w:eastAsia="Arial" w:hAnsi="Arial"/>
          <w:sz w:val="18"/>
          <w:szCs w:val="18"/>
          <w:color w:val="auto"/>
        </w:rPr>
        <w:t>discretion, to accelerate the vesting of some or all of the RSUs subject to this Agreement, in accordance with the terms of the Plan. No provision of this Agreement shall require the Committee to accelerate such vesting upon a Change in Control or any other event.</w:t>
      </w:r>
    </w:p>
    <w:p>
      <w:pPr>
        <w:spacing w:after="0" w:line="181" w:lineRule="exact"/>
        <w:rPr>
          <w:sz w:val="20"/>
          <w:szCs w:val="20"/>
          <w:color w:val="auto"/>
        </w:rPr>
      </w:pPr>
    </w:p>
    <w:p>
      <w:pPr>
        <w:jc w:val="both"/>
        <w:ind w:left="868" w:hanging="868"/>
        <w:spacing w:after="0" w:line="264" w:lineRule="auto"/>
        <w:tabs>
          <w:tab w:leader="none" w:pos="8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To the extent any RSUs have not vested upon the Participant’s Termination pursuant to 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those RSUs shall be immediately forfeited upon the date of such Termination. Upon such forfeiture, the Participant shall no longer be entitled to receive Dividend Equivalents on such forfeited RSUs.</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ind w:left="868" w:hanging="868"/>
        <w:spacing w:after="0" w:line="266" w:lineRule="auto"/>
        <w:tabs>
          <w:tab w:leader="none" w:pos="868"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Actual EBITDA</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amount of the Corporation’s earnings for fiscal year 2016, determined in accordance with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adjusted for interest expense, income taxes, depreciation and amortization expense, debt extinguishment and accelerated maintenance expense for new international deployments.</w:t>
      </w:r>
    </w:p>
    <w:p>
      <w:pPr>
        <w:spacing w:after="0" w:line="176" w:lineRule="exact"/>
        <w:rPr>
          <w:rFonts w:ascii="Arial" w:cs="Arial" w:eastAsia="Arial" w:hAnsi="Arial"/>
          <w:sz w:val="18"/>
          <w:szCs w:val="18"/>
          <w:color w:val="auto"/>
        </w:rPr>
      </w:pPr>
    </w:p>
    <w:p>
      <w:pPr>
        <w:jc w:val="both"/>
        <w:ind w:left="868" w:hanging="868"/>
        <w:spacing w:after="0" w:line="274" w:lineRule="auto"/>
        <w:tabs>
          <w:tab w:leader="none" w:pos="868"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Actual Free Cash Flow</w:t>
      </w:r>
      <w:r>
        <w:rPr>
          <w:rFonts w:ascii="Arial" w:cs="Arial" w:eastAsia="Arial" w:hAnsi="Arial"/>
          <w:sz w:val="17"/>
          <w:szCs w:val="17"/>
          <w:b w:val="1"/>
          <w:bCs w:val="1"/>
          <w:color w:val="auto"/>
        </w:rPr>
        <w:t xml:space="preserve">” </w:t>
      </w:r>
      <w:r>
        <w:rPr>
          <w:rFonts w:ascii="Arial" w:cs="Arial" w:eastAsia="Arial" w:hAnsi="Arial"/>
          <w:sz w:val="17"/>
          <w:szCs w:val="17"/>
          <w:color w:val="auto"/>
        </w:rPr>
        <w:t>means Actual EBITDA minus capital expenditures, plus or minus net gain or loss on sale of assets, minus</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mobilization expenses, plus or minus proceeds from vendor performance obligations, minus cash paid for interest, minus cash paid for taxes, plus or minus change in working capital, plus or minus equity gain/loss in joint ventures, plus or minus excess tax benefit/loss from share based compensation and plus or minus share based compensation. Actual Free Cash Flow shall not include new vessel capital expenditures (except to the extent expenditures are greater than or less than budget), new vessel financing or the profit &amp; loss and cash impact of unbudgeted asset sales.</w:t>
      </w:r>
    </w:p>
    <w:p>
      <w:pPr>
        <w:spacing w:after="0" w:line="173" w:lineRule="exact"/>
        <w:rPr>
          <w:rFonts w:ascii="Arial" w:cs="Arial" w:eastAsia="Arial" w:hAnsi="Arial"/>
          <w:sz w:val="17"/>
          <w:szCs w:val="17"/>
          <w:color w:val="auto"/>
        </w:rPr>
      </w:pPr>
    </w:p>
    <w:p>
      <w:pPr>
        <w:jc w:val="both"/>
        <w:ind w:left="868" w:hanging="868"/>
        <w:spacing w:after="0" w:line="258" w:lineRule="auto"/>
        <w:tabs>
          <w:tab w:leader="none" w:pos="868"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Affiliated Entity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with respect to any entity, any other entity directly or indirectly controlling, controlled by 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control with such first entity. For these purposes, “control” (including the terms “controlled by” and “under common control with”) means the possession, direct or indirect, of the power to direct or cause the direction of the management policies of an entity by reason of ownership of voting securities, by contract or otherwise. A reference to an Affiliated Entity includes a reference to an Affiliate.</w:t>
      </w:r>
    </w:p>
    <w:p>
      <w:pPr>
        <w:spacing w:after="0" w:line="183" w:lineRule="exact"/>
        <w:rPr>
          <w:rFonts w:ascii="Arial" w:cs="Arial" w:eastAsia="Arial" w:hAnsi="Arial"/>
          <w:sz w:val="18"/>
          <w:szCs w:val="18"/>
          <w:color w:val="auto"/>
        </w:rPr>
      </w:pPr>
    </w:p>
    <w:p>
      <w:pPr>
        <w:jc w:val="both"/>
        <w:ind w:left="868" w:hanging="868"/>
        <w:spacing w:after="0" w:line="295" w:lineRule="auto"/>
        <w:tabs>
          <w:tab w:leader="none" w:pos="868"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Budgeted Free Cash Flow</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budgeted amount of the Corporation’s budgeted EBITDA minus capital expenditures, plus</w:t>
      </w:r>
      <w:r>
        <w:rPr>
          <w:rFonts w:ascii="Arial" w:cs="Arial" w:eastAsia="Arial" w:hAnsi="Arial"/>
          <w:sz w:val="16"/>
          <w:szCs w:val="16"/>
          <w:b w:val="1"/>
          <w:bCs w:val="1"/>
          <w:color w:val="auto"/>
        </w:rPr>
        <w:t xml:space="preserve"> </w:t>
      </w:r>
      <w:r>
        <w:rPr>
          <w:rFonts w:ascii="Arial" w:cs="Arial" w:eastAsia="Arial" w:hAnsi="Arial"/>
          <w:sz w:val="16"/>
          <w:szCs w:val="16"/>
          <w:color w:val="auto"/>
        </w:rPr>
        <w:t>or minus net gain or loss on sale of assets, minus international mobilization expenses, plus or minus proceeds from vendor performance obligations, minus cash paid for interest, minus cash paid for taxes, plus or minus change in working capital, plus or minus equity gain/loss in joint ventures, plus or minus excess tax benefit/loss from share based compensation and plus or minus share based compensation. Budgeted Free Cash Flow shall not include new vessel capital expenditures (except to the extent expenditures are greater than or less than budget), new vessel financing or the profit &amp; loss and cash impact of unbudgeted asset sales.</w:t>
      </w:r>
    </w:p>
    <w:p>
      <w:pPr>
        <w:spacing w:after="0" w:line="155" w:lineRule="exact"/>
        <w:rPr>
          <w:rFonts w:ascii="Arial" w:cs="Arial" w:eastAsia="Arial" w:hAnsi="Arial"/>
          <w:sz w:val="16"/>
          <w:szCs w:val="16"/>
          <w:color w:val="auto"/>
        </w:rPr>
      </w:pPr>
    </w:p>
    <w:p>
      <w:pPr>
        <w:jc w:val="both"/>
        <w:ind w:left="868" w:right="20" w:hanging="868"/>
        <w:spacing w:after="0" w:line="266" w:lineRule="auto"/>
        <w:tabs>
          <w:tab w:leader="none" w:pos="8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the Participant becoming unable to engage in any substantial gainful activity by reason of any medically determinable physical or mental impairment that can be expected to result in death or that has lasted or can be expected to last for a continuous period of not less than twelve (12) months, within the meaning of Code Section 22(e)(3).</w:t>
      </w:r>
    </w:p>
    <w:p>
      <w:pPr>
        <w:spacing w:after="0" w:line="176" w:lineRule="exact"/>
        <w:rPr>
          <w:rFonts w:ascii="Arial" w:cs="Arial" w:eastAsia="Arial" w:hAnsi="Arial"/>
          <w:sz w:val="18"/>
          <w:szCs w:val="18"/>
          <w:color w:val="auto"/>
        </w:rPr>
      </w:pPr>
    </w:p>
    <w:p>
      <w:pPr>
        <w:jc w:val="both"/>
        <w:ind w:left="868" w:hanging="868"/>
        <w:spacing w:after="0" w:line="258" w:lineRule="auto"/>
        <w:tabs>
          <w:tab w:leader="none" w:pos="868"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any employment or consulting agreement between the Participant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an Affiliated Entity; provided, however, if (i) a uniform definition of Retirement is not used either within a single agreement or across multiple employment or consulting agreements between the Participant and the Corporation or an Affiliated Entity, (ii) there is no such agreement, or (iii) such agreement does not define Retirement, Retirement shall mean a Participant’s Termination, other than for Cause, which meets all of the following criteria.</w:t>
      </w:r>
    </w:p>
    <w:p>
      <w:pPr>
        <w:spacing w:after="0" w:line="200" w:lineRule="exact"/>
        <w:rPr>
          <w:sz w:val="20"/>
          <w:szCs w:val="20"/>
          <w:color w:val="auto"/>
        </w:rPr>
      </w:pPr>
    </w:p>
    <w:p>
      <w:pPr>
        <w:spacing w:after="0" w:line="204"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125" w:right="239" w:bottom="1440" w:gutter="0" w:footer="0" w:header="0"/>
        </w:sectPr>
      </w:pPr>
    </w:p>
    <w:bookmarkStart w:id="46" w:name="page47"/>
    <w:bookmarkEnd w:id="46"/>
    <w:p>
      <w:pPr>
        <w:ind w:left="2620" w:hanging="870"/>
        <w:spacing w:after="0"/>
        <w:tabs>
          <w:tab w:leader="none" w:pos="26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sum of (x) the continuous full years of Service by the Participant to the Corporation or an Affiliated Entity and</w:t>
      </w:r>
    </w:p>
    <w:p>
      <w:pPr>
        <w:spacing w:after="0" w:line="34" w:lineRule="exact"/>
        <w:rPr>
          <w:rFonts w:ascii="Arial" w:cs="Arial" w:eastAsia="Arial" w:hAnsi="Arial"/>
          <w:sz w:val="17"/>
          <w:szCs w:val="17"/>
          <w:color w:val="auto"/>
        </w:rPr>
      </w:pPr>
    </w:p>
    <w:p>
      <w:pPr>
        <w:jc w:val="both"/>
        <w:ind w:left="2620" w:hanging="5"/>
        <w:spacing w:after="0" w:line="290" w:lineRule="auto"/>
        <w:tabs>
          <w:tab w:leader="none" w:pos="2886" w:val="left"/>
        </w:tabs>
        <w:numPr>
          <w:ilvl w:val="2"/>
          <w:numId w:val="36"/>
        </w:numPr>
        <w:rPr>
          <w:rFonts w:ascii="Arial" w:cs="Arial" w:eastAsia="Arial" w:hAnsi="Arial"/>
          <w:sz w:val="16"/>
          <w:szCs w:val="16"/>
          <w:color w:val="auto"/>
        </w:rPr>
      </w:pPr>
      <w:r>
        <w:rPr>
          <w:rFonts w:ascii="Arial" w:cs="Arial" w:eastAsia="Arial" w:hAnsi="Arial"/>
          <w:sz w:val="16"/>
          <w:szCs w:val="16"/>
          <w:color w:val="auto"/>
        </w:rPr>
        <w:t>the attained age in full years of the Participant on the date of the Participant’s Termination total no less than 75 (the “Rule of 75”). A leave of absence which is agreed to between the Corporation and the Participant in writing for medical reasons or for military service shall not constitute a break in Service for this purpose. For example, a Participant was born on June 27, 1963, and started full-time employment with the Corporation on July 1, 1990, and works continuously as an Employee until a Termination on December 31, 2016. This Participant’s full years of Service are 26 years and his or her attained age on the date of Termination is 53 years. The total is 79, so the Participant satisfies the Rule of 75.</w:t>
      </w:r>
    </w:p>
    <w:p>
      <w:pPr>
        <w:spacing w:after="0" w:line="164" w:lineRule="exact"/>
        <w:rPr>
          <w:rFonts w:ascii="Arial" w:cs="Arial" w:eastAsia="Arial" w:hAnsi="Arial"/>
          <w:sz w:val="16"/>
          <w:szCs w:val="16"/>
          <w:color w:val="auto"/>
        </w:rPr>
      </w:pPr>
    </w:p>
    <w:p>
      <w:pPr>
        <w:jc w:val="both"/>
        <w:ind w:left="2620" w:hanging="870"/>
        <w:spacing w:after="0" w:line="264" w:lineRule="auto"/>
        <w:tabs>
          <w:tab w:leader="none" w:pos="2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Participant signs a Restrictive Covenant Agreement in anticipation of his Retirement, in the form provided to the Participant by the Corporation if the Corporation requests that the Participant do so, within the timeframe given to the Participant to sign by the Corporation.</w:t>
      </w:r>
    </w:p>
    <w:p>
      <w:pPr>
        <w:spacing w:after="0" w:line="181" w:lineRule="exact"/>
        <w:rPr>
          <w:rFonts w:ascii="Arial" w:cs="Arial" w:eastAsia="Arial" w:hAnsi="Arial"/>
          <w:sz w:val="18"/>
          <w:szCs w:val="18"/>
          <w:color w:val="auto"/>
        </w:rPr>
      </w:pPr>
    </w:p>
    <w:p>
      <w:pPr>
        <w:jc w:val="both"/>
        <w:ind w:left="2620" w:hanging="870"/>
        <w:spacing w:after="0" w:line="264" w:lineRule="auto"/>
        <w:tabs>
          <w:tab w:leader="none" w:pos="2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Participant gives his direct supervisor, or in the case of the Chief Executive Officer, the Board of Directors, at least two months’ prior written notice of his Retirement, or if the Participant is an officer of the Corporation, three months’ prior written notice of his Retirement.</w:t>
      </w:r>
    </w:p>
    <w:p>
      <w:pPr>
        <w:spacing w:after="0" w:line="177" w:lineRule="exact"/>
        <w:rPr>
          <w:rFonts w:ascii="Arial" w:cs="Arial" w:eastAsia="Arial" w:hAnsi="Arial"/>
          <w:sz w:val="18"/>
          <w:szCs w:val="18"/>
          <w:color w:val="auto"/>
        </w:rPr>
      </w:pPr>
    </w:p>
    <w:p>
      <w:pPr>
        <w:jc w:val="both"/>
        <w:ind w:left="1740" w:hanging="868"/>
        <w:spacing w:after="0" w:line="256" w:lineRule="auto"/>
        <w:tabs>
          <w:tab w:leader="none" w:pos="17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agreement between the Corporation or an Affiliated Entity and the Participant, in</w:t>
      </w:r>
      <w:r>
        <w:rPr>
          <w:rFonts w:ascii="Arial" w:cs="Arial" w:eastAsia="Arial" w:hAnsi="Arial"/>
          <w:sz w:val="18"/>
          <w:szCs w:val="18"/>
          <w:b w:val="1"/>
          <w:bCs w:val="1"/>
          <w:color w:val="auto"/>
        </w:rPr>
        <w:t xml:space="preserve"> </w:t>
      </w:r>
      <w:r>
        <w:rPr>
          <w:rFonts w:ascii="Arial" w:cs="Arial" w:eastAsia="Arial" w:hAnsi="Arial"/>
          <w:sz w:val="18"/>
          <w:szCs w:val="18"/>
          <w:color w:val="auto"/>
        </w:rPr>
        <w:t>a form satisfactory to the Corporation or the Affiliated Entity,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extend beyond the three-year anniversary of the Participant’s Termination due to Retirement.</w:t>
      </w:r>
    </w:p>
    <w:p>
      <w:pPr>
        <w:spacing w:after="0" w:line="188" w:lineRule="exact"/>
        <w:rPr>
          <w:sz w:val="20"/>
          <w:szCs w:val="20"/>
          <w:color w:val="auto"/>
        </w:rPr>
      </w:pPr>
    </w:p>
    <w:p>
      <w:pPr>
        <w:jc w:val="both"/>
        <w:ind w:firstLine="885"/>
        <w:spacing w:after="0" w:line="258" w:lineRule="auto"/>
        <w:tabs>
          <w:tab w:leader="none" w:pos="1661"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 of RSUs into Stock</w:t>
      </w:r>
      <w:r>
        <w:rPr>
          <w:rFonts w:ascii="Arial" w:cs="Arial" w:eastAsia="Arial" w:hAnsi="Arial"/>
          <w:sz w:val="18"/>
          <w:szCs w:val="18"/>
          <w:color w:val="auto"/>
        </w:rPr>
        <w:t>. On the Conversion Date (as defined below), the RSUs which are vested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converted into an equivalent number of shares of Stock that will be issued to the Participant, or in the event of the Participant’s death, the Participant’s beneficiary. Within 30 days after the Conversion Date, the Company shall deliver the shares, as evidenced by the appropriate entry on the books of the Company or of a duly authorized transfer agent of the Company. Subject to Section 18, the “</w:t>
      </w:r>
      <w:r>
        <w:rPr>
          <w:rFonts w:ascii="Arial" w:cs="Arial" w:eastAsia="Arial" w:hAnsi="Arial"/>
          <w:sz w:val="18"/>
          <w:szCs w:val="18"/>
          <w:b w:val="1"/>
          <w:bCs w:val="1"/>
          <w:u w:val="single" w:color="auto"/>
          <w:color w:val="auto"/>
        </w:rPr>
        <w:t>Conversion Date</w:t>
      </w:r>
      <w:r>
        <w:rPr>
          <w:rFonts w:ascii="Arial" w:cs="Arial" w:eastAsia="Arial" w:hAnsi="Arial"/>
          <w:sz w:val="18"/>
          <w:szCs w:val="18"/>
          <w:color w:val="auto"/>
        </w:rPr>
        <w:t>” shall be determined in accordance with the following:</w:t>
      </w:r>
    </w:p>
    <w:p>
      <w:pPr>
        <w:spacing w:after="0" w:line="188" w:lineRule="exact"/>
        <w:rPr>
          <w:sz w:val="20"/>
          <w:szCs w:val="20"/>
          <w:color w:val="auto"/>
        </w:rPr>
      </w:pPr>
    </w:p>
    <w:p>
      <w:pPr>
        <w:jc w:val="both"/>
        <w:ind w:left="1740" w:hanging="868"/>
        <w:spacing w:after="0" w:line="291" w:lineRule="auto"/>
        <w:tabs>
          <w:tab w:leader="none" w:pos="1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 the event of the Participant’s death, Termination due to Disability or Termination (where RSUs are vested pursuant to the terms of an employment, consulting or other written agreement) prior to March 9, 2019, the Conversion Date shall be the later of (i) the date that the number of units eligible to vest is determined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or (ii) the Participant’s death, Termination due to Disability or other Termination (where RSUs are vested pursuant to the terms of an employment, consulting or other written agreement), as applicable, except as delayed as required by the terms of </w:t>
      </w:r>
      <w:r>
        <w:rPr>
          <w:rFonts w:ascii="Arial" w:cs="Arial" w:eastAsia="Arial" w:hAnsi="Arial"/>
          <w:sz w:val="16"/>
          <w:szCs w:val="16"/>
          <w:u w:val="single" w:color="auto"/>
          <w:color w:val="auto"/>
        </w:rPr>
        <w:t>Section 6(a); provided, however,</w:t>
      </w:r>
      <w:r>
        <w:rPr>
          <w:rFonts w:ascii="Arial" w:cs="Arial" w:eastAsia="Arial" w:hAnsi="Arial"/>
          <w:sz w:val="16"/>
          <w:szCs w:val="16"/>
          <w:color w:val="auto"/>
        </w:rPr>
        <w:t xml:space="preserve"> in the event the Participant satisfies the Rule of 75 at the time of a Termination due to Disability or other Termination (where RSUs are vested pursuant to the terms of an employment, consulting or other written agreement), the Conversion Date shall be the next regularly scheduled Vest Date;</w:t>
      </w:r>
    </w:p>
    <w:p>
      <w:pPr>
        <w:spacing w:after="0" w:line="167" w:lineRule="exact"/>
        <w:rPr>
          <w:rFonts w:ascii="Arial" w:cs="Arial" w:eastAsia="Arial" w:hAnsi="Arial"/>
          <w:sz w:val="16"/>
          <w:szCs w:val="16"/>
          <w:color w:val="auto"/>
        </w:rPr>
      </w:pPr>
    </w:p>
    <w:p>
      <w:pPr>
        <w:jc w:val="both"/>
        <w:ind w:left="1740" w:hanging="868"/>
        <w:spacing w:after="0" w:line="257" w:lineRule="auto"/>
        <w:tabs>
          <w:tab w:leader="none" w:pos="1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event of a Change in Control prior to March 9, 2019, in which the Committee elects to accelerate the vesting of some or all of the RSUs, the Conversion Date with respect to such RSUs shall be, to the extent permitted under Section 409A of the Code, the date that a Change in Control occurs, if such Change in Control meets the requirements of the definition of a change in the ownership or effective control of a corporation, or a change in the ownership of a substantial portion of the assets of a corporation contained in the regulations promulgated under Code Section 409A;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left="1740" w:right="20" w:hanging="868"/>
        <w:spacing w:after="0" w:line="308" w:lineRule="auto"/>
        <w:tabs>
          <w:tab w:leader="none" w:pos="1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the Participant’s Termination due to Retirement prior to March 9, 2019, the Conversion Date shall be the next Vest Date, but only to the extent the RSUs vest on such Vest Date in accordance with Section 5 and Section 6(c); and</w:t>
      </w:r>
    </w:p>
    <w:p>
      <w:pPr>
        <w:spacing w:after="0" w:line="146" w:lineRule="exact"/>
        <w:rPr>
          <w:rFonts w:ascii="Arial" w:cs="Arial" w:eastAsia="Arial" w:hAnsi="Arial"/>
          <w:sz w:val="17"/>
          <w:szCs w:val="17"/>
          <w:color w:val="auto"/>
        </w:rPr>
      </w:pPr>
    </w:p>
    <w:p>
      <w:pPr>
        <w:jc w:val="both"/>
        <w:ind w:left="1740" w:hanging="868"/>
        <w:spacing w:after="0" w:line="264" w:lineRule="auto"/>
        <w:tabs>
          <w:tab w:leader="none" w:pos="1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none of the events described in the foregoing clauses (a), (b) or (c) occur prior to March 9, 2019 or to the extent Section 409A prohibits the settlement of the RSUs under clause (b), the Conversion Date shall be the regularly scheduled Vest Dates, but only to the extent the RSUs vest on such Vest Date.</w:t>
      </w:r>
    </w:p>
    <w:p>
      <w:pPr>
        <w:spacing w:after="0" w:line="177" w:lineRule="exact"/>
        <w:rPr>
          <w:sz w:val="20"/>
          <w:szCs w:val="20"/>
          <w:color w:val="auto"/>
        </w:rPr>
      </w:pPr>
    </w:p>
    <w:p>
      <w:pPr>
        <w:jc w:val="both"/>
        <w:ind w:firstLine="885"/>
        <w:spacing w:after="0" w:line="271" w:lineRule="auto"/>
        <w:tabs>
          <w:tab w:leader="none" w:pos="1661"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All deliveries and distributions under this Agreement are subject to withholding of all applicable taxes.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may either require the Participant to remit to the Corporation an amount sufficient to satisfy such tax withholding requirements or, in the discretion of the Committee, the Corporation may withhold the minimum number of shares of Stock sufficient to satisfy all or a portion of such tax withholding requirements. To the extent the Corporation does not elect to withhold shares of Stock sufficient to satisfy the tax withholding requirements, subject to the terms of Section 10.6 of the Plan, the Participant may satisfy such withholding obligations in shares of Stock; provided that the Participant will be deemed to have instructed and authorized the Corporation or its delegate for such purpose to sell on the Participant’s behalf a whole number of shares of Stock as the Corporation or its delegate determines to be appropriate to generate cash proceeds sufficient to satisfy the minimum tax withholding obligation. In such case, the Participant will be responsible for all brokerage fees and other costs of sale, and the Participant agrees to indemnify and hold the Corporation harmless from any losses, costs, damages or expenses relating to such sale.</w:t>
      </w:r>
    </w:p>
    <w:p>
      <w:pPr>
        <w:spacing w:after="0" w:line="174" w:lineRule="exact"/>
        <w:rPr>
          <w:rFonts w:ascii="Arial" w:cs="Arial" w:eastAsia="Arial" w:hAnsi="Arial"/>
          <w:sz w:val="17"/>
          <w:szCs w:val="17"/>
          <w:color w:val="auto"/>
        </w:rPr>
      </w:pPr>
    </w:p>
    <w:p>
      <w:pPr>
        <w:jc w:val="both"/>
        <w:ind w:firstLine="885"/>
        <w:spacing w:after="0" w:line="266" w:lineRule="auto"/>
        <w:tabs>
          <w:tab w:leader="none" w:pos="1751"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 The Plan and this Agreement shall be administered and may be definitively interpreted by the Committee,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that the decisions of such Committee concerning administration and interpretation of the Plan and this Agreement shall be final, binding and conclusive on all persons.</w:t>
      </w:r>
    </w:p>
    <w:p>
      <w:pPr>
        <w:spacing w:after="0" w:line="176" w:lineRule="exact"/>
        <w:rPr>
          <w:rFonts w:ascii="Arial" w:cs="Arial" w:eastAsia="Arial" w:hAnsi="Arial"/>
          <w:sz w:val="18"/>
          <w:szCs w:val="18"/>
          <w:color w:val="auto"/>
        </w:rPr>
      </w:pPr>
    </w:p>
    <w:p>
      <w:pPr>
        <w:jc w:val="both"/>
        <w:ind w:firstLine="885"/>
        <w:spacing w:after="0" w:line="256" w:lineRule="auto"/>
        <w:tabs>
          <w:tab w:leader="none" w:pos="1744"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required or permitted under the Plan must be in writing and must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personally, sent by certified, registered or express mail, or sent by overnight courier, at the sender’s expense. Notice will be deemed given (i) when delivered personally, or (ii) if mailed, three days after the date of deposit in the United States mail or (iii) if sent by overnight courier, on the regular business day following the date sent. Notice to the Participant should be sent to the address set forth on the Corporation’s records. Either party may change the address to which the other party must give notice under this Agreement by giving the other party written notice of this change in accordance with the procedures discussed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885"/>
        <w:spacing w:after="0" w:line="266" w:lineRule="auto"/>
        <w:tabs>
          <w:tab w:leader="none" w:pos="1751"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An Employment Contract</w:t>
      </w:r>
      <w:r>
        <w:rPr>
          <w:rFonts w:ascii="Arial" w:cs="Arial" w:eastAsia="Arial" w:hAnsi="Arial"/>
          <w:sz w:val="18"/>
          <w:szCs w:val="18"/>
          <w:color w:val="auto"/>
        </w:rPr>
        <w:t>. This Award will not confer on the Participant any right with respect to continuance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Corporation or any Affiliated Entity, nor will it interfere in any way with any right the Corporation or any Affiliated Entity would otherwise have to terminate or modify the terms of such Participant’s employment at any time.</w:t>
      </w:r>
    </w:p>
    <w:p>
      <w:pPr>
        <w:spacing w:after="0" w:line="176" w:lineRule="exact"/>
        <w:rPr>
          <w:rFonts w:ascii="Arial" w:cs="Arial" w:eastAsia="Arial" w:hAnsi="Arial"/>
          <w:sz w:val="18"/>
          <w:szCs w:val="18"/>
          <w:color w:val="auto"/>
        </w:rPr>
      </w:pPr>
    </w:p>
    <w:p>
      <w:pPr>
        <w:jc w:val="both"/>
        <w:ind w:firstLine="885"/>
        <w:spacing w:after="0" w:line="261" w:lineRule="auto"/>
        <w:tabs>
          <w:tab w:leader="none" w:pos="1751"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Unfunded Status of the Plan</w:t>
      </w:r>
      <w:r>
        <w:rPr>
          <w:rFonts w:ascii="Arial" w:cs="Arial" w:eastAsia="Arial" w:hAnsi="Arial"/>
          <w:sz w:val="18"/>
          <w:szCs w:val="18"/>
          <w:color w:val="auto"/>
        </w:rPr>
        <w:t>. The Plan is unfunded. The Corporation is not required to establish any special or separate fund or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other segregation of assets to assure the payment of any benefits under the Plan. With respect to any payments not yet made to the Participant or shares of Stock not yet delivered to the Participant under this Agreement, the Participant shall have no rights greater than those of a general unsecured creditor of the Corporation.</w:t>
      </w:r>
    </w:p>
    <w:p>
      <w:pPr>
        <w:spacing w:after="0" w:line="180" w:lineRule="exact"/>
        <w:rPr>
          <w:rFonts w:ascii="Arial" w:cs="Arial" w:eastAsia="Arial" w:hAnsi="Arial"/>
          <w:sz w:val="18"/>
          <w:szCs w:val="18"/>
          <w:color w:val="auto"/>
        </w:rPr>
      </w:pPr>
    </w:p>
    <w:p>
      <w:pPr>
        <w:ind w:firstLine="885"/>
        <w:spacing w:after="0" w:line="282" w:lineRule="auto"/>
        <w:tabs>
          <w:tab w:leader="none" w:pos="1751"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in accordance with the provisions of the Plan, and may otherwise be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of the Participant and the Corporation without the consent of any other person.</w:t>
      </w:r>
    </w:p>
    <w:p>
      <w:pPr>
        <w:spacing w:after="0" w:line="161" w:lineRule="exact"/>
        <w:rPr>
          <w:rFonts w:ascii="Arial" w:cs="Arial" w:eastAsia="Arial" w:hAnsi="Arial"/>
          <w:sz w:val="18"/>
          <w:szCs w:val="18"/>
          <w:color w:val="auto"/>
        </w:rPr>
      </w:pPr>
    </w:p>
    <w:p>
      <w:pPr>
        <w:jc w:val="both"/>
        <w:ind w:firstLine="885"/>
        <w:spacing w:after="0" w:line="281" w:lineRule="auto"/>
        <w:tabs>
          <w:tab w:leader="none" w:pos="1751"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To the extent not preempted by Federal law, the Plan and this Agreement will be construed, administered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in all respects under and by the laws of the State of Delaware, without giving effect to its conflict of laws principles. If any provision of this Agreement will be held by a court of competent jurisdiction to be invalid or unenforceable, the remaining provisions hereof will continue to be fully effective. The jurisdiction and venue for any disputes arising under, or any action brought to enforce (or otherwise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relating to) this Agreement will be exclusively in the courts in the State of Illinois, County of Cook, including the Federal courts located therein (should Federal jurisdiction exist).</w:t>
      </w:r>
    </w:p>
    <w:p>
      <w:pPr>
        <w:spacing w:after="0" w:line="166" w:lineRule="exact"/>
        <w:rPr>
          <w:sz w:val="20"/>
          <w:szCs w:val="20"/>
          <w:color w:val="auto"/>
        </w:rPr>
      </w:pPr>
    </w:p>
    <w:p>
      <w:pPr>
        <w:jc w:val="both"/>
        <w:ind w:firstLine="885"/>
        <w:spacing w:after="0" w:line="272" w:lineRule="auto"/>
        <w:tabs>
          <w:tab w:leader="none" w:pos="1751"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Securities Law Requirements</w:t>
      </w:r>
      <w:r>
        <w:rPr>
          <w:rFonts w:ascii="Arial" w:cs="Arial" w:eastAsia="Arial" w:hAnsi="Arial"/>
          <w:sz w:val="17"/>
          <w:szCs w:val="17"/>
          <w:color w:val="auto"/>
        </w:rPr>
        <w:t>. If at any time the Committee determines that issuing shares of Stock would violate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laws, the Corporation will not be required to issue shares of Stock. The Committee may declare any provision of this Agreement or action of its own null and void, if it determines the provision or action fails to comply with the short-swing trading rules. The Committee may require the Participant to make written representations it deems necessary to comply with applicable securities laws. No person who acquires shares of Stock under this Agreement may sell the shares of Stock, unless he or she makes an offer and sale pursuant to an effective registration statement under the Securities Act of 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which is current and includes the shares of Stock to be sold, or there is an exemption from the registration requirements of the Securities Act. The Participant’s right to resell the shares of Stock will be subject to all Federal and state securities laws, including SEC Rule 144, and subject to the Corporation’s policy on securities trading and disclosure of confidential information.</w:t>
      </w:r>
    </w:p>
    <w:p>
      <w:pPr>
        <w:spacing w:after="0" w:line="172"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color w:val="auto"/>
        </w:rPr>
        <w:t>17.</w:t>
      </w:r>
      <w:r>
        <w:rPr>
          <w:rFonts w:ascii="Arial" w:cs="Arial" w:eastAsia="Arial" w:hAnsi="Arial"/>
          <w:sz w:val="18"/>
          <w:szCs w:val="18"/>
          <w:b w:val="1"/>
          <w:bCs w:val="1"/>
          <w:u w:val="single" w:color="auto"/>
          <w:color w:val="auto"/>
        </w:rPr>
        <w:t>Recoupment</w:t>
      </w:r>
      <w:r>
        <w:rPr>
          <w:rFonts w:ascii="Arial" w:cs="Arial" w:eastAsia="Arial" w:hAnsi="Arial"/>
          <w:sz w:val="18"/>
          <w:szCs w:val="18"/>
          <w:color w:val="auto"/>
        </w:rPr>
        <w:t xml:space="preserve">. The Participant acknowledges that he is familiar with terms of the Corporation’s </w:t>
      </w:r>
      <w:r>
        <w:rPr>
          <w:rFonts w:ascii="Arial" w:cs="Arial" w:eastAsia="Arial" w:hAnsi="Arial"/>
          <w:sz w:val="18"/>
          <w:szCs w:val="18"/>
          <w:i w:val="1"/>
          <w:iCs w:val="1"/>
          <w:color w:val="auto"/>
        </w:rPr>
        <w:t>Statement of Policy Regarding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Recoupment </w:t>
      </w:r>
      <w:r>
        <w:rPr>
          <w:rFonts w:ascii="Arial" w:cs="Arial" w:eastAsia="Arial" w:hAnsi="Arial"/>
          <w:sz w:val="18"/>
          <w:szCs w:val="18"/>
          <w:color w:val="auto"/>
        </w:rPr>
        <w:t>(attached hereto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1</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Policy</w:t>
      </w:r>
      <w:r>
        <w:rPr>
          <w:rFonts w:ascii="Arial" w:cs="Arial" w:eastAsia="Arial" w:hAnsi="Arial"/>
          <w:sz w:val="18"/>
          <w:szCs w:val="18"/>
          <w:color w:val="auto"/>
        </w:rPr>
        <w:t>”). The Participant further acknowledges that this Award is subject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Policy, if and to the extent that the Policy, by its terms, applies to the Award and the Participant. The terms of the Policy (as it may be amended from time to time) are incorporated by reference herein and made a part of this Agreement.</w:t>
      </w:r>
    </w:p>
    <w:p>
      <w:pPr>
        <w:spacing w:after="0" w:line="180" w:lineRule="exact"/>
        <w:rPr>
          <w:sz w:val="20"/>
          <w:szCs w:val="20"/>
          <w:color w:val="auto"/>
        </w:rPr>
      </w:pPr>
    </w:p>
    <w:p>
      <w:pPr>
        <w:jc w:val="both"/>
        <w:ind w:firstLine="877"/>
        <w:spacing w:after="0" w:line="314" w:lineRule="auto"/>
        <w:rPr>
          <w:sz w:val="20"/>
          <w:szCs w:val="20"/>
          <w:color w:val="auto"/>
        </w:rPr>
      </w:pPr>
      <w:r>
        <w:rPr>
          <w:rFonts w:ascii="Arial" w:cs="Arial" w:eastAsia="Arial" w:hAnsi="Arial"/>
          <w:sz w:val="16"/>
          <w:szCs w:val="16"/>
          <w:color w:val="auto"/>
        </w:rPr>
        <w:t>18.</w:t>
      </w: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Agreement is intended to be a “nonqualified deferred compensation arrangement” that complies with the provisions of Code Section 409A and the regulations thereunder and this Agreement shall be interpreted and operated consistent with such intent. Accordingly, all provisions of this Agreement shall be construed in a manner consistent with avoiding taxes or penalties under Code Section 409A, including:</w:t>
      </w:r>
    </w:p>
    <w:p>
      <w:pPr>
        <w:spacing w:after="0" w:line="146" w:lineRule="exact"/>
        <w:rPr>
          <w:sz w:val="20"/>
          <w:szCs w:val="20"/>
          <w:color w:val="auto"/>
        </w:rPr>
      </w:pPr>
    </w:p>
    <w:p>
      <w:pPr>
        <w:jc w:val="both"/>
        <w:ind w:left="1740" w:hanging="868"/>
        <w:spacing w:after="0" w:line="279" w:lineRule="auto"/>
        <w:tabs>
          <w:tab w:leader="none" w:pos="1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Termination shall not be deemed to have occurred for purposes of any provision of this Agreement providing for any payment or distribution upon or following a Termination unless such Termination is also a “separation from service” within the meaning of Code Section 409A and Treas. Reg. §1.409A-1(h) and, for purposes of any such provision of this Agreement, references therein to a “termination,” “termination of employment” or like terms shall mean “separation from service”; and</w:t>
      </w:r>
    </w:p>
    <w:p>
      <w:pPr>
        <w:spacing w:after="0" w:line="171" w:lineRule="exact"/>
        <w:rPr>
          <w:rFonts w:ascii="Arial" w:cs="Arial" w:eastAsia="Arial" w:hAnsi="Arial"/>
          <w:sz w:val="17"/>
          <w:szCs w:val="17"/>
          <w:color w:val="auto"/>
        </w:rPr>
      </w:pPr>
    </w:p>
    <w:p>
      <w:pPr>
        <w:jc w:val="both"/>
        <w:ind w:left="1740" w:hanging="868"/>
        <w:spacing w:after="0" w:line="257" w:lineRule="auto"/>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Participant is a “specified employee” (as described in Treas. Reg. §1.409A-1(i), with such classification to be determined in accordance with the methodology established by the Corporation), any payment or distribution made under this Agreement pursuant to the Participant’s “separation from service” shall be made on the date that is six months following the Participant’s “separation from service” to the extent required by Code Section 409A and the interpretive guidance thereunder or, if earlier, the date of the Participant’s death.</w:t>
      </w:r>
    </w:p>
    <w:p>
      <w:pPr>
        <w:spacing w:after="0" w:line="184" w:lineRule="exact"/>
        <w:rPr>
          <w:rFonts w:ascii="Arial" w:cs="Arial" w:eastAsia="Arial" w:hAnsi="Arial"/>
          <w:sz w:val="18"/>
          <w:szCs w:val="18"/>
          <w:color w:val="auto"/>
        </w:rPr>
      </w:pPr>
    </w:p>
    <w:p>
      <w:pPr>
        <w:jc w:val="both"/>
        <w:ind w:firstLine="885"/>
        <w:spacing w:after="0" w:line="256" w:lineRule="auto"/>
        <w:tabs>
          <w:tab w:leader="none" w:pos="1751"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instrument. The exchange of copies of this Agreement and of signature pages by electronic mail in “portable document format” (“.pdf”) form, or by any other electronic means intended to preserve the original graphic and pictorial appearance of a document, or by combination of such means, shall constitute effective execution and delivery of this Agreement as to the parties and may be used in lieu of the original Agreement for all purposes. Signatures of the parties through electronic means or methods shall be deemed to be their original signatures for all purposes.</w:t>
      </w:r>
    </w:p>
    <w:p>
      <w:pPr>
        <w:spacing w:after="0" w:line="188" w:lineRule="exact"/>
        <w:rPr>
          <w:sz w:val="20"/>
          <w:szCs w:val="20"/>
          <w:color w:val="auto"/>
        </w:rPr>
      </w:pPr>
    </w:p>
    <w:p>
      <w:pPr>
        <w:ind w:right="20" w:firstLine="877"/>
        <w:spacing w:after="0" w:line="313" w:lineRule="auto"/>
        <w:rPr>
          <w:sz w:val="20"/>
          <w:szCs w:val="20"/>
          <w:color w:val="auto"/>
        </w:rPr>
      </w:pPr>
      <w:r>
        <w:rPr>
          <w:rFonts w:ascii="Arial" w:cs="Arial" w:eastAsia="Arial" w:hAnsi="Arial"/>
          <w:sz w:val="17"/>
          <w:szCs w:val="17"/>
          <w:color w:val="auto"/>
        </w:rPr>
        <w:t>20.</w:t>
      </w:r>
      <w:r>
        <w:rPr>
          <w:rFonts w:ascii="Arial" w:cs="Arial" w:eastAsia="Arial" w:hAnsi="Arial"/>
          <w:sz w:val="17"/>
          <w:szCs w:val="17"/>
          <w:b w:val="1"/>
          <w:bCs w:val="1"/>
          <w:u w:val="single" w:color="auto"/>
          <w:color w:val="auto"/>
        </w:rPr>
        <w:t>Conflicts</w:t>
      </w:r>
      <w:r>
        <w:rPr>
          <w:rFonts w:ascii="Arial" w:cs="Arial" w:eastAsia="Arial" w:hAnsi="Arial"/>
          <w:sz w:val="17"/>
          <w:szCs w:val="17"/>
          <w:color w:val="auto"/>
        </w:rPr>
        <w:t>. In the event of a conflict between this Agreement and any employment or consulting agreement between the Participant and the Corporation or an Affiliated Entity with respect to a Termination occurring before December 31, 2016, this Agreement shall control.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by the Participant and, on behalf of the Corporation, by its duly authorized officer, all</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day and year first above written.</w:t>
      </w:r>
    </w:p>
    <w:p>
      <w:pPr>
        <w:spacing w:after="0" w:line="162"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GREAT LAKES DREDGE &amp; DOCK CORPORATION</w:t>
      </w:r>
      <w:r>
        <w:rPr>
          <w:rFonts w:ascii="Arial" w:cs="Arial" w:eastAsia="Arial" w:hAnsi="Arial"/>
          <w:sz w:val="18"/>
          <w:szCs w:val="18"/>
          <w:color w:val="auto"/>
        </w:rPr>
        <w:t>,</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-10160</wp:posOffset>
            </wp:positionV>
            <wp:extent cx="29038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0385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Jonathan W. Berger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[Participant Name]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POLICY REGARDING INCENTIVE COMPENSATION RECOUPMENT</w:t>
      </w:r>
    </w:p>
    <w:p>
      <w:pPr>
        <w:spacing w:after="0" w:line="200" w:lineRule="exact"/>
        <w:rPr>
          <w:sz w:val="20"/>
          <w:szCs w:val="20"/>
          <w:color w:val="auto"/>
        </w:rPr>
      </w:pPr>
    </w:p>
    <w:p>
      <w:pPr>
        <w:spacing w:after="0" w:line="245"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This Policy Statement has been adopted by the Board of Directors of Great Lakes Dredge &amp; Dock Corporation, a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(the “Company”). The Company has adopted this incentive compensation recoupment policy (the “Policy”) in order to ensure that Incentive Compensation (as defined below) is paid based on accurate financial data. Under the circumstances described below, the Company may seek to recover Incentive Compensation that would have not been paid if the correct performance data had been used to determine the amount payable. The Compensation Committee of the Board of Directors of Great Lakes Dredge &amp; Dock Corporation (the “Committee”) shall have full authority to interpret and enforce the Policy and may recommend that the Board of Directors take action with respect to the Policy. The Policy shall apply to all Incentive Compensation awarded to Covered Employees regardless of individual fault, and is in addition to the requirements of Section 304 of the Sarbanes-Oxley Act of 2002. The Committee may amend or terminate this Policy at any time.</w:t>
      </w:r>
    </w:p>
    <w:p>
      <w:pPr>
        <w:spacing w:after="0" w:line="179" w:lineRule="exact"/>
        <w:rPr>
          <w:sz w:val="20"/>
          <w:szCs w:val="20"/>
          <w:color w:val="auto"/>
        </w:rPr>
      </w:pPr>
    </w:p>
    <w:p>
      <w:pPr>
        <w:jc w:val="both"/>
        <w:ind w:right="20" w:firstLine="877"/>
        <w:spacing w:after="0" w:line="259" w:lineRule="auto"/>
        <w:rPr>
          <w:sz w:val="20"/>
          <w:szCs w:val="20"/>
          <w:color w:val="auto"/>
        </w:rPr>
      </w:pPr>
      <w:r>
        <w:rPr>
          <w:rFonts w:ascii="Arial" w:cs="Arial" w:eastAsia="Arial" w:hAnsi="Arial"/>
          <w:sz w:val="18"/>
          <w:szCs w:val="18"/>
          <w:i w:val="1"/>
          <w:iCs w:val="1"/>
          <w:color w:val="auto"/>
        </w:rPr>
        <w:t>Covered Employees</w:t>
      </w:r>
      <w:r>
        <w:rPr>
          <w:rFonts w:ascii="Arial" w:cs="Arial" w:eastAsia="Arial" w:hAnsi="Arial"/>
          <w:sz w:val="18"/>
          <w:szCs w:val="18"/>
          <w:color w:val="auto"/>
        </w:rPr>
        <w:t>. The Policy applies to the following (each a “Covered Employee”): (i) the current and former executive officers of Great</w:t>
      </w:r>
      <w:r>
        <w:rPr>
          <w:rFonts w:ascii="Arial" w:cs="Arial" w:eastAsia="Arial" w:hAnsi="Arial"/>
          <w:sz w:val="18"/>
          <w:szCs w:val="18"/>
          <w:i w:val="1"/>
          <w:iCs w:val="1"/>
          <w:color w:val="auto"/>
        </w:rPr>
        <w:t xml:space="preserve"> </w:t>
      </w:r>
      <w:r>
        <w:rPr>
          <w:rFonts w:ascii="Arial" w:cs="Arial" w:eastAsia="Arial" w:hAnsi="Arial"/>
          <w:sz w:val="18"/>
          <w:szCs w:val="18"/>
          <w:color w:val="auto"/>
        </w:rPr>
        <w:t>Lakes Dredge &amp; Dock Corporation, as determined from time to time pursuant to Rule 3b-7 under the Securities Exchange Act of 1934, as amended, and (ii) any other employee of the Company or any Affiliate, as defined in Rule 12b-2 under the Securities Exchange Act of 1934, designated by the Board or the Committee from time to time by notice to the employee.</w:t>
      </w:r>
    </w:p>
    <w:p>
      <w:pPr>
        <w:spacing w:after="0" w:line="187"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7"/>
          <w:szCs w:val="17"/>
          <w:i w:val="1"/>
          <w:iCs w:val="1"/>
          <w:color w:val="auto"/>
        </w:rPr>
        <w:t>Incentive Compensation</w:t>
      </w:r>
      <w:r>
        <w:rPr>
          <w:rFonts w:ascii="Arial" w:cs="Arial" w:eastAsia="Arial" w:hAnsi="Arial"/>
          <w:sz w:val="17"/>
          <w:szCs w:val="17"/>
          <w:color w:val="auto"/>
        </w:rPr>
        <w:t>. For purposes of this Policy, “Incentive Compensation” means, with respect to each Covered Employee: (i)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bonuses and incentive awards (including stock options, stock appreciation rights, restricted stock, restricted stock units, performance shares or other stock-based awards) paid, granted, vested or accrued under any Company plan or agreement or plan or agreement of an Affiliate of the Company in the form of cash or Great Lakes Dredge &amp; Dock Corporation common stock, (ii) outstanding incentive awards that have not vested or been earned, and (iii) in cases of fraud or misconduct, the gain realized by any Covered Employee engaged in such conduct on the exercise of stock options or stock appreciation rights, the vesting of other incentive awards, or the sale of Company stock acquired through any incentive award.</w:t>
      </w:r>
    </w:p>
    <w:p>
      <w:pPr>
        <w:spacing w:after="0" w:line="178"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7"/>
          <w:szCs w:val="17"/>
          <w:i w:val="1"/>
          <w:iCs w:val="1"/>
          <w:color w:val="auto"/>
        </w:rPr>
        <w:t>Triggering Events; Calculation of Overpayment</w:t>
      </w:r>
      <w:r>
        <w:rPr>
          <w:rFonts w:ascii="Arial" w:cs="Arial" w:eastAsia="Arial" w:hAnsi="Arial"/>
          <w:sz w:val="17"/>
          <w:szCs w:val="17"/>
          <w:color w:val="auto"/>
        </w:rPr>
        <w:t>. If the Committee determines that Incentive Compensation was overpaid, in whole or in part,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(i) a restatement of the Company’s reported financial or operating results (unless due to a change in accounting policy or applicable law) or (ii) any conduct justifying termination for cause under the Company’s Code of Business Conduct and Ethics or the applicable Covered Employee’s employment agreement, or constituting a violation of a restrictive covenant in an employment or severance agreement, or other act involving, dishonesty, fraud, illegality or moral turpitude (whether or not requiring a restatement), the Committee will review the Incentive Compensation paid, granted, vested or accrued. To the extent practicable and in the best interests of stockholders, and as permitted by applicable law, (i) in the event of a restatement, the Committee will seek to recover or cancel the difference between any Incentive Compensation that was based on having met or exceeded performance targets that would not have been met based upon accurate financial data and the Incentive Compensation that would have been paid or granted to such Covered Employee or the Incentive Compensation in which such Covered Employee would have vested had the actual payment, granting or vesting been calculated based on the accurate data or restated results, as applicable, and (ii) in the event of other misconduct, provided that such misconduct was harmful to the Company or an Affiliate, the Committee may seek to recover or cancel Incentive Compensation paid, awarded or accrued after the applicable misconduct or any severance paid after termination of employment (in any such case, the “Overpayment”).</w:t>
      </w:r>
    </w:p>
    <w:p>
      <w:pPr>
        <w:spacing w:after="0" w:line="180"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6"/>
          <w:szCs w:val="16"/>
          <w:i w:val="1"/>
          <w:iCs w:val="1"/>
          <w:color w:val="auto"/>
        </w:rPr>
        <w:t xml:space="preserve">Forms of Recovery. </w:t>
      </w:r>
      <w:r>
        <w:rPr>
          <w:rFonts w:ascii="Arial" w:cs="Arial" w:eastAsia="Arial" w:hAnsi="Arial"/>
          <w:sz w:val="16"/>
          <w:szCs w:val="16"/>
          <w:color w:val="auto"/>
        </w:rPr>
        <w:t>The Company shall have the right to demand the reimbursement of any Overpayment. To the extent the Covered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reimburse any Overpayment, the Company shall have the right to sue for repayment and enforce the repayment through the reduction or cancellation of outstanding and future Incentive Compensation. To the extent any shares have been issued under vested awards or such shares have been sold by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color w:val="auto"/>
        </w:rPr>
        <w:t>Covered Employee, the Company shall have the right to cancel any other outstanding stock-based awards with a value equivalent to the Overpayment, as determined by the Company.</w:t>
      </w:r>
    </w:p>
    <w:p>
      <w:pPr>
        <w:spacing w:after="0" w:line="170"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i w:val="1"/>
          <w:iCs w:val="1"/>
          <w:color w:val="auto"/>
        </w:rPr>
        <w:t>Time Period for Overpayment Review</w:t>
      </w:r>
      <w:r>
        <w:rPr>
          <w:rFonts w:ascii="Arial" w:cs="Arial" w:eastAsia="Arial" w:hAnsi="Arial"/>
          <w:sz w:val="17"/>
          <w:szCs w:val="17"/>
          <w:color w:val="auto"/>
        </w:rPr>
        <w:t>. The Committee may make determinations of Overpayment at any time through the end of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following the year for which the inaccurate performance criteria were measured (the “Overpayment Review Period”); provided, that if steps have been taken within such period to restate the Company’s financial or operating results, the Overpayment Review Period shall be extended until such restatement is completed. For illustrative purposes only, this means that if incentive compensation is paid in early 2011 for performance metrics based on fiscal year 2010 performance, such compensation shall be subject to review for Overpayment until the end of the Company’s 2013 fiscal year. Notwithstanding the above, if the Committee determines that any Covered Employee engaged in fraud or misconduct, the Committee shall be entitled to determine the Overpayment with respect to such Covered Employee for a period of six years after the act of fraud or misconduct is discovered.</w:t>
      </w:r>
    </w:p>
    <w:p>
      <w:pPr>
        <w:spacing w:after="0" w:line="17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i w:val="1"/>
          <w:iCs w:val="1"/>
          <w:color w:val="auto"/>
        </w:rPr>
        <w:t>No Additional Payments</w:t>
      </w:r>
      <w:r>
        <w:rPr>
          <w:rFonts w:ascii="Arial" w:cs="Arial" w:eastAsia="Arial" w:hAnsi="Arial"/>
          <w:sz w:val="18"/>
          <w:szCs w:val="18"/>
          <w:color w:val="auto"/>
        </w:rPr>
        <w:t>. In no event shall the Company be required to award Covered Employees an additional payment if the restated or</w:t>
      </w:r>
      <w:r>
        <w:rPr>
          <w:rFonts w:ascii="Arial" w:cs="Arial" w:eastAsia="Arial" w:hAnsi="Arial"/>
          <w:sz w:val="18"/>
          <w:szCs w:val="18"/>
          <w:i w:val="1"/>
          <w:iCs w:val="1"/>
          <w:color w:val="auto"/>
        </w:rPr>
        <w:t xml:space="preserve"> </w:t>
      </w:r>
      <w:r>
        <w:rPr>
          <w:rFonts w:ascii="Arial" w:cs="Arial" w:eastAsia="Arial" w:hAnsi="Arial"/>
          <w:sz w:val="18"/>
          <w:szCs w:val="18"/>
          <w:color w:val="auto"/>
        </w:rPr>
        <w:t>accurate financial results would have resulted in a higher incentive compensation payment.</w:t>
      </w:r>
    </w:p>
    <w:p>
      <w:pPr>
        <w:spacing w:after="0" w:line="170"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i w:val="1"/>
          <w:iCs w:val="1"/>
          <w:color w:val="auto"/>
        </w:rPr>
        <w:t xml:space="preserve">Applicability. </w:t>
      </w:r>
      <w:r>
        <w:rPr>
          <w:rFonts w:ascii="Arial" w:cs="Arial" w:eastAsia="Arial" w:hAnsi="Arial"/>
          <w:sz w:val="18"/>
          <w:szCs w:val="18"/>
          <w:color w:val="auto"/>
        </w:rPr>
        <w:t>This Policy applies to all Incentive Compensation, whether paid or granted prior to the adoption of the Policy, except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by applicable law or any other legal obligation of the Company or Affiliate, as the case may be. Application of the Policy does not preclude the Company from taking any other action to enforce a Covered Employee’s obligations to the Company, including termination of employment or institution of civil or criminal proceedings.</w:t>
      </w:r>
    </w:p>
    <w:p>
      <w:pPr>
        <w:spacing w:after="0" w:line="187" w:lineRule="exact"/>
        <w:rPr>
          <w:sz w:val="20"/>
          <w:szCs w:val="20"/>
          <w:color w:val="auto"/>
        </w:rPr>
      </w:pPr>
    </w:p>
    <w:p>
      <w:pPr>
        <w:jc w:val="both"/>
        <w:ind w:right="20" w:firstLine="877"/>
        <w:spacing w:after="0" w:line="308" w:lineRule="auto"/>
        <w:rPr>
          <w:sz w:val="20"/>
          <w:szCs w:val="20"/>
          <w:color w:val="auto"/>
        </w:rPr>
      </w:pPr>
      <w:r>
        <w:rPr>
          <w:rFonts w:ascii="Arial" w:cs="Arial" w:eastAsia="Arial" w:hAnsi="Arial"/>
          <w:sz w:val="17"/>
          <w:szCs w:val="17"/>
          <w:i w:val="1"/>
          <w:iCs w:val="1"/>
          <w:color w:val="auto"/>
        </w:rPr>
        <w:t>Committee Determination Final</w:t>
      </w:r>
      <w:r>
        <w:rPr>
          <w:rFonts w:ascii="Arial" w:cs="Arial" w:eastAsia="Arial" w:hAnsi="Arial"/>
          <w:sz w:val="17"/>
          <w:szCs w:val="17"/>
          <w:color w:val="auto"/>
        </w:rPr>
        <w:t>. Any determination by the Committee (or by any officer of the Company or an Affiliate to whom enforcement</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has been delegated) or the Board of Directors with respect to this Policy shall be final, conclusive and binding on all interested parties.</w:t>
      </w:r>
    </w:p>
    <w:p>
      <w:pPr>
        <w:spacing w:after="0" w:line="14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i w:val="1"/>
          <w:iCs w:val="1"/>
          <w:color w:val="auto"/>
        </w:rPr>
        <w:t xml:space="preserve">Disclosure. </w:t>
      </w:r>
      <w:r>
        <w:rPr>
          <w:rFonts w:ascii="Arial" w:cs="Arial" w:eastAsia="Arial" w:hAnsi="Arial"/>
          <w:sz w:val="18"/>
          <w:szCs w:val="18"/>
          <w:color w:val="auto"/>
        </w:rPr>
        <w:t>This policy shall be disclosed in Great Lakes Dredge &amp; Dock Corporation’s applicable filings with the Securities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discussing executive compensation subject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CASH PERFORMANCE AWARD AGREEMENT</w:t>
      </w:r>
    </w:p>
    <w:p>
      <w:pPr>
        <w:spacing w:after="0" w:line="200" w:lineRule="exact"/>
        <w:rPr>
          <w:sz w:val="20"/>
          <w:szCs w:val="20"/>
          <w:color w:val="auto"/>
        </w:rPr>
      </w:pPr>
    </w:p>
    <w:p>
      <w:pPr>
        <w:spacing w:after="0" w:line="223"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CASH PERFORMANCE AWARD AGREEMENT</w:t>
      </w:r>
      <w:r>
        <w:rPr>
          <w:rFonts w:ascii="Arial" w:cs="Arial" w:eastAsia="Arial" w:hAnsi="Arial"/>
          <w:sz w:val="18"/>
          <w:szCs w:val="18"/>
          <w:color w:val="auto"/>
        </w:rPr>
        <w:t xml:space="preserv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Great Lakes Dredge &amp;</w:t>
      </w:r>
      <w:r>
        <w:rPr>
          <w:rFonts w:ascii="Arial" w:cs="Arial" w:eastAsia="Arial" w:hAnsi="Arial"/>
          <w:sz w:val="18"/>
          <w:szCs w:val="18"/>
          <w:color w:val="auto"/>
        </w:rPr>
        <w:t xml:space="preserve"> </w:t>
      </w:r>
      <w:r>
        <w:rPr>
          <w:rFonts w:ascii="Arial" w:cs="Arial" w:eastAsia="Arial" w:hAnsi="Arial"/>
          <w:sz w:val="18"/>
          <w:szCs w:val="18"/>
          <w:b w:val="1"/>
          <w:bCs w:val="1"/>
          <w:color w:val="auto"/>
        </w:rPr>
        <w:t>Dock Corporation</w:t>
      </w:r>
      <w:r>
        <w:rPr>
          <w:rFonts w:ascii="Arial" w:cs="Arial" w:eastAsia="Arial" w:hAnsi="Arial"/>
          <w:sz w:val="18"/>
          <w:szCs w:val="18"/>
          <w:color w:val="auto"/>
        </w:rPr>
        <w:t>, a Delaware corporation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and</w:t>
      </w:r>
      <w:r>
        <w:rPr>
          <w:rFonts w:ascii="Arial" w:cs="Arial" w:eastAsia="Arial" w:hAnsi="Arial"/>
          <w:sz w:val="18"/>
          <w:szCs w:val="18"/>
          <w:b w:val="1"/>
          <w:bCs w:val="1"/>
          <w:color w:val="auto"/>
        </w:rPr>
        <w:t xml:space="preserve"> [Participant Name] </w:t>
      </w:r>
      <w:r>
        <w:rPr>
          <w:rFonts w:ascii="Arial" w:cs="Arial" w:eastAsia="Arial" w:hAnsi="Arial"/>
          <w:sz w:val="18"/>
          <w:szCs w:val="18"/>
          <w:color w:val="auto"/>
        </w:rPr>
        <w:t>(the “</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effective as of March 9, 2016 (the “</w:t>
      </w:r>
      <w:r>
        <w:rPr>
          <w:rFonts w:ascii="Arial" w:cs="Arial" w:eastAsia="Arial" w:hAnsi="Arial"/>
          <w:sz w:val="18"/>
          <w:szCs w:val="18"/>
          <w:b w:val="1"/>
          <w:bCs w:val="1"/>
          <w:u w:val="single" w:color="auto"/>
          <w:color w:val="auto"/>
        </w:rPr>
        <w:t>Award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color w:val="auto"/>
        </w:rPr>
        <w: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 The Corporation hereby grants to the Participant and the Participant hereby accepts an Award of $[_________] (the “</w:t>
      </w: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 subject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terms and conditions set forth in this Agreement. This Award represents the Corporation’s unfunded and unsecured promise to pay the Participant the value of the Award on the date set forth in this Agreement. The Participant’s rights with respect to the Award are governed by this Agreement and the Participant has no rights with respect to the Award other than the rights of a general creditor of the Corporation.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229" w:lineRule="exact"/>
        <w:rPr>
          <w:sz w:val="20"/>
          <w:szCs w:val="20"/>
          <w:color w:val="auto"/>
        </w:rPr>
      </w:pPr>
    </w:p>
    <w:p>
      <w:pPr>
        <w:jc w:val="both"/>
        <w:ind w:left="1740" w:hanging="868"/>
        <w:spacing w:after="0" w:line="259"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vesting of this Award shall be subject to the time-based vesting provisions set forth herein and the Company’s collection of the outstanding accounts receivable on the Suez Canal project in fiscal year 2016 in the amount of $21,200,940. If the Company fails to achieve the performance goal specified in this Section 2(a) on or prior to December 31, 2016, this Award shall be forfeited in its entirety and no payment shall be made with respect to this Award.</w:t>
      </w:r>
    </w:p>
    <w:p>
      <w:pPr>
        <w:spacing w:after="0" w:line="186" w:lineRule="exact"/>
        <w:rPr>
          <w:rFonts w:ascii="Arial" w:cs="Arial" w:eastAsia="Arial" w:hAnsi="Arial"/>
          <w:sz w:val="18"/>
          <w:szCs w:val="18"/>
          <w:color w:val="auto"/>
        </w:rPr>
      </w:pPr>
    </w:p>
    <w:p>
      <w:pPr>
        <w:jc w:val="both"/>
        <w:ind w:left="1740" w:hanging="868"/>
        <w:spacing w:after="0" w:line="259"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may be accelerated as set forth below, and except as may be accelerated as set forth in any employment or consulting agreement between the Participant and the Corporation or an Affiliated Entity, the Award shall vest on the third anniversary of the Award Date (the “</w:t>
      </w:r>
      <w:r>
        <w:rPr>
          <w:rFonts w:ascii="Arial" w:cs="Arial" w:eastAsia="Arial" w:hAnsi="Arial"/>
          <w:sz w:val="18"/>
          <w:szCs w:val="18"/>
          <w:u w:val="single" w:color="auto"/>
          <w:color w:val="auto"/>
        </w:rPr>
        <w:t>Vest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color w:val="auto"/>
        </w:rPr>
        <w:t>”) if the Participant is continuously employed by the Corporation or an Affiliated Entity through the Vest Date.</w:t>
      </w:r>
    </w:p>
    <w:p>
      <w:pPr>
        <w:spacing w:after="0" w:line="186" w:lineRule="exact"/>
        <w:rPr>
          <w:rFonts w:ascii="Arial" w:cs="Arial" w:eastAsia="Arial" w:hAnsi="Arial"/>
          <w:sz w:val="18"/>
          <w:szCs w:val="18"/>
          <w:color w:val="auto"/>
        </w:rPr>
      </w:pPr>
    </w:p>
    <w:p>
      <w:pPr>
        <w:ind w:left="1740" w:right="20" w:hanging="868"/>
        <w:spacing w:after="0" w:line="277"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Upon the Participant’s termination due to death or Disability (as defined below), to the extent not previously forfeited (including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the Award shall be fully vested.</w:t>
      </w:r>
    </w:p>
    <w:p>
      <w:pPr>
        <w:spacing w:after="0" w:line="170" w:lineRule="exact"/>
        <w:rPr>
          <w:rFonts w:ascii="Arial" w:cs="Arial" w:eastAsia="Arial" w:hAnsi="Arial"/>
          <w:sz w:val="18"/>
          <w:szCs w:val="18"/>
          <w:color w:val="auto"/>
        </w:rPr>
      </w:pPr>
    </w:p>
    <w:p>
      <w:pPr>
        <w:jc w:val="both"/>
        <w:ind w:left="1740" w:hanging="868"/>
        <w:spacing w:after="0" w:line="279" w:lineRule="auto"/>
        <w:tabs>
          <w:tab w:leader="none" w:pos="1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Upon the Participant’s termination due to Retirement (as defined below), to the extent not previously forfeited (including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the Award shall vest on the date of termination in an amount equal to the product of (i) the number of days beginning with the Award Date and ending with the date of the Participant’s termination due to Retirement divided by 1,095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Award. Any portion of the Award that does not vest in accordance with the formula shall be forfeited.</w:t>
      </w:r>
    </w:p>
    <w:p>
      <w:pPr>
        <w:spacing w:after="0" w:line="167" w:lineRule="exact"/>
        <w:rPr>
          <w:rFonts w:ascii="Arial" w:cs="Arial" w:eastAsia="Arial" w:hAnsi="Arial"/>
          <w:sz w:val="17"/>
          <w:szCs w:val="17"/>
          <w:color w:val="auto"/>
        </w:rPr>
      </w:pPr>
    </w:p>
    <w:p>
      <w:pPr>
        <w:jc w:val="both"/>
        <w:ind w:left="1740" w:hanging="868"/>
        <w:spacing w:after="0" w:line="261" w:lineRule="auto"/>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a Change in Control (as defined in the Great Lakes Dredge &amp; Dock Corporation 2007 Long-Term Incentive Plan (the “</w:t>
      </w:r>
      <w:r>
        <w:rPr>
          <w:rFonts w:ascii="Arial" w:cs="Arial" w:eastAsia="Arial" w:hAnsi="Arial"/>
          <w:sz w:val="18"/>
          <w:szCs w:val="18"/>
          <w:b w:val="1"/>
          <w:bCs w:val="1"/>
          <w:u w:val="single" w:color="auto"/>
          <w:color w:val="auto"/>
        </w:rPr>
        <w:t>2007</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the Compensation Committee of the Board of Directors of the Corporation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w:t>
      </w:r>
      <w:r>
        <w:rPr>
          <w:rFonts w:ascii="Arial" w:cs="Arial" w:eastAsia="Arial" w:hAnsi="Arial"/>
          <w:sz w:val="18"/>
          <w:szCs w:val="18"/>
          <w:color w:val="auto"/>
        </w:rPr>
        <w:t>) may elect,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to accelerate the vesting of the Award. No provision of this Agreement shall require the Committee to accelerate such vesting upon a Change in Control or any other event.</w:t>
      </w:r>
    </w:p>
    <w:p>
      <w:pPr>
        <w:spacing w:after="0" w:line="184" w:lineRule="exact"/>
        <w:rPr>
          <w:rFonts w:ascii="Arial" w:cs="Arial" w:eastAsia="Arial" w:hAnsi="Arial"/>
          <w:sz w:val="18"/>
          <w:szCs w:val="18"/>
          <w:color w:val="auto"/>
        </w:rPr>
      </w:pPr>
    </w:p>
    <w:p>
      <w:pPr>
        <w:jc w:val="both"/>
        <w:ind w:left="1740" w:hanging="868"/>
        <w:spacing w:after="0" w:line="290" w:lineRule="auto"/>
        <w:tabs>
          <w:tab w:leader="none" w:pos="1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To the extent the Award has not vested upon the Participant’s termination for any reason other than death, Disability or Retirement, the Award shall be immediately forfeited upon such termination, except as may be otherwise provided in this </w:t>
      </w:r>
      <w:r>
        <w:rPr>
          <w:rFonts w:ascii="Arial" w:cs="Arial" w:eastAsia="Arial" w:hAnsi="Arial"/>
          <w:sz w:val="16"/>
          <w:szCs w:val="16"/>
          <w:u w:val="single" w:color="auto"/>
          <w:color w:val="auto"/>
        </w:rPr>
        <w:t>Section 2(f)</w:t>
      </w:r>
      <w:r>
        <w:rPr>
          <w:rFonts w:ascii="Arial" w:cs="Arial" w:eastAsia="Arial" w:hAnsi="Arial"/>
          <w:sz w:val="16"/>
          <w:szCs w:val="16"/>
          <w:color w:val="auto"/>
        </w:rPr>
        <w:t>, below. If an employment or consulting agreement provides for some degree of accelerated vesting of long-term incentive award conditioned on the Participant signing a release, separation agreement or other post-termination conduct, the forfeiture of the unvested Award will be held in abeyance until the period for signing the release or separation agreement (and not rescinding it) or such other post-termination conduct expires, at which point a determination will be made by the Corporation or an Affiliated Entity as to whether the requirements for accelerated vesting have been met. If the criteria for accelerated vesting have been met, in the sole discretion of the Corporation or the Affiliated Entity, the Payment Date shall be 60 days after the date of the Participant’s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ind w:left="1740"/>
        <w:spacing w:after="0" w:line="277" w:lineRule="auto"/>
        <w:rPr>
          <w:sz w:val="20"/>
          <w:szCs w:val="20"/>
          <w:color w:val="auto"/>
        </w:rPr>
      </w:pPr>
      <w:r>
        <w:rPr>
          <w:rFonts w:ascii="Arial" w:cs="Arial" w:eastAsia="Arial" w:hAnsi="Arial"/>
          <w:sz w:val="18"/>
          <w:szCs w:val="18"/>
          <w:color w:val="auto"/>
        </w:rPr>
        <w:t>provided, however, in the event the Participant satisfies the Rule of 75 at the time of such termination, the Payment Date shall be the regularly scheduled Vest Date].</w:t>
      </w:r>
    </w:p>
    <w:p>
      <w:pPr>
        <w:spacing w:after="0" w:line="166" w:lineRule="exact"/>
        <w:rPr>
          <w:sz w:val="20"/>
          <w:szCs w:val="20"/>
          <w:color w:val="auto"/>
        </w:rPr>
      </w:pPr>
    </w:p>
    <w:p>
      <w:pPr>
        <w:ind w:left="1660" w:hanging="775"/>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Affiliated Entity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with respect to any entity, any other entity directly or indirectly controlling, controlled by or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first entity. For these purposes, “control” (including the terms “controlled by” and “under common control with”) means the possession, direct or indirect, of the power to direct or cause the direction of the management policies of an entity by reason of ownership of voting securities, by contract or otherwise. A reference to an Affiliated Entity includes a reference to an affiliate.</w:t>
      </w:r>
    </w:p>
    <w:p>
      <w:pPr>
        <w:spacing w:after="0" w:line="180"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Disability</w:t>
      </w:r>
      <w:r>
        <w:rPr>
          <w:rFonts w:ascii="Arial" w:cs="Arial" w:eastAsia="Arial" w:hAnsi="Arial"/>
          <w:sz w:val="17"/>
          <w:szCs w:val="17"/>
          <w:color w:val="auto"/>
        </w:rPr>
        <w:t>” shall mean the Participant becoming unable to engage in any substantial gainful activity by reason of any medically determinable physical or mental impairment that can be expected to result in death or that has lasted or can be expected to last for a continuous period of not less than twelve (12) months, within the meaning of Section 22(e)(3) of the Internal Revenue Code of 1986, as amended (the “</w:t>
      </w:r>
      <w:r>
        <w:rPr>
          <w:rFonts w:ascii="Arial" w:cs="Arial" w:eastAsia="Arial" w:hAnsi="Arial"/>
          <w:sz w:val="17"/>
          <w:szCs w:val="17"/>
          <w:b w:val="1"/>
          <w:bCs w:val="1"/>
          <w:u w:val="single" w:color="auto"/>
          <w:color w:val="auto"/>
        </w:rPr>
        <w:t>Code</w:t>
      </w:r>
      <w:r>
        <w:rPr>
          <w:rFonts w:ascii="Arial" w:cs="Arial" w:eastAsia="Arial" w:hAnsi="Arial"/>
          <w:sz w:val="17"/>
          <w:szCs w:val="17"/>
          <w:color w:val="auto"/>
        </w:rPr>
        <w:t>”)</w:t>
      </w:r>
    </w:p>
    <w:p>
      <w:pPr>
        <w:spacing w:after="0" w:line="158"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xml:space="preserve">” shall have the meaning set forth in any employment or consulting agreement between the Participant and the Corporation or an Affiliated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(i) a uniform definition of Retirement is not used either within a single agreement or across multiple employment or consulting agreements between the Participant and the Corporation or an Affiliated Entity, (ii) there is no such agreement, or (iii) such agreement does not define Retirement, Retirement shall mean a Participant’s termination, other than for Cause (as defined in the 2007 Plan), which meets all of the following criteria.</w:t>
      </w:r>
    </w:p>
    <w:p>
      <w:pPr>
        <w:spacing w:after="0" w:line="188" w:lineRule="exact"/>
        <w:rPr>
          <w:sz w:val="20"/>
          <w:szCs w:val="20"/>
          <w:color w:val="auto"/>
        </w:rPr>
      </w:pPr>
    </w:p>
    <w:p>
      <w:pPr>
        <w:jc w:val="both"/>
        <w:ind w:left="1300" w:hanging="428"/>
        <w:spacing w:after="0" w:line="293"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sum of (x) the continuous full years of service by the Participant to the Corporation or an Affiliated Entity and (y) the attained age in full years of the Participant on the date of the Participant’s termination total no less than 75 (the “Rule of 75”). A leave of absence which is agreed to between the Corporation and the Participant in writing for medical reasons or for military service shall not constitute a break in Service for this purpose. For example, a Participant was born on June 27, 1963, and started full-time employment with the Corporation on July 1, 1990, and works continuously as an Employee until a termination on December 31, 2016. This Participant’s full years of Service are 26 years and his or her attained age on the date of termination is 53 years. The total is 79, so the Participant satisfies the Rule of 75.</w:t>
      </w:r>
    </w:p>
    <w:p>
      <w:pPr>
        <w:spacing w:after="0" w:line="164" w:lineRule="exact"/>
        <w:rPr>
          <w:rFonts w:ascii="Arial" w:cs="Arial" w:eastAsia="Arial" w:hAnsi="Arial"/>
          <w:sz w:val="16"/>
          <w:szCs w:val="16"/>
          <w:color w:val="auto"/>
        </w:rPr>
      </w:pPr>
    </w:p>
    <w:p>
      <w:pPr>
        <w:ind w:left="1300" w:hanging="428"/>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Participant signs a Restrictive Covenant Agreement in anticipation of his Retirement, if the Corporation requests that he do so, within the timeframe given to the Participant to sign by the Corporation.</w:t>
      </w:r>
    </w:p>
    <w:p>
      <w:pPr>
        <w:spacing w:after="0" w:line="170" w:lineRule="exact"/>
        <w:rPr>
          <w:rFonts w:ascii="Arial" w:cs="Arial" w:eastAsia="Arial" w:hAnsi="Arial"/>
          <w:sz w:val="18"/>
          <w:szCs w:val="18"/>
          <w:color w:val="auto"/>
        </w:rPr>
      </w:pPr>
    </w:p>
    <w:p>
      <w:pPr>
        <w:ind w:left="1300" w:hanging="428"/>
        <w:spacing w:after="0" w:line="308"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Participant gives his direct supervisor, or in the case of the Chief Executive Officer, the Board of Directors, at least two months’ prior notice of his Retirement, or if the Participant is an officer of the Corporation, three months’ prior notice of his Retirement.</w:t>
      </w:r>
    </w:p>
    <w:p>
      <w:pPr>
        <w:spacing w:after="0" w:line="143"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Restrictive Covenant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 agreement between the Corporation or an Affiliated Entity and the Participant, in a form</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the Corporation or the Affiliated Entity,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extend beyond the three-year anniversary of the Participant’s termination due to Retirement.</w:t>
      </w:r>
    </w:p>
    <w:p>
      <w:pPr>
        <w:spacing w:after="0" w:line="168" w:lineRule="exact"/>
        <w:rPr>
          <w:sz w:val="20"/>
          <w:szCs w:val="20"/>
          <w:color w:val="auto"/>
        </w:rPr>
      </w:pPr>
    </w:p>
    <w:p>
      <w:pPr>
        <w:ind w:firstLine="885"/>
        <w:spacing w:after="0" w:line="282" w:lineRule="auto"/>
        <w:tabs>
          <w:tab w:leader="none" w:pos="1661"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of Award</w:t>
      </w:r>
      <w:r>
        <w:rPr>
          <w:rFonts w:ascii="Arial" w:cs="Arial" w:eastAsia="Arial" w:hAnsi="Arial"/>
          <w:sz w:val="18"/>
          <w:szCs w:val="18"/>
          <w:color w:val="auto"/>
        </w:rPr>
        <w:t>. Within 30 days after the Payment Date (as defined below), a cash payment shall be delivered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Subject to </w:t>
      </w:r>
      <w:r>
        <w:rPr>
          <w:rFonts w:ascii="Arial" w:cs="Arial" w:eastAsia="Arial" w:hAnsi="Arial"/>
          <w:sz w:val="18"/>
          <w:szCs w:val="18"/>
          <w:u w:val="single" w:color="auto"/>
          <w:color w:val="auto"/>
        </w:rPr>
        <w:t>Section 14</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Payment Date</w:t>
      </w:r>
      <w:r>
        <w:rPr>
          <w:rFonts w:ascii="Arial" w:cs="Arial" w:eastAsia="Arial" w:hAnsi="Arial"/>
          <w:sz w:val="18"/>
          <w:szCs w:val="18"/>
          <w:color w:val="auto"/>
        </w:rPr>
        <w:t>” shall be determined in accordance with the following:</w:t>
      </w:r>
    </w:p>
    <w:p>
      <w:pPr>
        <w:spacing w:after="0" w:line="166" w:lineRule="exact"/>
        <w:rPr>
          <w:sz w:val="20"/>
          <w:szCs w:val="20"/>
          <w:color w:val="auto"/>
        </w:rPr>
      </w:pPr>
    </w:p>
    <w:p>
      <w:pPr>
        <w:jc w:val="both"/>
        <w:ind w:left="1740" w:hanging="868"/>
        <w:spacing w:after="0" w:line="264" w:lineRule="auto"/>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of the Participant’s death or Disability prior to March 9, 2019, the Payment Date shall be the date of the Participant’s termination due to death or Disability, as applicable; provided, however, in the event the Participant satisfies the Rule of 75 at the time of a termination due to Disability, the Payment Date shall be the Vest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4" w:name="page55"/>
    <w:bookmarkEnd w:id="54"/>
    <w:p>
      <w:pPr>
        <w:jc w:val="both"/>
        <w:ind w:left="1740" w:hanging="868"/>
        <w:spacing w:after="0" w:line="257" w:lineRule="auto"/>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of a Change in Control prior to March 9, 2019 in which the Committee elects to accelerate the vesting of the Award, the Payment Date shall be, to the extent permitted under Section 409A of the Code, the date that a Change in Control occurs, if such Change in Control meets the requirements of the definition of a change in the ownership or effective control of a corporation, or a change in the ownership of a substantial portion of the assets of a corporation contained in the regulations promulgated under Code Section 409A; and</w:t>
      </w:r>
    </w:p>
    <w:p>
      <w:pPr>
        <w:spacing w:after="0" w:line="188" w:lineRule="exact"/>
        <w:rPr>
          <w:rFonts w:ascii="Arial" w:cs="Arial" w:eastAsia="Arial" w:hAnsi="Arial"/>
          <w:sz w:val="18"/>
          <w:szCs w:val="18"/>
          <w:color w:val="auto"/>
        </w:rPr>
      </w:pPr>
    </w:p>
    <w:p>
      <w:pPr>
        <w:jc w:val="both"/>
        <w:ind w:left="1740" w:hanging="868"/>
        <w:spacing w:after="0" w:line="259" w:lineRule="auto"/>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In the event that none of the events described in the foregoing clauses (a) or (b) occur prior to March 9, 2019 or to the extent Section 409A prohibits the settlement of the Award under clause (b) and except to the extent provided in the last sentence of </w:t>
      </w:r>
      <w:r>
        <w:rPr>
          <w:rFonts w:ascii="Arial" w:cs="Arial" w:eastAsia="Arial" w:hAnsi="Arial"/>
          <w:sz w:val="18"/>
          <w:szCs w:val="18"/>
          <w:u w:val="single" w:color="auto"/>
          <w:color w:val="auto"/>
        </w:rPr>
        <w:t>Section 2(f)</w:t>
      </w:r>
      <w:r>
        <w:rPr>
          <w:rFonts w:ascii="Arial" w:cs="Arial" w:eastAsia="Arial" w:hAnsi="Arial"/>
          <w:sz w:val="18"/>
          <w:szCs w:val="18"/>
          <w:color w:val="auto"/>
        </w:rPr>
        <w:t>, above, the Payment Date shall be the Vest Date (including in the case of a prior termination due to Retirement), but only to the extent the Award vests on such Vest Date.</w:t>
      </w:r>
    </w:p>
    <w:p>
      <w:pPr>
        <w:spacing w:after="0" w:line="183" w:lineRule="exact"/>
        <w:rPr>
          <w:sz w:val="20"/>
          <w:szCs w:val="20"/>
          <w:color w:val="auto"/>
        </w:rPr>
      </w:pPr>
    </w:p>
    <w:p>
      <w:pPr>
        <w:ind w:left="1660" w:hanging="775"/>
        <w:spacing w:after="0"/>
        <w:tabs>
          <w:tab w:leader="none" w:pos="166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All payments under this Agreement are subject to withholding of all applicable taxes.</w:t>
      </w:r>
    </w:p>
    <w:p>
      <w:pPr>
        <w:spacing w:after="0" w:line="22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 The Award may not be transferred, alienated, assigned, pledged, hypothecated or encumbered, in any way, whether voluntarily or involuntarily or by operation of law by judgment, levy, attachment, garnishment or any other legal or equitable proceeding (including bankruptcy), and any attempted disposition thereof shall be null and void and of no effect.</w:t>
      </w:r>
    </w:p>
    <w:p>
      <w:pPr>
        <w:spacing w:after="0" w:line="176" w:lineRule="exact"/>
        <w:rPr>
          <w:sz w:val="20"/>
          <w:szCs w:val="20"/>
          <w:color w:val="auto"/>
        </w:rPr>
      </w:pPr>
    </w:p>
    <w:p>
      <w:pPr>
        <w:jc w:val="both"/>
        <w:ind w:firstLine="885"/>
        <w:spacing w:after="0" w:line="266" w:lineRule="auto"/>
        <w:tabs>
          <w:tab w:leader="none" w:pos="1661"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 This Agreement shall be administered and may be definitively interpreted by the Committee, and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the decisions of such Committee concerning administration and interpretation of this Agreement shall be final, binding and conclusive on all persons.</w:t>
      </w:r>
    </w:p>
    <w:p>
      <w:pPr>
        <w:spacing w:after="0" w:line="176" w:lineRule="exact"/>
        <w:rPr>
          <w:rFonts w:ascii="Arial" w:cs="Arial" w:eastAsia="Arial" w:hAnsi="Arial"/>
          <w:sz w:val="18"/>
          <w:szCs w:val="18"/>
          <w:color w:val="auto"/>
        </w:rPr>
      </w:pPr>
    </w:p>
    <w:p>
      <w:pPr>
        <w:jc w:val="both"/>
        <w:ind w:firstLine="885"/>
        <w:spacing w:after="0" w:line="256" w:lineRule="auto"/>
        <w:tabs>
          <w:tab w:leader="none" w:pos="1661"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under this Agreement must be in writing and must be delivered personally,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certified, registered or express mail, or sent by overnight courier, at the sender’s expense. Notice will be deemed given (i) when delivered personally, or (ii) if mailed, three days after the date of deposit in the United States mail or (iii) if sent by overnight courier, on the regular business day following the date sent. Notice to the Participant should be sent to the address set forth on the Corporation’s records. Either party may change the address to which the other party must give notice under this Agreement by giving the other party written notice of this change in accordance with the procedures discussed in this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885"/>
        <w:spacing w:after="0" w:line="266" w:lineRule="auto"/>
        <w:tabs>
          <w:tab w:leader="none" w:pos="1661"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An Employment Contract</w:t>
      </w:r>
      <w:r>
        <w:rPr>
          <w:rFonts w:ascii="Arial" w:cs="Arial" w:eastAsia="Arial" w:hAnsi="Arial"/>
          <w:sz w:val="18"/>
          <w:szCs w:val="18"/>
          <w:color w:val="auto"/>
        </w:rPr>
        <w:t>. This Award will not confer on the Participant any right with respect to continuance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Corporation or any Affiliated Entity, nor will it interfere in any way with any right the Corporation or any Affiliated Entity would otherwise have to terminate or modify the terms of such Participant’s employment at any time.</w:t>
      </w:r>
    </w:p>
    <w:p>
      <w:pPr>
        <w:spacing w:after="0" w:line="176" w:lineRule="exact"/>
        <w:rPr>
          <w:rFonts w:ascii="Arial" w:cs="Arial" w:eastAsia="Arial" w:hAnsi="Arial"/>
          <w:sz w:val="18"/>
          <w:szCs w:val="18"/>
          <w:color w:val="auto"/>
        </w:rPr>
      </w:pPr>
    </w:p>
    <w:p>
      <w:pPr>
        <w:jc w:val="both"/>
        <w:ind w:firstLine="885"/>
        <w:spacing w:after="0" w:line="266" w:lineRule="auto"/>
        <w:tabs>
          <w:tab w:leader="none" w:pos="1751"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Unfunded Status of the Award</w:t>
      </w:r>
      <w:r>
        <w:rPr>
          <w:rFonts w:ascii="Arial" w:cs="Arial" w:eastAsia="Arial" w:hAnsi="Arial"/>
          <w:sz w:val="18"/>
          <w:szCs w:val="18"/>
          <w:color w:val="auto"/>
        </w:rPr>
        <w:t>. The Award is unfunded. The Corporation is not required to establish any special or separate fund</w:t>
      </w:r>
      <w:r>
        <w:rPr>
          <w:rFonts w:ascii="Arial" w:cs="Arial" w:eastAsia="Arial" w:hAnsi="Arial"/>
          <w:sz w:val="18"/>
          <w:szCs w:val="18"/>
          <w:b w:val="1"/>
          <w:bCs w:val="1"/>
          <w:color w:val="auto"/>
        </w:rPr>
        <w:t xml:space="preserve"> </w:t>
      </w:r>
      <w:r>
        <w:rPr>
          <w:rFonts w:ascii="Arial" w:cs="Arial" w:eastAsia="Arial" w:hAnsi="Arial"/>
          <w:sz w:val="18"/>
          <w:szCs w:val="18"/>
          <w:color w:val="auto"/>
        </w:rPr>
        <w:t>or to make any other segregation of assets to assure the payment of the Award. With respect to the Award, the Participant shall have no rights greater than those of a general unsecured creditor of the Corporation.</w:t>
      </w:r>
    </w:p>
    <w:p>
      <w:pPr>
        <w:spacing w:after="0" w:line="176" w:lineRule="exact"/>
        <w:rPr>
          <w:rFonts w:ascii="Arial" w:cs="Arial" w:eastAsia="Arial" w:hAnsi="Arial"/>
          <w:sz w:val="18"/>
          <w:szCs w:val="18"/>
          <w:color w:val="auto"/>
        </w:rPr>
      </w:pPr>
    </w:p>
    <w:p>
      <w:pPr>
        <w:ind w:left="1760" w:hanging="875"/>
        <w:spacing w:after="0"/>
        <w:tabs>
          <w:tab w:leader="none" w:pos="1760"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This Agreement may be amended by written agreement of the Participant and the Corporation without the consent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other person.</w:t>
      </w:r>
    </w:p>
    <w:p>
      <w:pPr>
        <w:spacing w:after="0" w:line="206" w:lineRule="exact"/>
        <w:rPr>
          <w:rFonts w:ascii="Arial" w:cs="Arial" w:eastAsia="Arial" w:hAnsi="Arial"/>
          <w:sz w:val="16"/>
          <w:szCs w:val="16"/>
          <w:color w:val="auto"/>
        </w:rPr>
      </w:pPr>
    </w:p>
    <w:p>
      <w:pPr>
        <w:jc w:val="both"/>
        <w:ind w:firstLine="885"/>
        <w:spacing w:after="0" w:line="258" w:lineRule="auto"/>
        <w:tabs>
          <w:tab w:leader="none" w:pos="1751"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will be construed, administered and governed in all respects under and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giving effect to its conflict of laws principles. If any provision of this Agreement will be held by a court of competent jurisdiction to be invalid or unenforceable, the remaining provisions hereof will continue to be fully effective. The jurisdiction and venue for any disputes arising under, or any action brought to enforce (or otherwise relating to) this Agreement will be exclusively in the courts in the State of Illinois, County of Cook, including the Federal courts located therein (should Federal jurisdiction exist).</w:t>
      </w:r>
    </w:p>
    <w:p>
      <w:pPr>
        <w:spacing w:after="0" w:line="184"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7"/>
          <w:szCs w:val="17"/>
          <w:color w:val="auto"/>
        </w:rPr>
        <w:t>13.</w:t>
      </w:r>
      <w:r>
        <w:rPr>
          <w:rFonts w:ascii="Arial" w:cs="Arial" w:eastAsia="Arial" w:hAnsi="Arial"/>
          <w:sz w:val="17"/>
          <w:szCs w:val="17"/>
          <w:b w:val="1"/>
          <w:bCs w:val="1"/>
          <w:u w:val="single" w:color="auto"/>
          <w:color w:val="auto"/>
        </w:rPr>
        <w:t>Award Subject to Recoupment</w:t>
      </w:r>
      <w:r>
        <w:rPr>
          <w:rFonts w:ascii="Arial" w:cs="Arial" w:eastAsia="Arial" w:hAnsi="Arial"/>
          <w:sz w:val="17"/>
          <w:szCs w:val="17"/>
          <w:color w:val="auto"/>
        </w:rPr>
        <w:t>. The Award and any payment pursuant to the Award may be subject to forfeiture, recovery by the Corporation or other action pursuant to any clawback or recoupment policy which the Corporation may adopt from time to time, including without limitation any such policy which the Corporation may be required to adopt under Section 304 of the Sarbanes-Oxley Act of 2002, the Dodd-Frank Wall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Street Reform and Consumer Protection Act and implementing rules and regulations thereunder,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5899785</wp:posOffset>
            </wp:positionH>
            <wp:positionV relativeFrom="paragraph">
              <wp:posOffset>-10160</wp:posOffset>
            </wp:positionV>
            <wp:extent cx="28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1" w:lineRule="exact"/>
        <w:rPr>
          <w:sz w:val="20"/>
          <w:szCs w:val="20"/>
          <w:color w:val="auto"/>
        </w:rPr>
      </w:pPr>
    </w:p>
    <w:p>
      <w:pPr>
        <w:jc w:val="both"/>
        <w:ind w:firstLine="877"/>
        <w:spacing w:after="0" w:line="314" w:lineRule="auto"/>
        <w:rPr>
          <w:sz w:val="20"/>
          <w:szCs w:val="20"/>
          <w:color w:val="auto"/>
        </w:rPr>
      </w:pPr>
      <w:r>
        <w:rPr>
          <w:rFonts w:ascii="Arial" w:cs="Arial" w:eastAsia="Arial" w:hAnsi="Arial"/>
          <w:sz w:val="16"/>
          <w:szCs w:val="16"/>
          <w:color w:val="auto"/>
        </w:rPr>
        <w:t>14.</w:t>
      </w: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Agreement is intended to be a “nonqualified deferred compensation arrangement” that complies with the provisions of Code Section 409A and the regulations thereunder and this Agreement shall be interpreted and operated consistent with such intent. Accordingly, all provisions of this Agreement shall be construed in a manner consistent with avoiding taxes or penalties under Code Section 409A, including:</w:t>
      </w:r>
    </w:p>
    <w:p>
      <w:pPr>
        <w:spacing w:after="0" w:line="146" w:lineRule="exact"/>
        <w:rPr>
          <w:sz w:val="20"/>
          <w:szCs w:val="20"/>
          <w:color w:val="auto"/>
        </w:rPr>
      </w:pPr>
    </w:p>
    <w:p>
      <w:pPr>
        <w:jc w:val="both"/>
        <w:ind w:left="1740" w:hanging="868"/>
        <w:spacing w:after="0" w:line="279" w:lineRule="auto"/>
        <w:tabs>
          <w:tab w:leader="none" w:pos="17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termination shall not be deemed to have occurred for purposes of any provision of this Agreement providing for any payment or distribution upon or following a termination unless such termination is also a “separation from service” within the meaning of Code Section 409A and Treas. Reg. §1.409A-1(h) and, for purposes of any such provision of this Agreement, references therein to a “termination,” “termination of employment” or like terms shall mean “separation from service”; and</w:t>
      </w:r>
    </w:p>
    <w:p>
      <w:pPr>
        <w:spacing w:after="0" w:line="171" w:lineRule="exact"/>
        <w:rPr>
          <w:rFonts w:ascii="Arial" w:cs="Arial" w:eastAsia="Arial" w:hAnsi="Arial"/>
          <w:sz w:val="17"/>
          <w:szCs w:val="17"/>
          <w:color w:val="auto"/>
        </w:rPr>
      </w:pPr>
    </w:p>
    <w:p>
      <w:pPr>
        <w:jc w:val="both"/>
        <w:ind w:left="1740" w:hanging="868"/>
        <w:spacing w:after="0" w:line="257" w:lineRule="auto"/>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Participant is a “specified employee” (as described in Treas. Reg. §1.409A-1(i), with such classification to be determined in accordance with the methodology established by the Corporation), any payment or distribution made under this Agreement pursuant to the Participant’s “separation from service” shall be made on the date that is six months following the Participant’s “separation from service” to the extent required by Code Section 409A and the interpretive guidance thereunder or, if earlier, the date of the Participant’s death.</w:t>
      </w:r>
    </w:p>
    <w:p>
      <w:pPr>
        <w:spacing w:after="0" w:line="184" w:lineRule="exact"/>
        <w:rPr>
          <w:rFonts w:ascii="Arial" w:cs="Arial" w:eastAsia="Arial" w:hAnsi="Arial"/>
          <w:sz w:val="18"/>
          <w:szCs w:val="18"/>
          <w:color w:val="auto"/>
        </w:rPr>
      </w:pPr>
    </w:p>
    <w:p>
      <w:pPr>
        <w:jc w:val="both"/>
        <w:ind w:firstLine="885"/>
        <w:spacing w:after="0" w:line="256" w:lineRule="auto"/>
        <w:tabs>
          <w:tab w:leader="none" w:pos="1751"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instrument. The exchange of copies of this Agreement and of signature pages by electronic mail in “portable document format” (“.pdf”) form, or by any other electronic means intended to preserve the original graphic and pictorial appearance of a document, or by combination of such means, shall constitute effective execution and delivery of this Agreement as to the parties and may be used in lieu of the original Agreement for all purposes. Signatures of the parties through electronic means or methods shall be deemed to be their original signatures for all purposes.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6" w:name="page57"/>
    <w:bookmarkEnd w:id="56"/>
    <w:p>
      <w:pPr>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Agreement has been executed on behalf of the Corporation by its duly authorized officer, and by the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of the above-mentioned Award, subject to the terms and conditions of this Agreement, all effective as of the day and year first above written.</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GREAT LAKES DREDGE &amp; DOCK CORPORATION</w:t>
      </w:r>
      <w:r>
        <w:rPr>
          <w:rFonts w:ascii="Arial" w:cs="Arial" w:eastAsia="Arial" w:hAnsi="Arial"/>
          <w:sz w:val="18"/>
          <w:szCs w:val="18"/>
          <w:color w:val="auto"/>
        </w:rPr>
        <w:t>,</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___ /s/ Jonathan W. Berger_______________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-10160</wp:posOffset>
            </wp:positionV>
            <wp:extent cx="10636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Jonathan W. Berger</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[Participant Name]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RESTRICTED STOCK UNIT AWARD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pursuant to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LONG-TERM INCENTIVE PLAN</w:t>
      </w:r>
    </w:p>
    <w:p>
      <w:pPr>
        <w:spacing w:after="0" w:line="22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RESTRICTED STOCK UNIT AWARD AGREEMENT</w:t>
      </w:r>
      <w:r>
        <w:rPr>
          <w:rFonts w:ascii="Arial" w:cs="Arial" w:eastAsia="Arial" w:hAnsi="Arial"/>
          <w:sz w:val="18"/>
          <w:szCs w:val="18"/>
          <w:color w:val="auto"/>
        </w:rPr>
        <w:t xml:space="preserv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Great Lakes</w:t>
      </w:r>
      <w:r>
        <w:rPr>
          <w:rFonts w:ascii="Arial" w:cs="Arial" w:eastAsia="Arial" w:hAnsi="Arial"/>
          <w:sz w:val="18"/>
          <w:szCs w:val="18"/>
          <w:color w:val="auto"/>
        </w:rPr>
        <w:t xml:space="preserve"> </w:t>
      </w:r>
      <w:r>
        <w:rPr>
          <w:rFonts w:ascii="Arial" w:cs="Arial" w:eastAsia="Arial" w:hAnsi="Arial"/>
          <w:sz w:val="18"/>
          <w:szCs w:val="18"/>
          <w:b w:val="1"/>
          <w:bCs w:val="1"/>
          <w:color w:val="auto"/>
        </w:rPr>
        <w:t>Dredge &amp; Dock Corporation</w:t>
      </w:r>
      <w:r>
        <w:rPr>
          <w:rFonts w:ascii="Arial" w:cs="Arial" w:eastAsia="Arial" w:hAnsi="Arial"/>
          <w:sz w:val="18"/>
          <w:szCs w:val="18"/>
          <w:color w:val="auto"/>
        </w:rPr>
        <w:t>, a Delaware corporation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and Jonathan W. Berger (the “</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effective as of March 9, 2016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Date</w:t>
      </w:r>
      <w:r>
        <w:rPr>
          <w:rFonts w:ascii="Arial" w:cs="Arial" w:eastAsia="Arial" w:hAnsi="Arial"/>
          <w:sz w:val="18"/>
          <w:szCs w:val="18"/>
          <w:color w:val="auto"/>
        </w:rPr>
        <w:t>”).</w:t>
      </w:r>
    </w:p>
    <w:p>
      <w:pPr>
        <w:spacing w:after="0" w:line="17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u w:val="single" w:color="auto"/>
          <w:color w:val="auto"/>
        </w:rPr>
        <w:t>Award of Restricted Stock Units</w:t>
      </w:r>
      <w:r>
        <w:rPr>
          <w:rFonts w:ascii="Arial" w:cs="Arial" w:eastAsia="Arial" w:hAnsi="Arial"/>
          <w:sz w:val="18"/>
          <w:szCs w:val="18"/>
          <w:color w:val="auto"/>
        </w:rPr>
        <w:t>. The Corporation hereby grants to the Participant and the Participant hereby accepts an Award of [Number of Shares Granted] Restricted Stock Units (the “</w:t>
      </w:r>
      <w:r>
        <w:rPr>
          <w:rFonts w:ascii="Arial" w:cs="Arial" w:eastAsia="Arial" w:hAnsi="Arial"/>
          <w:sz w:val="18"/>
          <w:szCs w:val="18"/>
          <w:b w:val="1"/>
          <w:bCs w:val="1"/>
          <w:u w:val="single" w:color="auto"/>
          <w:color w:val="auto"/>
        </w:rPr>
        <w:t>RSUs</w:t>
      </w:r>
      <w:r>
        <w:rPr>
          <w:rFonts w:ascii="Arial" w:cs="Arial" w:eastAsia="Arial" w:hAnsi="Arial"/>
          <w:sz w:val="18"/>
          <w:szCs w:val="18"/>
          <w:color w:val="auto"/>
        </w:rPr>
        <w:t>”), subject to the terms and conditions set forth in this Agreement. An RSU represents the Corporation’s unfunded and unsecured promise to issue one share of common stock of the Corporation (“</w:t>
      </w:r>
      <w:r>
        <w:rPr>
          <w:rFonts w:ascii="Arial" w:cs="Arial" w:eastAsia="Arial" w:hAnsi="Arial"/>
          <w:sz w:val="18"/>
          <w:szCs w:val="18"/>
          <w:b w:val="1"/>
          <w:bCs w:val="1"/>
          <w:u w:val="single" w:color="auto"/>
          <w:color w:val="auto"/>
        </w:rPr>
        <w:t>Stock</w:t>
      </w:r>
      <w:r>
        <w:rPr>
          <w:rFonts w:ascii="Arial" w:cs="Arial" w:eastAsia="Arial" w:hAnsi="Arial"/>
          <w:sz w:val="18"/>
          <w:szCs w:val="18"/>
          <w:color w:val="auto"/>
        </w:rPr>
        <w:t>”) at the dates set forth in this Agreement. The Participant’s rights with respect to the RSUs are governed by the Plan (as defined herein) and this Agreement and the Participant has no rights with respect to the RSUs other than the rights of a general creditor of the Corporation. The number of shares of Stock issuable in respect of an RSU is subject to adjustment in accordance with the Plan.</w:t>
      </w:r>
    </w:p>
    <w:p>
      <w:pPr>
        <w:spacing w:after="0" w:line="188" w:lineRule="exact"/>
        <w:rPr>
          <w:sz w:val="20"/>
          <w:szCs w:val="20"/>
          <w:color w:val="auto"/>
        </w:rPr>
      </w:pPr>
    </w:p>
    <w:p>
      <w:pPr>
        <w:jc w:val="both"/>
        <w:ind w:firstLine="885"/>
        <w:spacing w:after="0" w:line="261" w:lineRule="auto"/>
        <w:tabs>
          <w:tab w:leader="none" w:pos="1661"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w:t>
      </w:r>
      <w:r>
        <w:rPr>
          <w:rFonts w:ascii="Arial" w:cs="Arial" w:eastAsia="Arial" w:hAnsi="Arial"/>
          <w:sz w:val="18"/>
          <w:szCs w:val="18"/>
          <w:color w:val="auto"/>
        </w:rPr>
        <w:t>. This Award is granted pursuant to the Corporation’s 2007 Long-Term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for all purposes. Capitalized terms used but not otherwise defined herein have the meanings as set forth in the Plan. The Participant agrees to be bound by the terms and conditions of the Plan, which control in case of any conflict with this Agreement, except as otherwise specifically provided for in the Plan.</w:t>
      </w:r>
    </w:p>
    <w:p>
      <w:pPr>
        <w:spacing w:after="0" w:line="180" w:lineRule="exact"/>
        <w:rPr>
          <w:rFonts w:ascii="Arial" w:cs="Arial" w:eastAsia="Arial" w:hAnsi="Arial"/>
          <w:sz w:val="18"/>
          <w:szCs w:val="18"/>
          <w:color w:val="auto"/>
        </w:rPr>
      </w:pPr>
    </w:p>
    <w:p>
      <w:pPr>
        <w:jc w:val="both"/>
        <w:ind w:firstLine="885"/>
        <w:spacing w:after="0" w:line="274" w:lineRule="auto"/>
        <w:tabs>
          <w:tab w:leader="none" w:pos="1661"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In the event that the Corporation declares a dividend on its Stock prior to the Conversion Date (as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with respect to the RSUs that vest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the Corporation shall pay to the Participant, within thirty (30) days of the Conversion Date (subject to Section 17, if applicable), an amount in cash equal to the aggregate dividends that would have been paid on such RSUs during the period between the Award Date and the Conversion Date had they been converted into the same number of shares of Stock and held by the Participant on the record date of such dividend (the “</w:t>
      </w: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xml:space="preserve">”). No Dividend Equivalents shall be paid prior to the Conversion Date and no Dividend Equivalents shall be paid at any time with respect to RSUs that are forfeited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below.</w:t>
      </w:r>
    </w:p>
    <w:p>
      <w:pPr>
        <w:spacing w:after="0" w:line="174"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 The RSUs may not be transferred, alienated, assigned, pledged, hypothecated or encumbered, in any way, whether voluntarily or involuntarily or by operation of law by judgment, levy, attachment, garnishment or any other legal or equitable proceeding (including bankruptcy), and any attempted disposition thereof shall be null and void and of no effect.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229" w:lineRule="exact"/>
        <w:rPr>
          <w:sz w:val="20"/>
          <w:szCs w:val="20"/>
          <w:color w:val="auto"/>
        </w:rPr>
      </w:pPr>
    </w:p>
    <w:p>
      <w:pPr>
        <w:jc w:val="both"/>
        <w:ind w:left="1740" w:hanging="868"/>
        <w:spacing w:after="0" w:line="259" w:lineRule="auto"/>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may be accelerated as set forth in the Plan or as set forth below, and except as may be accelerated as set forth in any employment or consulting agreement between the Participant and the Corporation or an Affiliated Entity, the RSUs shall vest in three equal portions, on the first, second and third anniversaries of the Award Date (the “</w:t>
      </w:r>
      <w:r>
        <w:rPr>
          <w:rFonts w:ascii="Arial" w:cs="Arial" w:eastAsia="Arial" w:hAnsi="Arial"/>
          <w:sz w:val="18"/>
          <w:szCs w:val="18"/>
          <w:b w:val="1"/>
          <w:bCs w:val="1"/>
          <w:u w:val="single" w:color="auto"/>
          <w:color w:val="auto"/>
        </w:rPr>
        <w:t>Vest Date</w:t>
      </w:r>
      <w:r>
        <w:rPr>
          <w:rFonts w:ascii="Arial" w:cs="Arial" w:eastAsia="Arial" w:hAnsi="Arial"/>
          <w:sz w:val="18"/>
          <w:szCs w:val="18"/>
          <w:color w:val="auto"/>
        </w:rPr>
        <w:t>”) if the Participant is continuously employed by the Corporation or an Affiliated Entity through such vesting date.</w:t>
      </w:r>
    </w:p>
    <w:p>
      <w:pPr>
        <w:spacing w:after="0" w:line="186" w:lineRule="exact"/>
        <w:rPr>
          <w:rFonts w:ascii="Arial" w:cs="Arial" w:eastAsia="Arial" w:hAnsi="Arial"/>
          <w:sz w:val="18"/>
          <w:szCs w:val="18"/>
          <w:color w:val="auto"/>
        </w:rPr>
      </w:pPr>
    </w:p>
    <w:p>
      <w:pPr>
        <w:ind w:left="1740" w:hanging="868"/>
        <w:spacing w:after="0" w:line="277" w:lineRule="auto"/>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the Participant’s Termination due to death or Disability (as defined below), to the extent not previously forfeited, the RSUs shall be fully vested.</w:t>
      </w:r>
    </w:p>
    <w:p>
      <w:pPr>
        <w:spacing w:after="0" w:line="170" w:lineRule="exact"/>
        <w:rPr>
          <w:rFonts w:ascii="Arial" w:cs="Arial" w:eastAsia="Arial" w:hAnsi="Arial"/>
          <w:sz w:val="18"/>
          <w:szCs w:val="18"/>
          <w:color w:val="auto"/>
        </w:rPr>
      </w:pPr>
    </w:p>
    <w:p>
      <w:pPr>
        <w:jc w:val="both"/>
        <w:ind w:left="1740" w:right="20" w:hanging="868"/>
        <w:spacing w:after="0" w:line="259" w:lineRule="auto"/>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Upon the Participant’s Termination due to Retirement (as defined below), to the extent not previously forfeited, the RSUs shall vest on the date of Termination; provided however, if the Participant’s Termination due to Retirement occurs prior to December 31, 2016, then the number of RSUs that shall vest shall be prorated and determined based on the product of (A) the lesser of (i) the number of days served during 2016 plus 90, divided by 366, and (ii) one;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ind w:left="1740" w:right="20"/>
        <w:spacing w:after="0" w:line="277" w:lineRule="auto"/>
        <w:rPr>
          <w:sz w:val="20"/>
          <w:szCs w:val="20"/>
          <w:color w:val="auto"/>
        </w:rPr>
      </w:pPr>
      <w:r>
        <w:rPr>
          <w:rFonts w:ascii="Arial" w:cs="Arial" w:eastAsia="Arial" w:hAnsi="Arial"/>
          <w:sz w:val="18"/>
          <w:szCs w:val="18"/>
          <w:color w:val="auto"/>
        </w:rPr>
        <w:t>number of RSUs subject to the Agreement. Any RSUs which do not vest in accordance with the formula shall be forfeited. The Participant shall not be entitled to receive any Dividend Equivalents on forfeited RSUs.</w:t>
      </w:r>
    </w:p>
    <w:p>
      <w:pPr>
        <w:spacing w:after="0" w:line="166" w:lineRule="exact"/>
        <w:rPr>
          <w:sz w:val="20"/>
          <w:szCs w:val="20"/>
          <w:color w:val="auto"/>
        </w:rPr>
      </w:pPr>
    </w:p>
    <w:p>
      <w:pPr>
        <w:jc w:val="both"/>
        <w:ind w:left="1740" w:hanging="868"/>
        <w:spacing w:after="0" w:line="289" w:lineRule="auto"/>
        <w:tabs>
          <w:tab w:leader="none" w:pos="1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Upon a Change in Control, the Compensation Committee of the Board of Directors of the Corporation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Committee</w:t>
      </w:r>
      <w:r>
        <w:rPr>
          <w:rFonts w:ascii="Arial" w:cs="Arial" w:eastAsia="Arial" w:hAnsi="Arial"/>
          <w:sz w:val="17"/>
          <w:szCs w:val="17"/>
          <w:b w:val="1"/>
          <w:bCs w:val="1"/>
          <w:color w:val="auto"/>
        </w:rPr>
        <w:t>”</w:t>
      </w:r>
      <w:r>
        <w:rPr>
          <w:rFonts w:ascii="Arial" w:cs="Arial" w:eastAsia="Arial" w:hAnsi="Arial"/>
          <w:sz w:val="17"/>
          <w:szCs w:val="17"/>
          <w:color w:val="auto"/>
        </w:rPr>
        <w:t>) may elect, in its sole discretion, to accelerate the vesting of some or all of the RSUs in accordance with the terms of the Plan. No provision of this Agreement shall require the Committee to accelerate such vesting upon a Change in Control or any other event.</w:t>
      </w:r>
    </w:p>
    <w:p>
      <w:pPr>
        <w:spacing w:after="0" w:line="162" w:lineRule="exact"/>
        <w:rPr>
          <w:rFonts w:ascii="Arial" w:cs="Arial" w:eastAsia="Arial" w:hAnsi="Arial"/>
          <w:sz w:val="17"/>
          <w:szCs w:val="17"/>
          <w:color w:val="auto"/>
        </w:rPr>
      </w:pPr>
    </w:p>
    <w:p>
      <w:pPr>
        <w:jc w:val="both"/>
        <w:ind w:left="1740" w:hanging="868"/>
        <w:spacing w:after="0" w:line="287" w:lineRule="auto"/>
        <w:tabs>
          <w:tab w:leader="none" w:pos="1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the extent any RSUs have not vested upon the Participant’s Termination for any reason other than death, Disability or Retirement, those RSUs shall be immediately forfeited upon such Termination, except as may be otherwise provided in this Section 5(e), below. The Participant shall not be entitled to receive any Dividend Equivalents on forfeited RSUs, whether such forfeiture is immediate or as set forth below. If an employment or consulting agreement provides for some degree of accelerated vesting conditioned on the Participant signing a release, separation agreement or other post-Termination conduct, the forfeiture of the unvested portion of the RSUs will be held in abeyance until the period for signing the release or separation agreement (and not rescinding it) or such other post-Termination conduct expires, at which point a determination will be made by the Corporation or an Affiliated Entity as to whether the requirements for accelerated vesting have been met. If the criteria for accelerated vesting have been met, in the sole discretion of the Corporation or the Affiliated Entity, the Conversion Date for that portion of the RSUs shall be 60 days after the date of the Participant’s Termination</w:t>
      </w:r>
      <w:r>
        <w:rPr>
          <w:rFonts w:ascii="Arial" w:cs="Arial" w:eastAsia="Arial" w:hAnsi="Arial"/>
          <w:sz w:val="16"/>
          <w:szCs w:val="16"/>
          <w:u w:val="single" w:color="auto"/>
          <w:color w:val="auto"/>
        </w:rPr>
        <w:t>; provided, however, in the event the Participant satisfies the Rule of 75 at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time of such Termination, the Conversion Date shall be the next regularly scheduled Vest Date</w:t>
      </w:r>
      <w:r>
        <w:rPr>
          <w:rFonts w:ascii="Arial" w:cs="Arial" w:eastAsia="Arial" w:hAnsi="Arial"/>
          <w:sz w:val="16"/>
          <w:szCs w:val="16"/>
          <w:color w:val="auto"/>
        </w:rPr>
        <w:t>.</w:t>
      </w:r>
    </w:p>
    <w:p>
      <w:pPr>
        <w:spacing w:after="0" w:line="169" w:lineRule="exact"/>
        <w:rPr>
          <w:sz w:val="20"/>
          <w:szCs w:val="20"/>
          <w:color w:val="auto"/>
        </w:rPr>
      </w:pPr>
    </w:p>
    <w:p>
      <w:pPr>
        <w:ind w:left="1660" w:hanging="775"/>
        <w:spacing w:after="0"/>
        <w:tabs>
          <w:tab w:leader="none" w:pos="166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Affiliated Entity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with respect to any entity, any other entity directly or indirectly controlling, controlled by or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first entity. For these purposes, “control” (including the terms “controlled by” and “under common control with”) means the possession, direct or indirect, of the power to direct or cause the direction of the management policies of an entity by reason of ownership of voting securities, by contract or otherwise. A reference to an Affiliated Entity includes a reference to an Affiliate.</w:t>
      </w:r>
    </w:p>
    <w:p>
      <w:pPr>
        <w:spacing w:after="0" w:line="180"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the Participant becoming unable to engage in any substantial gainful activity by reason of any medically determinable physical or mental impairment that can be expected to result in death or that has lasted or can be expected to last for a continuous period of not less than twelve (12) months, within the meaning of Code Section 22(e)(3).</w:t>
      </w:r>
    </w:p>
    <w:p>
      <w:pPr>
        <w:spacing w:after="0" w:line="176" w:lineRule="exact"/>
        <w:rPr>
          <w:sz w:val="20"/>
          <w:szCs w:val="20"/>
          <w:color w:val="auto"/>
        </w:rPr>
      </w:pPr>
    </w:p>
    <w:p>
      <w:pPr>
        <w:jc w:val="both"/>
        <w:ind w:firstLine="877"/>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Retirement</w:t>
      </w:r>
      <w:r>
        <w:rPr>
          <w:rFonts w:ascii="Arial" w:cs="Arial" w:eastAsia="Arial" w:hAnsi="Arial"/>
          <w:sz w:val="16"/>
          <w:szCs w:val="16"/>
          <w:color w:val="auto"/>
        </w:rPr>
        <w:t xml:space="preserve">” shall have the meaning set forth in any employment or consulting agreement between the Participant and the Corporation or an Affiliated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(i) a uniform definition of Retirement is not used either within a single agreement or across multiple employment or consulting agreements between the Participant and the Corporation or an Affiliated Entity, (ii) there is no such agreement, or (iii) such agreement does not define Retirement, Retirement shall mean a Participant’s Termination, other than for Cause, which meets all of the following criteria.</w:t>
      </w:r>
    </w:p>
    <w:p>
      <w:pPr>
        <w:spacing w:after="0" w:line="155" w:lineRule="exact"/>
        <w:rPr>
          <w:sz w:val="20"/>
          <w:szCs w:val="20"/>
          <w:color w:val="auto"/>
        </w:rPr>
      </w:pPr>
    </w:p>
    <w:p>
      <w:pPr>
        <w:jc w:val="both"/>
        <w:ind w:left="1300" w:hanging="428"/>
        <w:spacing w:after="0" w:line="293"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sum of (x) the continuous full years of Service by the Participant to the Corporation or an Affiliated Entity and (y) the attained age in full years of the Participant on the date of the Participant’s Termination total no less than 75 (the “Rule of 75”). A leave of absence which is agreed to between the Corporation and the Participant in writing for medical reasons or for military service shall not constitute a break in Service for this purpose. For example, a Participant was born on June 27, 1963, and started full-time employment with the Corporation on July 1, 1990, and works continuously as an Employee until a Termination on December 31, 2016. This Participant’s full years of Service are 26 years and his or her attained age on the date of Termination is 53 years. The total is 79, so the Participant satisfies the Rule of 75.</w:t>
      </w:r>
    </w:p>
    <w:p>
      <w:pPr>
        <w:spacing w:after="0" w:line="164" w:lineRule="exact"/>
        <w:rPr>
          <w:rFonts w:ascii="Arial" w:cs="Arial" w:eastAsia="Arial" w:hAnsi="Arial"/>
          <w:sz w:val="16"/>
          <w:szCs w:val="16"/>
          <w:color w:val="auto"/>
        </w:rPr>
      </w:pPr>
    </w:p>
    <w:p>
      <w:pPr>
        <w:ind w:left="1300" w:hanging="428"/>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Participant signs a Restrictive Covenant Agreement in anticipation of his Retirement, if the Corporation requests that he do so, within the timeframe given to the Participant to sign by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9" w:name="page60"/>
    <w:bookmarkEnd w:id="59"/>
    <w:p>
      <w:pPr>
        <w:ind w:left="1300" w:hanging="428"/>
        <w:spacing w:after="0" w:line="308"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Participant gives his direct supervisor, or in the case of the Chief Executive Officer, the Board of Directors, at least two months’ prior notice of his Retirement, or if the Participant is an officer of the Corporation, three months’ prior notice of his Retirement.</w:t>
      </w:r>
    </w:p>
    <w:p>
      <w:pPr>
        <w:spacing w:after="0" w:line="143"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Restrictive Covenant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 agreement between the Corporation or an Affiliated Entity and the Participant, in a form</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the Corporation or the Affiliated Entity,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extend beyond the three-year anniversary of the Participant’s Termination due to Retirement.</w:t>
      </w:r>
    </w:p>
    <w:p>
      <w:pPr>
        <w:spacing w:after="0" w:line="168" w:lineRule="exact"/>
        <w:rPr>
          <w:sz w:val="20"/>
          <w:szCs w:val="20"/>
          <w:color w:val="auto"/>
        </w:rPr>
      </w:pPr>
    </w:p>
    <w:p>
      <w:pPr>
        <w:jc w:val="both"/>
        <w:ind w:firstLine="885"/>
        <w:spacing w:after="0" w:line="281" w:lineRule="auto"/>
        <w:tabs>
          <w:tab w:leader="none" w:pos="1661"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Conversion of RSUs into Stock</w:t>
      </w:r>
      <w:r>
        <w:rPr>
          <w:rFonts w:ascii="Arial" w:cs="Arial" w:eastAsia="Arial" w:hAnsi="Arial"/>
          <w:sz w:val="17"/>
          <w:szCs w:val="17"/>
          <w:color w:val="auto"/>
        </w:rPr>
        <w:t>. On the Conversion Date (as defined below), the vested RSUs shall be converted into an equivalent</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of Stock that will be issued to the Participant, or in the event of the Participant’s death, the Participant’s beneficiary. Within 30 days after the Conversion Date, the Company shall deliver the shares, as evidenced by the appropriate entry on the books of the Company or of a duly authorized transfer agent of the Company. Subject to Section 17, the “</w:t>
      </w:r>
      <w:r>
        <w:rPr>
          <w:rFonts w:ascii="Arial" w:cs="Arial" w:eastAsia="Arial" w:hAnsi="Arial"/>
          <w:sz w:val="17"/>
          <w:szCs w:val="17"/>
          <w:b w:val="1"/>
          <w:bCs w:val="1"/>
          <w:u w:val="single" w:color="auto"/>
          <w:color w:val="auto"/>
        </w:rPr>
        <w:t>Conversion Date</w:t>
      </w:r>
      <w:r>
        <w:rPr>
          <w:rFonts w:ascii="Arial" w:cs="Arial" w:eastAsia="Arial" w:hAnsi="Arial"/>
          <w:sz w:val="17"/>
          <w:szCs w:val="17"/>
          <w:color w:val="auto"/>
        </w:rPr>
        <w:t>” shall be determined in accordance with the following:</w:t>
      </w:r>
    </w:p>
    <w:p>
      <w:pPr>
        <w:spacing w:after="0" w:line="169" w:lineRule="exact"/>
        <w:rPr>
          <w:sz w:val="20"/>
          <w:szCs w:val="20"/>
          <w:color w:val="auto"/>
        </w:rPr>
      </w:pPr>
    </w:p>
    <w:p>
      <w:pPr>
        <w:jc w:val="both"/>
        <w:ind w:left="1740" w:hanging="868"/>
        <w:spacing w:after="0" w:line="286" w:lineRule="auto"/>
        <w:tabs>
          <w:tab w:leader="none" w:pos="17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event of the Participant’s death or Disability prior to March 9, 2019, the Conversion Date shall be the date of the Participant’s Termination due to death or Disability, as applicable</w:t>
      </w:r>
      <w:r>
        <w:rPr>
          <w:rFonts w:ascii="Arial" w:cs="Arial" w:eastAsia="Arial" w:hAnsi="Arial"/>
          <w:sz w:val="17"/>
          <w:szCs w:val="17"/>
          <w:u w:val="single" w:color="auto"/>
          <w:color w:val="auto"/>
        </w:rPr>
        <w:t>; provided, however, in the event the Participant satisfies the Rule of 75 at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time of a Termination due to Disability, the Conversion Date shall be the next regularly scheduled Vest Date</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left="1740" w:hanging="868"/>
        <w:spacing w:after="0" w:line="257" w:lineRule="auto"/>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of a Change in Control prior to March 9, 2019 in which the Committee elects to accelerate the vesting of some or all of the RSUs, the Conversion Date with respect to such RSUs shall be, to the extent permitted under Section 409A of the Code, the date that a Change in Control occurs, if such Change in Control meets the requirements of the definition of a change in the ownership or effective control of a corporation, or a change in the ownership of a substantial portion of the assets of a corporation contained in the regulations promulgated under Code Section 409A;</w:t>
      </w:r>
    </w:p>
    <w:p>
      <w:pPr>
        <w:spacing w:after="0" w:line="188" w:lineRule="exact"/>
        <w:rPr>
          <w:rFonts w:ascii="Arial" w:cs="Arial" w:eastAsia="Arial" w:hAnsi="Arial"/>
          <w:sz w:val="18"/>
          <w:szCs w:val="18"/>
          <w:color w:val="auto"/>
        </w:rPr>
      </w:pPr>
    </w:p>
    <w:p>
      <w:pPr>
        <w:ind w:left="1740" w:right="20" w:hanging="868"/>
        <w:spacing w:after="0" w:line="277" w:lineRule="auto"/>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of the Participant’s Termination due to Retirement prior to March 9, 2019, the Conversion Date shall be the next Vest Date, but only to the extent the RSUs vest on such Vest Date in accordance with Section 5(c); and</w:t>
      </w:r>
    </w:p>
    <w:p>
      <w:pPr>
        <w:spacing w:after="0" w:line="170" w:lineRule="exact"/>
        <w:rPr>
          <w:rFonts w:ascii="Arial" w:cs="Arial" w:eastAsia="Arial" w:hAnsi="Arial"/>
          <w:sz w:val="18"/>
          <w:szCs w:val="18"/>
          <w:color w:val="auto"/>
        </w:rPr>
      </w:pPr>
    </w:p>
    <w:p>
      <w:pPr>
        <w:jc w:val="both"/>
        <w:ind w:left="1740" w:hanging="868"/>
        <w:spacing w:after="0" w:line="312" w:lineRule="auto"/>
        <w:tabs>
          <w:tab w:leader="none" w:pos="17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event that none of the events described in the foregoing clauses (a), (b) or (c) occur prior to March 9, 2019 or to the extent Section 409A prohibits the settlement of the RSUs under clause (b) and except to the extent provided in the last sentence of Section 5(e), above, the Conversion Date shall be the regularly scheduled Vest Dates, but only to the extent the RSUs vest on such Vest Date.</w:t>
      </w:r>
    </w:p>
    <w:p>
      <w:pPr>
        <w:spacing w:after="0" w:line="143" w:lineRule="exact"/>
        <w:rPr>
          <w:sz w:val="20"/>
          <w:szCs w:val="20"/>
          <w:color w:val="auto"/>
        </w:rPr>
      </w:pPr>
    </w:p>
    <w:p>
      <w:pPr>
        <w:jc w:val="both"/>
        <w:ind w:firstLine="885"/>
        <w:spacing w:after="0" w:line="271" w:lineRule="auto"/>
        <w:tabs>
          <w:tab w:leader="none" w:pos="1661"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All deliveries and distributions under this Agreement are subject to withholding of all applicable taxes.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may either require the Participant to remit to the Corporation an amount sufficient to satisfy such tax withholding requirements or, in the discretion of the Committee, the Corporation may withhold the minimum number of shares of Stock sufficient to satisfy all or a portion of such tax withholding requirements. To the extent the Corporation does not elect to withhold shares of Stock sufficient to satisfy the tax withholding requirements, subject to the terms of Section 10.6 of the Plan, the Participant may satisfy such withholding obligations in shares of Stock; provided that the Participant will be deemed to have instructed and authorized the Corporation or its delegate for such purpose to sell on the Participant’s behalf a whole number of shares of Stock as the Corporation or its delegate determines to be appropriate to generate cash proceeds sufficient to satisfy the minimum tax withholding obligation. In such case, the Participant will be responsible for all brokerage fees and other costs of sale, and the Participant agrees to indemnify and hold the Corporation harmless from any losses, costs, damages or expenses relating to such sale.</w:t>
      </w:r>
    </w:p>
    <w:p>
      <w:pPr>
        <w:spacing w:after="0" w:line="174" w:lineRule="exact"/>
        <w:rPr>
          <w:rFonts w:ascii="Arial" w:cs="Arial" w:eastAsia="Arial" w:hAnsi="Arial"/>
          <w:sz w:val="17"/>
          <w:szCs w:val="17"/>
          <w:color w:val="auto"/>
        </w:rPr>
      </w:pPr>
    </w:p>
    <w:p>
      <w:pPr>
        <w:ind w:right="20" w:firstLine="885"/>
        <w:spacing w:after="0" w:line="282" w:lineRule="auto"/>
        <w:tabs>
          <w:tab w:leader="none" w:pos="1661"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 The Plan and this Agreement shall be administered and may be definitively interpreted by the Committee,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that the decisions of such Committee concerning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administration and interpretation of the Plan and this Agreement shall be final, binding and conclusive on all persons.</w:t>
      </w:r>
    </w:p>
    <w:p>
      <w:pPr>
        <w:spacing w:after="0" w:line="221" w:lineRule="exact"/>
        <w:rPr>
          <w:sz w:val="20"/>
          <w:szCs w:val="20"/>
          <w:color w:val="auto"/>
        </w:rPr>
      </w:pPr>
    </w:p>
    <w:p>
      <w:pPr>
        <w:jc w:val="both"/>
        <w:ind w:firstLine="885"/>
        <w:spacing w:after="0" w:line="256" w:lineRule="auto"/>
        <w:tabs>
          <w:tab w:leader="none" w:pos="1751"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required or permitted under the Plan must be in writing and must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personally, sent by certified, registered or express mail, or sent by overnight courier, at the sender’s expense. Notice will be deemed given (i) when delivered personally, or (ii) if mailed, three days after the date of deposit in the United States mail or (iii) if sent by overnight courier, on the regular business day following the date sent. Notice to the Participant should be sent to the address set forth on the Corporation’s records. Either party may change the address to which the other party must give notice under this Agreement by giving the other party written notice of this change in accordance with the procedures discussed in this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885"/>
        <w:spacing w:after="0" w:line="266" w:lineRule="auto"/>
        <w:tabs>
          <w:tab w:leader="none" w:pos="1744"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An Employment Contract</w:t>
      </w:r>
      <w:r>
        <w:rPr>
          <w:rFonts w:ascii="Arial" w:cs="Arial" w:eastAsia="Arial" w:hAnsi="Arial"/>
          <w:sz w:val="18"/>
          <w:szCs w:val="18"/>
          <w:color w:val="auto"/>
        </w:rPr>
        <w:t>. This Award will not confer on the Participant any right with respect to continuance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Corporation or any Affiliated Entity, nor will it interfere in any way with any right the Corporation or any Affiliated Entity would otherwise have to terminate or modify the terms of such Participant’s employment at any time.</w:t>
      </w:r>
    </w:p>
    <w:p>
      <w:pPr>
        <w:spacing w:after="0" w:line="176" w:lineRule="exact"/>
        <w:rPr>
          <w:rFonts w:ascii="Arial" w:cs="Arial" w:eastAsia="Arial" w:hAnsi="Arial"/>
          <w:sz w:val="18"/>
          <w:szCs w:val="18"/>
          <w:color w:val="auto"/>
        </w:rPr>
      </w:pPr>
    </w:p>
    <w:p>
      <w:pPr>
        <w:jc w:val="both"/>
        <w:ind w:firstLine="885"/>
        <w:spacing w:after="0" w:line="261" w:lineRule="auto"/>
        <w:tabs>
          <w:tab w:leader="none" w:pos="1751"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Unfunded Status of the Plan</w:t>
      </w:r>
      <w:r>
        <w:rPr>
          <w:rFonts w:ascii="Arial" w:cs="Arial" w:eastAsia="Arial" w:hAnsi="Arial"/>
          <w:sz w:val="18"/>
          <w:szCs w:val="18"/>
          <w:color w:val="auto"/>
        </w:rPr>
        <w:t>. The Plan is unfunded. The Corporation is not required to establish any special or separate fund or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other segregation of assets to assure the payment of any benefits under the Plan. With respect to any payments not yet made to the Participant or shares of Stock not yet delivered to the Participant under this Agreement, the Participant shall have no rights greater than those of a general unsecured creditor of the Corporation.</w:t>
      </w:r>
    </w:p>
    <w:p>
      <w:pPr>
        <w:spacing w:after="0" w:line="180" w:lineRule="exact"/>
        <w:rPr>
          <w:rFonts w:ascii="Arial" w:cs="Arial" w:eastAsia="Arial" w:hAnsi="Arial"/>
          <w:sz w:val="18"/>
          <w:szCs w:val="18"/>
          <w:color w:val="auto"/>
        </w:rPr>
      </w:pPr>
    </w:p>
    <w:p>
      <w:pPr>
        <w:ind w:firstLine="885"/>
        <w:spacing w:after="0" w:line="282" w:lineRule="auto"/>
        <w:tabs>
          <w:tab w:leader="none" w:pos="1751"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in accordance with the provisions of the Plan, and may otherwise be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of the Participant and the Corporation without the consent of any other person.</w:t>
      </w:r>
    </w:p>
    <w:p>
      <w:pPr>
        <w:spacing w:after="0" w:line="161" w:lineRule="exact"/>
        <w:rPr>
          <w:rFonts w:ascii="Arial" w:cs="Arial" w:eastAsia="Arial" w:hAnsi="Arial"/>
          <w:sz w:val="18"/>
          <w:szCs w:val="18"/>
          <w:color w:val="auto"/>
        </w:rPr>
      </w:pPr>
    </w:p>
    <w:p>
      <w:pPr>
        <w:jc w:val="both"/>
        <w:ind w:firstLine="885"/>
        <w:spacing w:after="0" w:line="277" w:lineRule="auto"/>
        <w:tabs>
          <w:tab w:leader="none" w:pos="1751"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To the extent not preempted by Federal law, the Plan and this Agreement will be construed, administered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in all respects under and by the laws of the State of Delaware, without giving effect to its conflict of laws principles. If any provision of this Agreement will be held by a court of competent jurisdiction to be invalid or unenforceable, the remaining provisions hereof will continue to be fully effective. The jurisdiction and venue for any disputes arising under, or any action brought to enforce (or otherwise relating to) this Agreement will be exclusively in the courts in the State of Illinois, County of Cook, including the Federal courts located therein (should Federal jurisdiction exist).</w:t>
      </w:r>
    </w:p>
    <w:p>
      <w:pPr>
        <w:spacing w:after="0" w:line="168" w:lineRule="exact"/>
        <w:rPr>
          <w:rFonts w:ascii="Arial" w:cs="Arial" w:eastAsia="Arial" w:hAnsi="Arial"/>
          <w:sz w:val="17"/>
          <w:szCs w:val="17"/>
          <w:color w:val="auto"/>
        </w:rPr>
      </w:pPr>
    </w:p>
    <w:p>
      <w:pPr>
        <w:jc w:val="both"/>
        <w:ind w:firstLine="885"/>
        <w:spacing w:after="0" w:line="272" w:lineRule="auto"/>
        <w:tabs>
          <w:tab w:leader="none" w:pos="1751"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Securities Law Requirements</w:t>
      </w:r>
      <w:r>
        <w:rPr>
          <w:rFonts w:ascii="Arial" w:cs="Arial" w:eastAsia="Arial" w:hAnsi="Arial"/>
          <w:sz w:val="17"/>
          <w:szCs w:val="17"/>
          <w:color w:val="auto"/>
        </w:rPr>
        <w:t>. If at any time the Committee determines that issuing shares of Stock would violate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laws, the Corporation will not be required to issue shares of Stock. The Committee may declare any provision of this Agreement or action of its own null and void, if it determines the provision or action fails to comply with the short-swing trading rules. The Committee may require the Participant to make written representations it deems necessary to comply with applicable securities laws. No person who acquires shares of Stock under this Agreement may sell the shares of Stock, unless he or she makes an offer and sale pursuant to an effective registration statement under the Securities Act of 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which is current and includes the shares of Stock to be sold, or there is an exemption from the registration requirements of the Securities Act. The Participant’s right to resell the shares of Stock will be subject to all Federal and state securities laws, including SEC Rule 144, and subject to the Corporation’s policy on securities trading and disclosure of confidential information.</w:t>
      </w:r>
    </w:p>
    <w:p>
      <w:pPr>
        <w:spacing w:after="0" w:line="172" w:lineRule="exact"/>
        <w:rPr>
          <w:sz w:val="20"/>
          <w:szCs w:val="20"/>
          <w:color w:val="auto"/>
        </w:rPr>
      </w:pPr>
    </w:p>
    <w:p>
      <w:pPr>
        <w:jc w:val="both"/>
        <w:ind w:firstLine="877"/>
        <w:spacing w:after="0" w:line="281" w:lineRule="auto"/>
        <w:rPr>
          <w:sz w:val="20"/>
          <w:szCs w:val="20"/>
          <w:color w:val="auto"/>
        </w:rPr>
      </w:pPr>
      <w:r>
        <w:rPr>
          <w:rFonts w:ascii="Arial" w:cs="Arial" w:eastAsia="Arial" w:hAnsi="Arial"/>
          <w:sz w:val="17"/>
          <w:szCs w:val="17"/>
          <w:color w:val="auto"/>
        </w:rPr>
        <w:t>16.</w:t>
      </w:r>
      <w:r>
        <w:rPr>
          <w:rFonts w:ascii="Arial" w:cs="Arial" w:eastAsia="Arial" w:hAnsi="Arial"/>
          <w:sz w:val="17"/>
          <w:szCs w:val="17"/>
          <w:b w:val="1"/>
          <w:bCs w:val="1"/>
          <w:u w:val="single" w:color="auto"/>
          <w:color w:val="auto"/>
        </w:rPr>
        <w:t>Award Subject to Recoupment</w:t>
      </w:r>
      <w:r>
        <w:rPr>
          <w:rFonts w:ascii="Arial" w:cs="Arial" w:eastAsia="Arial" w:hAnsi="Arial"/>
          <w:sz w:val="17"/>
          <w:szCs w:val="17"/>
          <w:color w:val="auto"/>
        </w:rPr>
        <w:t>. This award and any payment or shares of Stock delivered pursuant to this award may be subject to forfeiture, recovery by the Corporation or other action pursuant to any clawback or recoupment policy which the Corporation may adopt from time to time, including without limitation any such policy which the Corporation may be required to adopt under Section 304 of the Sarbanes-Oxley Act of 2002, the Dodd-Frank Wall Street Reform and Consumer Protection Act and implementing rules and regulations thereunder, or as otherwise required by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1" w:name="page62"/>
    <w:bookmarkEnd w:id="61"/>
    <w:p>
      <w:pPr>
        <w:jc w:val="both"/>
        <w:ind w:firstLine="877"/>
        <w:spacing w:after="0" w:line="314" w:lineRule="auto"/>
        <w:rPr>
          <w:sz w:val="20"/>
          <w:szCs w:val="20"/>
          <w:color w:val="auto"/>
        </w:rPr>
      </w:pPr>
      <w:r>
        <w:rPr>
          <w:rFonts w:ascii="Arial" w:cs="Arial" w:eastAsia="Arial" w:hAnsi="Arial"/>
          <w:sz w:val="16"/>
          <w:szCs w:val="16"/>
          <w:color w:val="auto"/>
        </w:rPr>
        <w:t>17.</w:t>
      </w: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Agreement is intended to be a “nonqualified deferred compensation arrangement” that complies with the provisions of Code Section 409A and the regulations thereunder and this Agreement shall be interpreted and operated consistent with such intent. Accordingly, all provisions of this Agreement shall be construed in a manner consistent with avoiding taxes or penalties under Code Section 409A, including:</w:t>
      </w:r>
    </w:p>
    <w:p>
      <w:pPr>
        <w:spacing w:after="0" w:line="146" w:lineRule="exact"/>
        <w:rPr>
          <w:sz w:val="20"/>
          <w:szCs w:val="20"/>
          <w:color w:val="auto"/>
        </w:rPr>
      </w:pPr>
    </w:p>
    <w:p>
      <w:pPr>
        <w:jc w:val="both"/>
        <w:ind w:left="1740" w:hanging="868"/>
        <w:spacing w:after="0" w:line="279" w:lineRule="auto"/>
        <w:tabs>
          <w:tab w:leader="none" w:pos="17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Termination shall not be deemed to have occurred for purposes of any provision of this Agreement providing for any payment or distribution upon or following a Termination unless such Termination is also a “separation from service” within the meaning of Code Section 409A and Treas. Reg. §1.409A-1(h) and, for purposes of any such provision of this Agreement, references therein to a “termination,” “termination of employment” or like terms shall mean “separation from service”; and</w:t>
      </w:r>
    </w:p>
    <w:p>
      <w:pPr>
        <w:spacing w:after="0" w:line="171" w:lineRule="exact"/>
        <w:rPr>
          <w:rFonts w:ascii="Arial" w:cs="Arial" w:eastAsia="Arial" w:hAnsi="Arial"/>
          <w:sz w:val="17"/>
          <w:szCs w:val="17"/>
          <w:color w:val="auto"/>
        </w:rPr>
      </w:pPr>
    </w:p>
    <w:p>
      <w:pPr>
        <w:jc w:val="both"/>
        <w:ind w:left="1740" w:hanging="868"/>
        <w:spacing w:after="0" w:line="257" w:lineRule="auto"/>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Participant is a “specified employee” (as described in Treas. Reg. §1.409A-1(i), with such classification to be determined in accordance with the methodology established by the Corporation), any payment or distribution made under this Agreement pursuant to the Participant’s “separation from service” shall be made on the date that is six months following the Participant’s “separation from service” to the extent required by Code Section 409A and the interpretive guidance thereunder or, if earlier, the date of the Participant’s death.</w:t>
      </w:r>
    </w:p>
    <w:p>
      <w:pPr>
        <w:spacing w:after="0" w:line="184" w:lineRule="exact"/>
        <w:rPr>
          <w:rFonts w:ascii="Arial" w:cs="Arial" w:eastAsia="Arial" w:hAnsi="Arial"/>
          <w:sz w:val="18"/>
          <w:szCs w:val="18"/>
          <w:color w:val="auto"/>
        </w:rPr>
      </w:pPr>
    </w:p>
    <w:p>
      <w:pPr>
        <w:jc w:val="both"/>
        <w:ind w:firstLine="885"/>
        <w:spacing w:after="0" w:line="256" w:lineRule="auto"/>
        <w:tabs>
          <w:tab w:leader="none" w:pos="1751" w:val="left"/>
        </w:tabs>
        <w:numPr>
          <w:ilvl w:val="1"/>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instrument. The exchange of copies of this Agreement and of signature pages by electronic mail in “portable document format” (“.pdf”) form, or by any other electronic means intended to preserve the original graphic and pictorial appearance of a document, or by combination of such means, shall constitute effective execution and delivery of this Agreement as to the parties and may be used in lieu of the original Agreement for all purposes. Signatures of the parties through electronic means or methods shall be deemed to be their original signatures for all purposes.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2" w:name="page63"/>
    <w:bookmarkEnd w:id="62"/>
    <w:p>
      <w:pPr>
        <w:jc w:val="both"/>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on behalf of the Corporation by its duly authorized officer, and by the Participant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above-mentioned Award, subject to the terms and conditions of the Plan and of this Agreement, all effective as of the day and year first above written.</w:t>
      </w:r>
    </w:p>
    <w:p>
      <w:pPr>
        <w:spacing w:after="0" w:line="176"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GREAT LAKES DREDGE &amp; DOCK CORPORATION</w:t>
      </w:r>
      <w:r>
        <w:rPr>
          <w:rFonts w:ascii="Arial" w:cs="Arial" w:eastAsia="Arial" w:hAnsi="Arial"/>
          <w:sz w:val="18"/>
          <w:szCs w:val="18"/>
          <w:color w:val="auto"/>
        </w:rPr>
        <w:t>,</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___ /s/ Kathleen M. LaVoy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-10160</wp:posOffset>
            </wp:positionV>
            <wp:extent cx="10960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Kathleen M. LaVoy</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Interim Chief Legal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auto"/>
        </w:rPr>
        <w:t>/s/ Jonathan W. Berger</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Jonathan W. Berger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VESTING RSU AWARD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pursuant to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LONG-TERM INCENTIVE PLAN</w:t>
      </w:r>
    </w:p>
    <w:p>
      <w:pPr>
        <w:spacing w:after="0" w:line="22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PERFORMANCE VESTING RSU AWARD AGREEMENT</w:t>
      </w:r>
      <w:r>
        <w:rPr>
          <w:rFonts w:ascii="Arial" w:cs="Arial" w:eastAsia="Arial" w:hAnsi="Arial"/>
          <w:sz w:val="18"/>
          <w:szCs w:val="18"/>
          <w:color w:val="auto"/>
        </w:rPr>
        <w:t xml:space="preserv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Great Lakes</w:t>
      </w:r>
      <w:r>
        <w:rPr>
          <w:rFonts w:ascii="Arial" w:cs="Arial" w:eastAsia="Arial" w:hAnsi="Arial"/>
          <w:sz w:val="18"/>
          <w:szCs w:val="18"/>
          <w:color w:val="auto"/>
        </w:rPr>
        <w:t xml:space="preserve"> </w:t>
      </w:r>
      <w:r>
        <w:rPr>
          <w:rFonts w:ascii="Arial" w:cs="Arial" w:eastAsia="Arial" w:hAnsi="Arial"/>
          <w:sz w:val="18"/>
          <w:szCs w:val="18"/>
          <w:b w:val="1"/>
          <w:bCs w:val="1"/>
          <w:color w:val="auto"/>
        </w:rPr>
        <w:t>Dredge &amp; Dock Corporation</w:t>
      </w:r>
      <w:r>
        <w:rPr>
          <w:rFonts w:ascii="Arial" w:cs="Arial" w:eastAsia="Arial" w:hAnsi="Arial"/>
          <w:sz w:val="18"/>
          <w:szCs w:val="18"/>
          <w:color w:val="auto"/>
        </w:rPr>
        <w:t>, a Delaware corporation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and Jonathan W. Berger (the “</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effective as of March 9, 2016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Date</w:t>
      </w:r>
      <w:r>
        <w:rPr>
          <w:rFonts w:ascii="Arial" w:cs="Arial" w:eastAsia="Arial" w:hAnsi="Arial"/>
          <w:sz w:val="18"/>
          <w:szCs w:val="18"/>
          <w:color w:val="auto"/>
        </w:rPr>
        <w:t>”).</w:t>
      </w:r>
    </w:p>
    <w:p>
      <w:pPr>
        <w:spacing w:after="0" w:line="17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7"/>
          <w:szCs w:val="17"/>
          <w:color w:val="auto"/>
        </w:rPr>
        <w:t>1.</w:t>
      </w:r>
      <w:r>
        <w:rPr>
          <w:rFonts w:ascii="Arial" w:cs="Arial" w:eastAsia="Arial" w:hAnsi="Arial"/>
          <w:sz w:val="17"/>
          <w:szCs w:val="17"/>
          <w:b w:val="1"/>
          <w:bCs w:val="1"/>
          <w:u w:val="single" w:color="auto"/>
          <w:color w:val="auto"/>
        </w:rPr>
        <w:t>Award of Performance Vesting Restricted Stock Units</w:t>
      </w:r>
      <w:r>
        <w:rPr>
          <w:rFonts w:ascii="Arial" w:cs="Arial" w:eastAsia="Arial" w:hAnsi="Arial"/>
          <w:sz w:val="17"/>
          <w:szCs w:val="17"/>
          <w:color w:val="auto"/>
        </w:rPr>
        <w:t>. The Corporation hereby grants to the Participant and the Participant hereby accepts an Award of [Number of Shares Granted] Restricted Stock Units (the “</w:t>
      </w:r>
      <w:r>
        <w:rPr>
          <w:rFonts w:ascii="Arial" w:cs="Arial" w:eastAsia="Arial" w:hAnsi="Arial"/>
          <w:sz w:val="17"/>
          <w:szCs w:val="17"/>
          <w:b w:val="1"/>
          <w:bCs w:val="1"/>
          <w:u w:val="single" w:color="auto"/>
          <w:color w:val="auto"/>
        </w:rPr>
        <w:t>RSUs</w:t>
      </w:r>
      <w:r>
        <w:rPr>
          <w:rFonts w:ascii="Arial" w:cs="Arial" w:eastAsia="Arial" w:hAnsi="Arial"/>
          <w:sz w:val="17"/>
          <w:szCs w:val="17"/>
          <w:color w:val="auto"/>
        </w:rPr>
        <w:t>”), subject to the terms and conditions set forth in this Agreement. The number of RSUs specified in this Agreement reflects the maximum number of RSUs that may be earned by the Participant. An RSU represents the Corporation’s unfunded and unsecured promise to issue one share of common stock of the Corporation (“</w:t>
      </w:r>
      <w:r>
        <w:rPr>
          <w:rFonts w:ascii="Arial" w:cs="Arial" w:eastAsia="Arial" w:hAnsi="Arial"/>
          <w:sz w:val="17"/>
          <w:szCs w:val="17"/>
          <w:b w:val="1"/>
          <w:bCs w:val="1"/>
          <w:u w:val="single" w:color="auto"/>
          <w:color w:val="auto"/>
        </w:rPr>
        <w:t>Stock</w:t>
      </w:r>
      <w:r>
        <w:rPr>
          <w:rFonts w:ascii="Arial" w:cs="Arial" w:eastAsia="Arial" w:hAnsi="Arial"/>
          <w:sz w:val="17"/>
          <w:szCs w:val="17"/>
          <w:color w:val="auto"/>
        </w:rPr>
        <w:t>”) at the dates set forth in this Agreement, to the extent that the applicable eligibility and vesting requirements are satisfied. The Participant’s rights with respect to the RSUs are governed by the Plan (as defined herein) and this Agreement and the Participant has no rights with respect to the RSUs other than the rights of a general creditor of the Corporation. The number of shares of Stock issuable in respect of an RSU is subject to adjustment in accordance with the Plan.</w:t>
      </w:r>
    </w:p>
    <w:p>
      <w:pPr>
        <w:spacing w:after="0" w:line="172" w:lineRule="exact"/>
        <w:rPr>
          <w:sz w:val="20"/>
          <w:szCs w:val="20"/>
          <w:color w:val="auto"/>
        </w:rPr>
      </w:pPr>
    </w:p>
    <w:p>
      <w:pPr>
        <w:jc w:val="both"/>
        <w:ind w:firstLine="885"/>
        <w:spacing w:after="0" w:line="261" w:lineRule="auto"/>
        <w:tabs>
          <w:tab w:leader="none" w:pos="1661"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w:t>
      </w:r>
      <w:r>
        <w:rPr>
          <w:rFonts w:ascii="Arial" w:cs="Arial" w:eastAsia="Arial" w:hAnsi="Arial"/>
          <w:sz w:val="18"/>
          <w:szCs w:val="18"/>
          <w:color w:val="auto"/>
        </w:rPr>
        <w:t>. This Award is granted pursuant to the Corporation’s 2007 Long-Term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for all purposes. Capitalized terms used but not otherwise defined herein have the meanings as set forth in the Plan. The Participant agrees to be bound by the terms and conditions of the Plan, which control in case of any conflict with this Agreement, except as otherwise specifically provided for in the Plan.</w:t>
      </w:r>
    </w:p>
    <w:p>
      <w:pPr>
        <w:spacing w:after="0" w:line="180" w:lineRule="exact"/>
        <w:rPr>
          <w:rFonts w:ascii="Arial" w:cs="Arial" w:eastAsia="Arial" w:hAnsi="Arial"/>
          <w:sz w:val="18"/>
          <w:szCs w:val="18"/>
          <w:color w:val="auto"/>
        </w:rPr>
      </w:pPr>
    </w:p>
    <w:p>
      <w:pPr>
        <w:jc w:val="both"/>
        <w:ind w:firstLine="885"/>
        <w:spacing w:after="0" w:line="274" w:lineRule="auto"/>
        <w:tabs>
          <w:tab w:leader="none" w:pos="1661"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In the event that the Corporation declares a dividend on its Stock prior to the Conversion Date (as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with respect to the RSUs that vest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w:t>
      </w:r>
      <w:r>
        <w:rPr>
          <w:rFonts w:ascii="Arial" w:cs="Arial" w:eastAsia="Arial" w:hAnsi="Arial"/>
          <w:sz w:val="17"/>
          <w:szCs w:val="17"/>
          <w:color w:val="auto"/>
        </w:rPr>
        <w:t>, the Corporation shall pay to the Participant, within thirty (30) days of the Conversion Date (subject to Section 18, if applicable), an amount in cash equal to the aggregate dividends that would have been paid on such RSUs during the period between the Award Date and the Conversion Date had they been converted into the same number of shares of Stock and held by the Participant on the record date of such dividend (the “</w:t>
      </w:r>
      <w:r>
        <w:rPr>
          <w:rFonts w:ascii="Arial" w:cs="Arial" w:eastAsia="Arial" w:hAnsi="Arial"/>
          <w:sz w:val="17"/>
          <w:szCs w:val="17"/>
          <w:b w:val="1"/>
          <w:bCs w:val="1"/>
          <w:u w:val="single" w:color="auto"/>
          <w:color w:val="auto"/>
        </w:rPr>
        <w:t>Dividend Equivalents</w:t>
      </w:r>
      <w:r>
        <w:rPr>
          <w:rFonts w:ascii="Arial" w:cs="Arial" w:eastAsia="Arial" w:hAnsi="Arial"/>
          <w:sz w:val="17"/>
          <w:szCs w:val="17"/>
          <w:color w:val="auto"/>
        </w:rPr>
        <w:t xml:space="preserve">”). No Dividend Equivalents shall be paid prior to the Conversion Date and no Dividend Equivalents shall be paid at any time with respect to RSUs that are forfeited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w:t>
      </w:r>
    </w:p>
    <w:p>
      <w:pPr>
        <w:spacing w:after="0" w:line="174"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 The RSUs may not be transferred, alienated, assigned, pledged, hypothecated or encumbered, in any way, whether voluntarily or involuntarily or by operation of law by judgment, levy, attachment, garnishment or any other legal or equitable proceeding (including bankruptcy), and any attempted disposition thereof shall be null and void and of no effect.</w:t>
      </w:r>
    </w:p>
    <w:p>
      <w:pPr>
        <w:spacing w:after="0" w:line="176"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xml:space="preserve">. No RSUs will be eligible to vest before December 31, 2016 under any circumstances. The number of RSUs, if any, for which the Participant will remain eligible to vest after December 31, 2016 depends upon the Corporation’s Actual Free Cash Flow compared to Budgeted Free Cash Flow for fiscal year 2016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the terms of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80" w:lineRule="exact"/>
        <w:rPr>
          <w:sz w:val="20"/>
          <w:szCs w:val="20"/>
          <w:color w:val="auto"/>
        </w:rPr>
      </w:pPr>
    </w:p>
    <w:p>
      <w:pPr>
        <w:jc w:val="both"/>
        <w:ind w:left="1740" w:hanging="868"/>
        <w:spacing w:after="0" w:line="264" w:lineRule="auto"/>
        <w:tabs>
          <w:tab w:leader="none" w:pos="1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number of RSUs for which the Participant will remain eligible to vest after December 31, 2016 (subject to satisfaction of the vesting requirements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is the number of RSUs corresponding to the Actual Free Cash Flow compared to Budgeted Free Cash Flow for fiscal year 2016, as set forth in following 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tbl>
      <w:tblPr>
        <w:tblLayout w:type="fixed"/>
        <w:tblInd w:w="930" w:type="dxa"/>
        <w:tblCellMar>
          <w:top w:w="0" w:type="dxa"/>
          <w:left w:w="0" w:type="dxa"/>
          <w:bottom w:w="0" w:type="dxa"/>
          <w:right w:w="0" w:type="dxa"/>
        </w:tblCellMar>
      </w:tblPr>
      <w:tr>
        <w:trPr>
          <w:trHeight w:val="211"/>
        </w:trPr>
        <w:tc>
          <w:tcPr>
            <w:tcW w:w="2640" w:type="dxa"/>
            <w:vAlign w:val="bottom"/>
            <w:tcBorders>
              <w:top w:val="single" w:sz="8" w:color="auto"/>
              <w:left w:val="single" w:sz="8" w:color="auto"/>
              <w:right w:val="single" w:sz="8" w:color="auto"/>
            </w:tcBorders>
          </w:tcPr>
          <w:p>
            <w:pPr>
              <w:spacing w:after="0"/>
              <w:rPr>
                <w:sz w:val="18"/>
                <w:szCs w:val="18"/>
                <w:color w:val="auto"/>
              </w:rPr>
            </w:pPr>
          </w:p>
        </w:tc>
        <w:tc>
          <w:tcPr>
            <w:tcW w:w="3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Actual Free Cash Flow vs. Budgeted</w:t>
            </w:r>
          </w:p>
        </w:tc>
        <w:tc>
          <w:tcPr>
            <w:tcW w:w="3980" w:type="dxa"/>
            <w:vAlign w:val="bottom"/>
            <w:tcBorders>
              <w:top w:val="single" w:sz="8" w:color="auto"/>
              <w:right w:val="single" w:sz="8" w:color="auto"/>
            </w:tcBorders>
          </w:tcPr>
          <w:p>
            <w:pPr>
              <w:spacing w:after="0"/>
              <w:rPr>
                <w:sz w:val="18"/>
                <w:szCs w:val="18"/>
                <w:color w:val="auto"/>
              </w:rPr>
            </w:pPr>
          </w:p>
        </w:tc>
      </w:tr>
      <w:tr>
        <w:trPr>
          <w:trHeight w:val="234"/>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Level</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Free Cash Flow</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RSUs Remaining Eligible to Vest*</w:t>
            </w:r>
          </w:p>
        </w:tc>
      </w:tr>
      <w:tr>
        <w:trPr>
          <w:trHeight w:val="21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&lt;Threshold</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&lt;70% of target</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 of RSUs awarded in Section 1</w:t>
            </w:r>
          </w:p>
        </w:tc>
      </w:tr>
      <w:tr>
        <w:trPr>
          <w:trHeight w:val="21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Threshold</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70% of target</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 of RSUs awarded in Section 1</w:t>
            </w:r>
          </w:p>
        </w:tc>
      </w:tr>
      <w:tr>
        <w:trPr>
          <w:trHeight w:val="21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 of target</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 of RSUs awarded in Section 1</w:t>
            </w:r>
          </w:p>
        </w:tc>
      </w:tr>
      <w:tr>
        <w:trPr>
          <w:trHeight w:val="21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&gt;=Max</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130% of target</w:t>
            </w: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 of RSUs awarded in Section 1</w:t>
            </w:r>
          </w:p>
        </w:tc>
      </w:tr>
    </w:tbl>
    <w:p>
      <w:pPr>
        <w:ind w:left="2100" w:right="1760" w:hanging="152"/>
        <w:spacing w:after="0" w:line="261" w:lineRule="auto"/>
        <w:tabs>
          <w:tab w:leader="none" w:pos="2091" w:val="left"/>
        </w:tabs>
        <w:numPr>
          <w:ilvl w:val="1"/>
          <w:numId w:val="66"/>
        </w:numPr>
        <w:rPr>
          <w:rFonts w:ascii="Arial" w:cs="Arial" w:eastAsia="Arial" w:hAnsi="Arial"/>
          <w:sz w:val="18"/>
          <w:szCs w:val="18"/>
          <w:color w:val="auto"/>
        </w:rPr>
      </w:pPr>
      <w:r>
        <w:rPr>
          <w:rFonts w:ascii="Arial" w:cs="Arial" w:eastAsia="Arial" w:hAnsi="Arial"/>
          <w:sz w:val="18"/>
          <w:szCs w:val="18"/>
          <w:color w:val="auto"/>
        </w:rPr>
        <w:t>Payout for performance between threshold and target, and between target and max will be determined by linear interpolation (rounded to the nearest whole RSU).</w:t>
      </w:r>
    </w:p>
    <w:p>
      <w:pPr>
        <w:spacing w:after="0" w:line="75" w:lineRule="exact"/>
        <w:rPr>
          <w:rFonts w:ascii="Arial" w:cs="Arial" w:eastAsia="Arial" w:hAnsi="Arial"/>
          <w:sz w:val="18"/>
          <w:szCs w:val="18"/>
          <w:color w:val="auto"/>
        </w:rPr>
      </w:pPr>
    </w:p>
    <w:p>
      <w:pPr>
        <w:jc w:val="both"/>
        <w:ind w:left="1740" w:hanging="868"/>
        <w:spacing w:after="0" w:line="286" w:lineRule="auto"/>
        <w:tabs>
          <w:tab w:leader="none" w:pos="1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the extent any RSUs do not remain eligible to vest because the Threshold for Actual Free Cash Flow compared to Budgeted Free Cash Flow for fiscal year 2016 was not achieved, all RSUs shall be forfeited as of December 31, 2016. Upon such forfeiture, the Participant shall not be entitled to receive any Dividend Equivalents whatsoever on such forfeited RSUs.</w:t>
      </w:r>
    </w:p>
    <w:p>
      <w:pPr>
        <w:spacing w:after="0" w:line="162" w:lineRule="exact"/>
        <w:rPr>
          <w:sz w:val="20"/>
          <w:szCs w:val="20"/>
          <w:color w:val="auto"/>
        </w:rPr>
      </w:pPr>
    </w:p>
    <w:p>
      <w:pPr>
        <w:ind w:right="20" w:firstLine="877"/>
        <w:spacing w:after="0" w:line="282" w:lineRule="auto"/>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xml:space="preserve">. The vesting of the RSUs that remain eligible to vest after December 31, 2016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is conditioned upon the Participant’s satisfaction of the vesting requirements set forth in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66" w:lineRule="exact"/>
        <w:rPr>
          <w:sz w:val="20"/>
          <w:szCs w:val="20"/>
          <w:color w:val="auto"/>
        </w:rPr>
      </w:pPr>
    </w:p>
    <w:p>
      <w:pPr>
        <w:jc w:val="both"/>
        <w:ind w:left="1740" w:hanging="868"/>
        <w:spacing w:after="0" w:line="268" w:lineRule="auto"/>
        <w:tabs>
          <w:tab w:leader="none" w:pos="1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Except as may be accelerated as set forth in the Plan or as set forth below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except as may be accelerated as set forth in any employment or consulting agreement between the Participant and the Corporation or an Affiliated Entity (as that term is defined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the RSUs that remain eligible to vest after December 31, 2016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vest in three equal portions, on the first, second and third anniversaries of the Award Date (the “</w:t>
      </w:r>
      <w:r>
        <w:rPr>
          <w:rFonts w:ascii="Arial" w:cs="Arial" w:eastAsia="Arial" w:hAnsi="Arial"/>
          <w:sz w:val="17"/>
          <w:szCs w:val="17"/>
          <w:b w:val="1"/>
          <w:bCs w:val="1"/>
          <w:u w:val="single" w:color="auto"/>
          <w:color w:val="auto"/>
        </w:rPr>
        <w:t>Vest Date</w:t>
      </w:r>
      <w:r>
        <w:rPr>
          <w:rFonts w:ascii="Arial" w:cs="Arial" w:eastAsia="Arial" w:hAnsi="Arial"/>
          <w:sz w:val="17"/>
          <w:szCs w:val="17"/>
          <w:color w:val="auto"/>
        </w:rPr>
        <w:t xml:space="preserve">”), provided that the Participant has not incurred a Termination prior to such date. If an employment or consulting agreement provides for some degree of accelerated vesting conditioned on the Participant signing a release, separation agreement or other post-Termination conduct, the forfeiture of the RSUs that remain eligible to vest after December 31, 2016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will be held in abeyance until the period for signing the release or separation agreement (and not rescinding it) or such other post-Termination conduct expires, at which point a determination will be made by the Corporation or an Affiliated Entity as to whether the requirements for accelerated vesting have been met. If the criteria for accelerated vesting have been met, in the sole discretion of the Corporation or the Affiliated Entity, the Conversion Date for that portion of the RSUs shall be 60 days after the date of the Participant’s Termination; provided, however, in the event the Participant satisfies the Rule of 75 at the time of such Termination, the Conversion Date shall be the next regularly scheduled Vest Date.</w:t>
      </w:r>
    </w:p>
    <w:p>
      <w:pPr>
        <w:spacing w:after="0" w:line="187" w:lineRule="exact"/>
        <w:rPr>
          <w:rFonts w:ascii="Arial" w:cs="Arial" w:eastAsia="Arial" w:hAnsi="Arial"/>
          <w:sz w:val="17"/>
          <w:szCs w:val="17"/>
          <w:color w:val="auto"/>
        </w:rPr>
      </w:pPr>
    </w:p>
    <w:p>
      <w:pPr>
        <w:jc w:val="both"/>
        <w:ind w:left="1740" w:hanging="868"/>
        <w:spacing w:after="0" w:line="259" w:lineRule="auto"/>
        <w:tabs>
          <w:tab w:leader="none" w:pos="1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Upon the Participant’s Termination due to death or Disability (as that term is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prior to the third anniversary of the Award Date, the RSUs that remain eligible to vest after December 31, 2016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fully vested as of the last to occur of (i) the date that the number of units eligible to vest is determined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or (ii) the Participant’s Termination due to death or Disability.</w:t>
      </w:r>
    </w:p>
    <w:p>
      <w:pPr>
        <w:spacing w:after="0" w:line="186" w:lineRule="exact"/>
        <w:rPr>
          <w:rFonts w:ascii="Arial" w:cs="Arial" w:eastAsia="Arial" w:hAnsi="Arial"/>
          <w:sz w:val="18"/>
          <w:szCs w:val="18"/>
          <w:color w:val="auto"/>
        </w:rPr>
      </w:pPr>
    </w:p>
    <w:p>
      <w:pPr>
        <w:jc w:val="both"/>
        <w:ind w:left="1740" w:hanging="868"/>
        <w:spacing w:after="0" w:line="254" w:lineRule="auto"/>
        <w:tabs>
          <w:tab w:leader="none" w:pos="1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Upon the Participant’s Termination due to Retirement (as that term is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prior to the third anniversary of the Award Date, the RSUs that remain eligible to vest after December 31, 2016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vest on the last to occur of (i) the date that the number of units eligible to vest is determined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(ii) the date of the Participant’s Termination due to Retirement; provided however, if the Participant’s Termination due to Retirement occurs prior to December 31, 2016, then the amount eligible to vest shall be prorated and determined based on the product of (A) the lesser of (i) the number of days served during 2016 plus 90, divided by 366, and (ii) one;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 number of RSUs eligible to vest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Any RSUs which do not vest in accordance with the formula shall be forfeited. The Participant shall not be entitled to receive any Dividend Equivalents on forfeited RSUs.</w:t>
      </w:r>
    </w:p>
    <w:p>
      <w:pPr>
        <w:spacing w:after="0" w:line="192" w:lineRule="exact"/>
        <w:rPr>
          <w:rFonts w:ascii="Arial" w:cs="Arial" w:eastAsia="Arial" w:hAnsi="Arial"/>
          <w:sz w:val="18"/>
          <w:szCs w:val="18"/>
          <w:color w:val="auto"/>
        </w:rPr>
      </w:pPr>
    </w:p>
    <w:p>
      <w:pPr>
        <w:jc w:val="both"/>
        <w:ind w:left="1740" w:hanging="868"/>
        <w:spacing w:after="0" w:line="264" w:lineRule="auto"/>
        <w:tabs>
          <w:tab w:leader="none" w:pos="1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Upon a Change in Control prior to the third anniversary of the Award Date, the Compensation Committee of the Board of Directors of the Corporation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w:t>
      </w:r>
      <w:r>
        <w:rPr>
          <w:rFonts w:ascii="Arial" w:cs="Arial" w:eastAsia="Arial" w:hAnsi="Arial"/>
          <w:sz w:val="18"/>
          <w:szCs w:val="18"/>
          <w:color w:val="auto"/>
        </w:rPr>
        <w:t>) may elect, in its sole discretion, to accelerate the vesting of some or all of the RSUs subject to this Agreement, 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5" w:name="page66"/>
    <w:bookmarkEnd w:id="65"/>
    <w:p>
      <w:pPr>
        <w:ind w:left="868"/>
        <w:spacing w:after="0" w:line="277" w:lineRule="auto"/>
        <w:rPr>
          <w:sz w:val="20"/>
          <w:szCs w:val="20"/>
          <w:color w:val="auto"/>
        </w:rPr>
      </w:pPr>
      <w:r>
        <w:rPr>
          <w:rFonts w:ascii="Arial" w:cs="Arial" w:eastAsia="Arial" w:hAnsi="Arial"/>
          <w:sz w:val="18"/>
          <w:szCs w:val="18"/>
          <w:color w:val="auto"/>
        </w:rPr>
        <w:t>accordance with the terms of the Plan. No provision of this Agreement shall require the Committee to accelerate such vesting upon a Change in Control or any other event.</w:t>
      </w:r>
    </w:p>
    <w:p>
      <w:pPr>
        <w:spacing w:after="0" w:line="170" w:lineRule="exact"/>
        <w:rPr>
          <w:sz w:val="20"/>
          <w:szCs w:val="20"/>
          <w:color w:val="auto"/>
        </w:rPr>
      </w:pPr>
    </w:p>
    <w:p>
      <w:pPr>
        <w:jc w:val="both"/>
        <w:ind w:left="868" w:hanging="868"/>
        <w:spacing w:after="0" w:line="264" w:lineRule="auto"/>
        <w:tabs>
          <w:tab w:leader="none" w:pos="8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To the extent any RSUs have not vested upon the Participant’s Termination pursuant to 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those RSUs shall be immediately forfeited upon the date of such Termination. Upon such forfeiture, the Participant shall no longer be entitled to receive Dividend Equivalents on such forfeited RSUs.</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ind w:left="868" w:hanging="868"/>
        <w:spacing w:after="0" w:line="266" w:lineRule="auto"/>
        <w:tabs>
          <w:tab w:leader="none" w:pos="86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Actual EBITDA</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amount of the Corporation’s earnings for fiscal year 2016, determined in accordance with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adjusted for interest expense, income taxes, depreciation and amortization expense, debt extinguishment and accelerated maintenance expense for new international deployments.</w:t>
      </w:r>
    </w:p>
    <w:p>
      <w:pPr>
        <w:spacing w:after="0" w:line="176" w:lineRule="exact"/>
        <w:rPr>
          <w:rFonts w:ascii="Arial" w:cs="Arial" w:eastAsia="Arial" w:hAnsi="Arial"/>
          <w:sz w:val="18"/>
          <w:szCs w:val="18"/>
          <w:color w:val="auto"/>
        </w:rPr>
      </w:pPr>
    </w:p>
    <w:p>
      <w:pPr>
        <w:jc w:val="both"/>
        <w:ind w:left="868" w:hanging="868"/>
        <w:spacing w:after="0" w:line="274" w:lineRule="auto"/>
        <w:tabs>
          <w:tab w:leader="none" w:pos="868"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Actual Free Cash Flow</w:t>
      </w:r>
      <w:r>
        <w:rPr>
          <w:rFonts w:ascii="Arial" w:cs="Arial" w:eastAsia="Arial" w:hAnsi="Arial"/>
          <w:sz w:val="17"/>
          <w:szCs w:val="17"/>
          <w:b w:val="1"/>
          <w:bCs w:val="1"/>
          <w:color w:val="auto"/>
        </w:rPr>
        <w:t xml:space="preserve">” </w:t>
      </w:r>
      <w:r>
        <w:rPr>
          <w:rFonts w:ascii="Arial" w:cs="Arial" w:eastAsia="Arial" w:hAnsi="Arial"/>
          <w:sz w:val="17"/>
          <w:szCs w:val="17"/>
          <w:color w:val="auto"/>
        </w:rPr>
        <w:t>means Actual EBITDA minus capital expenditures, plus or minus net gain or loss on sale of assets, minus</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mobilization expenses, plus or minus proceeds from vendor performance obligations, minus cash paid for interest, minus cash paid for taxes, plus or minus change in working capital, plus or minus equity gain/loss in joint ventures, plus or minus excess tax benefit/loss from share based compensation and plus or minus share based compensation. Actual Free Cash Flow shall not include new vessel capital expenditures (except to the extent expenditures are greater than or less than budget), new vessel financing or the profit &amp; loss and cash impact of unbudgeted asset sales.</w:t>
      </w:r>
    </w:p>
    <w:p>
      <w:pPr>
        <w:spacing w:after="0" w:line="173" w:lineRule="exact"/>
        <w:rPr>
          <w:rFonts w:ascii="Arial" w:cs="Arial" w:eastAsia="Arial" w:hAnsi="Arial"/>
          <w:sz w:val="17"/>
          <w:szCs w:val="17"/>
          <w:color w:val="auto"/>
        </w:rPr>
      </w:pPr>
    </w:p>
    <w:p>
      <w:pPr>
        <w:jc w:val="both"/>
        <w:ind w:left="868" w:hanging="868"/>
        <w:spacing w:after="0" w:line="258" w:lineRule="auto"/>
        <w:tabs>
          <w:tab w:leader="none" w:pos="86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Affiliated Entity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with respect to any entity, any other entity directly or indirectly controlling, controlled by 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control with such first entity. For these purposes, “control” (including the terms “controlled by” and “under common control with”) means the possession, direct or indirect, of the power to direct or cause the direction of the management policies of an entity by reason of ownership of voting securities, by contract or otherwise. A reference to an Affiliated Entity includes a reference to an Affiliate.</w:t>
      </w:r>
    </w:p>
    <w:p>
      <w:pPr>
        <w:spacing w:after="0" w:line="183" w:lineRule="exact"/>
        <w:rPr>
          <w:rFonts w:ascii="Arial" w:cs="Arial" w:eastAsia="Arial" w:hAnsi="Arial"/>
          <w:sz w:val="18"/>
          <w:szCs w:val="18"/>
          <w:color w:val="auto"/>
        </w:rPr>
      </w:pPr>
    </w:p>
    <w:p>
      <w:pPr>
        <w:jc w:val="both"/>
        <w:ind w:left="868" w:hanging="868"/>
        <w:spacing w:after="0" w:line="295" w:lineRule="auto"/>
        <w:tabs>
          <w:tab w:leader="none" w:pos="868"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Budgeted Free Cash Flow</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budgeted amount of the Corporation’s budgeted EBITDA minus capital expenditures, plus</w:t>
      </w:r>
      <w:r>
        <w:rPr>
          <w:rFonts w:ascii="Arial" w:cs="Arial" w:eastAsia="Arial" w:hAnsi="Arial"/>
          <w:sz w:val="16"/>
          <w:szCs w:val="16"/>
          <w:b w:val="1"/>
          <w:bCs w:val="1"/>
          <w:color w:val="auto"/>
        </w:rPr>
        <w:t xml:space="preserve"> </w:t>
      </w:r>
      <w:r>
        <w:rPr>
          <w:rFonts w:ascii="Arial" w:cs="Arial" w:eastAsia="Arial" w:hAnsi="Arial"/>
          <w:sz w:val="16"/>
          <w:szCs w:val="16"/>
          <w:color w:val="auto"/>
        </w:rPr>
        <w:t>or minus net gain or loss on sale of assets, minus international mobilization expenses, plus or minus proceeds from vendor performance obligations, minus cash paid for interest, minus cash paid for taxes, plus or minus change in working capital, plus or minus equity gain/loss in joint ventures, plus or minus excess tax benefit/loss from share based compensation and plus or minus share based compensation. Budgeted Free Cash Flow shall not include new vessel capital expenditures (except to the extent expenditures are greater than or less than budget), new vessel financing or the profit &amp; loss and cash impact of unbudgeted asset sales.</w:t>
      </w:r>
    </w:p>
    <w:p>
      <w:pPr>
        <w:spacing w:after="0" w:line="155" w:lineRule="exact"/>
        <w:rPr>
          <w:rFonts w:ascii="Arial" w:cs="Arial" w:eastAsia="Arial" w:hAnsi="Arial"/>
          <w:sz w:val="16"/>
          <w:szCs w:val="16"/>
          <w:color w:val="auto"/>
        </w:rPr>
      </w:pPr>
    </w:p>
    <w:p>
      <w:pPr>
        <w:jc w:val="both"/>
        <w:ind w:left="868" w:right="20" w:hanging="868"/>
        <w:spacing w:after="0" w:line="266" w:lineRule="auto"/>
        <w:tabs>
          <w:tab w:leader="none" w:pos="8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shall mean the Participant becoming unable to engage in any substantial gainful activity by reason of any medically determinable physical or mental impairment that can be expected to result in death or that has lasted or can be expected to last for a continuous period of not less than twelve (12) months, within the meaning of Code Section 22(e)(3).</w:t>
      </w:r>
    </w:p>
    <w:p>
      <w:pPr>
        <w:spacing w:after="0" w:line="176" w:lineRule="exact"/>
        <w:rPr>
          <w:rFonts w:ascii="Arial" w:cs="Arial" w:eastAsia="Arial" w:hAnsi="Arial"/>
          <w:sz w:val="18"/>
          <w:szCs w:val="18"/>
          <w:color w:val="auto"/>
        </w:rPr>
      </w:pPr>
    </w:p>
    <w:p>
      <w:pPr>
        <w:jc w:val="both"/>
        <w:ind w:left="868" w:hanging="868"/>
        <w:spacing w:after="0" w:line="258" w:lineRule="auto"/>
        <w:tabs>
          <w:tab w:leader="none" w:pos="86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any employment or consulting agreement between the Participant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an Affiliated Entity; provided, however, if (i) a uniform definition of Retirement is not used either within a single agreement or across multiple employment or consulting agreements between the Participant and the Corporation or an Affiliated Entity, (ii) there is no such agreement, or (iii) such agreement does not define Retirement, Retirement shall mean a Participant’s Termination, other than for Cause, which meets all of the following criteria.</w:t>
      </w:r>
    </w:p>
    <w:p>
      <w:pPr>
        <w:spacing w:after="0" w:line="200" w:lineRule="exact"/>
        <w:rPr>
          <w:sz w:val="20"/>
          <w:szCs w:val="20"/>
          <w:color w:val="auto"/>
        </w:rPr>
      </w:pPr>
    </w:p>
    <w:p>
      <w:pPr>
        <w:spacing w:after="0" w:line="204"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125" w:right="239" w:bottom="1440" w:gutter="0" w:footer="0" w:header="0"/>
        </w:sectPr>
      </w:pPr>
    </w:p>
    <w:bookmarkStart w:id="66" w:name="page67"/>
    <w:bookmarkEnd w:id="66"/>
    <w:p>
      <w:pPr>
        <w:ind w:left="2620" w:hanging="870"/>
        <w:spacing w:after="0"/>
        <w:tabs>
          <w:tab w:leader="none" w:pos="26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sum of (x) the continuous full years of Service by the Participant to the Corporation or an Affiliated Entity and</w:t>
      </w:r>
    </w:p>
    <w:p>
      <w:pPr>
        <w:spacing w:after="0" w:line="34" w:lineRule="exact"/>
        <w:rPr>
          <w:rFonts w:ascii="Arial" w:cs="Arial" w:eastAsia="Arial" w:hAnsi="Arial"/>
          <w:sz w:val="17"/>
          <w:szCs w:val="17"/>
          <w:color w:val="auto"/>
        </w:rPr>
      </w:pPr>
    </w:p>
    <w:p>
      <w:pPr>
        <w:jc w:val="both"/>
        <w:ind w:left="2620" w:hanging="5"/>
        <w:spacing w:after="0" w:line="290" w:lineRule="auto"/>
        <w:tabs>
          <w:tab w:leader="none" w:pos="2886" w:val="left"/>
        </w:tabs>
        <w:numPr>
          <w:ilvl w:val="2"/>
          <w:numId w:val="70"/>
        </w:numPr>
        <w:rPr>
          <w:rFonts w:ascii="Arial" w:cs="Arial" w:eastAsia="Arial" w:hAnsi="Arial"/>
          <w:sz w:val="16"/>
          <w:szCs w:val="16"/>
          <w:color w:val="auto"/>
        </w:rPr>
      </w:pPr>
      <w:r>
        <w:rPr>
          <w:rFonts w:ascii="Arial" w:cs="Arial" w:eastAsia="Arial" w:hAnsi="Arial"/>
          <w:sz w:val="16"/>
          <w:szCs w:val="16"/>
          <w:color w:val="auto"/>
        </w:rPr>
        <w:t>the attained age in full years of the Participant on the date of the Participant’s Termination total no less than 75 (the “Rule of 75”). A leave of absence which is agreed to between the Corporation and the Participant in writing for medical reasons or for military service shall not constitute a break in Service for this purpose. For example, a Participant was born on June 27, 1963, and started full-time employment with the Corporation on July 1, 1990, and works continuously as an Employee until a Termination on December 31, 2016. This Participant’s full years of Service are 26 years and his or her attained age on the date of Termination is 53 years. The total is 79, so the Participant satisfies the Rule of 75.</w:t>
      </w:r>
    </w:p>
    <w:p>
      <w:pPr>
        <w:spacing w:after="0" w:line="164" w:lineRule="exact"/>
        <w:rPr>
          <w:rFonts w:ascii="Arial" w:cs="Arial" w:eastAsia="Arial" w:hAnsi="Arial"/>
          <w:sz w:val="16"/>
          <w:szCs w:val="16"/>
          <w:color w:val="auto"/>
        </w:rPr>
      </w:pPr>
    </w:p>
    <w:p>
      <w:pPr>
        <w:jc w:val="both"/>
        <w:ind w:left="2620" w:hanging="870"/>
        <w:spacing w:after="0" w:line="264" w:lineRule="auto"/>
        <w:tabs>
          <w:tab w:leader="none" w:pos="2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Participant signs a Restrictive Covenant Agreement in anticipation of his Retirement, in the form provided to the Participant by the Corporation if the Corporation requests that the Participant do so, within the timeframe given to the Participant to sign by the Corporation.</w:t>
      </w:r>
    </w:p>
    <w:p>
      <w:pPr>
        <w:spacing w:after="0" w:line="181" w:lineRule="exact"/>
        <w:rPr>
          <w:rFonts w:ascii="Arial" w:cs="Arial" w:eastAsia="Arial" w:hAnsi="Arial"/>
          <w:sz w:val="18"/>
          <w:szCs w:val="18"/>
          <w:color w:val="auto"/>
        </w:rPr>
      </w:pPr>
    </w:p>
    <w:p>
      <w:pPr>
        <w:jc w:val="both"/>
        <w:ind w:left="2620" w:hanging="870"/>
        <w:spacing w:after="0" w:line="264" w:lineRule="auto"/>
        <w:tabs>
          <w:tab w:leader="none" w:pos="2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Participant gives his direct supervisor, or in the case of the Chief Executive Officer, the Board of Directors, at least two months’ prior written notice of his Retirement, or if the Participant is an officer of the Corporation, three months’ prior written notice of his Retirement.</w:t>
      </w:r>
    </w:p>
    <w:p>
      <w:pPr>
        <w:spacing w:after="0" w:line="177" w:lineRule="exact"/>
        <w:rPr>
          <w:rFonts w:ascii="Arial" w:cs="Arial" w:eastAsia="Arial" w:hAnsi="Arial"/>
          <w:sz w:val="18"/>
          <w:szCs w:val="18"/>
          <w:color w:val="auto"/>
        </w:rPr>
      </w:pPr>
    </w:p>
    <w:p>
      <w:pPr>
        <w:jc w:val="both"/>
        <w:ind w:left="1740" w:hanging="868"/>
        <w:spacing w:after="0" w:line="256" w:lineRule="auto"/>
        <w:tabs>
          <w:tab w:leader="none" w:pos="17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agreement between the Corporation or an Affiliated Entity and the Participant, in</w:t>
      </w:r>
      <w:r>
        <w:rPr>
          <w:rFonts w:ascii="Arial" w:cs="Arial" w:eastAsia="Arial" w:hAnsi="Arial"/>
          <w:sz w:val="18"/>
          <w:szCs w:val="18"/>
          <w:b w:val="1"/>
          <w:bCs w:val="1"/>
          <w:color w:val="auto"/>
        </w:rPr>
        <w:t xml:space="preserve"> </w:t>
      </w:r>
      <w:r>
        <w:rPr>
          <w:rFonts w:ascii="Arial" w:cs="Arial" w:eastAsia="Arial" w:hAnsi="Arial"/>
          <w:sz w:val="18"/>
          <w:szCs w:val="18"/>
          <w:color w:val="auto"/>
        </w:rPr>
        <w:t>a form satisfactory to the Corporation or the Affiliated Entity,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extend beyond the three-year anniversary of the Participant’s Termination due to Retirement.</w:t>
      </w:r>
    </w:p>
    <w:p>
      <w:pPr>
        <w:spacing w:after="0" w:line="188" w:lineRule="exact"/>
        <w:rPr>
          <w:sz w:val="20"/>
          <w:szCs w:val="20"/>
          <w:color w:val="auto"/>
        </w:rPr>
      </w:pPr>
    </w:p>
    <w:p>
      <w:pPr>
        <w:jc w:val="both"/>
        <w:ind w:firstLine="885"/>
        <w:spacing w:after="0" w:line="258" w:lineRule="auto"/>
        <w:tabs>
          <w:tab w:leader="none" w:pos="1661"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 of RSUs into Stock</w:t>
      </w:r>
      <w:r>
        <w:rPr>
          <w:rFonts w:ascii="Arial" w:cs="Arial" w:eastAsia="Arial" w:hAnsi="Arial"/>
          <w:sz w:val="18"/>
          <w:szCs w:val="18"/>
          <w:color w:val="auto"/>
        </w:rPr>
        <w:t>. On the Conversion Date (as defined below), the RSUs which are vested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converted into an equivalent number of shares of Stock that will be issued to the Participant, or in the event of the Participant’s death, the Participant’s beneficiary. Within 30 days after the Conversion Date, the Company shall deliver the shares, as evidenced by the appropriate entry on the books of the Company or of a duly authorized transfer agent of the Company. Subject to Section 18, the “</w:t>
      </w:r>
      <w:r>
        <w:rPr>
          <w:rFonts w:ascii="Arial" w:cs="Arial" w:eastAsia="Arial" w:hAnsi="Arial"/>
          <w:sz w:val="18"/>
          <w:szCs w:val="18"/>
          <w:b w:val="1"/>
          <w:bCs w:val="1"/>
          <w:u w:val="single" w:color="auto"/>
          <w:color w:val="auto"/>
        </w:rPr>
        <w:t>Conversion Date</w:t>
      </w:r>
      <w:r>
        <w:rPr>
          <w:rFonts w:ascii="Arial" w:cs="Arial" w:eastAsia="Arial" w:hAnsi="Arial"/>
          <w:sz w:val="18"/>
          <w:szCs w:val="18"/>
          <w:color w:val="auto"/>
        </w:rPr>
        <w:t>” shall be determined in accordance with the following:</w:t>
      </w:r>
    </w:p>
    <w:p>
      <w:pPr>
        <w:spacing w:after="0" w:line="188" w:lineRule="exact"/>
        <w:rPr>
          <w:sz w:val="20"/>
          <w:szCs w:val="20"/>
          <w:color w:val="auto"/>
        </w:rPr>
      </w:pPr>
    </w:p>
    <w:p>
      <w:pPr>
        <w:jc w:val="both"/>
        <w:ind w:left="1740" w:hanging="868"/>
        <w:spacing w:after="0" w:line="291" w:lineRule="auto"/>
        <w:tabs>
          <w:tab w:leader="none" w:pos="17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In the event of the Participant’s death, Termination due to Disability or Termination (where RSUs are vested pursuant to the terms of an employment, consulting or other written agreement) prior to March 9, 2019, the Conversion Date shall be the later of (i) the date that the number of units eligible to vest is determined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or (ii) the Participant’s death, Termination due to Disability or other Termination (where RSUs are vested pursuant to the terms of an employment, consulting or other written agreement), as applicable, except as delayed as required by the terms of </w:t>
      </w:r>
      <w:r>
        <w:rPr>
          <w:rFonts w:ascii="Arial" w:cs="Arial" w:eastAsia="Arial" w:hAnsi="Arial"/>
          <w:sz w:val="16"/>
          <w:szCs w:val="16"/>
          <w:u w:val="single" w:color="auto"/>
          <w:color w:val="auto"/>
        </w:rPr>
        <w:t>Section 6(a); provided, however,</w:t>
      </w:r>
      <w:r>
        <w:rPr>
          <w:rFonts w:ascii="Arial" w:cs="Arial" w:eastAsia="Arial" w:hAnsi="Arial"/>
          <w:sz w:val="16"/>
          <w:szCs w:val="16"/>
          <w:color w:val="auto"/>
        </w:rPr>
        <w:t xml:space="preserve"> in the event the Participant satisfies the Rule of 75 at the time of a Termination due to Disability or other Termination (where RSUs are vested pursuant to the terms of an employment, consulting or other written agreement), the Conversion Date shall be the next regularly scheduled Vest Date;</w:t>
      </w:r>
    </w:p>
    <w:p>
      <w:pPr>
        <w:spacing w:after="0" w:line="167" w:lineRule="exact"/>
        <w:rPr>
          <w:rFonts w:ascii="Arial" w:cs="Arial" w:eastAsia="Arial" w:hAnsi="Arial"/>
          <w:sz w:val="16"/>
          <w:szCs w:val="16"/>
          <w:color w:val="auto"/>
        </w:rPr>
      </w:pPr>
    </w:p>
    <w:p>
      <w:pPr>
        <w:jc w:val="both"/>
        <w:ind w:left="1740" w:hanging="868"/>
        <w:spacing w:after="0" w:line="257" w:lineRule="auto"/>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event of a Change in Control prior to March 9, 2019, in which the Committee elects to accelerate the vesting of some or all of the RSUs, the Conversion Date with respect to such RSUs shall be, to the extent permitted under Section 409A of the Code, the date that a Change in Control occurs, if such Change in Control meets the requirements of the definition of a change in the ownership or effective control of a corporation, or a change in the ownership of a substantial portion of the assets of a corporation contained in the regulations promulgated under Code Section 409A;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ind w:left="1740" w:right="20" w:hanging="868"/>
        <w:spacing w:after="0" w:line="308" w:lineRule="auto"/>
        <w:tabs>
          <w:tab w:leader="none" w:pos="1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event of the Participant’s Termination due to Retirement prior to March 9, 2019, the Conversion Date shall be the next Vest Date, but only to the extent the RSUs vest on such Vest Date in accordance with Section 5 and Section 6(c); and</w:t>
      </w:r>
    </w:p>
    <w:p>
      <w:pPr>
        <w:spacing w:after="0" w:line="146" w:lineRule="exact"/>
        <w:rPr>
          <w:rFonts w:ascii="Arial" w:cs="Arial" w:eastAsia="Arial" w:hAnsi="Arial"/>
          <w:sz w:val="17"/>
          <w:szCs w:val="17"/>
          <w:color w:val="auto"/>
        </w:rPr>
      </w:pPr>
    </w:p>
    <w:p>
      <w:pPr>
        <w:jc w:val="both"/>
        <w:ind w:left="1740" w:hanging="868"/>
        <w:spacing w:after="0" w:line="264" w:lineRule="auto"/>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that none of the events described in the foregoing clauses (a), (b) or (c) occur prior to March 9, 2019 or to the extent Section 409A prohibits the settlement of the RSUs under clause (b), the Conversion Date shall be the regularly scheduled Vest Dates, but only to the extent the RSUs vest on such Vest Date.</w:t>
      </w:r>
    </w:p>
    <w:p>
      <w:pPr>
        <w:spacing w:after="0" w:line="177" w:lineRule="exact"/>
        <w:rPr>
          <w:sz w:val="20"/>
          <w:szCs w:val="20"/>
          <w:color w:val="auto"/>
        </w:rPr>
      </w:pPr>
    </w:p>
    <w:p>
      <w:pPr>
        <w:jc w:val="both"/>
        <w:ind w:firstLine="885"/>
        <w:spacing w:after="0" w:line="271" w:lineRule="auto"/>
        <w:tabs>
          <w:tab w:leader="none" w:pos="1661"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All deliveries and distributions under this Agreement are subject to withholding of all applicable taxes.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may either require the Participant to remit to the Corporation an amount sufficient to satisfy such tax withholding requirements or, in the discretion of the Committee, the Corporation may withhold the minimum number of shares of Stock sufficient to satisfy all or a portion of such tax withholding requirements. To the extent the Corporation does not elect to withhold shares of Stock sufficient to satisfy the tax withholding requirements, subject to the terms of Section 10.6 of the Plan, the Participant may satisfy such withholding obligations in shares of Stock; provided that the Participant will be deemed to have instructed and authorized the Corporation or its delegate for such purpose to sell on the Participant’s behalf a whole number of shares of Stock as the Corporation or its delegate determines to be appropriate to generate cash proceeds sufficient to satisfy the minimum tax withholding obligation. In such case, the Participant will be responsible for all brokerage fees and other costs of sale, and the Participant agrees to indemnify and hold the Corporation harmless from any losses, costs, damages or expenses relating to such sale.</w:t>
      </w:r>
    </w:p>
    <w:p>
      <w:pPr>
        <w:spacing w:after="0" w:line="174" w:lineRule="exact"/>
        <w:rPr>
          <w:rFonts w:ascii="Arial" w:cs="Arial" w:eastAsia="Arial" w:hAnsi="Arial"/>
          <w:sz w:val="17"/>
          <w:szCs w:val="17"/>
          <w:color w:val="auto"/>
        </w:rPr>
      </w:pPr>
    </w:p>
    <w:p>
      <w:pPr>
        <w:jc w:val="both"/>
        <w:ind w:firstLine="885"/>
        <w:spacing w:after="0" w:line="266" w:lineRule="auto"/>
        <w:tabs>
          <w:tab w:leader="none" w:pos="175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 The Plan and this Agreement shall be administered and may be definitively interpreted by the Committee,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agrees that the decisions of such Committee concerning administration and interpretation of the Plan and this Agreement shall be final, binding and conclusive on all persons.</w:t>
      </w:r>
    </w:p>
    <w:p>
      <w:pPr>
        <w:spacing w:after="0" w:line="176" w:lineRule="exact"/>
        <w:rPr>
          <w:rFonts w:ascii="Arial" w:cs="Arial" w:eastAsia="Arial" w:hAnsi="Arial"/>
          <w:sz w:val="18"/>
          <w:szCs w:val="18"/>
          <w:color w:val="auto"/>
        </w:rPr>
      </w:pPr>
    </w:p>
    <w:p>
      <w:pPr>
        <w:jc w:val="both"/>
        <w:ind w:firstLine="885"/>
        <w:spacing w:after="0" w:line="256" w:lineRule="auto"/>
        <w:tabs>
          <w:tab w:leader="none" w:pos="1744"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required or permitted under the Plan must be in writing and must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personally, sent by certified, registered or express mail, or sent by overnight courier, at the sender’s expense. Notice will be deemed given (i) when delivered personally, or (ii) if mailed, three days after the date of deposit in the United States mail or (iii) if sent by overnight courier, on the regular business day following the date sent. Notice to the Participant should be sent to the address set forth on the Corporation’s records. Either party may change the address to which the other party must give notice under this Agreement by giving the other party written notice of this change in accordance with the procedures discussed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885"/>
        <w:spacing w:after="0" w:line="266" w:lineRule="auto"/>
        <w:tabs>
          <w:tab w:leader="none" w:pos="175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An Employment Contract</w:t>
      </w:r>
      <w:r>
        <w:rPr>
          <w:rFonts w:ascii="Arial" w:cs="Arial" w:eastAsia="Arial" w:hAnsi="Arial"/>
          <w:sz w:val="18"/>
          <w:szCs w:val="18"/>
          <w:color w:val="auto"/>
        </w:rPr>
        <w:t>. This Award will not confer on the Participant any right with respect to continuance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Corporation or any Affiliated Entity, nor will it interfere in any way with any right the Corporation or any Affiliated Entity would otherwise have to terminate or modify the terms of such Participant’s employment at any time.</w:t>
      </w:r>
    </w:p>
    <w:p>
      <w:pPr>
        <w:spacing w:after="0" w:line="176" w:lineRule="exact"/>
        <w:rPr>
          <w:rFonts w:ascii="Arial" w:cs="Arial" w:eastAsia="Arial" w:hAnsi="Arial"/>
          <w:sz w:val="18"/>
          <w:szCs w:val="18"/>
          <w:color w:val="auto"/>
        </w:rPr>
      </w:pPr>
    </w:p>
    <w:p>
      <w:pPr>
        <w:jc w:val="both"/>
        <w:ind w:firstLine="885"/>
        <w:spacing w:after="0" w:line="261" w:lineRule="auto"/>
        <w:tabs>
          <w:tab w:leader="none" w:pos="175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Unfunded Status of the Plan</w:t>
      </w:r>
      <w:r>
        <w:rPr>
          <w:rFonts w:ascii="Arial" w:cs="Arial" w:eastAsia="Arial" w:hAnsi="Arial"/>
          <w:sz w:val="18"/>
          <w:szCs w:val="18"/>
          <w:color w:val="auto"/>
        </w:rPr>
        <w:t>. The Plan is unfunded. The Corporation is not required to establish any special or separate fund or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other segregation of assets to assure the payment of any benefits under the Plan. With respect to any payments not yet made to the Participant or shares of Stock not yet delivered to the Participant under this Agreement, the Participant shall have no rights greater than those of a general unsecured creditor of the Corporation.</w:t>
      </w:r>
    </w:p>
    <w:p>
      <w:pPr>
        <w:spacing w:after="0" w:line="180" w:lineRule="exact"/>
        <w:rPr>
          <w:rFonts w:ascii="Arial" w:cs="Arial" w:eastAsia="Arial" w:hAnsi="Arial"/>
          <w:sz w:val="18"/>
          <w:szCs w:val="18"/>
          <w:color w:val="auto"/>
        </w:rPr>
      </w:pPr>
    </w:p>
    <w:p>
      <w:pPr>
        <w:ind w:firstLine="885"/>
        <w:spacing w:after="0" w:line="282" w:lineRule="auto"/>
        <w:tabs>
          <w:tab w:leader="none" w:pos="175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in accordance with the provisions of the Plan, and may otherwise be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of the Participant and the Corporation without the consent of any other person.</w:t>
      </w:r>
    </w:p>
    <w:p>
      <w:pPr>
        <w:spacing w:after="0" w:line="161" w:lineRule="exact"/>
        <w:rPr>
          <w:rFonts w:ascii="Arial" w:cs="Arial" w:eastAsia="Arial" w:hAnsi="Arial"/>
          <w:sz w:val="18"/>
          <w:szCs w:val="18"/>
          <w:color w:val="auto"/>
        </w:rPr>
      </w:pPr>
    </w:p>
    <w:p>
      <w:pPr>
        <w:jc w:val="both"/>
        <w:ind w:firstLine="885"/>
        <w:spacing w:after="0" w:line="281" w:lineRule="auto"/>
        <w:tabs>
          <w:tab w:leader="none" w:pos="1751" w:val="left"/>
        </w:tabs>
        <w:numPr>
          <w:ilvl w:val="0"/>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To the extent not preempted by Federal law, the Plan and this Agreement will be construed, administered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in all respects under and by the laws of the State of Delaware, without giving effect to its conflict of laws principles. If any provision of this Agreement will be held by a court of competent jurisdiction to be invalid or unenforceable, the remaining provisions hereof will continue to be fully effective. The jurisdiction and venue for any disputes arising under, or any action brought to enforce (or otherwise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line="277" w:lineRule="auto"/>
        <w:rPr>
          <w:sz w:val="20"/>
          <w:szCs w:val="20"/>
          <w:color w:val="auto"/>
        </w:rPr>
      </w:pPr>
      <w:r>
        <w:rPr>
          <w:rFonts w:ascii="Arial" w:cs="Arial" w:eastAsia="Arial" w:hAnsi="Arial"/>
          <w:sz w:val="18"/>
          <w:szCs w:val="18"/>
          <w:color w:val="auto"/>
        </w:rPr>
        <w:t>relating to) this Agreement will be exclusively in the courts in the State of Illinois, County of Cook, including the Federal courts located therein (should Federal jurisdiction exist).</w:t>
      </w:r>
    </w:p>
    <w:p>
      <w:pPr>
        <w:spacing w:after="0" w:line="166" w:lineRule="exact"/>
        <w:rPr>
          <w:sz w:val="20"/>
          <w:szCs w:val="20"/>
          <w:color w:val="auto"/>
        </w:rPr>
      </w:pPr>
    </w:p>
    <w:p>
      <w:pPr>
        <w:jc w:val="both"/>
        <w:ind w:firstLine="885"/>
        <w:spacing w:after="0" w:line="272" w:lineRule="auto"/>
        <w:tabs>
          <w:tab w:leader="none" w:pos="1751" w:val="left"/>
        </w:tabs>
        <w:numPr>
          <w:ilvl w:val="0"/>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Securities Law Requirements</w:t>
      </w:r>
      <w:r>
        <w:rPr>
          <w:rFonts w:ascii="Arial" w:cs="Arial" w:eastAsia="Arial" w:hAnsi="Arial"/>
          <w:sz w:val="17"/>
          <w:szCs w:val="17"/>
          <w:color w:val="auto"/>
        </w:rPr>
        <w:t>. If at any time the Committee determines that issuing shares of Stock would violate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laws, the Corporation will not be required to issue shares of Stock. The Committee may declare any provision of this Agreement or action of its own null and void, if it determines the provision or action fails to comply with the short-swing trading rules. The Committee may require the Participant to make written representations it deems necessary to comply with applicable securities laws. No person who acquires shares of Stock under this Agreement may sell the shares of Stock, unless he or she makes an offer and sale pursuant to an effective registration statement under the Securities Act of 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which is current and includes the shares of Stock to be sold, or there is an exemption from the registration requirements of the Securities Act. The Participant’s right to resell the shares of Stock will be subject to all Federal and state securities laws, including SEC Rule 144, and subject to the Corporation’s policy on securities trading and disclosure of confidential information.</w:t>
      </w:r>
    </w:p>
    <w:p>
      <w:pPr>
        <w:spacing w:after="0" w:line="172"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color w:val="auto"/>
        </w:rPr>
        <w:t>17.</w:t>
      </w:r>
      <w:r>
        <w:rPr>
          <w:rFonts w:ascii="Arial" w:cs="Arial" w:eastAsia="Arial" w:hAnsi="Arial"/>
          <w:sz w:val="18"/>
          <w:szCs w:val="18"/>
          <w:b w:val="1"/>
          <w:bCs w:val="1"/>
          <w:u w:val="single" w:color="auto"/>
          <w:color w:val="auto"/>
        </w:rPr>
        <w:t>Recoupment</w:t>
      </w:r>
      <w:r>
        <w:rPr>
          <w:rFonts w:ascii="Arial" w:cs="Arial" w:eastAsia="Arial" w:hAnsi="Arial"/>
          <w:sz w:val="18"/>
          <w:szCs w:val="18"/>
          <w:color w:val="auto"/>
        </w:rPr>
        <w:t xml:space="preserve">. The Participant acknowledges that he is familiar with terms of the Corporation’s </w:t>
      </w:r>
      <w:r>
        <w:rPr>
          <w:rFonts w:ascii="Arial" w:cs="Arial" w:eastAsia="Arial" w:hAnsi="Arial"/>
          <w:sz w:val="18"/>
          <w:szCs w:val="18"/>
          <w:i w:val="1"/>
          <w:iCs w:val="1"/>
          <w:color w:val="auto"/>
        </w:rPr>
        <w:t>Statement of Policy Regarding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Recoupment </w:t>
      </w:r>
      <w:r>
        <w:rPr>
          <w:rFonts w:ascii="Arial" w:cs="Arial" w:eastAsia="Arial" w:hAnsi="Arial"/>
          <w:sz w:val="18"/>
          <w:szCs w:val="18"/>
          <w:color w:val="auto"/>
        </w:rPr>
        <w:t>(attached hereto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1</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Policy</w:t>
      </w:r>
      <w:r>
        <w:rPr>
          <w:rFonts w:ascii="Arial" w:cs="Arial" w:eastAsia="Arial" w:hAnsi="Arial"/>
          <w:sz w:val="18"/>
          <w:szCs w:val="18"/>
          <w:color w:val="auto"/>
        </w:rPr>
        <w:t>”). The Participant further acknowledges that this Award is subject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Policy, if and to the extent that the Policy, by its terms, applies to the Award and the Participant. The terms of the Policy (as it may be amended from time to time) are incorporated by reference herein and made a part of this Agreement.</w:t>
      </w:r>
    </w:p>
    <w:p>
      <w:pPr>
        <w:spacing w:after="0" w:line="180" w:lineRule="exact"/>
        <w:rPr>
          <w:sz w:val="20"/>
          <w:szCs w:val="20"/>
          <w:color w:val="auto"/>
        </w:rPr>
      </w:pPr>
    </w:p>
    <w:p>
      <w:pPr>
        <w:jc w:val="both"/>
        <w:ind w:firstLine="877"/>
        <w:spacing w:after="0" w:line="314" w:lineRule="auto"/>
        <w:rPr>
          <w:sz w:val="20"/>
          <w:szCs w:val="20"/>
          <w:color w:val="auto"/>
        </w:rPr>
      </w:pPr>
      <w:r>
        <w:rPr>
          <w:rFonts w:ascii="Arial" w:cs="Arial" w:eastAsia="Arial" w:hAnsi="Arial"/>
          <w:sz w:val="16"/>
          <w:szCs w:val="16"/>
          <w:color w:val="auto"/>
        </w:rPr>
        <w:t>18.</w:t>
      </w: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Agreement is intended to be a “nonqualified deferred compensation arrangement” that complies with the provisions of Code Section 409A and the regulations thereunder and this Agreement shall be interpreted and operated consistent with such intent. Accordingly, all provisions of this Agreement shall be construed in a manner consistent with avoiding taxes or penalties under Code Section 409A, including:</w:t>
      </w:r>
    </w:p>
    <w:p>
      <w:pPr>
        <w:spacing w:after="0" w:line="146" w:lineRule="exact"/>
        <w:rPr>
          <w:sz w:val="20"/>
          <w:szCs w:val="20"/>
          <w:color w:val="auto"/>
        </w:rPr>
      </w:pPr>
    </w:p>
    <w:p>
      <w:pPr>
        <w:jc w:val="both"/>
        <w:ind w:left="1740" w:hanging="868"/>
        <w:spacing w:after="0" w:line="279" w:lineRule="auto"/>
        <w:tabs>
          <w:tab w:leader="none" w:pos="17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Termination shall not be deemed to have occurred for purposes of any provision of this Agreement providing for any payment or distribution upon or following a Termination unless such Termination is also a “separation from service” within the meaning of Code Section 409A and Treas. Reg. §1.409A-1(h) and, for purposes of any such provision of this Agreement, references therein to a “termination,” “termination of employment” or like terms shall mean “separation from service”; and</w:t>
      </w:r>
    </w:p>
    <w:p>
      <w:pPr>
        <w:spacing w:after="0" w:line="171" w:lineRule="exact"/>
        <w:rPr>
          <w:rFonts w:ascii="Arial" w:cs="Arial" w:eastAsia="Arial" w:hAnsi="Arial"/>
          <w:sz w:val="17"/>
          <w:szCs w:val="17"/>
          <w:color w:val="auto"/>
        </w:rPr>
      </w:pPr>
    </w:p>
    <w:p>
      <w:pPr>
        <w:jc w:val="both"/>
        <w:ind w:left="1740" w:hanging="868"/>
        <w:spacing w:after="0" w:line="257" w:lineRule="auto"/>
        <w:tabs>
          <w:tab w:leader="none" w:pos="1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Participant is a “specified employee” (as described in Treas. Reg. §1.409A-1(i), with such classification to be determined in accordance with the methodology established by the Corporation), any payment or distribution made under this Agreement pursuant to the Participant’s “separation from service” shall be made on the date that is six months following the Participant’s “separation from service” to the extent required by Code Section 409A and the interpretive guidance thereunder or, if earlier, the date of the Participant’s death.</w:t>
      </w:r>
    </w:p>
    <w:p>
      <w:pPr>
        <w:spacing w:after="0" w:line="184" w:lineRule="exact"/>
        <w:rPr>
          <w:rFonts w:ascii="Arial" w:cs="Arial" w:eastAsia="Arial" w:hAnsi="Arial"/>
          <w:sz w:val="18"/>
          <w:szCs w:val="18"/>
          <w:color w:val="auto"/>
        </w:rPr>
      </w:pPr>
    </w:p>
    <w:p>
      <w:pPr>
        <w:jc w:val="both"/>
        <w:ind w:firstLine="885"/>
        <w:spacing w:after="0" w:line="256" w:lineRule="auto"/>
        <w:tabs>
          <w:tab w:leader="none" w:pos="1751" w:val="left"/>
        </w:tabs>
        <w:numPr>
          <w:ilvl w:val="1"/>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instrument. The exchange of copies of this Agreement and of signature pages by electronic mail in “portable document format” (“.pdf”) form, or by any other electronic means intended to preserve the original graphic and pictorial appearance of a document, or by combination of such means, shall constitute effective execution and delivery of this Agreement as to the parties and may be used in lieu of the original Agreement for all purposes. Signatures of the parties through electronic means or methods shall be deemed to be their original signatures for all purposes.</w:t>
      </w:r>
    </w:p>
    <w:p>
      <w:pPr>
        <w:spacing w:after="0" w:line="188" w:lineRule="exact"/>
        <w:rPr>
          <w:sz w:val="20"/>
          <w:szCs w:val="20"/>
          <w:color w:val="auto"/>
        </w:rPr>
      </w:pPr>
    </w:p>
    <w:p>
      <w:pPr>
        <w:ind w:right="20" w:firstLine="877"/>
        <w:spacing w:after="0" w:line="313" w:lineRule="auto"/>
        <w:rPr>
          <w:sz w:val="20"/>
          <w:szCs w:val="20"/>
          <w:color w:val="auto"/>
        </w:rPr>
      </w:pPr>
      <w:r>
        <w:rPr>
          <w:rFonts w:ascii="Arial" w:cs="Arial" w:eastAsia="Arial" w:hAnsi="Arial"/>
          <w:sz w:val="17"/>
          <w:szCs w:val="17"/>
          <w:color w:val="auto"/>
        </w:rPr>
        <w:t>20.</w:t>
      </w:r>
      <w:r>
        <w:rPr>
          <w:rFonts w:ascii="Arial" w:cs="Arial" w:eastAsia="Arial" w:hAnsi="Arial"/>
          <w:sz w:val="17"/>
          <w:szCs w:val="17"/>
          <w:b w:val="1"/>
          <w:bCs w:val="1"/>
          <w:u w:val="single" w:color="auto"/>
          <w:color w:val="auto"/>
        </w:rPr>
        <w:t>Conflicts</w:t>
      </w:r>
      <w:r>
        <w:rPr>
          <w:rFonts w:ascii="Arial" w:cs="Arial" w:eastAsia="Arial" w:hAnsi="Arial"/>
          <w:sz w:val="17"/>
          <w:szCs w:val="17"/>
          <w:color w:val="auto"/>
        </w:rPr>
        <w:t>. In the event of a conflict between this Agreement and any employment or consulting agreement between the Participant and the Corporation or an Affiliated Entity with respect to a Termination occurring before December 31, 2016, this Agreement shall control.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by the Participant and, on behalf of the Corporation, by its duly authorized officer, all</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day and year first above written.</w:t>
      </w:r>
    </w:p>
    <w:p>
      <w:pPr>
        <w:spacing w:after="0" w:line="162"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GREAT LAKES DREDGE &amp; DOCK CORPORATION</w:t>
      </w:r>
      <w:r>
        <w:rPr>
          <w:rFonts w:ascii="Arial" w:cs="Arial" w:eastAsia="Arial" w:hAnsi="Arial"/>
          <w:sz w:val="18"/>
          <w:szCs w:val="18"/>
          <w:color w:val="auto"/>
        </w:rPr>
        <w:t>,</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___</w:t>
      </w:r>
      <w:r>
        <w:rPr>
          <w:rFonts w:ascii="Arial" w:cs="Arial" w:eastAsia="Arial" w:hAnsi="Arial"/>
          <w:sz w:val="18"/>
          <w:szCs w:val="18"/>
          <w:u w:val="single" w:color="auto"/>
          <w:color w:val="auto"/>
        </w:rPr>
        <w:t>/s/ Kathleen M. LaVoy</w:t>
      </w:r>
      <w:r>
        <w:rPr>
          <w:rFonts w:ascii="Arial" w:cs="Arial" w:eastAsia="Arial" w:hAnsi="Arial"/>
          <w:sz w:val="18"/>
          <w:szCs w:val="18"/>
          <w:color w:val="auto"/>
        </w:rPr>
        <w:t xml:space="preserve"> _______________</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Kathleen M. LaVoy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Interim Chief Legal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auto"/>
        </w:rPr>
        <w:t>/s/ Jonathan W. Berger</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Jonathan W. Berger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POLICY REGARDING INCENTIVE COMPENSATION RECOUPMENT</w:t>
      </w:r>
    </w:p>
    <w:p>
      <w:pPr>
        <w:spacing w:after="0" w:line="200" w:lineRule="exact"/>
        <w:rPr>
          <w:sz w:val="20"/>
          <w:szCs w:val="20"/>
          <w:color w:val="auto"/>
        </w:rPr>
      </w:pPr>
    </w:p>
    <w:p>
      <w:pPr>
        <w:spacing w:after="0" w:line="245"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This Policy Statement has been adopted by the Board of Directors of Great Lakes Dredge &amp; Dock Corporation, a Delaware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(the “Company”). The Company has adopted this incentive compensation recoupment policy (the “Policy”) in order to ensure that Incentive Compensation (as defined below) is paid based on accurate financial data. Under the circumstances described below, the Company may seek to recover Incentive Compensation that would have not been paid if the correct performance data had been used to determine the amount payable. The Compensation Committee of the Board of Directors of Great Lakes Dredge &amp; Dock Corporation (the “Committee”) shall have full authority to interpret and enforce the Policy and may recommend that the Board of Directors take action with respect to the Policy. The Policy shall apply to all Incentive Compensation awarded to Covered Employees regardless of individual fault, and is in addition to the requirements of Section 304 of the Sarbanes-Oxley Act of 2002. The Committee may amend or terminate this Policy at any time.</w:t>
      </w:r>
    </w:p>
    <w:p>
      <w:pPr>
        <w:spacing w:after="0" w:line="179" w:lineRule="exact"/>
        <w:rPr>
          <w:sz w:val="20"/>
          <w:szCs w:val="20"/>
          <w:color w:val="auto"/>
        </w:rPr>
      </w:pPr>
    </w:p>
    <w:p>
      <w:pPr>
        <w:jc w:val="both"/>
        <w:ind w:right="20" w:firstLine="877"/>
        <w:spacing w:after="0" w:line="259" w:lineRule="auto"/>
        <w:rPr>
          <w:sz w:val="20"/>
          <w:szCs w:val="20"/>
          <w:color w:val="auto"/>
        </w:rPr>
      </w:pPr>
      <w:r>
        <w:rPr>
          <w:rFonts w:ascii="Arial" w:cs="Arial" w:eastAsia="Arial" w:hAnsi="Arial"/>
          <w:sz w:val="18"/>
          <w:szCs w:val="18"/>
          <w:i w:val="1"/>
          <w:iCs w:val="1"/>
          <w:color w:val="auto"/>
        </w:rPr>
        <w:t>Covered Employees</w:t>
      </w:r>
      <w:r>
        <w:rPr>
          <w:rFonts w:ascii="Arial" w:cs="Arial" w:eastAsia="Arial" w:hAnsi="Arial"/>
          <w:sz w:val="18"/>
          <w:szCs w:val="18"/>
          <w:color w:val="auto"/>
        </w:rPr>
        <w:t>. The Policy applies to the following (each a “Covered Employee”): (i) the current and former executive officers of Great</w:t>
      </w:r>
      <w:r>
        <w:rPr>
          <w:rFonts w:ascii="Arial" w:cs="Arial" w:eastAsia="Arial" w:hAnsi="Arial"/>
          <w:sz w:val="18"/>
          <w:szCs w:val="18"/>
          <w:i w:val="1"/>
          <w:iCs w:val="1"/>
          <w:color w:val="auto"/>
        </w:rPr>
        <w:t xml:space="preserve"> </w:t>
      </w:r>
      <w:r>
        <w:rPr>
          <w:rFonts w:ascii="Arial" w:cs="Arial" w:eastAsia="Arial" w:hAnsi="Arial"/>
          <w:sz w:val="18"/>
          <w:szCs w:val="18"/>
          <w:color w:val="auto"/>
        </w:rPr>
        <w:t>Lakes Dredge &amp; Dock Corporation, as determined from time to time pursuant to Rule 3b-7 under the Securities Exchange Act of 1934, as amended, and (ii) any other employee of the Company or any Affiliate, as defined in Rule 12b-2 under the Securities Exchange Act of 1934, designated by the Board or the Committee from time to time by notice to the employee.</w:t>
      </w:r>
    </w:p>
    <w:p>
      <w:pPr>
        <w:spacing w:after="0" w:line="187"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7"/>
          <w:szCs w:val="17"/>
          <w:i w:val="1"/>
          <w:iCs w:val="1"/>
          <w:color w:val="auto"/>
        </w:rPr>
        <w:t>Incentive Compensation</w:t>
      </w:r>
      <w:r>
        <w:rPr>
          <w:rFonts w:ascii="Arial" w:cs="Arial" w:eastAsia="Arial" w:hAnsi="Arial"/>
          <w:sz w:val="17"/>
          <w:szCs w:val="17"/>
          <w:color w:val="auto"/>
        </w:rPr>
        <w:t>. For purposes of this Policy, “Incentive Compensation” means, with respect to each Covered Employee: (i)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bonuses and incentive awards (including stock options, stock appreciation rights, restricted stock, restricted stock units, performance shares or other stock-based awards) paid, granted, vested or accrued under any Company plan or agreement or plan or agreement of an Affiliate of the Company in the form of cash or Great Lakes Dredge &amp; Dock Corporation common stock, (ii) outstanding incentive awards that have not vested or been earned, and (iii) in cases of fraud or misconduct, the gain realized by any Covered Employee engaged in such conduct on the exercise of stock options or stock appreciation rights, the vesting of other incentive awards, or the sale of Company stock acquired through any incentive award.</w:t>
      </w:r>
    </w:p>
    <w:p>
      <w:pPr>
        <w:spacing w:after="0" w:line="178"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7"/>
          <w:szCs w:val="17"/>
          <w:i w:val="1"/>
          <w:iCs w:val="1"/>
          <w:color w:val="auto"/>
        </w:rPr>
        <w:t>Triggering Events; Calculation of Overpayment</w:t>
      </w:r>
      <w:r>
        <w:rPr>
          <w:rFonts w:ascii="Arial" w:cs="Arial" w:eastAsia="Arial" w:hAnsi="Arial"/>
          <w:sz w:val="17"/>
          <w:szCs w:val="17"/>
          <w:color w:val="auto"/>
        </w:rPr>
        <w:t>. If the Committee determines that Incentive Compensation was overpaid, in whole or in part,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(i) a restatement of the Company’s reported financial or operating results (unless due to a change in accounting policy or applicable law) or (ii) any conduct justifying termination for cause under the Company’s Code of Business Conduct and Ethics or the applicable Covered Employee’s employment agreement, or constituting a violation of a restrictive covenant in an employment or severance agreement, or other act involving, dishonesty, fraud, illegality or moral turpitude (whether or not requiring a restatement), the Committee will review the Incentive Compensation paid, granted, vested or accrued. To the extent practicable and in the best interests of stockholders, and as permitted by applicable law, (i) in the event of a restatement, the Committee will seek to recover or cancel the difference between any Incentive Compensation that was based on having met or exceeded performance targets that would not have been met based upon accurate financial data and the Incentive Compensation that would have been paid or granted to such Covered Employee or the Incentive Compensation in which such Covered Employee would have vested had the actual payment, granting or vesting been calculated based on the accurate data or restated results, as applicable, and (ii) in the event of other misconduct, provided that such misconduct was harmful to the Company or an Affiliate, the Committee may seek to recover or cancel Incentive Compensation paid, awarded or accrued after the applicable misconduct or any severance paid after termination of employment (in any such case, the “Overpayment”).</w:t>
      </w:r>
    </w:p>
    <w:p>
      <w:pPr>
        <w:spacing w:after="0" w:line="180"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6"/>
          <w:szCs w:val="16"/>
          <w:i w:val="1"/>
          <w:iCs w:val="1"/>
          <w:color w:val="auto"/>
        </w:rPr>
        <w:t xml:space="preserve">Forms of Recovery. </w:t>
      </w:r>
      <w:r>
        <w:rPr>
          <w:rFonts w:ascii="Arial" w:cs="Arial" w:eastAsia="Arial" w:hAnsi="Arial"/>
          <w:sz w:val="16"/>
          <w:szCs w:val="16"/>
          <w:color w:val="auto"/>
        </w:rPr>
        <w:t>The Company shall have the right to demand the reimbursement of any Overpayment. To the extent the Covered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reimburse any Overpayment, the Company shall have the right to sue for repayment and enforce the repayment through the reduction or cancellation of outstanding and future Incentive Compensation. To the extent any shares have been issued under vested awards or such shares have been sold by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both"/>
        <w:ind w:right="20"/>
        <w:spacing w:after="0" w:line="277" w:lineRule="auto"/>
        <w:rPr>
          <w:sz w:val="20"/>
          <w:szCs w:val="20"/>
          <w:color w:val="auto"/>
        </w:rPr>
      </w:pPr>
      <w:r>
        <w:rPr>
          <w:rFonts w:ascii="Arial" w:cs="Arial" w:eastAsia="Arial" w:hAnsi="Arial"/>
          <w:sz w:val="18"/>
          <w:szCs w:val="18"/>
          <w:color w:val="auto"/>
        </w:rPr>
        <w:t>Covered Employee, the Company shall have the right to cancel any other outstanding stock-based awards with a value equivalent to the Overpayment, as determined by the Company.</w:t>
      </w:r>
    </w:p>
    <w:p>
      <w:pPr>
        <w:spacing w:after="0" w:line="170"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i w:val="1"/>
          <w:iCs w:val="1"/>
          <w:color w:val="auto"/>
        </w:rPr>
        <w:t>Time Period for Overpayment Review</w:t>
      </w:r>
      <w:r>
        <w:rPr>
          <w:rFonts w:ascii="Arial" w:cs="Arial" w:eastAsia="Arial" w:hAnsi="Arial"/>
          <w:sz w:val="17"/>
          <w:szCs w:val="17"/>
          <w:color w:val="auto"/>
        </w:rPr>
        <w:t>. The Committee may make determinations of Overpayment at any time through the end of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following the year for which the inaccurate performance criteria were measured (the “Overpayment Review Period”); provided, that if steps have been taken within such period to restate the Company’s financial or operating results, the Overpayment Review Period shall be extended until such restatement is completed. For illustrative purposes only, this means that if incentive compensation is paid in early 2011 for performance metrics based on fiscal year 2010 performance, such compensation shall be subject to review for Overpayment until the end of the Company’s 2013 fiscal year. Notwithstanding the above, if the Committee determines that any Covered Employee engaged in fraud or misconduct, the Committee shall be entitled to determine the Overpayment with respect to such Covered Employee for a period of six years after the act of fraud or misconduct is discovered.</w:t>
      </w:r>
    </w:p>
    <w:p>
      <w:pPr>
        <w:spacing w:after="0" w:line="17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i w:val="1"/>
          <w:iCs w:val="1"/>
          <w:color w:val="auto"/>
        </w:rPr>
        <w:t>No Additional Payments</w:t>
      </w:r>
      <w:r>
        <w:rPr>
          <w:rFonts w:ascii="Arial" w:cs="Arial" w:eastAsia="Arial" w:hAnsi="Arial"/>
          <w:sz w:val="18"/>
          <w:szCs w:val="18"/>
          <w:color w:val="auto"/>
        </w:rPr>
        <w:t>. In no event shall the Company be required to award Covered Employees an additional payment if the restated or</w:t>
      </w:r>
      <w:r>
        <w:rPr>
          <w:rFonts w:ascii="Arial" w:cs="Arial" w:eastAsia="Arial" w:hAnsi="Arial"/>
          <w:sz w:val="18"/>
          <w:szCs w:val="18"/>
          <w:i w:val="1"/>
          <w:iCs w:val="1"/>
          <w:color w:val="auto"/>
        </w:rPr>
        <w:t xml:space="preserve"> </w:t>
      </w:r>
      <w:r>
        <w:rPr>
          <w:rFonts w:ascii="Arial" w:cs="Arial" w:eastAsia="Arial" w:hAnsi="Arial"/>
          <w:sz w:val="18"/>
          <w:szCs w:val="18"/>
          <w:color w:val="auto"/>
        </w:rPr>
        <w:t>accurate financial results would have resulted in a higher incentive compensation payment.</w:t>
      </w:r>
    </w:p>
    <w:p>
      <w:pPr>
        <w:spacing w:after="0" w:line="170"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i w:val="1"/>
          <w:iCs w:val="1"/>
          <w:color w:val="auto"/>
        </w:rPr>
        <w:t xml:space="preserve">Applicability. </w:t>
      </w:r>
      <w:r>
        <w:rPr>
          <w:rFonts w:ascii="Arial" w:cs="Arial" w:eastAsia="Arial" w:hAnsi="Arial"/>
          <w:sz w:val="18"/>
          <w:szCs w:val="18"/>
          <w:color w:val="auto"/>
        </w:rPr>
        <w:t>This Policy applies to all Incentive Compensation, whether paid or granted prior to the adoption of the Policy, except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by applicable law or any other legal obligation of the Company or Affiliate, as the case may be. Application of the Policy does not preclude the Company from taking any other action to enforce a Covered Employee’s obligations to the Company, including termination of employment or institution of civil or criminal proceedings.</w:t>
      </w:r>
    </w:p>
    <w:p>
      <w:pPr>
        <w:spacing w:after="0" w:line="187" w:lineRule="exact"/>
        <w:rPr>
          <w:sz w:val="20"/>
          <w:szCs w:val="20"/>
          <w:color w:val="auto"/>
        </w:rPr>
      </w:pPr>
    </w:p>
    <w:p>
      <w:pPr>
        <w:jc w:val="both"/>
        <w:ind w:right="20" w:firstLine="877"/>
        <w:spacing w:after="0" w:line="308" w:lineRule="auto"/>
        <w:rPr>
          <w:sz w:val="20"/>
          <w:szCs w:val="20"/>
          <w:color w:val="auto"/>
        </w:rPr>
      </w:pPr>
      <w:r>
        <w:rPr>
          <w:rFonts w:ascii="Arial" w:cs="Arial" w:eastAsia="Arial" w:hAnsi="Arial"/>
          <w:sz w:val="17"/>
          <w:szCs w:val="17"/>
          <w:i w:val="1"/>
          <w:iCs w:val="1"/>
          <w:color w:val="auto"/>
        </w:rPr>
        <w:t>Committee Determination Final</w:t>
      </w:r>
      <w:r>
        <w:rPr>
          <w:rFonts w:ascii="Arial" w:cs="Arial" w:eastAsia="Arial" w:hAnsi="Arial"/>
          <w:sz w:val="17"/>
          <w:szCs w:val="17"/>
          <w:color w:val="auto"/>
        </w:rPr>
        <w:t>. Any determination by the Committee (or by any officer of the Company or an Affiliate to whom enforcement</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has been delegated) or the Board of Directors with respect to this Policy shall be final, conclusive and binding on all interested parties.</w:t>
      </w:r>
    </w:p>
    <w:p>
      <w:pPr>
        <w:spacing w:after="0" w:line="14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i w:val="1"/>
          <w:iCs w:val="1"/>
          <w:color w:val="auto"/>
        </w:rPr>
        <w:t xml:space="preserve">Disclosure. </w:t>
      </w:r>
      <w:r>
        <w:rPr>
          <w:rFonts w:ascii="Arial" w:cs="Arial" w:eastAsia="Arial" w:hAnsi="Arial"/>
          <w:sz w:val="18"/>
          <w:szCs w:val="18"/>
          <w:color w:val="auto"/>
        </w:rPr>
        <w:t>This policy shall be disclosed in Great Lakes Dredge &amp; Dock Corporation’s applicable filings with the Securities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discussing executive compensation subject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CASH PERFORMANCE AWARD AGREEMENT</w:t>
      </w:r>
    </w:p>
    <w:p>
      <w:pPr>
        <w:spacing w:after="0" w:line="200" w:lineRule="exact"/>
        <w:rPr>
          <w:sz w:val="20"/>
          <w:szCs w:val="20"/>
          <w:color w:val="auto"/>
        </w:rPr>
      </w:pPr>
    </w:p>
    <w:p>
      <w:pPr>
        <w:spacing w:after="0" w:line="223"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CASH PERFORMANCE AWARD AGREEMENT</w:t>
      </w:r>
      <w:r>
        <w:rPr>
          <w:rFonts w:ascii="Arial" w:cs="Arial" w:eastAsia="Arial" w:hAnsi="Arial"/>
          <w:sz w:val="18"/>
          <w:szCs w:val="18"/>
          <w:color w:val="auto"/>
        </w:rPr>
        <w:t xml:space="preserv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Great Lakes Dredge &amp;</w:t>
      </w:r>
      <w:r>
        <w:rPr>
          <w:rFonts w:ascii="Arial" w:cs="Arial" w:eastAsia="Arial" w:hAnsi="Arial"/>
          <w:sz w:val="18"/>
          <w:szCs w:val="18"/>
          <w:color w:val="auto"/>
        </w:rPr>
        <w:t xml:space="preserve"> </w:t>
      </w:r>
      <w:r>
        <w:rPr>
          <w:rFonts w:ascii="Arial" w:cs="Arial" w:eastAsia="Arial" w:hAnsi="Arial"/>
          <w:sz w:val="18"/>
          <w:szCs w:val="18"/>
          <w:b w:val="1"/>
          <w:bCs w:val="1"/>
          <w:color w:val="auto"/>
        </w:rPr>
        <w:t>Dock Corporation</w:t>
      </w:r>
      <w:r>
        <w:rPr>
          <w:rFonts w:ascii="Arial" w:cs="Arial" w:eastAsia="Arial" w:hAnsi="Arial"/>
          <w:sz w:val="18"/>
          <w:szCs w:val="18"/>
          <w:color w:val="auto"/>
        </w:rPr>
        <w:t>, a Delaware corporation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and Jonathan W. Berger (the “</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effective as of March 9, 2016 (the “</w:t>
      </w:r>
      <w:r>
        <w:rPr>
          <w:rFonts w:ascii="Arial" w:cs="Arial" w:eastAsia="Arial" w:hAnsi="Arial"/>
          <w:sz w:val="18"/>
          <w:szCs w:val="18"/>
          <w:b w:val="1"/>
          <w:bCs w:val="1"/>
          <w:u w:val="single" w:color="auto"/>
          <w:color w:val="auto"/>
        </w:rPr>
        <w:t>Award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color w:val="auto"/>
        </w:rPr>
        <w: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 The Corporation hereby grants to the Participant and the Participant hereby accepts an Award of $[_________] (the “</w:t>
      </w: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 subject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terms and conditions set forth in this Agreement. This Award represents the Corporation’s unfunded and unsecured promise to pay the Participant the value of the Award on the date set forth in this Agreement. The Participant’s rights with respect to the Award are governed by this Agreement and the Participant has no rights with respect to the Award other than the rights of a general creditor of the Corporation.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229" w:lineRule="exact"/>
        <w:rPr>
          <w:sz w:val="20"/>
          <w:szCs w:val="20"/>
          <w:color w:val="auto"/>
        </w:rPr>
      </w:pPr>
    </w:p>
    <w:p>
      <w:pPr>
        <w:jc w:val="both"/>
        <w:ind w:left="1740" w:hanging="868"/>
        <w:spacing w:after="0" w:line="259" w:lineRule="auto"/>
        <w:tabs>
          <w:tab w:leader="none" w:pos="1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vesting of this Award shall be subject to the time-based vesting provisions set forth herein and the Company’s collection of the outstanding accounts receivable on the Suez Canal project in fiscal year 2016 in the amount of $21,200,940. If the Company fails to achieve the performance goal specified in this Section 2(a) on or prior to December 31, 2016, this Award shall be forfeited in its entirety and no payment shall be made with respect to this Award.</w:t>
      </w:r>
    </w:p>
    <w:p>
      <w:pPr>
        <w:spacing w:after="0" w:line="186" w:lineRule="exact"/>
        <w:rPr>
          <w:rFonts w:ascii="Arial" w:cs="Arial" w:eastAsia="Arial" w:hAnsi="Arial"/>
          <w:sz w:val="18"/>
          <w:szCs w:val="18"/>
          <w:color w:val="auto"/>
        </w:rPr>
      </w:pPr>
    </w:p>
    <w:p>
      <w:pPr>
        <w:jc w:val="both"/>
        <w:ind w:left="1740" w:hanging="868"/>
        <w:spacing w:after="0" w:line="259" w:lineRule="auto"/>
        <w:tabs>
          <w:tab w:leader="none" w:pos="1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Except as may be accelerated as set forth below, and except as may be accelerated as set forth in any employment or consulting agreement between the Participant and the Corporation or an Affiliated Entity, the Award shall vest on the third anniversary of the Award Date (the “</w:t>
      </w:r>
      <w:r>
        <w:rPr>
          <w:rFonts w:ascii="Arial" w:cs="Arial" w:eastAsia="Arial" w:hAnsi="Arial"/>
          <w:sz w:val="18"/>
          <w:szCs w:val="18"/>
          <w:u w:val="single" w:color="auto"/>
          <w:color w:val="auto"/>
        </w:rPr>
        <w:t>Vest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color w:val="auto"/>
        </w:rPr>
        <w:t>”) if the Participant is continuously employed by the Corporation or an Affiliated Entity through the Vest Date.</w:t>
      </w:r>
    </w:p>
    <w:p>
      <w:pPr>
        <w:spacing w:after="0" w:line="186" w:lineRule="exact"/>
        <w:rPr>
          <w:rFonts w:ascii="Arial" w:cs="Arial" w:eastAsia="Arial" w:hAnsi="Arial"/>
          <w:sz w:val="18"/>
          <w:szCs w:val="18"/>
          <w:color w:val="auto"/>
        </w:rPr>
      </w:pPr>
    </w:p>
    <w:p>
      <w:pPr>
        <w:ind w:left="1740" w:right="20" w:hanging="868"/>
        <w:spacing w:after="0" w:line="277" w:lineRule="auto"/>
        <w:tabs>
          <w:tab w:leader="none" w:pos="1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Upon the Participant’s termination due to death or Disability (as defined below), to the extent not previously forfeited (including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the Award shall be fully vested.</w:t>
      </w:r>
    </w:p>
    <w:p>
      <w:pPr>
        <w:spacing w:after="0" w:line="170" w:lineRule="exact"/>
        <w:rPr>
          <w:rFonts w:ascii="Arial" w:cs="Arial" w:eastAsia="Arial" w:hAnsi="Arial"/>
          <w:sz w:val="18"/>
          <w:szCs w:val="18"/>
          <w:color w:val="auto"/>
        </w:rPr>
      </w:pPr>
    </w:p>
    <w:p>
      <w:pPr>
        <w:jc w:val="both"/>
        <w:ind w:left="1740" w:hanging="868"/>
        <w:spacing w:after="0" w:line="276" w:lineRule="auto"/>
        <w:tabs>
          <w:tab w:leader="none" w:pos="17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Upon the Participant’s termination due to Retirement (as defined below), to the extent not previously forfeited (including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the Award shall vest on the date of termination; provided however, if the Participant’s Termination due to Retirement occurs prior to December 31, 2016, then the portion of the Award that shall vest shall be prorated and determined based on the product of (A) the lesser of (i) the number of days served during 2016 plus 90, divided by 366, and (ii) one;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(B) Award value. Any portion of the Award that does not vest in accordance with the formula shall be forfeited.</w:t>
      </w:r>
    </w:p>
    <w:p>
      <w:pPr>
        <w:spacing w:after="0" w:line="168" w:lineRule="exact"/>
        <w:rPr>
          <w:rFonts w:ascii="Arial" w:cs="Arial" w:eastAsia="Arial" w:hAnsi="Arial"/>
          <w:sz w:val="17"/>
          <w:szCs w:val="17"/>
          <w:color w:val="auto"/>
        </w:rPr>
      </w:pPr>
    </w:p>
    <w:p>
      <w:pPr>
        <w:jc w:val="both"/>
        <w:ind w:left="1740" w:hanging="868"/>
        <w:spacing w:after="0" w:line="261" w:lineRule="auto"/>
        <w:tabs>
          <w:tab w:leader="none" w:pos="1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a Change in Control (as defined in the Great Lakes Dredge &amp; Dock Corporation 2007 Long-Term Incentive Plan (the “</w:t>
      </w:r>
      <w:r>
        <w:rPr>
          <w:rFonts w:ascii="Arial" w:cs="Arial" w:eastAsia="Arial" w:hAnsi="Arial"/>
          <w:sz w:val="18"/>
          <w:szCs w:val="18"/>
          <w:b w:val="1"/>
          <w:bCs w:val="1"/>
          <w:u w:val="single" w:color="auto"/>
          <w:color w:val="auto"/>
        </w:rPr>
        <w:t>2007</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the Compensation Committee of the Board of Directors of the Corporation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w:t>
      </w:r>
      <w:r>
        <w:rPr>
          <w:rFonts w:ascii="Arial" w:cs="Arial" w:eastAsia="Arial" w:hAnsi="Arial"/>
          <w:sz w:val="18"/>
          <w:szCs w:val="18"/>
          <w:color w:val="auto"/>
        </w:rPr>
        <w:t>) may elect,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to accelerate the vesting of the Award. No provision of this Agreement shall require the Committee to accelerate such vesting upon a Change in Control or any other event.</w:t>
      </w:r>
    </w:p>
    <w:p>
      <w:pPr>
        <w:spacing w:after="0" w:line="184" w:lineRule="exact"/>
        <w:rPr>
          <w:rFonts w:ascii="Arial" w:cs="Arial" w:eastAsia="Arial" w:hAnsi="Arial"/>
          <w:sz w:val="18"/>
          <w:szCs w:val="18"/>
          <w:color w:val="auto"/>
        </w:rPr>
      </w:pPr>
    </w:p>
    <w:p>
      <w:pPr>
        <w:jc w:val="both"/>
        <w:ind w:left="1740" w:hanging="868"/>
        <w:spacing w:after="0" w:line="271" w:lineRule="auto"/>
        <w:tabs>
          <w:tab w:leader="none" w:pos="17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To the extent the Award has not vested upon the Participant’s termination for any reason other than death, Disability or Retirement, the Award shall be immediately forfeited upon such termination, except as may be otherwise provided in this </w:t>
      </w:r>
      <w:r>
        <w:rPr>
          <w:rFonts w:ascii="Arial" w:cs="Arial" w:eastAsia="Arial" w:hAnsi="Arial"/>
          <w:sz w:val="17"/>
          <w:szCs w:val="17"/>
          <w:u w:val="single" w:color="auto"/>
          <w:color w:val="auto"/>
        </w:rPr>
        <w:t>Section 2(f)</w:t>
      </w:r>
      <w:r>
        <w:rPr>
          <w:rFonts w:ascii="Arial" w:cs="Arial" w:eastAsia="Arial" w:hAnsi="Arial"/>
          <w:sz w:val="17"/>
          <w:szCs w:val="17"/>
          <w:color w:val="auto"/>
        </w:rPr>
        <w:t>, below. If an employment or consulting agreement provides for some degree of accelerated vesting of long-term incentive award conditioned on the Participant signing a release, separation agreement or other post-termination conduct, the forfeiture of the unvested Award will be held in abeyance until the period for signing the release or separation agreement (and not rescinding it) or such other post-termination conduct expires, at which point a determination will be made by the Corporation or an Affiliated Entity as to whether the requirements for accelerated vesting have been met. If the criteria for accelerated vesting have been met, in the sole discretion of the Corporation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ind w:left="1740"/>
        <w:spacing w:after="0" w:line="342" w:lineRule="auto"/>
        <w:rPr>
          <w:sz w:val="20"/>
          <w:szCs w:val="20"/>
          <w:color w:val="auto"/>
        </w:rPr>
      </w:pPr>
      <w:r>
        <w:rPr>
          <w:rFonts w:ascii="Arial" w:cs="Arial" w:eastAsia="Arial" w:hAnsi="Arial"/>
          <w:sz w:val="16"/>
          <w:szCs w:val="16"/>
          <w:color w:val="auto"/>
        </w:rPr>
        <w:t>Affiliated Entity, the Payment Date shall be 60 days after the date of the Participant’s termination; provided, however, in the event the Participant satisfies the Rule of 75 at the time of such termination, the Payment Date shall be the regularly scheduled Vest Date.</w:t>
      </w:r>
    </w:p>
    <w:p>
      <w:pPr>
        <w:spacing w:after="0" w:line="120" w:lineRule="exact"/>
        <w:rPr>
          <w:sz w:val="20"/>
          <w:szCs w:val="20"/>
          <w:color w:val="auto"/>
        </w:rPr>
      </w:pPr>
    </w:p>
    <w:p>
      <w:pPr>
        <w:ind w:left="1660" w:hanging="775"/>
        <w:spacing w:after="0"/>
        <w:tabs>
          <w:tab w:leader="none" w:pos="166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Affiliated Entity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with respect to any entity, any other entity directly or indirectly controlling, controlled by or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first entity. For these purposes, “control” (including the terms “controlled by” and “under common control with”) means the possession, direct or indirect, of the power to direct or cause the direction of the management policies of an entity by reason of ownership of voting securities, by contract or otherwise. A reference to an Affiliated Entity includes a reference to an affiliate.</w:t>
      </w:r>
    </w:p>
    <w:p>
      <w:pPr>
        <w:spacing w:after="0" w:line="180"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Disability</w:t>
      </w:r>
      <w:r>
        <w:rPr>
          <w:rFonts w:ascii="Arial" w:cs="Arial" w:eastAsia="Arial" w:hAnsi="Arial"/>
          <w:sz w:val="17"/>
          <w:szCs w:val="17"/>
          <w:color w:val="auto"/>
        </w:rPr>
        <w:t>” shall mean the Participant becoming unable to engage in any substantial gainful activity by reason of any medically determinable physical or mental impairment that can be expected to result in death or that has lasted or can be expected to last for a continuous period of not less than twelve (12) months, within the meaning of Section 22(e)(3) of the Internal Revenue Code of 1986, as amended (the “</w:t>
      </w:r>
      <w:r>
        <w:rPr>
          <w:rFonts w:ascii="Arial" w:cs="Arial" w:eastAsia="Arial" w:hAnsi="Arial"/>
          <w:sz w:val="17"/>
          <w:szCs w:val="17"/>
          <w:b w:val="1"/>
          <w:bCs w:val="1"/>
          <w:u w:val="single" w:color="auto"/>
          <w:color w:val="auto"/>
        </w:rPr>
        <w:t>Code</w:t>
      </w:r>
      <w:r>
        <w:rPr>
          <w:rFonts w:ascii="Arial" w:cs="Arial" w:eastAsia="Arial" w:hAnsi="Arial"/>
          <w:sz w:val="17"/>
          <w:szCs w:val="17"/>
          <w:color w:val="auto"/>
        </w:rPr>
        <w:t>”)</w:t>
      </w:r>
    </w:p>
    <w:p>
      <w:pPr>
        <w:spacing w:after="0" w:line="158"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Retirement</w:t>
      </w:r>
      <w:r>
        <w:rPr>
          <w:rFonts w:ascii="Arial" w:cs="Arial" w:eastAsia="Arial" w:hAnsi="Arial"/>
          <w:sz w:val="18"/>
          <w:szCs w:val="18"/>
          <w:color w:val="auto"/>
        </w:rPr>
        <w:t xml:space="preserve">” shall have the meaning set forth in any employment or consulting agreement between the Participant and the Corporation or an Affiliated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(i) a uniform definition of Retirement is not used either within a single agreement or across multiple employment or consulting agreements between the Participant and the Corporation or an Affiliated Entity, (ii) there is no such agreement, or (iii) such agreement does not define Retirement, Retirement shall mean a Participant’s termination, other than for Cause (as defined in the 2007 Plan), which meets all of the following criteria.</w:t>
      </w:r>
    </w:p>
    <w:p>
      <w:pPr>
        <w:spacing w:after="0" w:line="188" w:lineRule="exact"/>
        <w:rPr>
          <w:sz w:val="20"/>
          <w:szCs w:val="20"/>
          <w:color w:val="auto"/>
        </w:rPr>
      </w:pPr>
    </w:p>
    <w:p>
      <w:pPr>
        <w:jc w:val="both"/>
        <w:ind w:left="1300" w:hanging="428"/>
        <w:spacing w:after="0" w:line="293"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sum of (x) the continuous full years of service by the Participant to the Corporation or an Affiliated Entity and (y) the attained age in full years of the Participant on the date of the Participant’s termination total no less than 75 (the “Rule of 75”). A leave of absence which is agreed to between the Corporation and the Participant in writing for medical reasons or for military service shall not constitute a break in Service for this purpose. For example, a Participant was born on June 27, 1963, and started full-time employment with the Corporation on July 1, 1990, and works continuously as an Employee until a termination on December 31, 2016. This Participant’s full years of Service are 26 years and his or her attained age on the date of termination is 53 years. The total is 79, so the Participant satisfies the Rule of 75.</w:t>
      </w:r>
    </w:p>
    <w:p>
      <w:pPr>
        <w:spacing w:after="0" w:line="164" w:lineRule="exact"/>
        <w:rPr>
          <w:rFonts w:ascii="Arial" w:cs="Arial" w:eastAsia="Arial" w:hAnsi="Arial"/>
          <w:sz w:val="16"/>
          <w:szCs w:val="16"/>
          <w:color w:val="auto"/>
        </w:rPr>
      </w:pPr>
    </w:p>
    <w:p>
      <w:pPr>
        <w:ind w:left="1300" w:hanging="428"/>
        <w:spacing w:after="0" w:line="27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Participant signs a Restrictive Covenant Agreement in anticipation of his Retirement, if the Corporation requests that he do so, within the timeframe given to the Participant to sign by the Corporation.</w:t>
      </w:r>
    </w:p>
    <w:p>
      <w:pPr>
        <w:spacing w:after="0" w:line="170" w:lineRule="exact"/>
        <w:rPr>
          <w:rFonts w:ascii="Arial" w:cs="Arial" w:eastAsia="Arial" w:hAnsi="Arial"/>
          <w:sz w:val="18"/>
          <w:szCs w:val="18"/>
          <w:color w:val="auto"/>
        </w:rPr>
      </w:pPr>
    </w:p>
    <w:p>
      <w:pPr>
        <w:ind w:left="1300" w:hanging="428"/>
        <w:spacing w:after="0" w:line="308" w:lineRule="auto"/>
        <w:tabs>
          <w:tab w:leader="none" w:pos="13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Participant gives his direct supervisor, or in the case of the Chief Executive Officer, the Board of Directors, at least two months’ prior notice of his Retirement, or if the Participant is an officer of the Corporation, three months’ prior notice of his Retirement.</w:t>
      </w:r>
    </w:p>
    <w:p>
      <w:pPr>
        <w:spacing w:after="0" w:line="143"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Restrictive Covenant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 agreement between the Corporation or an Affiliated Entity and the Participant, in a form</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the Corporation or the Affiliated Entity,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extend beyond the three-year anniversary of the Participant’s termination due to Retirement.</w:t>
      </w:r>
    </w:p>
    <w:p>
      <w:pPr>
        <w:spacing w:after="0" w:line="168" w:lineRule="exact"/>
        <w:rPr>
          <w:sz w:val="20"/>
          <w:szCs w:val="20"/>
          <w:color w:val="auto"/>
        </w:rPr>
      </w:pPr>
    </w:p>
    <w:p>
      <w:pPr>
        <w:ind w:firstLine="885"/>
        <w:spacing w:after="0" w:line="282" w:lineRule="auto"/>
        <w:tabs>
          <w:tab w:leader="none" w:pos="1661"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of Award</w:t>
      </w:r>
      <w:r>
        <w:rPr>
          <w:rFonts w:ascii="Arial" w:cs="Arial" w:eastAsia="Arial" w:hAnsi="Arial"/>
          <w:sz w:val="18"/>
          <w:szCs w:val="18"/>
          <w:color w:val="auto"/>
        </w:rPr>
        <w:t>. Within 30 days after the Payment Date (as defined below), a cash payment shall be delivered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Subject to </w:t>
      </w:r>
      <w:r>
        <w:rPr>
          <w:rFonts w:ascii="Arial" w:cs="Arial" w:eastAsia="Arial" w:hAnsi="Arial"/>
          <w:sz w:val="18"/>
          <w:szCs w:val="18"/>
          <w:u w:val="single" w:color="auto"/>
          <w:color w:val="auto"/>
        </w:rPr>
        <w:t>Section 14</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Payment Date</w:t>
      </w:r>
      <w:r>
        <w:rPr>
          <w:rFonts w:ascii="Arial" w:cs="Arial" w:eastAsia="Arial" w:hAnsi="Arial"/>
          <w:sz w:val="18"/>
          <w:szCs w:val="18"/>
          <w:color w:val="auto"/>
        </w:rPr>
        <w:t>” shall be determined in accordance with the following:</w:t>
      </w:r>
    </w:p>
    <w:p>
      <w:pPr>
        <w:spacing w:after="0" w:line="166" w:lineRule="exact"/>
        <w:rPr>
          <w:sz w:val="20"/>
          <w:szCs w:val="20"/>
          <w:color w:val="auto"/>
        </w:rPr>
      </w:pPr>
    </w:p>
    <w:p>
      <w:pPr>
        <w:ind w:left="1740" w:hanging="868"/>
        <w:spacing w:after="0" w:line="277" w:lineRule="auto"/>
        <w:tabs>
          <w:tab w:leader="none" w:pos="1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of the Participant’s death or Disability prior to March 9, 2019, the Payment Date shall be the date of the Participant’s termination due to death or Disability, as applicable; provided,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4" w:name="page75"/>
    <w:bookmarkEnd w:id="74"/>
    <w:p>
      <w:pPr>
        <w:ind w:left="1740"/>
        <w:spacing w:after="0" w:line="277" w:lineRule="auto"/>
        <w:rPr>
          <w:sz w:val="20"/>
          <w:szCs w:val="20"/>
          <w:color w:val="auto"/>
        </w:rPr>
      </w:pPr>
      <w:r>
        <w:rPr>
          <w:rFonts w:ascii="Arial" w:cs="Arial" w:eastAsia="Arial" w:hAnsi="Arial"/>
          <w:sz w:val="18"/>
          <w:szCs w:val="18"/>
          <w:color w:val="auto"/>
        </w:rPr>
        <w:t>however, in the event the Participant satisfies the Rule of 75 at the time of a termination due to Disability, the Payment Date shall be the Vest Date;</w:t>
      </w:r>
    </w:p>
    <w:p>
      <w:pPr>
        <w:spacing w:after="0" w:line="170" w:lineRule="exact"/>
        <w:rPr>
          <w:sz w:val="20"/>
          <w:szCs w:val="20"/>
          <w:color w:val="auto"/>
        </w:rPr>
      </w:pPr>
    </w:p>
    <w:p>
      <w:pPr>
        <w:jc w:val="both"/>
        <w:ind w:left="1740" w:hanging="868"/>
        <w:spacing w:after="0" w:line="257" w:lineRule="auto"/>
        <w:tabs>
          <w:tab w:leader="none" w:pos="1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of a Change in Control prior to March 9, 2019 in which the Committee elects to accelerate the vesting of the Award, the Payment Date shall be, to the extent permitted under Section 409A of the Code, the date that a Change in Control occurs, if such Change in Control meets the requirements of the definition of a change in the ownership or effective control of a corporation, or a change in the ownership of a substantial portion of the assets of a corporation contained in the regulations promulgated under Code Section 409A; and</w:t>
      </w:r>
    </w:p>
    <w:p>
      <w:pPr>
        <w:spacing w:after="0" w:line="188" w:lineRule="exact"/>
        <w:rPr>
          <w:rFonts w:ascii="Arial" w:cs="Arial" w:eastAsia="Arial" w:hAnsi="Arial"/>
          <w:sz w:val="18"/>
          <w:szCs w:val="18"/>
          <w:color w:val="auto"/>
        </w:rPr>
      </w:pPr>
    </w:p>
    <w:p>
      <w:pPr>
        <w:jc w:val="both"/>
        <w:ind w:left="1740" w:hanging="868"/>
        <w:spacing w:after="0" w:line="259" w:lineRule="auto"/>
        <w:tabs>
          <w:tab w:leader="none" w:pos="1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In the event that none of the events described in the foregoing clauses (a) or (b) occur prior to March 9, 2019 or to the extent Section 409A prohibits the settlement of the Award under clause (b) and except to the extent provided in the last sentence of </w:t>
      </w:r>
      <w:r>
        <w:rPr>
          <w:rFonts w:ascii="Arial" w:cs="Arial" w:eastAsia="Arial" w:hAnsi="Arial"/>
          <w:sz w:val="18"/>
          <w:szCs w:val="18"/>
          <w:u w:val="single" w:color="auto"/>
          <w:color w:val="auto"/>
        </w:rPr>
        <w:t>Section 2(f)</w:t>
      </w:r>
      <w:r>
        <w:rPr>
          <w:rFonts w:ascii="Arial" w:cs="Arial" w:eastAsia="Arial" w:hAnsi="Arial"/>
          <w:sz w:val="18"/>
          <w:szCs w:val="18"/>
          <w:color w:val="auto"/>
        </w:rPr>
        <w:t>, above, the Payment Date shall be the Vest Date (including in the case of a prior termination due to Retirement), but only to the extent the Award vests on such Vest Date.</w:t>
      </w:r>
    </w:p>
    <w:p>
      <w:pPr>
        <w:spacing w:after="0" w:line="183" w:lineRule="exact"/>
        <w:rPr>
          <w:sz w:val="20"/>
          <w:szCs w:val="20"/>
          <w:color w:val="auto"/>
        </w:rPr>
      </w:pPr>
    </w:p>
    <w:p>
      <w:pPr>
        <w:ind w:left="1660" w:hanging="775"/>
        <w:spacing w:after="0"/>
        <w:tabs>
          <w:tab w:leader="none" w:pos="166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All payments under this Agreement are subject to withholding of all applicable taxes.</w:t>
      </w:r>
    </w:p>
    <w:p>
      <w:pPr>
        <w:spacing w:after="0" w:line="225"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 The Award may not be transferred, alienated, assigned, pledged, hypothecated or encumbered, in any way, whether voluntarily or involuntarily or by operation of law by judgment, levy, attachment, garnishment or any other legal or equitable proceeding (including bankruptcy), and any attempted disposition thereof shall be null and void and of no effect.</w:t>
      </w:r>
    </w:p>
    <w:p>
      <w:pPr>
        <w:spacing w:after="0" w:line="176" w:lineRule="exact"/>
        <w:rPr>
          <w:sz w:val="20"/>
          <w:szCs w:val="20"/>
          <w:color w:val="auto"/>
        </w:rPr>
      </w:pPr>
    </w:p>
    <w:p>
      <w:pPr>
        <w:jc w:val="both"/>
        <w:ind w:firstLine="885"/>
        <w:spacing w:after="0" w:line="266" w:lineRule="auto"/>
        <w:tabs>
          <w:tab w:leader="none" w:pos="166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 This Agreement shall be administered and may be definitively interpreted by the Committee, and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the decisions of such Committee concerning administration and interpretation of this Agreement shall be final, binding and conclusive on all persons.</w:t>
      </w:r>
    </w:p>
    <w:p>
      <w:pPr>
        <w:spacing w:after="0" w:line="176" w:lineRule="exact"/>
        <w:rPr>
          <w:rFonts w:ascii="Arial" w:cs="Arial" w:eastAsia="Arial" w:hAnsi="Arial"/>
          <w:sz w:val="18"/>
          <w:szCs w:val="18"/>
          <w:color w:val="auto"/>
        </w:rPr>
      </w:pPr>
    </w:p>
    <w:p>
      <w:pPr>
        <w:jc w:val="both"/>
        <w:ind w:firstLine="885"/>
        <w:spacing w:after="0" w:line="256" w:lineRule="auto"/>
        <w:tabs>
          <w:tab w:leader="none" w:pos="166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or other communication under this Agreement must be in writing and must be delivered personally,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certified, registered or express mail, or sent by overnight courier, at the sender’s expense. Notice will be deemed given (i) when delivered personally, or (ii) if mailed, three days after the date of deposit in the United States mail or (iii) if sent by overnight courier, on the regular business day following the date sent. Notice to the Participant should be sent to the address set forth on the Corporation’s records. Either party may change the address to which the other party must give notice under this Agreement by giving the other party written notice of this change in accordance with the procedures discussed in this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885"/>
        <w:spacing w:after="0" w:line="266" w:lineRule="auto"/>
        <w:tabs>
          <w:tab w:leader="none" w:pos="166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Not An Employment Contract</w:t>
      </w:r>
      <w:r>
        <w:rPr>
          <w:rFonts w:ascii="Arial" w:cs="Arial" w:eastAsia="Arial" w:hAnsi="Arial"/>
          <w:sz w:val="18"/>
          <w:szCs w:val="18"/>
          <w:color w:val="auto"/>
        </w:rPr>
        <w:t>. This Award will not confer on the Participant any right with respect to continuance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Corporation or any Affiliated Entity, nor will it interfere in any way with any right the Corporation or any Affiliated Entity would otherwise have to terminate or modify the terms of such Participant’s employment at any time.</w:t>
      </w:r>
    </w:p>
    <w:p>
      <w:pPr>
        <w:spacing w:after="0" w:line="176" w:lineRule="exact"/>
        <w:rPr>
          <w:rFonts w:ascii="Arial" w:cs="Arial" w:eastAsia="Arial" w:hAnsi="Arial"/>
          <w:sz w:val="18"/>
          <w:szCs w:val="18"/>
          <w:color w:val="auto"/>
        </w:rPr>
      </w:pPr>
    </w:p>
    <w:p>
      <w:pPr>
        <w:jc w:val="both"/>
        <w:ind w:firstLine="885"/>
        <w:spacing w:after="0" w:line="266" w:lineRule="auto"/>
        <w:tabs>
          <w:tab w:leader="none" w:pos="175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Unfunded Status of the Award</w:t>
      </w:r>
      <w:r>
        <w:rPr>
          <w:rFonts w:ascii="Arial" w:cs="Arial" w:eastAsia="Arial" w:hAnsi="Arial"/>
          <w:sz w:val="18"/>
          <w:szCs w:val="18"/>
          <w:color w:val="auto"/>
        </w:rPr>
        <w:t>. The Award is unfunded. The Corporation is not required to establish any special or separate fund</w:t>
      </w:r>
      <w:r>
        <w:rPr>
          <w:rFonts w:ascii="Arial" w:cs="Arial" w:eastAsia="Arial" w:hAnsi="Arial"/>
          <w:sz w:val="18"/>
          <w:szCs w:val="18"/>
          <w:b w:val="1"/>
          <w:bCs w:val="1"/>
          <w:color w:val="auto"/>
        </w:rPr>
        <w:t xml:space="preserve"> </w:t>
      </w:r>
      <w:r>
        <w:rPr>
          <w:rFonts w:ascii="Arial" w:cs="Arial" w:eastAsia="Arial" w:hAnsi="Arial"/>
          <w:sz w:val="18"/>
          <w:szCs w:val="18"/>
          <w:color w:val="auto"/>
        </w:rPr>
        <w:t>or to make any other segregation of assets to assure the payment of the Award. With respect to the Award, the Participant shall have no rights greater than those of a general unsecured creditor of the Corporation.</w:t>
      </w:r>
    </w:p>
    <w:p>
      <w:pPr>
        <w:spacing w:after="0" w:line="176" w:lineRule="exact"/>
        <w:rPr>
          <w:rFonts w:ascii="Arial" w:cs="Arial" w:eastAsia="Arial" w:hAnsi="Arial"/>
          <w:sz w:val="18"/>
          <w:szCs w:val="18"/>
          <w:color w:val="auto"/>
        </w:rPr>
      </w:pPr>
    </w:p>
    <w:p>
      <w:pPr>
        <w:ind w:left="1760" w:hanging="875"/>
        <w:spacing w:after="0"/>
        <w:tabs>
          <w:tab w:leader="none" w:pos="1760"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This Agreement may be amended by written agreement of the Participant and the Corporation without the consent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other person.</w:t>
      </w:r>
    </w:p>
    <w:p>
      <w:pPr>
        <w:spacing w:after="0" w:line="206" w:lineRule="exact"/>
        <w:rPr>
          <w:rFonts w:ascii="Arial" w:cs="Arial" w:eastAsia="Arial" w:hAnsi="Arial"/>
          <w:sz w:val="16"/>
          <w:szCs w:val="16"/>
          <w:color w:val="auto"/>
        </w:rPr>
      </w:pPr>
    </w:p>
    <w:p>
      <w:pPr>
        <w:jc w:val="both"/>
        <w:ind w:firstLine="885"/>
        <w:spacing w:after="0" w:line="258" w:lineRule="auto"/>
        <w:tabs>
          <w:tab w:leader="none" w:pos="175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will be construed, administered and governed in all respects under and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without giving effect to its conflict of laws principles. If any provision of this Agreement will be held by a court of competent jurisdiction to be invalid or unenforceable, the remaining provisions hereof will continue to be fully effective. The jurisdiction and venue for any disputes arising under, or any action brought to enforce (or otherwise relating to) this Agreement will be exclusively in the courts in the State of Illinois, County of Cook, including the Federal courts located therein (should Federal jurisdiction exist).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5" w:name="page76"/>
    <w:bookmarkEnd w:id="75"/>
    <w:p>
      <w:pPr>
        <w:jc w:val="both"/>
        <w:ind w:firstLine="877"/>
        <w:spacing w:after="0" w:line="281" w:lineRule="auto"/>
        <w:rPr>
          <w:sz w:val="20"/>
          <w:szCs w:val="20"/>
          <w:color w:val="auto"/>
        </w:rPr>
      </w:pPr>
      <w:r>
        <w:rPr>
          <w:rFonts w:ascii="Arial" w:cs="Arial" w:eastAsia="Arial" w:hAnsi="Arial"/>
          <w:sz w:val="17"/>
          <w:szCs w:val="17"/>
          <w:color w:val="auto"/>
        </w:rPr>
        <w:t>13.</w:t>
      </w:r>
      <w:r>
        <w:rPr>
          <w:rFonts w:ascii="Arial" w:cs="Arial" w:eastAsia="Arial" w:hAnsi="Arial"/>
          <w:sz w:val="17"/>
          <w:szCs w:val="17"/>
          <w:b w:val="1"/>
          <w:bCs w:val="1"/>
          <w:u w:val="single" w:color="auto"/>
          <w:color w:val="auto"/>
        </w:rPr>
        <w:t>Award Subject to Recoupment</w:t>
      </w:r>
      <w:r>
        <w:rPr>
          <w:rFonts w:ascii="Arial" w:cs="Arial" w:eastAsia="Arial" w:hAnsi="Arial"/>
          <w:sz w:val="17"/>
          <w:szCs w:val="17"/>
          <w:color w:val="auto"/>
        </w:rPr>
        <w:t>. The Award and any payment pursuant to the Award may be subject to forfeiture, recovery by the Corporation or other action pursuant to any clawback or recoupment policy which the Corporation may adopt from time to time, including without limitation any such policy which the Corporation may be required to adopt under Section 304 of the Sarbanes-Oxley Act of 2002, the Dodd-Frank Wall Street Reform and Consumer Protection Act and implementing rules and regulations thereunder,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5227320</wp:posOffset>
            </wp:positionH>
            <wp:positionV relativeFrom="paragraph">
              <wp:posOffset>-45720</wp:posOffset>
            </wp:positionV>
            <wp:extent cx="285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5" w:lineRule="exact"/>
        <w:rPr>
          <w:sz w:val="20"/>
          <w:szCs w:val="20"/>
          <w:color w:val="auto"/>
        </w:rPr>
      </w:pPr>
    </w:p>
    <w:p>
      <w:pPr>
        <w:jc w:val="both"/>
        <w:ind w:firstLine="877"/>
        <w:spacing w:after="0" w:line="314" w:lineRule="auto"/>
        <w:rPr>
          <w:sz w:val="20"/>
          <w:szCs w:val="20"/>
          <w:color w:val="auto"/>
        </w:rPr>
      </w:pPr>
      <w:r>
        <w:rPr>
          <w:rFonts w:ascii="Arial" w:cs="Arial" w:eastAsia="Arial" w:hAnsi="Arial"/>
          <w:sz w:val="16"/>
          <w:szCs w:val="16"/>
          <w:color w:val="auto"/>
        </w:rPr>
        <w:t>14.</w:t>
      </w: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Agreement is intended to be a “nonqualified deferred compensation arrangement” that complies with the provisions of Code Section 409A and the regulations thereunder and this Agreement shall be interpreted and operated consistent with such intent. Accordingly, all provisions of this Agreement shall be construed in a manner consistent with avoiding taxes or penalties under Code Section 409A, including:</w:t>
      </w:r>
    </w:p>
    <w:p>
      <w:pPr>
        <w:spacing w:after="0" w:line="146" w:lineRule="exact"/>
        <w:rPr>
          <w:sz w:val="20"/>
          <w:szCs w:val="20"/>
          <w:color w:val="auto"/>
        </w:rPr>
      </w:pPr>
    </w:p>
    <w:p>
      <w:pPr>
        <w:jc w:val="both"/>
        <w:ind w:left="1740" w:hanging="868"/>
        <w:spacing w:after="0" w:line="279" w:lineRule="auto"/>
        <w:tabs>
          <w:tab w:leader="none" w:pos="17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termination shall not be deemed to have occurred for purposes of any provision of this Agreement providing for any payment or distribution upon or following a termination unless such termination is also a “separation from service” within the meaning of Code Section 409A and Treas. Reg. §1.409A-1(h) and, for purposes of any such provision of this Agreement, references therein to a “termination,” “termination of employment” or like terms shall mean “separation from service”; and</w:t>
      </w:r>
    </w:p>
    <w:p>
      <w:pPr>
        <w:spacing w:after="0" w:line="171" w:lineRule="exact"/>
        <w:rPr>
          <w:rFonts w:ascii="Arial" w:cs="Arial" w:eastAsia="Arial" w:hAnsi="Arial"/>
          <w:sz w:val="17"/>
          <w:szCs w:val="17"/>
          <w:color w:val="auto"/>
        </w:rPr>
      </w:pPr>
    </w:p>
    <w:p>
      <w:pPr>
        <w:jc w:val="both"/>
        <w:ind w:left="1740" w:hanging="868"/>
        <w:spacing w:after="0" w:line="257" w:lineRule="auto"/>
        <w:tabs>
          <w:tab w:leader="none" w:pos="1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Participant is a “specified employee” (as described in Treas. Reg. §1.409A-1(i), with such classification to be determined in accordance with the methodology established by the Corporation), any payment or distribution made under this Agreement pursuant to the Participant’s “separation from service” shall be made on the date that is six months following the Participant’s “separation from service” to the extent required by Code Section 409A and the interpretive guidance thereunder or, if earlier, the date of the Participant’s death.</w:t>
      </w:r>
    </w:p>
    <w:p>
      <w:pPr>
        <w:spacing w:after="0" w:line="184" w:lineRule="exact"/>
        <w:rPr>
          <w:rFonts w:ascii="Arial" w:cs="Arial" w:eastAsia="Arial" w:hAnsi="Arial"/>
          <w:sz w:val="18"/>
          <w:szCs w:val="18"/>
          <w:color w:val="auto"/>
        </w:rPr>
      </w:pPr>
    </w:p>
    <w:p>
      <w:pPr>
        <w:jc w:val="both"/>
        <w:ind w:firstLine="885"/>
        <w:spacing w:after="0" w:line="256" w:lineRule="auto"/>
        <w:tabs>
          <w:tab w:leader="none" w:pos="1751" w:val="left"/>
        </w:tabs>
        <w:numPr>
          <w:ilvl w:val="1"/>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instrument. The exchange of copies of this Agreement and of signature pages by electronic mail in “portable document format” (“.pdf”) form, or by any other electronic means intended to preserve the original graphic and pictorial appearance of a document, or by combination of such means, shall constitute effective execution and delivery of this Agreement as to the parties and may be used in lieu of the original Agreement for all purposes. Signatures of the parties through electronic means or methods shall be deemed to be their original signatures for all purposes.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6" w:name="page77"/>
    <w:bookmarkEnd w:id="76"/>
    <w:p>
      <w:pPr>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Agreement has been executed on behalf of the Corporation by its duly authorized officer, and by the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of the above-mentioned Award, subject to the terms and conditions of this Agreement, all effective as of the day and year first above written.</w:t>
      </w:r>
    </w:p>
    <w:p>
      <w:pPr>
        <w:spacing w:after="0" w:line="116"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GREAT LAKES DREDGE &amp; DOCK CORPORATION</w:t>
      </w:r>
      <w:r>
        <w:rPr>
          <w:rFonts w:ascii="Arial" w:cs="Arial" w:eastAsia="Arial" w:hAnsi="Arial"/>
          <w:sz w:val="18"/>
          <w:szCs w:val="18"/>
          <w:color w:val="auto"/>
        </w:rPr>
        <w:t>,</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By:___</w:t>
      </w:r>
      <w:r>
        <w:rPr>
          <w:rFonts w:ascii="Arial" w:cs="Arial" w:eastAsia="Arial" w:hAnsi="Arial"/>
          <w:sz w:val="18"/>
          <w:szCs w:val="18"/>
          <w:u w:val="single" w:color="auto"/>
          <w:color w:val="auto"/>
        </w:rPr>
        <w:t>/s/ Kathleen M. LaVoy</w:t>
      </w:r>
      <w:r>
        <w:rPr>
          <w:rFonts w:ascii="Arial" w:cs="Arial" w:eastAsia="Arial" w:hAnsi="Arial"/>
          <w:sz w:val="18"/>
          <w:szCs w:val="18"/>
          <w:color w:val="auto"/>
        </w:rPr>
        <w:t xml:space="preserve"> _______________</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Kathleen M. LaVoy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Interim Chief Legal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auto"/>
        </w:rPr>
        <w:t>/s/ Jonathan W. Berger</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Jonathan W. Berger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117"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3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2016, as filed with the Securities and Exchange Commission on the date hereof (the “Report”), I, Jonathan W. Berger,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520" w:hanging="512"/>
        <w:spacing w:after="0"/>
        <w:tabs>
          <w:tab w:leader="none" w:pos="5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2016</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3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2016,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39" w:lineRule="exact"/>
        <w:rPr>
          <w:sz w:val="20"/>
          <w:szCs w:val="20"/>
          <w:color w:val="auto"/>
        </w:rPr>
      </w:pPr>
    </w:p>
    <w:p>
      <w:pPr>
        <w:ind w:left="520" w:hanging="512"/>
        <w:spacing w:after="0"/>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2016</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1."/>
      <w:numFmt w:val="decimal"/>
      <w:start w:val="1"/>
    </w:lvl>
  </w:abstractNum>
  <w:abstractNum w:abstractNumId="4">
    <w:nsid w:val="38437FDB"/>
    <w:multiLevelType w:val="hybridMultilevel"/>
    <w:lvl w:ilvl="0">
      <w:lvlJc w:val="left"/>
      <w:lvlText w:val="%1."/>
      <w:numFmt w:val="decimal"/>
      <w:start w:val="2"/>
    </w:lvl>
  </w:abstractNum>
  <w:abstractNum w:abstractNumId="5">
    <w:nsid w:val="7644A45C"/>
    <w:multiLevelType w:val="hybridMultilevel"/>
    <w:lvl w:ilvl="0">
      <w:lvlJc w:val="left"/>
      <w:lvlText w:val="%1."/>
      <w:numFmt w:val="decimal"/>
      <w:start w:val="3"/>
    </w:lvl>
  </w:abstractNum>
  <w:abstractNum w:abstractNumId="6">
    <w:nsid w:val="32FFF902"/>
    <w:multiLevelType w:val="hybridMultilevel"/>
    <w:lvl w:ilvl="0">
      <w:lvlJc w:val="left"/>
      <w:lvlText w:val="%1."/>
      <w:numFmt w:val="decimal"/>
      <w:start w:val="4"/>
    </w:lvl>
  </w:abstractNum>
  <w:abstractNum w:abstractNumId="7">
    <w:nsid w:val="684A481A"/>
    <w:multiLevelType w:val="hybridMultilevel"/>
    <w:lvl w:ilvl="0">
      <w:lvlJc w:val="left"/>
      <w:lvlText w:val="%1."/>
      <w:numFmt w:val="decimal"/>
      <w:start w:val="5"/>
    </w:lvl>
  </w:abstractNum>
  <w:abstractNum w:abstractNumId="8">
    <w:nsid w:val="579478FE"/>
    <w:multiLevelType w:val="hybridMultilevel"/>
    <w:lvl w:ilvl="0">
      <w:lvlJc w:val="left"/>
      <w:lvlText w:val="%1."/>
      <w:numFmt w:val="decimal"/>
      <w:start w:val="6"/>
    </w:lvl>
  </w:abstractNum>
  <w:abstractNum w:abstractNumId="9">
    <w:nsid w:val="749ABB43"/>
    <w:multiLevelType w:val="hybridMultilevel"/>
    <w:lvl w:ilvl="0">
      <w:lvlJc w:val="left"/>
      <w:lvlText w:val="%1."/>
      <w:numFmt w:val="decimal"/>
      <w:start w:val="7"/>
    </w:lvl>
  </w:abstractNum>
  <w:abstractNum w:abstractNumId="10">
    <w:nsid w:val="3DC240FB"/>
    <w:multiLevelType w:val="hybridMultilevel"/>
    <w:lvl w:ilvl="0">
      <w:lvlJc w:val="left"/>
      <w:lvlText w:val="%1."/>
      <w:numFmt w:val="decimal"/>
      <w:start w:val="8"/>
    </w:lvl>
  </w:abstractNum>
  <w:abstractNum w:abstractNumId="11">
    <w:nsid w:val="1BA026FA"/>
    <w:multiLevelType w:val="hybridMultilevel"/>
    <w:lvl w:ilvl="0">
      <w:lvlJc w:val="left"/>
      <w:lvlText w:val="%1."/>
      <w:numFmt w:val="decimal"/>
      <w:start w:val="9"/>
    </w:lvl>
  </w:abstractNum>
  <w:abstractNum w:abstractNumId="12">
    <w:nsid w:val="79A1DEAA"/>
    <w:multiLevelType w:val="hybridMultilevel"/>
    <w:lvl w:ilvl="0">
      <w:lvlJc w:val="left"/>
      <w:lvlText w:val="%1."/>
      <w:numFmt w:val="decimal"/>
      <w:start w:val="10"/>
    </w:lvl>
  </w:abstractNum>
  <w:abstractNum w:abstractNumId="13">
    <w:nsid w:val="75C6C33A"/>
    <w:multiLevelType w:val="hybridMultilevel"/>
    <w:lvl w:ilvl="0">
      <w:lvlJc w:val="left"/>
      <w:lvlText w:val="%1."/>
      <w:numFmt w:val="decimal"/>
      <w:start w:val="11"/>
    </w:lvl>
  </w:abstractNum>
  <w:abstractNum w:abstractNumId="14">
    <w:nsid w:val="12E685FB"/>
    <w:multiLevelType w:val="hybridMultilevel"/>
    <w:lvl w:ilvl="0">
      <w:lvlJc w:val="left"/>
      <w:lvlText w:val="%1."/>
      <w:numFmt w:val="decimal"/>
      <w:start w:val="12"/>
    </w:lvl>
  </w:abstractNum>
  <w:abstractNum w:abstractNumId="15">
    <w:nsid w:val="70C6A529"/>
    <w:multiLevelType w:val="hybridMultilevel"/>
    <w:lvl w:ilvl="0">
      <w:lvlJc w:val="left"/>
      <w:lvlText w:val="(%1)"/>
      <w:numFmt w:val="lowerRoman"/>
      <w:start w:val="1"/>
    </w:lvl>
  </w:abstractNum>
  <w:abstractNum w:abstractNumId="16">
    <w:nsid w:val="520EEDD1"/>
    <w:multiLevelType w:val="hybridMultilevel"/>
    <w:lvl w:ilvl="0">
      <w:lvlJc w:val="left"/>
      <w:lvlText w:val="&amp;"/>
      <w:numFmt w:val="bullet"/>
      <w:start w:val="1"/>
    </w:lvl>
  </w:abstractNum>
  <w:abstractNum w:abstractNumId="17">
    <w:nsid w:val="374A3FE6"/>
    <w:multiLevelType w:val="hybridMultilevel"/>
    <w:lvl w:ilvl="0">
      <w:lvlJc w:val="left"/>
      <w:lvlText w:val="(%1)"/>
      <w:numFmt w:val="lowerRoman"/>
      <w:start w:val="2"/>
    </w:lvl>
  </w:abstractNum>
  <w:abstractNum w:abstractNumId="18">
    <w:nsid w:val="4F4EF005"/>
    <w:multiLevelType w:val="hybridMultilevel"/>
    <w:lvl w:ilvl="0">
      <w:lvlJc w:val="left"/>
      <w:lvlText w:val="%1."/>
      <w:numFmt w:val="decimal"/>
      <w:start w:val="2"/>
    </w:lvl>
  </w:abstractNum>
  <w:abstractNum w:abstractNumId="19">
    <w:nsid w:val="23F9C13C"/>
    <w:multiLevelType w:val="hybridMultilevel"/>
    <w:lvl w:ilvl="0">
      <w:lvlJc w:val="left"/>
      <w:lvlText w:val="(%1)"/>
      <w:numFmt w:val="lowerLetter"/>
      <w:start w:val="1"/>
    </w:lvl>
  </w:abstractNum>
  <w:abstractNum w:abstractNumId="20">
    <w:nsid w:val="649BB77C"/>
    <w:multiLevelType w:val="hybridMultilevel"/>
    <w:lvl w:ilvl="0">
      <w:lvlJc w:val="left"/>
      <w:lvlText w:val="(%1)"/>
      <w:numFmt w:val="lowerLetter"/>
      <w:start w:val="4"/>
    </w:lvl>
  </w:abstractNum>
  <w:abstractNum w:abstractNumId="21">
    <w:nsid w:val="275AC794"/>
    <w:multiLevelType w:val="hybridMultilevel"/>
    <w:lvl w:ilvl="0">
      <w:lvlJc w:val="left"/>
      <w:lvlText w:val="%1."/>
      <w:numFmt w:val="decimal"/>
      <w:start w:val="6"/>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3"/>
    </w:lvl>
  </w:abstractNum>
  <w:abstractNum w:abstractNumId="24">
    <w:nsid w:val="180115BE"/>
    <w:multiLevelType w:val="hybridMultilevel"/>
    <w:lvl w:ilvl="0">
      <w:lvlJc w:val="left"/>
      <w:lvlText w:val="%1."/>
      <w:numFmt w:val="decimal"/>
      <w:start w:val="7"/>
    </w:lvl>
  </w:abstractNum>
  <w:abstractNum w:abstractNumId="25">
    <w:nsid w:val="235BA861"/>
    <w:multiLevelType w:val="hybridMultilevel"/>
    <w:lvl w:ilvl="0">
      <w:lvlJc w:val="left"/>
      <w:lvlText w:val="(%1)"/>
      <w:numFmt w:val="lowerLetter"/>
      <w:start w:val="1"/>
    </w:lvl>
  </w:abstractNum>
  <w:abstractNum w:abstractNumId="26">
    <w:nsid w:val="47398C89"/>
    <w:multiLevelType w:val="hybridMultilevel"/>
    <w:lvl w:ilvl="0">
      <w:lvlJc w:val="left"/>
      <w:lvlText w:val="%1."/>
      <w:numFmt w:val="decimal"/>
      <w:start w:val="8"/>
    </w:lvl>
  </w:abstractNum>
  <w:abstractNum w:abstractNumId="27">
    <w:nsid w:val="354FE9F9"/>
    <w:multiLevelType w:val="hybridMultilevel"/>
    <w:lvl w:ilvl="0">
      <w:lvlJc w:val="left"/>
      <w:lvlText w:val="%1."/>
      <w:numFmt w:val="decimal"/>
      <w:start w:val="10"/>
    </w:lvl>
  </w:abstractNum>
  <w:abstractNum w:abstractNumId="28">
    <w:nsid w:val="15B5AF5C"/>
    <w:multiLevelType w:val="hybridMultilevel"/>
    <w:lvl w:ilvl="0">
      <w:lvlJc w:val="left"/>
      <w:lvlText w:val="(%1)"/>
      <w:numFmt w:val="lowerLetter"/>
      <w:start w:val="1"/>
    </w:lvl>
    <w:lvl w:ilvl="1">
      <w:lvlJc w:val="left"/>
      <w:lvlText w:val="%2."/>
      <w:numFmt w:val="decimal"/>
      <w:start w:val="18"/>
    </w:lvl>
  </w:abstractNum>
  <w:abstractNum w:abstractNumId="29">
    <w:nsid w:val="741226BB"/>
    <w:multiLevelType w:val="hybridMultilevel"/>
    <w:lvl w:ilvl="0">
      <w:lvlJc w:val="left"/>
      <w:lvlText w:val="%1."/>
      <w:numFmt w:val="decimal"/>
      <w:start w:val="2"/>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1"/>
    </w:lvl>
    <w:lvl w:ilvl="1">
      <w:lvlJc w:val="left"/>
      <w:lvlText w:val="*"/>
      <w:numFmt w:val="bullet"/>
      <w:start w:val="1"/>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lowerLetter"/>
      <w:start w:val="5"/>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5"/>
    </w:lvl>
  </w:abstractNum>
  <w:abstractNum w:abstractNumId="36">
    <w:nsid w:val="579BE4F1"/>
    <w:multiLevelType w:val="hybridMultilevel"/>
    <w:lvl w:ilvl="0">
      <w:lvlJc w:val="left"/>
      <w:lvlText w:val="(%1)"/>
      <w:numFmt w:val="lowerLetter"/>
      <w:start w:val="7"/>
    </w:lvl>
    <w:lvl w:ilvl="1">
      <w:lvlJc w:val="left"/>
      <w:lvlText w:val="%2"/>
      <w:numFmt w:val="decimal"/>
      <w:start w:val="1"/>
    </w:lvl>
    <w:lvl w:ilvl="2">
      <w:lvlJc w:val="left"/>
      <w:lvlText w:val="%3"/>
      <w:numFmt w:val="lowerLetter"/>
      <w:start w:val="1"/>
    </w:lvl>
  </w:abstractNum>
  <w:abstractNum w:abstractNumId="37">
    <w:nsid w:val="310C50B3"/>
    <w:multiLevelType w:val="hybridMultilevel"/>
    <w:lvl w:ilvl="0">
      <w:lvlJc w:val="left"/>
      <w:lvlText w:val="%1."/>
      <w:numFmt w:val="decimal"/>
      <w:start w:val="8"/>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lowerLetter"/>
      <w:start w:val="3"/>
    </w:lvl>
  </w:abstractNum>
  <w:abstractNum w:abstractNumId="40">
    <w:nsid w:val="25A70BF7"/>
    <w:multiLevelType w:val="hybridMultilevel"/>
    <w:lvl w:ilvl="0">
      <w:lvlJc w:val="left"/>
      <w:lvlText w:val="%1."/>
      <w:numFmt w:val="decimal"/>
      <w:start w:val="9"/>
    </w:lvl>
  </w:abstractNum>
  <w:abstractNum w:abstractNumId="41">
    <w:nsid w:val="1DBABF00"/>
    <w:multiLevelType w:val="hybridMultilevel"/>
    <w:lvl w:ilvl="0">
      <w:lvlJc w:val="left"/>
      <w:lvlText w:val="%1."/>
      <w:numFmt w:val="decimal"/>
      <w:start w:val="16"/>
    </w:lvl>
  </w:abstractNum>
  <w:abstractNum w:abstractNumId="42">
    <w:nsid w:val="4AD084E9"/>
    <w:multiLevelType w:val="hybridMultilevel"/>
    <w:lvl w:ilvl="0">
      <w:lvlJc w:val="left"/>
      <w:lvlText w:val="(%1)"/>
      <w:numFmt w:val="lowerLetter"/>
      <w:start w:val="1"/>
    </w:lvl>
    <w:lvl w:ilvl="1">
      <w:lvlJc w:val="left"/>
      <w:lvlText w:val="%2."/>
      <w:numFmt w:val="decimal"/>
      <w:start w:val="19"/>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decimal"/>
      <w:start w:val="3"/>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4"/>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lowerLetter"/>
      <w:start w:val="2"/>
    </w:lvl>
  </w:abstractNum>
  <w:abstractNum w:abstractNumId="49">
    <w:nsid w:val="5F5E7FD0"/>
    <w:multiLevelType w:val="hybridMultilevel"/>
    <w:lvl w:ilvl="0">
      <w:lvlJc w:val="left"/>
      <w:lvlText w:val="%1."/>
      <w:numFmt w:val="decimal"/>
      <w:start w:val="5"/>
    </w:lvl>
  </w:abstractNum>
  <w:abstractNum w:abstractNumId="50">
    <w:nsid w:val="98A3148"/>
    <w:multiLevelType w:val="hybridMultilevel"/>
    <w:lvl w:ilvl="0">
      <w:lvlJc w:val="left"/>
      <w:lvlText w:val="%1."/>
      <w:numFmt w:val="decimal"/>
      <w:start w:val="7"/>
    </w:lvl>
  </w:abstractNum>
  <w:abstractNum w:abstractNumId="51">
    <w:nsid w:val="799D0247"/>
    <w:multiLevelType w:val="hybridMultilevel"/>
    <w:lvl w:ilvl="0">
      <w:lvlJc w:val="left"/>
      <w:lvlText w:val="(%1)"/>
      <w:numFmt w:val="lowerLetter"/>
      <w:start w:val="1"/>
    </w:lvl>
    <w:lvl w:ilvl="1">
      <w:lvlJc w:val="left"/>
      <w:lvlText w:val="%2."/>
      <w:numFmt w:val="decimal"/>
      <w:start w:val="15"/>
    </w:lvl>
  </w:abstractNum>
  <w:abstractNum w:abstractNumId="52">
    <w:nsid w:val="6B94764"/>
    <w:multiLevelType w:val="hybridMultilevel"/>
    <w:lvl w:ilvl="0">
      <w:lvlJc w:val="left"/>
      <w:lvlText w:val="%1."/>
      <w:numFmt w:val="decimal"/>
      <w:start w:val="2"/>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4"/>
    </w:lvl>
  </w:abstractNum>
  <w:abstractNum w:abstractNumId="55">
    <w:nsid w:val="1EBA5D23"/>
    <w:multiLevelType w:val="hybridMultilevel"/>
    <w:lvl w:ilvl="0">
      <w:lvlJc w:val="left"/>
      <w:lvlText w:val="%1."/>
      <w:numFmt w:val="decimal"/>
      <w:start w:val="6"/>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1."/>
      <w:numFmt w:val="decimal"/>
      <w:start w:val="3"/>
    </w:lvl>
  </w:abstractNum>
  <w:abstractNum w:abstractNumId="58">
    <w:nsid w:val="540A471C"/>
    <w:multiLevelType w:val="hybridMultilevel"/>
    <w:lvl w:ilvl="0">
      <w:lvlJc w:val="left"/>
      <w:lvlText w:val="%1."/>
      <w:numFmt w:val="decimal"/>
      <w:start w:val="7"/>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decimal"/>
      <w:start w:val="8"/>
    </w:lvl>
  </w:abstractNum>
  <w:abstractNum w:abstractNumId="61">
    <w:nsid w:val="613EFDC5"/>
    <w:multiLevelType w:val="hybridMultilevel"/>
    <w:lvl w:ilvl="0">
      <w:lvlJc w:val="left"/>
      <w:lvlText w:val="%1."/>
      <w:numFmt w:val="decimal"/>
      <w:start w:val="10"/>
    </w:lvl>
  </w:abstractNum>
  <w:abstractNum w:abstractNumId="62">
    <w:nsid w:val="BF72B14"/>
    <w:multiLevelType w:val="hybridMultilevel"/>
    <w:lvl w:ilvl="0">
      <w:lvlJc w:val="left"/>
      <w:lvlText w:val="(%1)"/>
      <w:numFmt w:val="lowerLetter"/>
      <w:start w:val="1"/>
    </w:lvl>
    <w:lvl w:ilvl="1">
      <w:lvlJc w:val="left"/>
      <w:lvlText w:val="%2."/>
      <w:numFmt w:val="decimal"/>
      <w:start w:val="18"/>
    </w:lvl>
  </w:abstractNum>
  <w:abstractNum w:abstractNumId="63">
    <w:nsid w:val="11447B73"/>
    <w:multiLevelType w:val="hybridMultilevel"/>
    <w:lvl w:ilvl="0">
      <w:lvlJc w:val="left"/>
      <w:lvlText w:val="%1."/>
      <w:numFmt w:val="decimal"/>
      <w:start w:val="2"/>
    </w:lvl>
  </w:abstractNum>
  <w:abstractNum w:abstractNumId="64">
    <w:nsid w:val="42963E5A"/>
    <w:multiLevelType w:val="hybridMultilevel"/>
    <w:lvl w:ilvl="0">
      <w:lvlJc w:val="left"/>
      <w:lvlText w:val="(%1)"/>
      <w:numFmt w:val="lowerLetter"/>
      <w:start w:val="1"/>
    </w:lvl>
  </w:abstractNum>
  <w:abstractNum w:abstractNumId="65">
    <w:nsid w:val="A0382C5"/>
    <w:multiLevelType w:val="hybridMultilevel"/>
    <w:lvl w:ilvl="0">
      <w:lvlJc w:val="left"/>
      <w:lvlText w:val="(%1)"/>
      <w:numFmt w:val="lowerLetter"/>
      <w:start w:val="1"/>
    </w:lvl>
    <w:lvl w:ilvl="1">
      <w:lvlJc w:val="left"/>
      <w:lvlText w:val="*"/>
      <w:numFmt w:val="bullet"/>
      <w:start w:val="1"/>
    </w:lvl>
  </w:abstractNum>
  <w:abstractNum w:abstractNumId="66">
    <w:nsid w:val="8F2B15E"/>
    <w:multiLevelType w:val="hybridMultilevel"/>
    <w:lvl w:ilvl="0">
      <w:lvlJc w:val="left"/>
      <w:lvlText w:val="(%1)"/>
      <w:numFmt w:val="lowerLetter"/>
      <w:start w:val="1"/>
    </w:lvl>
  </w:abstractNum>
  <w:abstractNum w:abstractNumId="67">
    <w:nsid w:val="1A32234B"/>
    <w:multiLevelType w:val="hybridMultilevel"/>
    <w:lvl w:ilvl="0">
      <w:lvlJc w:val="left"/>
      <w:lvlText w:val="(%1)"/>
      <w:numFmt w:val="lowerLetter"/>
      <w:start w:val="5"/>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5"/>
    </w:lvl>
  </w:abstractNum>
  <w:abstractNum w:abstractNumId="70">
    <w:nsid w:val="4962813B"/>
    <w:multiLevelType w:val="hybridMultilevel"/>
    <w:lvl w:ilvl="0">
      <w:lvlJc w:val="left"/>
      <w:lvlText w:val="(%1)"/>
      <w:numFmt w:val="lowerLetter"/>
      <w:start w:val="7"/>
    </w:lvl>
    <w:lvl w:ilvl="1">
      <w:lvlJc w:val="left"/>
      <w:lvlText w:val="%2"/>
      <w:numFmt w:val="decimal"/>
      <w:start w:val="1"/>
    </w:lvl>
    <w:lvl w:ilvl="2">
      <w:lvlJc w:val="left"/>
      <w:lvlText w:val="%3"/>
      <w:numFmt w:val="lowerLetter"/>
      <w:start w:val="1"/>
    </w:lvl>
  </w:abstractNum>
  <w:abstractNum w:abstractNumId="71">
    <w:nsid w:val="60B6DF70"/>
    <w:multiLevelType w:val="hybridMultilevel"/>
    <w:lvl w:ilvl="0">
      <w:lvlJc w:val="left"/>
      <w:lvlText w:val="%1."/>
      <w:numFmt w:val="decimal"/>
      <w:start w:val="8"/>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lowerLetter"/>
      <w:start w:val="3"/>
    </w:lvl>
  </w:abstractNum>
  <w:abstractNum w:abstractNumId="74">
    <w:nsid w:val="7FFFCA11"/>
    <w:multiLevelType w:val="hybridMultilevel"/>
    <w:lvl w:ilvl="0">
      <w:lvlJc w:val="left"/>
      <w:lvlText w:val="%1."/>
      <w:numFmt w:val="decimal"/>
      <w:start w:val="9"/>
    </w:lvl>
  </w:abstractNum>
  <w:abstractNum w:abstractNumId="75">
    <w:nsid w:val="1A27709E"/>
    <w:multiLevelType w:val="hybridMultilevel"/>
    <w:lvl w:ilvl="0">
      <w:lvlJc w:val="left"/>
      <w:lvlText w:val="%1."/>
      <w:numFmt w:val="decimal"/>
      <w:start w:val="16"/>
    </w:lvl>
  </w:abstractNum>
  <w:abstractNum w:abstractNumId="76">
    <w:nsid w:val="71EA1109"/>
    <w:multiLevelType w:val="hybridMultilevel"/>
    <w:lvl w:ilvl="0">
      <w:lvlJc w:val="left"/>
      <w:lvlText w:val="(%1)"/>
      <w:numFmt w:val="lowerLetter"/>
      <w:start w:val="1"/>
    </w:lvl>
    <w:lvl w:ilvl="1">
      <w:lvlJc w:val="left"/>
      <w:lvlText w:val="%2."/>
      <w:numFmt w:val="decimal"/>
      <w:start w:val="19"/>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decimal"/>
      <w:start w:val="3"/>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4"/>
    </w:lvl>
  </w:abstractNum>
  <w:abstractNum w:abstractNumId="81">
    <w:nsid w:val="94211F2"/>
    <w:multiLevelType w:val="hybridMultilevel"/>
    <w:lvl w:ilvl="0">
      <w:lvlJc w:val="left"/>
      <w:lvlText w:val="(%1)"/>
      <w:numFmt w:val="lowerLetter"/>
      <w:start w:val="1"/>
    </w:lvl>
  </w:abstractNum>
  <w:abstractNum w:abstractNumId="82">
    <w:nsid w:val="885E1B"/>
    <w:multiLevelType w:val="hybridMultilevel"/>
    <w:lvl w:ilvl="0">
      <w:lvlJc w:val="left"/>
      <w:lvlText w:val="(%1)"/>
      <w:numFmt w:val="lowerLetter"/>
      <w:start w:val="2"/>
    </w:lvl>
  </w:abstractNum>
  <w:abstractNum w:abstractNumId="83">
    <w:nsid w:val="76272110"/>
    <w:multiLevelType w:val="hybridMultilevel"/>
    <w:lvl w:ilvl="0">
      <w:lvlJc w:val="left"/>
      <w:lvlText w:val="%1."/>
      <w:numFmt w:val="decimal"/>
      <w:start w:val="5"/>
    </w:lvl>
  </w:abstractNum>
  <w:abstractNum w:abstractNumId="84">
    <w:nsid w:val="4C04A8AF"/>
    <w:multiLevelType w:val="hybridMultilevel"/>
    <w:lvl w:ilvl="0">
      <w:lvlJc w:val="left"/>
      <w:lvlText w:val="%1."/>
      <w:numFmt w:val="decimal"/>
      <w:start w:val="7"/>
    </w:lvl>
  </w:abstractNum>
  <w:abstractNum w:abstractNumId="85">
    <w:nsid w:val="1716703B"/>
    <w:multiLevelType w:val="hybridMultilevel"/>
    <w:lvl w:ilvl="0">
      <w:lvlJc w:val="left"/>
      <w:lvlText w:val="(%1)"/>
      <w:numFmt w:val="lowerLetter"/>
      <w:start w:val="1"/>
    </w:lvl>
    <w:lvl w:ilvl="1">
      <w:lvlJc w:val="left"/>
      <w:lvlText w:val="%2."/>
      <w:numFmt w:val="decimal"/>
      <w:start w:val="15"/>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2019-12-29T13:15:42Z</dcterms:created>
  <dcterms:modified xsi:type="dcterms:W3CDTF">2019-12-29T13:15:42Z</dcterms:modified>
</cp:coreProperties>
</file>